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5E1482">
      <w:pPr>
        <w:spacing w:before="120" w:beforeLines="50" w:line="360" w:lineRule="auto"/>
        <w:jc w:val="center"/>
        <w:rPr>
          <w:color w:val="auto"/>
          <w:sz w:val="52"/>
          <w:szCs w:val="52"/>
          <w:highlight w:val="none"/>
        </w:rPr>
      </w:pPr>
    </w:p>
    <w:p w14:paraId="606A33BC">
      <w:pPr>
        <w:jc w:val="center"/>
        <w:rPr>
          <w:rFonts w:ascii="宋体" w:hAnsi="宋体" w:cs="宋体"/>
          <w:color w:val="auto"/>
          <w:sz w:val="52"/>
          <w:szCs w:val="52"/>
          <w:highlight w:val="none"/>
        </w:rPr>
      </w:pPr>
      <w:r>
        <w:rPr>
          <w:rFonts w:hint="eastAsia" w:ascii="宋体" w:hAnsi="宋体" w:cs="宋体"/>
          <w:color w:val="auto"/>
          <w:sz w:val="52"/>
          <w:szCs w:val="52"/>
          <w:highlight w:val="none"/>
        </w:rPr>
        <w:t>广西科联招标中心有限公司</w:t>
      </w:r>
    </w:p>
    <w:p w14:paraId="24BF25CC">
      <w:pPr>
        <w:jc w:val="center"/>
        <w:rPr>
          <w:rFonts w:ascii="宋体" w:hAnsi="宋体" w:cs="宋体"/>
          <w:b/>
          <w:color w:val="auto"/>
          <w:sz w:val="32"/>
          <w:szCs w:val="32"/>
          <w:highlight w:val="none"/>
        </w:rPr>
      </w:pPr>
    </w:p>
    <w:p w14:paraId="7B9DE8D0">
      <w:pPr>
        <w:jc w:val="center"/>
        <w:rPr>
          <w:color w:val="auto"/>
          <w:highlight w:val="none"/>
        </w:rPr>
      </w:pPr>
    </w:p>
    <w:p w14:paraId="1306932E">
      <w:pPr>
        <w:jc w:val="center"/>
        <w:rPr>
          <w:rFonts w:ascii="宋体" w:hAnsi="宋体" w:cs="宋体"/>
          <w:b/>
          <w:bCs/>
          <w:color w:val="auto"/>
          <w:kern w:val="0"/>
          <w:sz w:val="30"/>
          <w:szCs w:val="30"/>
          <w:highlight w:val="none"/>
        </w:rPr>
      </w:pPr>
    </w:p>
    <w:p w14:paraId="5BF1F21A">
      <w:pPr>
        <w:pStyle w:val="22"/>
        <w:jc w:val="center"/>
        <w:rPr>
          <w:color w:val="auto"/>
          <w:highlight w:val="none"/>
        </w:rPr>
      </w:pPr>
    </w:p>
    <w:p w14:paraId="559C9A28">
      <w:pPr>
        <w:spacing w:before="240" w:beforeLines="100" w:after="120" w:afterLines="50"/>
        <w:jc w:val="center"/>
        <w:rPr>
          <w:rFonts w:ascii="宋体" w:hAnsi="宋体" w:cs="宋体"/>
          <w:b/>
          <w:color w:val="auto"/>
          <w:sz w:val="44"/>
          <w:szCs w:val="44"/>
          <w:highlight w:val="none"/>
        </w:rPr>
      </w:pPr>
      <w:r>
        <w:rPr>
          <w:rFonts w:hint="eastAsia" w:ascii="宋体" w:hAnsi="宋体" w:cs="宋体"/>
          <w:color w:val="auto"/>
          <w:spacing w:val="116"/>
          <w:sz w:val="52"/>
          <w:highlight w:val="none"/>
        </w:rPr>
        <w:t xml:space="preserve"> </w:t>
      </w:r>
      <w:bookmarkStart w:id="0" w:name="OLE_LINK2"/>
      <w:r>
        <w:rPr>
          <w:rFonts w:hint="eastAsia" w:ascii="宋体" w:hAnsi="宋体" w:cs="宋体"/>
          <w:b/>
          <w:bCs/>
          <w:color w:val="auto"/>
          <w:spacing w:val="100"/>
          <w:sz w:val="84"/>
          <w:szCs w:val="84"/>
          <w:highlight w:val="none"/>
        </w:rPr>
        <w:t>竞争性磋商文</w:t>
      </w:r>
      <w:r>
        <w:rPr>
          <w:rFonts w:hint="eastAsia" w:ascii="宋体" w:hAnsi="宋体" w:cs="宋体"/>
          <w:b/>
          <w:bCs/>
          <w:color w:val="auto"/>
          <w:sz w:val="84"/>
          <w:szCs w:val="84"/>
          <w:highlight w:val="none"/>
        </w:rPr>
        <w:t>件</w:t>
      </w:r>
      <w:bookmarkEnd w:id="0"/>
    </w:p>
    <w:p w14:paraId="3FADB6D7">
      <w:pPr>
        <w:spacing w:before="240" w:beforeLines="100" w:after="120" w:afterLines="50" w:line="360" w:lineRule="auto"/>
        <w:jc w:val="center"/>
        <w:rPr>
          <w:rFonts w:ascii="宋体" w:hAnsi="宋体" w:cs="宋体"/>
          <w:color w:val="auto"/>
          <w:sz w:val="28"/>
          <w:szCs w:val="28"/>
          <w:highlight w:val="none"/>
        </w:rPr>
      </w:pPr>
      <w:r>
        <w:rPr>
          <w:rFonts w:hint="eastAsia" w:ascii="宋体" w:hAnsi="宋体" w:cs="宋体"/>
          <w:color w:val="auto"/>
          <w:sz w:val="28"/>
          <w:szCs w:val="28"/>
          <w:highlight w:val="none"/>
        </w:rPr>
        <w:t>（全流程电子化评标）</w:t>
      </w:r>
    </w:p>
    <w:p w14:paraId="6486073A">
      <w:pPr>
        <w:jc w:val="center"/>
        <w:rPr>
          <w:rFonts w:ascii="宋体" w:hAnsi="宋体" w:cs="宋体"/>
          <w:b/>
          <w:color w:val="auto"/>
          <w:sz w:val="32"/>
          <w:szCs w:val="32"/>
          <w:highlight w:val="none"/>
        </w:rPr>
      </w:pPr>
    </w:p>
    <w:p w14:paraId="01C951BD">
      <w:pPr>
        <w:jc w:val="center"/>
        <w:rPr>
          <w:color w:val="auto"/>
          <w:highlight w:val="none"/>
        </w:rPr>
      </w:pPr>
    </w:p>
    <w:p w14:paraId="79419F09">
      <w:pPr>
        <w:jc w:val="center"/>
        <w:rPr>
          <w:rFonts w:ascii="宋体" w:hAnsi="宋体" w:cs="宋体"/>
          <w:b/>
          <w:bCs/>
          <w:color w:val="auto"/>
          <w:kern w:val="0"/>
          <w:sz w:val="30"/>
          <w:szCs w:val="30"/>
          <w:highlight w:val="none"/>
        </w:rPr>
      </w:pPr>
    </w:p>
    <w:p w14:paraId="50062DEB">
      <w:pPr>
        <w:pStyle w:val="22"/>
        <w:jc w:val="center"/>
        <w:rPr>
          <w:color w:val="auto"/>
          <w:highlight w:val="none"/>
        </w:rPr>
      </w:pPr>
    </w:p>
    <w:p w14:paraId="46F3E861">
      <w:pPr>
        <w:snapToGrid w:val="0"/>
        <w:spacing w:before="50" w:after="120" w:line="360" w:lineRule="auto"/>
        <w:jc w:val="center"/>
        <w:rPr>
          <w:rFonts w:hint="eastAsia" w:ascii="宋体" w:hAnsi="宋体" w:eastAsia="宋体" w:cs="宋体"/>
          <w:b/>
          <w:bCs/>
          <w:color w:val="auto"/>
          <w:kern w:val="0"/>
          <w:sz w:val="30"/>
          <w:szCs w:val="30"/>
          <w:highlight w:val="none"/>
          <w:lang w:eastAsia="zh-CN"/>
        </w:rPr>
      </w:pPr>
      <w:r>
        <w:rPr>
          <w:rFonts w:hint="eastAsia" w:ascii="宋体" w:hAnsi="宋体" w:cs="宋体"/>
          <w:b/>
          <w:bCs/>
          <w:color w:val="auto"/>
          <w:kern w:val="0"/>
          <w:sz w:val="30"/>
          <w:szCs w:val="30"/>
          <w:highlight w:val="none"/>
        </w:rPr>
        <w:t>项目</w:t>
      </w:r>
      <w:r>
        <w:rPr>
          <w:rFonts w:hint="eastAsia" w:ascii="宋体" w:hAnsi="宋体" w:cs="宋体"/>
          <w:b/>
          <w:bCs/>
          <w:color w:val="auto"/>
          <w:w w:val="95"/>
          <w:kern w:val="0"/>
          <w:sz w:val="30"/>
          <w:szCs w:val="30"/>
          <w:highlight w:val="none"/>
        </w:rPr>
        <w:t>名称</w:t>
      </w:r>
      <w:r>
        <w:rPr>
          <w:rFonts w:hint="eastAsia" w:ascii="宋体" w:hAnsi="宋体" w:cs="宋体"/>
          <w:b/>
          <w:bCs/>
          <w:color w:val="auto"/>
          <w:kern w:val="0"/>
          <w:sz w:val="30"/>
          <w:szCs w:val="30"/>
          <w:highlight w:val="none"/>
        </w:rPr>
        <w:t>：</w:t>
      </w:r>
      <w:bookmarkStart w:id="1" w:name="OLE_LINK1"/>
      <w:r>
        <w:rPr>
          <w:rFonts w:hint="eastAsia" w:ascii="宋体" w:hAnsi="宋体" w:cs="宋体"/>
          <w:b/>
          <w:bCs/>
          <w:color w:val="auto"/>
          <w:kern w:val="0"/>
          <w:sz w:val="30"/>
          <w:szCs w:val="30"/>
          <w:highlight w:val="none"/>
          <w:lang w:eastAsia="zh-CN"/>
        </w:rPr>
        <w:t>信访信息管理与服务平台系统运维服务采购</w:t>
      </w:r>
    </w:p>
    <w:bookmarkEnd w:id="1"/>
    <w:p w14:paraId="4895359B">
      <w:pPr>
        <w:snapToGrid w:val="0"/>
        <w:spacing w:before="50" w:after="120" w:line="360" w:lineRule="auto"/>
        <w:jc w:val="center"/>
        <w:rPr>
          <w:rFonts w:hint="eastAsia" w:ascii="宋体" w:hAnsi="宋体" w:eastAsia="宋体" w:cs="宋体"/>
          <w:b/>
          <w:bCs/>
          <w:color w:val="auto"/>
          <w:kern w:val="0"/>
          <w:sz w:val="30"/>
          <w:szCs w:val="30"/>
          <w:highlight w:val="none"/>
          <w:lang w:eastAsia="zh-CN"/>
        </w:rPr>
      </w:pPr>
      <w:r>
        <w:rPr>
          <w:rFonts w:hint="eastAsia" w:ascii="宋体" w:hAnsi="宋体" w:cs="宋体"/>
          <w:b/>
          <w:bCs/>
          <w:color w:val="auto"/>
          <w:kern w:val="0"/>
          <w:sz w:val="30"/>
          <w:szCs w:val="30"/>
          <w:highlight w:val="none"/>
        </w:rPr>
        <w:t>项目编号：</w:t>
      </w:r>
      <w:r>
        <w:rPr>
          <w:rFonts w:hint="eastAsia" w:ascii="宋体" w:hAnsi="宋体" w:cs="宋体"/>
          <w:b/>
          <w:bCs/>
          <w:color w:val="auto"/>
          <w:kern w:val="0"/>
          <w:sz w:val="30"/>
          <w:szCs w:val="30"/>
          <w:highlight w:val="none"/>
          <w:lang w:eastAsia="zh-CN"/>
        </w:rPr>
        <w:t>GXZC2026-C3-001826-GXKL</w:t>
      </w:r>
    </w:p>
    <w:p w14:paraId="155B6C11">
      <w:pPr>
        <w:jc w:val="center"/>
        <w:rPr>
          <w:rFonts w:ascii="宋体" w:hAnsi="宋体" w:cs="宋体"/>
          <w:b/>
          <w:color w:val="auto"/>
          <w:sz w:val="32"/>
          <w:szCs w:val="32"/>
          <w:highlight w:val="none"/>
        </w:rPr>
      </w:pPr>
    </w:p>
    <w:p w14:paraId="56A26CF3">
      <w:pPr>
        <w:jc w:val="center"/>
        <w:rPr>
          <w:color w:val="auto"/>
          <w:highlight w:val="none"/>
        </w:rPr>
      </w:pPr>
    </w:p>
    <w:p w14:paraId="672A7A4F">
      <w:pPr>
        <w:jc w:val="center"/>
        <w:rPr>
          <w:rFonts w:ascii="宋体" w:hAnsi="宋体" w:cs="宋体"/>
          <w:b/>
          <w:bCs/>
          <w:color w:val="auto"/>
          <w:kern w:val="0"/>
          <w:sz w:val="30"/>
          <w:szCs w:val="30"/>
          <w:highlight w:val="none"/>
        </w:rPr>
      </w:pPr>
    </w:p>
    <w:p w14:paraId="090DDC13">
      <w:pPr>
        <w:pStyle w:val="22"/>
        <w:jc w:val="center"/>
        <w:rPr>
          <w:color w:val="auto"/>
          <w:highlight w:val="none"/>
        </w:rPr>
      </w:pPr>
    </w:p>
    <w:p w14:paraId="2E6559F8">
      <w:pPr>
        <w:pStyle w:val="22"/>
        <w:jc w:val="center"/>
        <w:rPr>
          <w:rFonts w:ascii="宋体" w:hAnsi="宋体" w:cs="宋体"/>
          <w:b/>
          <w:bCs/>
          <w:color w:val="auto"/>
          <w:sz w:val="30"/>
          <w:szCs w:val="30"/>
          <w:highlight w:val="none"/>
        </w:rPr>
      </w:pPr>
    </w:p>
    <w:p w14:paraId="2FC6E37B">
      <w:pPr>
        <w:jc w:val="center"/>
        <w:rPr>
          <w:color w:val="auto"/>
          <w:highlight w:val="none"/>
        </w:rPr>
      </w:pPr>
    </w:p>
    <w:p w14:paraId="61DDE7E2">
      <w:pPr>
        <w:snapToGrid w:val="0"/>
        <w:spacing w:before="50" w:after="120" w:line="360" w:lineRule="auto"/>
        <w:jc w:val="center"/>
        <w:rPr>
          <w:rFonts w:hint="eastAsia" w:ascii="宋体" w:hAnsi="宋体" w:eastAsia="宋体" w:cs="宋体"/>
          <w:b/>
          <w:bCs/>
          <w:color w:val="auto"/>
          <w:kern w:val="0"/>
          <w:sz w:val="30"/>
          <w:szCs w:val="30"/>
          <w:highlight w:val="none"/>
          <w:lang w:eastAsia="zh-CN"/>
        </w:rPr>
      </w:pPr>
      <w:r>
        <w:rPr>
          <w:rFonts w:hint="eastAsia" w:ascii="宋体" w:hAnsi="宋体" w:cs="宋体"/>
          <w:b/>
          <w:bCs/>
          <w:color w:val="auto"/>
          <w:kern w:val="0"/>
          <w:sz w:val="30"/>
          <w:szCs w:val="30"/>
          <w:highlight w:val="none"/>
        </w:rPr>
        <w:t>采购人：</w:t>
      </w:r>
      <w:r>
        <w:rPr>
          <w:rFonts w:hint="eastAsia" w:ascii="宋体" w:hAnsi="宋体" w:cs="宋体"/>
          <w:b/>
          <w:bCs/>
          <w:color w:val="auto"/>
          <w:kern w:val="0"/>
          <w:sz w:val="30"/>
          <w:szCs w:val="30"/>
          <w:highlight w:val="none"/>
          <w:lang w:eastAsia="zh-CN"/>
        </w:rPr>
        <w:t xml:space="preserve">广西信访信息中心 </w:t>
      </w:r>
    </w:p>
    <w:p w14:paraId="57CAA2E9">
      <w:pPr>
        <w:snapToGrid w:val="0"/>
        <w:spacing w:before="50" w:after="120" w:line="360" w:lineRule="auto"/>
        <w:jc w:val="center"/>
        <w:rPr>
          <w:rFonts w:ascii="宋体" w:hAnsi="宋体" w:cs="宋体"/>
          <w:b/>
          <w:bCs/>
          <w:color w:val="auto"/>
          <w:kern w:val="0"/>
          <w:sz w:val="30"/>
          <w:szCs w:val="30"/>
          <w:highlight w:val="none"/>
        </w:rPr>
      </w:pPr>
      <w:r>
        <w:rPr>
          <w:rFonts w:hint="eastAsia" w:ascii="宋体" w:hAnsi="宋体" w:cs="宋体"/>
          <w:b/>
          <w:bCs/>
          <w:color w:val="auto"/>
          <w:kern w:val="0"/>
          <w:sz w:val="30"/>
          <w:szCs w:val="30"/>
          <w:highlight w:val="none"/>
        </w:rPr>
        <w:t>采购代理机构：</w:t>
      </w:r>
      <w:bookmarkStart w:id="2" w:name="PO_3000001866_PM031"/>
      <w:r>
        <w:rPr>
          <w:rFonts w:hint="eastAsia" w:ascii="宋体" w:hAnsi="宋体" w:cs="宋体"/>
          <w:b/>
          <w:bCs/>
          <w:color w:val="auto"/>
          <w:kern w:val="0"/>
          <w:sz w:val="30"/>
          <w:szCs w:val="30"/>
          <w:highlight w:val="none"/>
        </w:rPr>
        <w:t>广西科联招标中心有限公司</w:t>
      </w:r>
      <w:bookmarkEnd w:id="2"/>
    </w:p>
    <w:p w14:paraId="26FE32D8">
      <w:pPr>
        <w:pStyle w:val="22"/>
        <w:jc w:val="center"/>
        <w:rPr>
          <w:color w:val="auto"/>
          <w:highlight w:val="none"/>
        </w:rPr>
      </w:pPr>
    </w:p>
    <w:p w14:paraId="0943223C">
      <w:pPr>
        <w:jc w:val="center"/>
        <w:rPr>
          <w:color w:val="auto"/>
          <w:highlight w:val="none"/>
        </w:rPr>
      </w:pPr>
    </w:p>
    <w:p w14:paraId="33731301">
      <w:pPr>
        <w:snapToGrid w:val="0"/>
        <w:spacing w:before="50" w:after="120" w:line="360" w:lineRule="auto"/>
        <w:jc w:val="center"/>
        <w:rPr>
          <w:rFonts w:hint="eastAsia" w:ascii="宋体" w:hAnsi="宋体" w:eastAsia="宋体" w:cs="宋体"/>
          <w:b/>
          <w:bCs/>
          <w:color w:val="auto"/>
          <w:w w:val="95"/>
          <w:kern w:val="0"/>
          <w:sz w:val="30"/>
          <w:szCs w:val="30"/>
          <w:highlight w:val="none"/>
          <w:lang w:eastAsia="zh-CN"/>
        </w:rPr>
      </w:pPr>
      <w:r>
        <w:rPr>
          <w:rFonts w:hint="eastAsia" w:ascii="宋体" w:hAnsi="宋体" w:cs="宋体"/>
          <w:b/>
          <w:bCs/>
          <w:color w:val="auto"/>
          <w:w w:val="95"/>
          <w:kern w:val="0"/>
          <w:sz w:val="30"/>
          <w:szCs w:val="30"/>
          <w:highlight w:val="none"/>
          <w:lang w:eastAsia="zh-CN"/>
        </w:rPr>
        <w:t>2026年</w:t>
      </w:r>
      <w:r>
        <w:rPr>
          <w:rFonts w:hint="eastAsia" w:ascii="宋体" w:hAnsi="宋体" w:cs="宋体"/>
          <w:b/>
          <w:bCs/>
          <w:color w:val="auto"/>
          <w:w w:val="95"/>
          <w:kern w:val="0"/>
          <w:sz w:val="30"/>
          <w:szCs w:val="30"/>
          <w:highlight w:val="none"/>
          <w:lang w:val="en-US" w:eastAsia="zh-CN"/>
        </w:rPr>
        <w:t>6</w:t>
      </w:r>
      <w:r>
        <w:rPr>
          <w:rFonts w:hint="eastAsia" w:ascii="宋体" w:hAnsi="宋体" w:cs="宋体"/>
          <w:b/>
          <w:bCs/>
          <w:color w:val="auto"/>
          <w:w w:val="95"/>
          <w:kern w:val="0"/>
          <w:sz w:val="30"/>
          <w:szCs w:val="30"/>
          <w:highlight w:val="none"/>
          <w:lang w:eastAsia="zh-CN"/>
        </w:rPr>
        <w:t>月</w:t>
      </w:r>
    </w:p>
    <w:p w14:paraId="70F70C84">
      <w:pPr>
        <w:pStyle w:val="13"/>
        <w:ind w:firstLine="803"/>
        <w:jc w:val="center"/>
        <w:rPr>
          <w:rFonts w:ascii="宋体" w:hAnsi="宋体" w:cs="宋体"/>
          <w:b/>
          <w:bCs/>
          <w:color w:val="auto"/>
          <w:w w:val="95"/>
          <w:sz w:val="30"/>
          <w:szCs w:val="30"/>
          <w:highlight w:val="none"/>
        </w:rPr>
        <w:sectPr>
          <w:headerReference r:id="rId3" w:type="default"/>
          <w:footerReference r:id="rId4" w:type="default"/>
          <w:footerReference r:id="rId5" w:type="even"/>
          <w:pgSz w:w="11911" w:h="16838"/>
          <w:pgMar w:top="1134" w:right="1134" w:bottom="1134" w:left="1134" w:header="720" w:footer="720" w:gutter="0"/>
          <w:pgBorders>
            <w:top w:val="none" w:sz="0" w:space="0"/>
            <w:left w:val="none" w:sz="0" w:space="0"/>
            <w:bottom w:val="none" w:sz="0" w:space="0"/>
            <w:right w:val="none" w:sz="0" w:space="0"/>
          </w:pgBorders>
          <w:pgNumType w:start="1"/>
          <w:cols w:space="720" w:num="1"/>
          <w:titlePg/>
          <w:docGrid w:linePitch="331" w:charSpace="0"/>
        </w:sectPr>
      </w:pPr>
    </w:p>
    <w:p w14:paraId="4CE1A343">
      <w:pPr>
        <w:spacing w:before="360" w:beforeLines="150" w:after="360" w:afterLines="150" w:line="360" w:lineRule="auto"/>
        <w:jc w:val="center"/>
        <w:rPr>
          <w:b/>
          <w:color w:val="auto"/>
          <w:sz w:val="44"/>
          <w:szCs w:val="44"/>
          <w:highlight w:val="none"/>
        </w:rPr>
      </w:pPr>
      <w:r>
        <w:rPr>
          <w:rFonts w:hint="eastAsia"/>
          <w:b/>
          <w:color w:val="auto"/>
          <w:sz w:val="44"/>
          <w:szCs w:val="44"/>
          <w:highlight w:val="none"/>
        </w:rPr>
        <w:t>目   录</w:t>
      </w:r>
    </w:p>
    <w:p w14:paraId="5DC21EBE">
      <w:pPr>
        <w:spacing w:line="400" w:lineRule="exact"/>
        <w:jc w:val="center"/>
        <w:rPr>
          <w:b/>
          <w:color w:val="auto"/>
          <w:sz w:val="44"/>
          <w:szCs w:val="44"/>
          <w:highlight w:val="none"/>
        </w:rPr>
      </w:pPr>
    </w:p>
    <w:p w14:paraId="2EC6C52F">
      <w:pPr>
        <w:pStyle w:val="24"/>
        <w:tabs>
          <w:tab w:val="right" w:leader="dot" w:pos="9643"/>
        </w:tabs>
        <w:spacing w:line="480" w:lineRule="auto"/>
        <w:rPr>
          <w:rFonts w:ascii="宋体" w:hAnsi="宋体" w:cs="宋体"/>
          <w:b/>
          <w:bCs/>
          <w:color w:val="auto"/>
          <w:sz w:val="32"/>
          <w:szCs w:val="32"/>
          <w:highlight w:val="none"/>
        </w:rPr>
      </w:pPr>
      <w:r>
        <w:rPr>
          <w:rFonts w:hint="eastAsia" w:ascii="宋体" w:hAnsi="宋体" w:cs="宋体"/>
          <w:b/>
          <w:bCs/>
          <w:color w:val="auto"/>
          <w:sz w:val="24"/>
          <w:highlight w:val="none"/>
        </w:rPr>
        <w:fldChar w:fldCharType="begin"/>
      </w:r>
      <w:r>
        <w:rPr>
          <w:rFonts w:hint="eastAsia" w:ascii="宋体" w:hAnsi="宋体" w:cs="宋体"/>
          <w:b/>
          <w:bCs/>
          <w:color w:val="auto"/>
          <w:sz w:val="24"/>
          <w:highlight w:val="none"/>
        </w:rPr>
        <w:instrText xml:space="preserve">TOC \o "1-1" \h \u </w:instrText>
      </w:r>
      <w:r>
        <w:rPr>
          <w:rFonts w:hint="eastAsia" w:ascii="宋体" w:hAnsi="宋体" w:cs="宋体"/>
          <w:b/>
          <w:bCs/>
          <w:color w:val="auto"/>
          <w:sz w:val="24"/>
          <w:highlight w:val="none"/>
        </w:rPr>
        <w:fldChar w:fldCharType="separate"/>
      </w:r>
      <w:r>
        <w:rPr>
          <w:color w:val="auto"/>
          <w:highlight w:val="none"/>
        </w:rPr>
        <w:fldChar w:fldCharType="begin"/>
      </w:r>
      <w:r>
        <w:rPr>
          <w:color w:val="auto"/>
          <w:highlight w:val="none"/>
        </w:rPr>
        <w:instrText xml:space="preserve"> HYPERLINK \l "_Toc32264" </w:instrText>
      </w:r>
      <w:r>
        <w:rPr>
          <w:color w:val="auto"/>
          <w:highlight w:val="none"/>
        </w:rPr>
        <w:fldChar w:fldCharType="separate"/>
      </w:r>
      <w:r>
        <w:rPr>
          <w:rFonts w:hint="eastAsia" w:ascii="宋体" w:hAnsi="宋体" w:cs="宋体"/>
          <w:b/>
          <w:bCs/>
          <w:color w:val="auto"/>
          <w:sz w:val="32"/>
          <w:szCs w:val="32"/>
          <w:highlight w:val="none"/>
        </w:rPr>
        <w:t>第一章  竞争性磋</w:t>
      </w:r>
      <w:bookmarkStart w:id="3" w:name="_Hlt135924181"/>
      <w:r>
        <w:rPr>
          <w:rFonts w:hint="eastAsia" w:ascii="宋体" w:hAnsi="宋体" w:cs="宋体"/>
          <w:b/>
          <w:bCs/>
          <w:color w:val="auto"/>
          <w:sz w:val="32"/>
          <w:szCs w:val="32"/>
          <w:highlight w:val="none"/>
        </w:rPr>
        <w:t>商</w:t>
      </w:r>
      <w:bookmarkEnd w:id="3"/>
      <w:r>
        <w:rPr>
          <w:rFonts w:hint="eastAsia" w:ascii="宋体" w:hAnsi="宋体" w:cs="宋体"/>
          <w:b/>
          <w:bCs/>
          <w:color w:val="auto"/>
          <w:sz w:val="32"/>
          <w:szCs w:val="32"/>
          <w:highlight w:val="none"/>
        </w:rPr>
        <w:t>公告</w:t>
      </w:r>
      <w:r>
        <w:rPr>
          <w:rFonts w:hint="eastAsia" w:ascii="宋体" w:hAnsi="宋体" w:cs="宋体"/>
          <w:b/>
          <w:bCs/>
          <w:color w:val="auto"/>
          <w:sz w:val="32"/>
          <w:szCs w:val="32"/>
          <w:highlight w:val="none"/>
        </w:rPr>
        <w:tab/>
      </w: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 PAGEREF _Toc32264 </w:instrText>
      </w:r>
      <w:r>
        <w:rPr>
          <w:rFonts w:hint="eastAsia" w:ascii="宋体" w:hAnsi="宋体" w:cs="宋体"/>
          <w:b/>
          <w:bCs/>
          <w:color w:val="auto"/>
          <w:sz w:val="32"/>
          <w:szCs w:val="32"/>
          <w:highlight w:val="none"/>
        </w:rPr>
        <w:fldChar w:fldCharType="separate"/>
      </w:r>
      <w:r>
        <w:rPr>
          <w:rFonts w:hint="eastAsia" w:ascii="宋体" w:hAnsi="宋体" w:cs="宋体"/>
          <w:b/>
          <w:bCs/>
          <w:color w:val="auto"/>
          <w:sz w:val="32"/>
          <w:szCs w:val="32"/>
          <w:highlight w:val="none"/>
        </w:rPr>
        <w:t>3</w:t>
      </w:r>
      <w:r>
        <w:rPr>
          <w:rFonts w:hint="eastAsia" w:ascii="宋体" w:hAnsi="宋体" w:cs="宋体"/>
          <w:b/>
          <w:bCs/>
          <w:color w:val="auto"/>
          <w:sz w:val="32"/>
          <w:szCs w:val="32"/>
          <w:highlight w:val="none"/>
        </w:rPr>
        <w:fldChar w:fldCharType="end"/>
      </w:r>
      <w:r>
        <w:rPr>
          <w:rFonts w:hint="eastAsia" w:ascii="宋体" w:hAnsi="宋体" w:cs="宋体"/>
          <w:b/>
          <w:bCs/>
          <w:color w:val="auto"/>
          <w:sz w:val="32"/>
          <w:szCs w:val="32"/>
          <w:highlight w:val="none"/>
        </w:rPr>
        <w:fldChar w:fldCharType="end"/>
      </w:r>
    </w:p>
    <w:p w14:paraId="7A4A8727">
      <w:pPr>
        <w:pStyle w:val="24"/>
        <w:tabs>
          <w:tab w:val="right" w:leader="dot" w:pos="9643"/>
        </w:tabs>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"_Toc26836" </w:instrText>
      </w:r>
      <w:r>
        <w:rPr>
          <w:color w:val="auto"/>
          <w:highlight w:val="none"/>
        </w:rPr>
        <w:fldChar w:fldCharType="separate"/>
      </w:r>
      <w:r>
        <w:rPr>
          <w:rFonts w:hint="eastAsia" w:ascii="宋体" w:hAnsi="宋体" w:cs="宋体"/>
          <w:b/>
          <w:bCs/>
          <w:color w:val="auto"/>
          <w:sz w:val="32"/>
          <w:szCs w:val="32"/>
          <w:highlight w:val="none"/>
        </w:rPr>
        <w:t>第二章  采购需</w:t>
      </w:r>
      <w:bookmarkStart w:id="4" w:name="_Hlt137127195"/>
      <w:r>
        <w:rPr>
          <w:rFonts w:hint="eastAsia" w:ascii="宋体" w:hAnsi="宋体" w:cs="宋体"/>
          <w:b/>
          <w:bCs/>
          <w:color w:val="auto"/>
          <w:sz w:val="32"/>
          <w:szCs w:val="32"/>
          <w:highlight w:val="none"/>
        </w:rPr>
        <w:t>求</w:t>
      </w:r>
      <w:bookmarkEnd w:id="4"/>
      <w:r>
        <w:rPr>
          <w:rFonts w:hint="eastAsia" w:ascii="宋体" w:hAnsi="宋体" w:cs="宋体"/>
          <w:b/>
          <w:bCs/>
          <w:color w:val="auto"/>
          <w:sz w:val="32"/>
          <w:szCs w:val="32"/>
          <w:highlight w:val="none"/>
        </w:rPr>
        <w:tab/>
      </w: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 PAGEREF _Toc26836 </w:instrText>
      </w:r>
      <w:r>
        <w:rPr>
          <w:rFonts w:hint="eastAsia" w:ascii="宋体" w:hAnsi="宋体" w:cs="宋体"/>
          <w:b/>
          <w:bCs/>
          <w:color w:val="auto"/>
          <w:sz w:val="32"/>
          <w:szCs w:val="32"/>
          <w:highlight w:val="none"/>
        </w:rPr>
        <w:fldChar w:fldCharType="separate"/>
      </w:r>
      <w:r>
        <w:rPr>
          <w:rFonts w:hint="eastAsia" w:ascii="宋体" w:hAnsi="宋体" w:cs="宋体"/>
          <w:b/>
          <w:bCs/>
          <w:color w:val="auto"/>
          <w:sz w:val="32"/>
          <w:szCs w:val="32"/>
          <w:highlight w:val="none"/>
        </w:rPr>
        <w:t>7</w:t>
      </w:r>
      <w:r>
        <w:rPr>
          <w:rFonts w:hint="eastAsia" w:ascii="宋体" w:hAnsi="宋体" w:cs="宋体"/>
          <w:b/>
          <w:bCs/>
          <w:color w:val="auto"/>
          <w:sz w:val="32"/>
          <w:szCs w:val="32"/>
          <w:highlight w:val="none"/>
        </w:rPr>
        <w:fldChar w:fldCharType="end"/>
      </w:r>
      <w:r>
        <w:rPr>
          <w:rFonts w:hint="eastAsia" w:ascii="宋体" w:hAnsi="宋体" w:cs="宋体"/>
          <w:b/>
          <w:bCs/>
          <w:color w:val="auto"/>
          <w:sz w:val="32"/>
          <w:szCs w:val="32"/>
          <w:highlight w:val="none"/>
        </w:rPr>
        <w:fldChar w:fldCharType="end"/>
      </w:r>
    </w:p>
    <w:p w14:paraId="49369B72">
      <w:pPr>
        <w:pStyle w:val="24"/>
        <w:tabs>
          <w:tab w:val="right" w:leader="dot" w:pos="9643"/>
        </w:tabs>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"_Toc2072" </w:instrText>
      </w:r>
      <w:r>
        <w:rPr>
          <w:color w:val="auto"/>
          <w:highlight w:val="none"/>
        </w:rPr>
        <w:fldChar w:fldCharType="separate"/>
      </w:r>
      <w:r>
        <w:rPr>
          <w:rFonts w:hint="eastAsia" w:ascii="宋体" w:hAnsi="宋体" w:cs="宋体"/>
          <w:b/>
          <w:bCs/>
          <w:color w:val="auto"/>
          <w:sz w:val="32"/>
          <w:szCs w:val="32"/>
          <w:highlight w:val="none"/>
        </w:rPr>
        <w:t>第三章  供应</w:t>
      </w:r>
      <w:bookmarkStart w:id="5" w:name="_Hlt135905307"/>
      <w:r>
        <w:rPr>
          <w:rFonts w:hint="eastAsia" w:ascii="宋体" w:hAnsi="宋体" w:cs="宋体"/>
          <w:b/>
          <w:bCs/>
          <w:color w:val="auto"/>
          <w:sz w:val="32"/>
          <w:szCs w:val="32"/>
          <w:highlight w:val="none"/>
        </w:rPr>
        <w:t>商</w:t>
      </w:r>
      <w:bookmarkEnd w:id="5"/>
      <w:r>
        <w:rPr>
          <w:rFonts w:hint="eastAsia" w:ascii="宋体" w:hAnsi="宋体" w:cs="宋体"/>
          <w:b/>
          <w:bCs/>
          <w:color w:val="auto"/>
          <w:sz w:val="32"/>
          <w:szCs w:val="32"/>
          <w:highlight w:val="none"/>
        </w:rPr>
        <w:t>须知</w:t>
      </w:r>
      <w:r>
        <w:rPr>
          <w:rFonts w:hint="eastAsia" w:ascii="宋体" w:hAnsi="宋体" w:cs="宋体"/>
          <w:b/>
          <w:bCs/>
          <w:color w:val="auto"/>
          <w:sz w:val="32"/>
          <w:szCs w:val="32"/>
          <w:highlight w:val="none"/>
        </w:rPr>
        <w:tab/>
      </w: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 PAGEREF _Toc2072 </w:instrText>
      </w:r>
      <w:r>
        <w:rPr>
          <w:rFonts w:hint="eastAsia" w:ascii="宋体" w:hAnsi="宋体" w:cs="宋体"/>
          <w:b/>
          <w:bCs/>
          <w:color w:val="auto"/>
          <w:sz w:val="32"/>
          <w:szCs w:val="32"/>
          <w:highlight w:val="none"/>
        </w:rPr>
        <w:fldChar w:fldCharType="separate"/>
      </w:r>
      <w:r>
        <w:rPr>
          <w:rFonts w:hint="eastAsia" w:ascii="宋体" w:hAnsi="宋体" w:cs="宋体"/>
          <w:b/>
          <w:bCs/>
          <w:color w:val="auto"/>
          <w:sz w:val="32"/>
          <w:szCs w:val="32"/>
          <w:highlight w:val="none"/>
        </w:rPr>
        <w:t>16</w:t>
      </w:r>
      <w:r>
        <w:rPr>
          <w:rFonts w:hint="eastAsia" w:ascii="宋体" w:hAnsi="宋体" w:cs="宋体"/>
          <w:b/>
          <w:bCs/>
          <w:color w:val="auto"/>
          <w:sz w:val="32"/>
          <w:szCs w:val="32"/>
          <w:highlight w:val="none"/>
        </w:rPr>
        <w:fldChar w:fldCharType="end"/>
      </w:r>
      <w:r>
        <w:rPr>
          <w:rFonts w:hint="eastAsia" w:ascii="宋体" w:hAnsi="宋体" w:cs="宋体"/>
          <w:b/>
          <w:bCs/>
          <w:color w:val="auto"/>
          <w:sz w:val="32"/>
          <w:szCs w:val="32"/>
          <w:highlight w:val="none"/>
        </w:rPr>
        <w:fldChar w:fldCharType="end"/>
      </w:r>
    </w:p>
    <w:p w14:paraId="312172B3">
      <w:pPr>
        <w:pStyle w:val="24"/>
        <w:tabs>
          <w:tab w:val="right" w:leader="dot" w:pos="9643"/>
        </w:tabs>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"_Toc1088" </w:instrText>
      </w:r>
      <w:r>
        <w:rPr>
          <w:color w:val="auto"/>
          <w:highlight w:val="none"/>
        </w:rPr>
        <w:fldChar w:fldCharType="separate"/>
      </w:r>
      <w:r>
        <w:rPr>
          <w:rFonts w:hint="eastAsia" w:ascii="宋体" w:hAnsi="宋体" w:cs="宋体"/>
          <w:b/>
          <w:bCs/>
          <w:color w:val="auto"/>
          <w:sz w:val="32"/>
          <w:szCs w:val="32"/>
          <w:highlight w:val="none"/>
        </w:rPr>
        <w:t>第四章  评审程序、评审方法和评审标准</w:t>
      </w:r>
      <w:r>
        <w:rPr>
          <w:rFonts w:hint="eastAsia" w:ascii="宋体" w:hAnsi="宋体" w:cs="宋体"/>
          <w:b/>
          <w:bCs/>
          <w:color w:val="auto"/>
          <w:sz w:val="32"/>
          <w:szCs w:val="32"/>
          <w:highlight w:val="none"/>
        </w:rPr>
        <w:tab/>
      </w: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 PAGEREF _Toc1088 </w:instrText>
      </w:r>
      <w:r>
        <w:rPr>
          <w:rFonts w:hint="eastAsia" w:ascii="宋体" w:hAnsi="宋体" w:cs="宋体"/>
          <w:b/>
          <w:bCs/>
          <w:color w:val="auto"/>
          <w:sz w:val="32"/>
          <w:szCs w:val="32"/>
          <w:highlight w:val="none"/>
        </w:rPr>
        <w:fldChar w:fldCharType="separate"/>
      </w:r>
      <w:r>
        <w:rPr>
          <w:rFonts w:hint="eastAsia" w:ascii="宋体" w:hAnsi="宋体" w:cs="宋体"/>
          <w:b/>
          <w:bCs/>
          <w:color w:val="auto"/>
          <w:sz w:val="32"/>
          <w:szCs w:val="32"/>
          <w:highlight w:val="none"/>
        </w:rPr>
        <w:t>34</w:t>
      </w:r>
      <w:r>
        <w:rPr>
          <w:rFonts w:hint="eastAsia" w:ascii="宋体" w:hAnsi="宋体" w:cs="宋体"/>
          <w:b/>
          <w:bCs/>
          <w:color w:val="auto"/>
          <w:sz w:val="32"/>
          <w:szCs w:val="32"/>
          <w:highlight w:val="none"/>
        </w:rPr>
        <w:fldChar w:fldCharType="end"/>
      </w:r>
      <w:r>
        <w:rPr>
          <w:rFonts w:hint="eastAsia" w:ascii="宋体" w:hAnsi="宋体" w:cs="宋体"/>
          <w:b/>
          <w:bCs/>
          <w:color w:val="auto"/>
          <w:sz w:val="32"/>
          <w:szCs w:val="32"/>
          <w:highlight w:val="none"/>
        </w:rPr>
        <w:fldChar w:fldCharType="end"/>
      </w:r>
    </w:p>
    <w:p w14:paraId="7CD66D8B">
      <w:pPr>
        <w:pStyle w:val="24"/>
        <w:tabs>
          <w:tab w:val="right" w:leader="dot" w:pos="9643"/>
        </w:tabs>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"_Toc22302" </w:instrText>
      </w:r>
      <w:r>
        <w:rPr>
          <w:color w:val="auto"/>
          <w:highlight w:val="none"/>
        </w:rPr>
        <w:fldChar w:fldCharType="separate"/>
      </w:r>
      <w:r>
        <w:rPr>
          <w:rFonts w:hint="eastAsia" w:ascii="宋体" w:hAnsi="宋体" w:cs="宋体"/>
          <w:b/>
          <w:bCs/>
          <w:color w:val="auto"/>
          <w:sz w:val="32"/>
          <w:szCs w:val="32"/>
          <w:highlight w:val="none"/>
        </w:rPr>
        <w:t>第五章  响应文</w:t>
      </w:r>
      <w:bookmarkStart w:id="6" w:name="_Hlt135897173"/>
      <w:bookmarkStart w:id="7" w:name="_Hlt135897174"/>
      <w:r>
        <w:rPr>
          <w:rFonts w:hint="eastAsia" w:ascii="宋体" w:hAnsi="宋体" w:cs="宋体"/>
          <w:b/>
          <w:bCs/>
          <w:color w:val="auto"/>
          <w:sz w:val="32"/>
          <w:szCs w:val="32"/>
          <w:highlight w:val="none"/>
        </w:rPr>
        <w:t>件</w:t>
      </w:r>
      <w:bookmarkEnd w:id="6"/>
      <w:bookmarkEnd w:id="7"/>
      <w:r>
        <w:rPr>
          <w:rFonts w:hint="eastAsia" w:ascii="宋体" w:hAnsi="宋体" w:cs="宋体"/>
          <w:b/>
          <w:bCs/>
          <w:color w:val="auto"/>
          <w:sz w:val="32"/>
          <w:szCs w:val="32"/>
          <w:highlight w:val="none"/>
        </w:rPr>
        <w:t>格式</w:t>
      </w:r>
      <w:r>
        <w:rPr>
          <w:rFonts w:hint="eastAsia" w:ascii="宋体" w:hAnsi="宋体" w:cs="宋体"/>
          <w:b/>
          <w:bCs/>
          <w:color w:val="auto"/>
          <w:sz w:val="32"/>
          <w:szCs w:val="32"/>
          <w:highlight w:val="none"/>
        </w:rPr>
        <w:tab/>
      </w: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 PAGEREF _Toc22302 </w:instrText>
      </w:r>
      <w:r>
        <w:rPr>
          <w:rFonts w:hint="eastAsia" w:ascii="宋体" w:hAnsi="宋体" w:cs="宋体"/>
          <w:b/>
          <w:bCs/>
          <w:color w:val="auto"/>
          <w:sz w:val="32"/>
          <w:szCs w:val="32"/>
          <w:highlight w:val="none"/>
        </w:rPr>
        <w:fldChar w:fldCharType="separate"/>
      </w:r>
      <w:r>
        <w:rPr>
          <w:rFonts w:hint="eastAsia" w:ascii="宋体" w:hAnsi="宋体" w:cs="宋体"/>
          <w:b/>
          <w:bCs/>
          <w:color w:val="auto"/>
          <w:sz w:val="32"/>
          <w:szCs w:val="32"/>
          <w:highlight w:val="none"/>
        </w:rPr>
        <w:t>42</w:t>
      </w:r>
      <w:r>
        <w:rPr>
          <w:rFonts w:hint="eastAsia" w:ascii="宋体" w:hAnsi="宋体" w:cs="宋体"/>
          <w:b/>
          <w:bCs/>
          <w:color w:val="auto"/>
          <w:sz w:val="32"/>
          <w:szCs w:val="32"/>
          <w:highlight w:val="none"/>
        </w:rPr>
        <w:fldChar w:fldCharType="end"/>
      </w:r>
      <w:r>
        <w:rPr>
          <w:rFonts w:hint="eastAsia" w:ascii="宋体" w:hAnsi="宋体" w:cs="宋体"/>
          <w:b/>
          <w:bCs/>
          <w:color w:val="auto"/>
          <w:sz w:val="32"/>
          <w:szCs w:val="32"/>
          <w:highlight w:val="none"/>
        </w:rPr>
        <w:fldChar w:fldCharType="end"/>
      </w:r>
    </w:p>
    <w:p w14:paraId="16D21B2A">
      <w:pPr>
        <w:pStyle w:val="24"/>
        <w:tabs>
          <w:tab w:val="right" w:leader="dot" w:pos="9643"/>
        </w:tabs>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"_Toc18676" </w:instrText>
      </w:r>
      <w:r>
        <w:rPr>
          <w:color w:val="auto"/>
          <w:highlight w:val="none"/>
        </w:rPr>
        <w:fldChar w:fldCharType="separate"/>
      </w:r>
      <w:r>
        <w:rPr>
          <w:rFonts w:hint="eastAsia" w:ascii="宋体" w:hAnsi="宋体" w:cs="宋体"/>
          <w:b/>
          <w:bCs/>
          <w:color w:val="auto"/>
          <w:sz w:val="32"/>
          <w:szCs w:val="32"/>
          <w:highlight w:val="none"/>
        </w:rPr>
        <w:t>第六章  合同</w:t>
      </w:r>
      <w:bookmarkStart w:id="8" w:name="_Hlt137127064"/>
      <w:bookmarkStart w:id="9" w:name="_Hlt135924190"/>
      <w:bookmarkStart w:id="10" w:name="_Hlt137127063"/>
      <w:r>
        <w:rPr>
          <w:rFonts w:hint="eastAsia" w:ascii="宋体" w:hAnsi="宋体" w:cs="宋体"/>
          <w:b/>
          <w:bCs/>
          <w:color w:val="auto"/>
          <w:sz w:val="32"/>
          <w:szCs w:val="32"/>
          <w:highlight w:val="none"/>
        </w:rPr>
        <w:t>文</w:t>
      </w:r>
      <w:bookmarkEnd w:id="8"/>
      <w:bookmarkEnd w:id="9"/>
      <w:bookmarkEnd w:id="10"/>
      <w:bookmarkStart w:id="11" w:name="_Hlt135924166"/>
      <w:bookmarkStart w:id="12" w:name="_Hlt135924167"/>
      <w:r>
        <w:rPr>
          <w:rFonts w:hint="eastAsia" w:ascii="宋体" w:hAnsi="宋体" w:cs="宋体"/>
          <w:b/>
          <w:bCs/>
          <w:color w:val="auto"/>
          <w:sz w:val="32"/>
          <w:szCs w:val="32"/>
          <w:highlight w:val="none"/>
        </w:rPr>
        <w:t>本</w:t>
      </w:r>
      <w:bookmarkEnd w:id="11"/>
      <w:bookmarkEnd w:id="12"/>
      <w:r>
        <w:rPr>
          <w:rFonts w:hint="eastAsia" w:ascii="宋体" w:hAnsi="宋体" w:cs="宋体"/>
          <w:b/>
          <w:bCs/>
          <w:color w:val="auto"/>
          <w:sz w:val="32"/>
          <w:szCs w:val="32"/>
          <w:highlight w:val="none"/>
        </w:rPr>
        <w:tab/>
      </w: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 PAGEREF _Toc18676 </w:instrText>
      </w:r>
      <w:r>
        <w:rPr>
          <w:rFonts w:hint="eastAsia" w:ascii="宋体" w:hAnsi="宋体" w:cs="宋体"/>
          <w:b/>
          <w:bCs/>
          <w:color w:val="auto"/>
          <w:sz w:val="32"/>
          <w:szCs w:val="32"/>
          <w:highlight w:val="none"/>
        </w:rPr>
        <w:fldChar w:fldCharType="separate"/>
      </w:r>
      <w:r>
        <w:rPr>
          <w:rFonts w:hint="eastAsia" w:ascii="宋体" w:hAnsi="宋体" w:cs="宋体"/>
          <w:b/>
          <w:bCs/>
          <w:color w:val="auto"/>
          <w:sz w:val="32"/>
          <w:szCs w:val="32"/>
          <w:highlight w:val="none"/>
        </w:rPr>
        <w:t>71</w:t>
      </w:r>
      <w:r>
        <w:rPr>
          <w:rFonts w:hint="eastAsia" w:ascii="宋体" w:hAnsi="宋体" w:cs="宋体"/>
          <w:b/>
          <w:bCs/>
          <w:color w:val="auto"/>
          <w:sz w:val="32"/>
          <w:szCs w:val="32"/>
          <w:highlight w:val="none"/>
        </w:rPr>
        <w:fldChar w:fldCharType="end"/>
      </w:r>
      <w:r>
        <w:rPr>
          <w:rFonts w:hint="eastAsia" w:ascii="宋体" w:hAnsi="宋体" w:cs="宋体"/>
          <w:b/>
          <w:bCs/>
          <w:color w:val="auto"/>
          <w:sz w:val="32"/>
          <w:szCs w:val="32"/>
          <w:highlight w:val="none"/>
        </w:rPr>
        <w:fldChar w:fldCharType="end"/>
      </w:r>
    </w:p>
    <w:p w14:paraId="16C528EB">
      <w:pPr>
        <w:pStyle w:val="24"/>
        <w:tabs>
          <w:tab w:val="right" w:leader="dot" w:pos="9643"/>
        </w:tabs>
        <w:spacing w:line="480" w:lineRule="auto"/>
        <w:rPr>
          <w:b/>
          <w:bCs/>
          <w:color w:val="auto"/>
          <w:sz w:val="32"/>
          <w:szCs w:val="32"/>
          <w:highlight w:val="none"/>
        </w:rPr>
      </w:pPr>
      <w:r>
        <w:rPr>
          <w:color w:val="auto"/>
          <w:highlight w:val="none"/>
        </w:rPr>
        <w:fldChar w:fldCharType="begin"/>
      </w:r>
      <w:r>
        <w:rPr>
          <w:color w:val="auto"/>
          <w:highlight w:val="none"/>
        </w:rPr>
        <w:instrText xml:space="preserve"> HYPERLINK \l "_Toc13011" </w:instrText>
      </w:r>
      <w:r>
        <w:rPr>
          <w:color w:val="auto"/>
          <w:highlight w:val="none"/>
        </w:rPr>
        <w:fldChar w:fldCharType="separate"/>
      </w:r>
      <w:r>
        <w:rPr>
          <w:rFonts w:hint="eastAsia" w:ascii="宋体" w:hAnsi="宋体" w:cs="宋体"/>
          <w:b/>
          <w:bCs/>
          <w:color w:val="auto"/>
          <w:sz w:val="32"/>
          <w:szCs w:val="32"/>
          <w:highlight w:val="none"/>
        </w:rPr>
        <w:t>第七章  质疑、投诉</w:t>
      </w:r>
      <w:bookmarkStart w:id="13" w:name="_Hlt137580638"/>
      <w:bookmarkStart w:id="14" w:name="_Hlt137580637"/>
      <w:r>
        <w:rPr>
          <w:rFonts w:hint="eastAsia" w:ascii="宋体" w:hAnsi="宋体" w:cs="宋体"/>
          <w:b/>
          <w:bCs/>
          <w:color w:val="auto"/>
          <w:sz w:val="32"/>
          <w:szCs w:val="32"/>
          <w:highlight w:val="none"/>
        </w:rPr>
        <w:t>材</w:t>
      </w:r>
      <w:bookmarkEnd w:id="13"/>
      <w:bookmarkEnd w:id="14"/>
      <w:r>
        <w:rPr>
          <w:rFonts w:hint="eastAsia" w:ascii="宋体" w:hAnsi="宋体" w:cs="宋体"/>
          <w:b/>
          <w:bCs/>
          <w:color w:val="auto"/>
          <w:sz w:val="32"/>
          <w:szCs w:val="32"/>
          <w:highlight w:val="none"/>
        </w:rPr>
        <w:t>料格式</w:t>
      </w:r>
      <w:r>
        <w:rPr>
          <w:rFonts w:hint="eastAsia" w:ascii="宋体" w:hAnsi="宋体" w:cs="宋体"/>
          <w:b/>
          <w:bCs/>
          <w:color w:val="auto"/>
          <w:sz w:val="32"/>
          <w:szCs w:val="32"/>
          <w:highlight w:val="none"/>
        </w:rPr>
        <w:tab/>
      </w: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 PAGEREF _Toc13011 </w:instrText>
      </w:r>
      <w:r>
        <w:rPr>
          <w:rFonts w:hint="eastAsia" w:ascii="宋体" w:hAnsi="宋体" w:cs="宋体"/>
          <w:b/>
          <w:bCs/>
          <w:color w:val="auto"/>
          <w:sz w:val="32"/>
          <w:szCs w:val="32"/>
          <w:highlight w:val="none"/>
        </w:rPr>
        <w:fldChar w:fldCharType="separate"/>
      </w:r>
      <w:r>
        <w:rPr>
          <w:rFonts w:hint="eastAsia" w:ascii="宋体" w:hAnsi="宋体" w:cs="宋体"/>
          <w:b/>
          <w:bCs/>
          <w:color w:val="auto"/>
          <w:sz w:val="32"/>
          <w:szCs w:val="32"/>
          <w:highlight w:val="none"/>
        </w:rPr>
        <w:t>75</w:t>
      </w:r>
      <w:r>
        <w:rPr>
          <w:rFonts w:hint="eastAsia" w:ascii="宋体" w:hAnsi="宋体" w:cs="宋体"/>
          <w:b/>
          <w:bCs/>
          <w:color w:val="auto"/>
          <w:sz w:val="32"/>
          <w:szCs w:val="32"/>
          <w:highlight w:val="none"/>
        </w:rPr>
        <w:fldChar w:fldCharType="end"/>
      </w:r>
      <w:r>
        <w:rPr>
          <w:rFonts w:hint="eastAsia" w:ascii="宋体" w:hAnsi="宋体" w:cs="宋体"/>
          <w:b/>
          <w:bCs/>
          <w:color w:val="auto"/>
          <w:sz w:val="32"/>
          <w:szCs w:val="32"/>
          <w:highlight w:val="none"/>
        </w:rPr>
        <w:fldChar w:fldCharType="end"/>
      </w:r>
    </w:p>
    <w:p w14:paraId="264C7E85">
      <w:pPr>
        <w:pStyle w:val="26"/>
        <w:spacing w:line="480" w:lineRule="auto"/>
        <w:rPr>
          <w:b/>
          <w:color w:val="auto"/>
          <w:sz w:val="32"/>
          <w:szCs w:val="32"/>
          <w:highlight w:val="none"/>
        </w:rPr>
      </w:pPr>
      <w:r>
        <w:rPr>
          <w:rFonts w:hint="eastAsia" w:ascii="宋体" w:hAnsi="宋体" w:cs="宋体"/>
          <w:b/>
          <w:bCs/>
          <w:color w:val="auto"/>
          <w:sz w:val="24"/>
          <w:highlight w:val="none"/>
        </w:rPr>
        <w:fldChar w:fldCharType="end"/>
      </w:r>
    </w:p>
    <w:p w14:paraId="7DEA8DDF">
      <w:pPr>
        <w:spacing w:line="400" w:lineRule="exact"/>
        <w:rPr>
          <w:b/>
          <w:color w:val="auto"/>
          <w:sz w:val="32"/>
          <w:szCs w:val="32"/>
          <w:highlight w:val="none"/>
        </w:rPr>
        <w:sectPr>
          <w:headerReference r:id="rId7" w:type="first"/>
          <w:footerReference r:id="rId9" w:type="first"/>
          <w:headerReference r:id="rId6" w:type="default"/>
          <w:footerReference r:id="rId8" w:type="default"/>
          <w:pgSz w:w="11911" w:h="16838"/>
          <w:pgMar w:top="1134" w:right="1134" w:bottom="1134" w:left="1134" w:header="720" w:footer="720" w:gutter="0"/>
          <w:pgBorders>
            <w:top w:val="none" w:sz="0" w:space="0"/>
            <w:left w:val="none" w:sz="0" w:space="0"/>
            <w:bottom w:val="none" w:sz="0" w:space="0"/>
            <w:right w:val="none" w:sz="0" w:space="0"/>
          </w:pgBorders>
          <w:cols w:space="720" w:num="1"/>
          <w:docGrid w:linePitch="312" w:charSpace="0"/>
        </w:sectPr>
      </w:pPr>
    </w:p>
    <w:p w14:paraId="74DC6D19">
      <w:pPr>
        <w:pStyle w:val="2"/>
        <w:spacing w:before="360" w:after="360" w:line="400" w:lineRule="exact"/>
        <w:jc w:val="center"/>
        <w:rPr>
          <w:b/>
          <w:color w:val="auto"/>
          <w:sz w:val="32"/>
          <w:szCs w:val="32"/>
          <w:highlight w:val="none"/>
        </w:rPr>
      </w:pPr>
      <w:bookmarkStart w:id="15" w:name="_Toc11989"/>
      <w:bookmarkStart w:id="16" w:name="_Toc27000"/>
      <w:bookmarkStart w:id="17" w:name="_Toc18838"/>
      <w:bookmarkStart w:id="18" w:name="_Toc11382"/>
      <w:bookmarkStart w:id="19" w:name="_Toc80886925"/>
      <w:bookmarkStart w:id="20" w:name="_Toc15624"/>
      <w:bookmarkStart w:id="21" w:name="OLE_LINK4"/>
      <w:bookmarkStart w:id="22" w:name="_Toc12242"/>
      <w:bookmarkStart w:id="23" w:name="_Toc32264"/>
      <w:r>
        <w:rPr>
          <w:rFonts w:hint="eastAsia" w:ascii="Calibri" w:hAnsi="Calibri"/>
          <w:color w:val="auto"/>
          <w:highlight w:val="none"/>
        </w:rPr>
        <w:t>第一章 竞争性磋商公告</w:t>
      </w:r>
      <w:bookmarkEnd w:id="15"/>
      <w:bookmarkEnd w:id="16"/>
      <w:bookmarkEnd w:id="17"/>
      <w:bookmarkEnd w:id="18"/>
      <w:bookmarkEnd w:id="19"/>
      <w:bookmarkEnd w:id="20"/>
      <w:bookmarkEnd w:id="21"/>
      <w:bookmarkEnd w:id="22"/>
      <w:bookmarkEnd w:id="23"/>
      <w:bookmarkStart w:id="24" w:name="_Toc28359089"/>
      <w:bookmarkStart w:id="25" w:name="_Toc35393623"/>
      <w:bookmarkStart w:id="26" w:name="_Toc44229878"/>
      <w:bookmarkStart w:id="27" w:name="_Toc28359004"/>
      <w:bookmarkStart w:id="28" w:name="_Toc35393629"/>
      <w:bookmarkStart w:id="29" w:name="_Toc35393798"/>
      <w:bookmarkStart w:id="30" w:name="_Toc28359081"/>
      <w:bookmarkStart w:id="31" w:name="_Toc35393792"/>
      <w:bookmarkStart w:id="32" w:name="_Toc28359012"/>
    </w:p>
    <w:p w14:paraId="05F644DA">
      <w:pPr>
        <w:jc w:val="center"/>
        <w:rPr>
          <w:rFonts w:ascii="宋体" w:hAnsi="宋体" w:cs="宋体"/>
          <w:b/>
          <w:color w:val="auto"/>
          <w:sz w:val="36"/>
          <w:szCs w:val="36"/>
          <w:highlight w:val="none"/>
        </w:rPr>
      </w:pPr>
      <w:r>
        <w:rPr>
          <w:rFonts w:hint="eastAsia" w:ascii="宋体" w:hAnsi="宋体" w:cs="宋体"/>
          <w:b/>
          <w:color w:val="auto"/>
          <w:sz w:val="36"/>
          <w:szCs w:val="36"/>
          <w:highlight w:val="none"/>
        </w:rPr>
        <w:t>广西科联招标中心有限公司关于</w:t>
      </w:r>
      <w:r>
        <w:rPr>
          <w:rFonts w:hint="eastAsia" w:ascii="宋体" w:hAnsi="宋体" w:cs="宋体"/>
          <w:b/>
          <w:color w:val="auto"/>
          <w:sz w:val="36"/>
          <w:szCs w:val="36"/>
          <w:highlight w:val="none"/>
          <w:lang w:eastAsia="zh-CN"/>
        </w:rPr>
        <w:t>信访信息管理与服务平台系统运维服务采购</w:t>
      </w:r>
      <w:r>
        <w:rPr>
          <w:rFonts w:hint="eastAsia" w:ascii="宋体" w:hAnsi="宋体" w:cs="宋体"/>
          <w:b/>
          <w:color w:val="auto"/>
          <w:sz w:val="36"/>
          <w:szCs w:val="36"/>
          <w:highlight w:val="none"/>
        </w:rPr>
        <w:t>（</w:t>
      </w:r>
      <w:r>
        <w:rPr>
          <w:rFonts w:hint="eastAsia" w:ascii="宋体" w:hAnsi="宋体" w:cs="宋体"/>
          <w:b/>
          <w:color w:val="auto"/>
          <w:sz w:val="36"/>
          <w:szCs w:val="36"/>
          <w:highlight w:val="none"/>
          <w:lang w:eastAsia="zh-CN"/>
        </w:rPr>
        <w:t>GXZC2026-C3-001826-GXKL</w:t>
      </w:r>
      <w:r>
        <w:rPr>
          <w:rFonts w:hint="eastAsia" w:ascii="宋体" w:hAnsi="宋体" w:cs="宋体"/>
          <w:b/>
          <w:color w:val="auto"/>
          <w:sz w:val="36"/>
          <w:szCs w:val="36"/>
          <w:highlight w:val="none"/>
        </w:rPr>
        <w:t>）的竞争性磋商公告</w:t>
      </w:r>
    </w:p>
    <w:p w14:paraId="0E6B64A2">
      <w:pPr>
        <w:pStyle w:val="22"/>
        <w:rPr>
          <w:color w:val="auto"/>
          <w:highlight w:val="none"/>
        </w:rPr>
      </w:pPr>
    </w:p>
    <w:bookmarkEnd w:id="24"/>
    <w:bookmarkEnd w:id="25"/>
    <w:bookmarkEnd w:id="26"/>
    <w:bookmarkEnd w:id="27"/>
    <w:bookmarkEnd w:id="28"/>
    <w:bookmarkEnd w:id="29"/>
    <w:bookmarkEnd w:id="30"/>
    <w:bookmarkEnd w:id="31"/>
    <w:bookmarkEnd w:id="32"/>
    <w:tbl>
      <w:tblPr>
        <w:tblStyle w:val="32"/>
        <w:tblW w:w="98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9"/>
      </w:tblGrid>
      <w:tr w14:paraId="24D29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9" w:type="dxa"/>
          </w:tcPr>
          <w:p w14:paraId="52B7F4A4">
            <w:pPr>
              <w:spacing w:line="360" w:lineRule="auto"/>
              <w:rPr>
                <w:color w:val="auto"/>
                <w:szCs w:val="21"/>
                <w:highlight w:val="none"/>
              </w:rPr>
            </w:pPr>
            <w:r>
              <w:rPr>
                <w:rFonts w:hint="eastAsia"/>
                <w:color w:val="auto"/>
                <w:szCs w:val="21"/>
                <w:highlight w:val="none"/>
              </w:rPr>
              <w:t>项目概况：</w:t>
            </w:r>
          </w:p>
          <w:p w14:paraId="48FE94FD">
            <w:pPr>
              <w:spacing w:line="360" w:lineRule="auto"/>
              <w:ind w:firstLine="420" w:firstLineChars="200"/>
              <w:rPr>
                <w:rFonts w:ascii="黑体" w:hAnsi="黑体" w:eastAsia="黑体" w:cs="宋体"/>
                <w:bCs/>
                <w:color w:val="auto"/>
                <w:sz w:val="24"/>
                <w:highlight w:val="none"/>
              </w:rPr>
            </w:pPr>
            <w:r>
              <w:rPr>
                <w:rFonts w:hint="eastAsia" w:ascii="宋体" w:hAnsi="宋体" w:cs="宋体"/>
                <w:color w:val="auto"/>
                <w:szCs w:val="21"/>
                <w:highlight w:val="none"/>
                <w:u w:val="single"/>
                <w:lang w:eastAsia="zh-CN"/>
              </w:rPr>
              <w:t>信访信息管理与服务平台系统运维服务采购</w:t>
            </w:r>
            <w:r>
              <w:rPr>
                <w:rFonts w:hint="eastAsia" w:ascii="宋体" w:hAnsi="宋体" w:cs="宋体"/>
                <w:color w:val="auto"/>
                <w:szCs w:val="21"/>
                <w:highlight w:val="none"/>
              </w:rPr>
              <w:t>的潜在供应商应在广西政府采购云平台（https://www.gcy.zfcg.gxzf.gov.cn/）获取采购文件，并于</w:t>
            </w:r>
            <w:r>
              <w:rPr>
                <w:rFonts w:hint="eastAsia" w:ascii="宋体" w:hAnsi="宋体" w:cs="宋体"/>
                <w:color w:val="auto"/>
                <w:szCs w:val="21"/>
                <w:highlight w:val="none"/>
                <w:lang w:eastAsia="zh-CN"/>
              </w:rPr>
              <w:t>2026年</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月</w:t>
            </w:r>
            <w:r>
              <w:rPr>
                <w:rFonts w:hint="eastAsia" w:ascii="宋体" w:hAnsi="宋体" w:cs="宋体"/>
                <w:color w:val="auto"/>
                <w:szCs w:val="21"/>
                <w:highlight w:val="none"/>
                <w:lang w:val="en-US" w:eastAsia="zh-CN"/>
              </w:rPr>
              <w:t>29</w:t>
            </w:r>
            <w:r>
              <w:rPr>
                <w:rFonts w:hint="eastAsia" w:ascii="宋体" w:hAnsi="宋体" w:cs="宋体"/>
                <w:color w:val="auto"/>
                <w:szCs w:val="21"/>
                <w:highlight w:val="none"/>
                <w:lang w:eastAsia="zh-CN"/>
              </w:rPr>
              <w:t>日09:00:00</w:t>
            </w:r>
            <w:r>
              <w:rPr>
                <w:rFonts w:hint="eastAsia" w:ascii="宋体" w:hAnsi="宋体" w:cs="宋体"/>
                <w:color w:val="auto"/>
                <w:szCs w:val="21"/>
                <w:highlight w:val="none"/>
              </w:rPr>
              <w:t>（北京时间）前提交响应文件。</w:t>
            </w:r>
          </w:p>
        </w:tc>
      </w:tr>
    </w:tbl>
    <w:p w14:paraId="04AC758F">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一、项目基本情况</w:t>
      </w:r>
    </w:p>
    <w:p w14:paraId="36B431C6">
      <w:pPr>
        <w:spacing w:line="360" w:lineRule="auto"/>
        <w:ind w:firstLine="422" w:firstLineChars="200"/>
        <w:rPr>
          <w:rFonts w:hint="eastAsia" w:ascii="宋体" w:hAnsi="宋体" w:eastAsia="宋体"/>
          <w:color w:val="auto"/>
          <w:szCs w:val="21"/>
          <w:highlight w:val="none"/>
          <w:lang w:eastAsia="zh-CN"/>
        </w:rPr>
      </w:pPr>
      <w:r>
        <w:rPr>
          <w:rFonts w:hint="eastAsia" w:ascii="宋体" w:hAnsi="宋体"/>
          <w:b/>
          <w:bCs/>
          <w:color w:val="auto"/>
          <w:szCs w:val="21"/>
          <w:highlight w:val="none"/>
        </w:rPr>
        <w:t>项目编号：</w:t>
      </w:r>
      <w:r>
        <w:rPr>
          <w:rFonts w:hint="eastAsia" w:ascii="宋体" w:hAnsi="宋体"/>
          <w:color w:val="auto"/>
          <w:szCs w:val="21"/>
          <w:highlight w:val="none"/>
          <w:lang w:eastAsia="zh-CN"/>
        </w:rPr>
        <w:t>GXZC2026-C3-001826-GXKL</w:t>
      </w:r>
    </w:p>
    <w:p w14:paraId="5A4F1A4B">
      <w:pPr>
        <w:spacing w:line="360" w:lineRule="auto"/>
        <w:ind w:firstLine="422" w:firstLineChars="200"/>
        <w:rPr>
          <w:rFonts w:hint="eastAsia" w:ascii="宋体" w:hAnsi="宋体" w:eastAsia="宋体"/>
          <w:color w:val="auto"/>
          <w:szCs w:val="21"/>
          <w:highlight w:val="none"/>
          <w:lang w:eastAsia="zh-CN"/>
        </w:rPr>
      </w:pPr>
      <w:r>
        <w:rPr>
          <w:rFonts w:hint="eastAsia" w:ascii="宋体" w:hAnsi="宋体"/>
          <w:b/>
          <w:bCs/>
          <w:color w:val="auto"/>
          <w:szCs w:val="21"/>
          <w:highlight w:val="none"/>
        </w:rPr>
        <w:t>项目名称：</w:t>
      </w:r>
      <w:r>
        <w:rPr>
          <w:rFonts w:hint="eastAsia" w:ascii="宋体" w:hAnsi="宋体"/>
          <w:color w:val="auto"/>
          <w:szCs w:val="21"/>
          <w:highlight w:val="none"/>
          <w:lang w:eastAsia="zh-CN"/>
        </w:rPr>
        <w:t>信访信息管理与服务平台系统运维服务采购</w:t>
      </w:r>
    </w:p>
    <w:p w14:paraId="136DB7C3">
      <w:pPr>
        <w:spacing w:line="360" w:lineRule="auto"/>
        <w:ind w:firstLine="422" w:firstLineChars="200"/>
        <w:rPr>
          <w:rFonts w:ascii="宋体" w:hAnsi="宋体"/>
          <w:color w:val="auto"/>
          <w:szCs w:val="21"/>
          <w:highlight w:val="none"/>
        </w:rPr>
      </w:pPr>
      <w:r>
        <w:rPr>
          <w:rFonts w:hint="eastAsia" w:ascii="宋体" w:hAnsi="宋体"/>
          <w:b/>
          <w:bCs/>
          <w:color w:val="auto"/>
          <w:szCs w:val="21"/>
          <w:highlight w:val="none"/>
        </w:rPr>
        <w:t>采购方式：</w:t>
      </w:r>
      <w:r>
        <w:rPr>
          <w:rFonts w:hint="eastAsia" w:ascii="宋体" w:hAnsi="宋体"/>
          <w:color w:val="auto"/>
          <w:szCs w:val="21"/>
          <w:highlight w:val="none"/>
        </w:rPr>
        <w:t>竞争性磋商</w:t>
      </w:r>
    </w:p>
    <w:p w14:paraId="4A06D827">
      <w:pPr>
        <w:spacing w:line="360" w:lineRule="auto"/>
        <w:ind w:firstLine="422" w:firstLineChars="200"/>
        <w:rPr>
          <w:rFonts w:hint="default" w:ascii="宋体" w:hAnsi="宋体"/>
          <w:color w:val="auto"/>
          <w:szCs w:val="21"/>
          <w:highlight w:val="none"/>
          <w:lang w:val="en-US"/>
        </w:rPr>
      </w:pPr>
      <w:r>
        <w:rPr>
          <w:rFonts w:hint="eastAsia" w:ascii="宋体" w:hAnsi="宋体"/>
          <w:b/>
          <w:bCs/>
          <w:color w:val="auto"/>
          <w:szCs w:val="21"/>
          <w:highlight w:val="none"/>
        </w:rPr>
        <w:t>预算金额（元）</w:t>
      </w:r>
      <w:r>
        <w:rPr>
          <w:rFonts w:hint="eastAsia" w:ascii="宋体" w:hAnsi="宋体"/>
          <w:color w:val="auto"/>
          <w:szCs w:val="21"/>
          <w:highlight w:val="none"/>
        </w:rPr>
        <w:t>：</w:t>
      </w:r>
      <w:r>
        <w:rPr>
          <w:rFonts w:hint="eastAsia" w:ascii="宋体" w:hAnsi="宋体"/>
          <w:color w:val="auto"/>
          <w:szCs w:val="21"/>
          <w:highlight w:val="none"/>
          <w:lang w:val="en-US" w:eastAsia="zh-CN"/>
        </w:rPr>
        <w:t>1404600.00</w:t>
      </w:r>
    </w:p>
    <w:p w14:paraId="249CDBCA">
      <w:pPr>
        <w:spacing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采购需求：</w:t>
      </w:r>
    </w:p>
    <w:p w14:paraId="1DE6DC6B">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标项名称:</w:t>
      </w:r>
      <w:r>
        <w:rPr>
          <w:rFonts w:hint="eastAsia" w:ascii="宋体" w:hAnsi="宋体"/>
          <w:color w:val="auto"/>
          <w:szCs w:val="21"/>
          <w:highlight w:val="none"/>
          <w:lang w:eastAsia="zh-CN"/>
        </w:rPr>
        <w:t>信访信息管理与服务平台系统运维服务采购</w:t>
      </w:r>
    </w:p>
    <w:p w14:paraId="416052D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数量:1</w:t>
      </w:r>
    </w:p>
    <w:p w14:paraId="1396B3C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预算金额（元）:</w:t>
      </w:r>
      <w:r>
        <w:rPr>
          <w:rFonts w:hint="eastAsia" w:ascii="宋体" w:hAnsi="宋体"/>
          <w:color w:val="auto"/>
          <w:szCs w:val="21"/>
          <w:highlight w:val="none"/>
          <w:lang w:val="en-US" w:eastAsia="zh-CN"/>
        </w:rPr>
        <w:t>1404600.00</w:t>
      </w:r>
    </w:p>
    <w:p w14:paraId="4A3494A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简要规格描述或项目基本概况介绍、用途：</w:t>
      </w:r>
      <w:r>
        <w:rPr>
          <w:rFonts w:hint="eastAsia" w:ascii="宋体" w:hAnsi="宋体"/>
          <w:color w:val="auto"/>
          <w:szCs w:val="21"/>
          <w:highlight w:val="none"/>
          <w:lang w:eastAsia="zh-CN"/>
        </w:rPr>
        <w:t>信访信息管理与服务平台系统运维服务</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项</w:t>
      </w:r>
      <w:r>
        <w:rPr>
          <w:rFonts w:hint="eastAsia" w:ascii="宋体" w:hAnsi="宋体"/>
          <w:color w:val="auto"/>
          <w:szCs w:val="21"/>
          <w:highlight w:val="none"/>
        </w:rPr>
        <w:t>，详见本</w:t>
      </w:r>
      <w:r>
        <w:rPr>
          <w:rFonts w:hint="eastAsia"/>
          <w:color w:val="auto"/>
          <w:highlight w:val="none"/>
        </w:rPr>
        <w:t>竞争性磋商公告</w:t>
      </w:r>
      <w:r>
        <w:rPr>
          <w:rFonts w:hint="eastAsia" w:ascii="宋体" w:hAnsi="宋体"/>
          <w:color w:val="auto"/>
          <w:szCs w:val="21"/>
          <w:highlight w:val="none"/>
        </w:rPr>
        <w:t>附件。</w:t>
      </w:r>
    </w:p>
    <w:p w14:paraId="76CDEACB">
      <w:pPr>
        <w:spacing w:line="360" w:lineRule="auto"/>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最高限价（如有）：</w:t>
      </w:r>
      <w:r>
        <w:rPr>
          <w:rFonts w:hint="eastAsia" w:ascii="宋体" w:hAnsi="宋体"/>
          <w:color w:val="auto"/>
          <w:szCs w:val="21"/>
          <w:highlight w:val="none"/>
          <w:lang w:val="en-US" w:eastAsia="zh-CN"/>
        </w:rPr>
        <w:t>1404600.00</w:t>
      </w:r>
    </w:p>
    <w:p w14:paraId="24BF313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合同履约期限：自合同签订之日起 12 个月。</w:t>
      </w:r>
    </w:p>
    <w:p w14:paraId="36B48AA6">
      <w:pPr>
        <w:spacing w:line="360" w:lineRule="auto"/>
        <w:ind w:firstLine="420" w:firstLineChars="200"/>
        <w:rPr>
          <w:rFonts w:ascii="宋体" w:hAnsi="宋体"/>
          <w:color w:val="auto"/>
          <w:szCs w:val="21"/>
          <w:highlight w:val="none"/>
        </w:rPr>
      </w:pPr>
      <w:bookmarkStart w:id="33" w:name="OLE_LINK3"/>
      <w:r>
        <w:rPr>
          <w:rFonts w:hint="eastAsia" w:ascii="宋体" w:hAnsi="宋体"/>
          <w:color w:val="auto"/>
          <w:szCs w:val="21"/>
          <w:highlight w:val="none"/>
        </w:rPr>
        <w:t>本标项</w:t>
      </w:r>
      <w:r>
        <w:rPr>
          <w:rFonts w:ascii="宋体" w:hAnsi="宋体"/>
          <w:color w:val="auto"/>
          <w:szCs w:val="21"/>
          <w:highlight w:val="none"/>
        </w:rPr>
        <w:t>（否）</w:t>
      </w:r>
      <w:r>
        <w:rPr>
          <w:rFonts w:hint="eastAsia" w:ascii="宋体" w:hAnsi="宋体"/>
          <w:color w:val="auto"/>
          <w:szCs w:val="21"/>
          <w:highlight w:val="none"/>
        </w:rPr>
        <w:t>接受联合体竞标。</w:t>
      </w:r>
    </w:p>
    <w:bookmarkEnd w:id="33"/>
    <w:p w14:paraId="77D9C04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备注：无</w:t>
      </w:r>
    </w:p>
    <w:p w14:paraId="7422F85E">
      <w:pPr>
        <w:spacing w:line="360" w:lineRule="auto"/>
        <w:ind w:firstLine="482" w:firstLineChars="200"/>
        <w:rPr>
          <w:rFonts w:ascii="宋体" w:hAnsi="宋体" w:cs="宋体"/>
          <w:b/>
          <w:bCs/>
          <w:color w:val="auto"/>
          <w:sz w:val="24"/>
          <w:highlight w:val="none"/>
        </w:rPr>
      </w:pPr>
      <w:bookmarkStart w:id="34" w:name="_Toc28359090"/>
      <w:bookmarkStart w:id="35" w:name="_Toc35393799"/>
      <w:bookmarkStart w:id="36" w:name="_Toc28359013"/>
      <w:bookmarkStart w:id="37" w:name="_Toc35393630"/>
      <w:bookmarkStart w:id="38" w:name="_Toc44229879"/>
      <w:r>
        <w:rPr>
          <w:rFonts w:hint="eastAsia" w:ascii="宋体" w:hAnsi="宋体" w:cs="宋体"/>
          <w:b/>
          <w:bCs/>
          <w:color w:val="auto"/>
          <w:sz w:val="24"/>
          <w:highlight w:val="none"/>
        </w:rPr>
        <w:t>二、申请人的资格</w:t>
      </w:r>
      <w:bookmarkEnd w:id="34"/>
      <w:bookmarkEnd w:id="35"/>
      <w:bookmarkEnd w:id="36"/>
      <w:bookmarkEnd w:id="37"/>
      <w:bookmarkEnd w:id="38"/>
      <w:r>
        <w:rPr>
          <w:rFonts w:hint="eastAsia" w:ascii="宋体" w:hAnsi="宋体" w:cs="宋体"/>
          <w:b/>
          <w:bCs/>
          <w:color w:val="auto"/>
          <w:sz w:val="24"/>
          <w:highlight w:val="none"/>
        </w:rPr>
        <w:t>要求</w:t>
      </w:r>
    </w:p>
    <w:p w14:paraId="245F855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1.满足《中华人民共和国政府采购法》第二十二条规定；</w:t>
      </w:r>
    </w:p>
    <w:p w14:paraId="7AC2554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2.落实政府采购政策需满足的资格要求：</w:t>
      </w:r>
      <w:r>
        <w:rPr>
          <w:rFonts w:hint="eastAsia" w:ascii="宋体" w:hAnsi="宋体"/>
          <w:color w:val="auto"/>
          <w:szCs w:val="21"/>
          <w:highlight w:val="none"/>
          <w:lang w:val="en-US" w:eastAsia="zh-CN"/>
        </w:rPr>
        <w:t>本项目为专门面向中小企业采购的项目</w:t>
      </w:r>
      <w:r>
        <w:rPr>
          <w:rFonts w:hint="eastAsia" w:ascii="宋体" w:hAnsi="宋体"/>
          <w:color w:val="auto"/>
          <w:szCs w:val="21"/>
          <w:highlight w:val="none"/>
        </w:rPr>
        <w:t>；</w:t>
      </w:r>
    </w:p>
    <w:p w14:paraId="25A44A9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3.本项目的特定资格要求：无。</w:t>
      </w:r>
    </w:p>
    <w:p w14:paraId="15661040">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三、获取采购文件</w:t>
      </w:r>
    </w:p>
    <w:p w14:paraId="6E58965D">
      <w:pPr>
        <w:spacing w:line="360" w:lineRule="auto"/>
        <w:ind w:firstLine="420" w:firstLineChars="200"/>
        <w:rPr>
          <w:rFonts w:ascii="宋体" w:hAnsi="宋体" w:cs="宋体"/>
          <w:bCs/>
          <w:color w:val="auto"/>
          <w:kern w:val="0"/>
          <w:szCs w:val="21"/>
          <w:highlight w:val="none"/>
        </w:rPr>
      </w:pPr>
      <w:bookmarkStart w:id="39" w:name="_Toc28359005"/>
      <w:bookmarkStart w:id="40" w:name="_Toc35393793"/>
      <w:bookmarkStart w:id="41" w:name="_Toc28359082"/>
      <w:bookmarkStart w:id="42" w:name="_Toc35393624"/>
      <w:r>
        <w:rPr>
          <w:rFonts w:hint="eastAsia" w:ascii="宋体" w:hAnsi="宋体" w:cs="宋体"/>
          <w:bCs/>
          <w:color w:val="auto"/>
          <w:kern w:val="0"/>
          <w:szCs w:val="21"/>
          <w:highlight w:val="none"/>
        </w:rPr>
        <w:t>时间：</w:t>
      </w:r>
      <w:r>
        <w:rPr>
          <w:rFonts w:hint="eastAsia" w:ascii="宋体" w:hAnsi="宋体" w:cs="宋体"/>
          <w:bCs/>
          <w:color w:val="auto"/>
          <w:kern w:val="0"/>
          <w:szCs w:val="21"/>
          <w:highlight w:val="none"/>
          <w:lang w:eastAsia="zh-CN"/>
        </w:rPr>
        <w:t>2026年</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lang w:eastAsia="zh-CN"/>
        </w:rPr>
        <w:t>月</w:t>
      </w:r>
      <w:r>
        <w:rPr>
          <w:rFonts w:hint="eastAsia" w:ascii="宋体" w:hAnsi="宋体" w:cs="宋体"/>
          <w:bCs/>
          <w:color w:val="auto"/>
          <w:kern w:val="0"/>
          <w:szCs w:val="21"/>
          <w:highlight w:val="none"/>
          <w:lang w:val="en-US" w:eastAsia="zh-CN"/>
        </w:rPr>
        <w:t>18</w:t>
      </w:r>
      <w:r>
        <w:rPr>
          <w:rFonts w:hint="eastAsia" w:ascii="宋体" w:hAnsi="宋体" w:cs="宋体"/>
          <w:bCs/>
          <w:color w:val="auto"/>
          <w:kern w:val="0"/>
          <w:szCs w:val="21"/>
          <w:highlight w:val="none"/>
          <w:lang w:eastAsia="zh-CN"/>
        </w:rPr>
        <w:t>日</w:t>
      </w:r>
      <w:r>
        <w:rPr>
          <w:rFonts w:hint="eastAsia" w:ascii="宋体" w:hAnsi="宋体" w:cs="宋体"/>
          <w:bCs/>
          <w:color w:val="auto"/>
          <w:kern w:val="0"/>
          <w:szCs w:val="21"/>
          <w:highlight w:val="none"/>
        </w:rPr>
        <w:t>至</w:t>
      </w:r>
      <w:r>
        <w:rPr>
          <w:rFonts w:hint="eastAsia" w:ascii="宋体" w:hAnsi="宋体" w:cs="宋体"/>
          <w:bCs/>
          <w:color w:val="auto"/>
          <w:kern w:val="0"/>
          <w:szCs w:val="21"/>
          <w:highlight w:val="none"/>
          <w:lang w:eastAsia="zh-CN"/>
        </w:rPr>
        <w:t>2026年</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lang w:eastAsia="zh-CN"/>
        </w:rPr>
        <w:t>月</w:t>
      </w:r>
      <w:r>
        <w:rPr>
          <w:rFonts w:hint="eastAsia" w:ascii="宋体" w:hAnsi="宋体" w:cs="宋体"/>
          <w:bCs/>
          <w:color w:val="auto"/>
          <w:kern w:val="0"/>
          <w:szCs w:val="21"/>
          <w:highlight w:val="none"/>
          <w:lang w:val="en-US" w:eastAsia="zh-CN"/>
        </w:rPr>
        <w:t>26</w:t>
      </w:r>
      <w:r>
        <w:rPr>
          <w:rFonts w:hint="eastAsia" w:ascii="宋体" w:hAnsi="宋体" w:cs="宋体"/>
          <w:bCs/>
          <w:color w:val="auto"/>
          <w:kern w:val="0"/>
          <w:szCs w:val="21"/>
          <w:highlight w:val="none"/>
          <w:lang w:eastAsia="zh-CN"/>
        </w:rPr>
        <w:t>日</w:t>
      </w:r>
      <w:r>
        <w:rPr>
          <w:rFonts w:hint="eastAsia" w:ascii="宋体" w:hAnsi="宋体" w:cs="宋体"/>
          <w:bCs/>
          <w:color w:val="auto"/>
          <w:kern w:val="0"/>
          <w:szCs w:val="21"/>
          <w:highlight w:val="none"/>
        </w:rPr>
        <w:t>，每天上午00:00至11:59，下午12:00至23:59（北京时间，法定节假日除外）；</w:t>
      </w:r>
    </w:p>
    <w:p w14:paraId="7DDAB179">
      <w:pPr>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地点（网址）：</w:t>
      </w:r>
      <w:r>
        <w:rPr>
          <w:rFonts w:hint="eastAsia" w:ascii="宋体" w:hAnsi="宋体" w:cs="宋体"/>
          <w:color w:val="auto"/>
          <w:szCs w:val="21"/>
          <w:highlight w:val="none"/>
        </w:rPr>
        <w:t>广西政府采购云平台（https://www.gcy.zfcg.gxzf.gov.cn/）</w:t>
      </w:r>
    </w:p>
    <w:p w14:paraId="76EA9301">
      <w:pPr>
        <w:pStyle w:val="13"/>
        <w:spacing w:line="360" w:lineRule="auto"/>
        <w:rPr>
          <w:rFonts w:ascii="宋体" w:hAnsi="宋体" w:cs="宋体"/>
          <w:b/>
          <w:bCs/>
          <w:color w:val="auto"/>
          <w:sz w:val="24"/>
          <w:highlight w:val="none"/>
        </w:rPr>
      </w:pPr>
      <w:r>
        <w:rPr>
          <w:rFonts w:hint="eastAsia" w:ascii="宋体" w:hAnsi="宋体" w:cs="宋体"/>
          <w:color w:val="auto"/>
          <w:szCs w:val="21"/>
          <w:highlight w:val="none"/>
        </w:rPr>
        <w:t>　　方式：网上下载。本项目不发放纸质采购文件，潜在供应商可自行在广西政府采购云平台（https://www.gcy.zfcg.gxzf.gov.cn/）下载采购文件（操作路径：登录广西政府采购云平台-项目采购-获取采购文件-找到本项目-点击“申请获取采购文件”），电子响应文件制作需要基于广西政府采购云平台获取的采购文件编制。</w:t>
      </w:r>
    </w:p>
    <w:p w14:paraId="0B3910BC">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售价（元）：0</w:t>
      </w:r>
    </w:p>
    <w:p w14:paraId="50D672A5">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四、</w:t>
      </w:r>
      <w:bookmarkEnd w:id="39"/>
      <w:bookmarkEnd w:id="40"/>
      <w:bookmarkEnd w:id="41"/>
      <w:bookmarkEnd w:id="42"/>
      <w:r>
        <w:rPr>
          <w:rFonts w:hint="eastAsia" w:ascii="宋体" w:hAnsi="宋体" w:cs="宋体"/>
          <w:b/>
          <w:bCs/>
          <w:color w:val="auto"/>
          <w:sz w:val="24"/>
          <w:highlight w:val="none"/>
        </w:rPr>
        <w:t>响应文件提交</w:t>
      </w:r>
    </w:p>
    <w:p w14:paraId="2A033136">
      <w:pPr>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首次响应文件提交截止时间</w:t>
      </w:r>
      <w:r>
        <w:rPr>
          <w:rFonts w:hint="eastAsia" w:ascii="宋体" w:hAnsi="宋体" w:cs="宋体"/>
          <w:bCs/>
          <w:color w:val="auto"/>
          <w:szCs w:val="21"/>
          <w:highlight w:val="none"/>
        </w:rPr>
        <w:t>：</w:t>
      </w:r>
      <w:r>
        <w:rPr>
          <w:rFonts w:hint="eastAsia" w:ascii="宋体" w:hAnsi="宋体" w:cs="宋体"/>
          <w:bCs/>
          <w:color w:val="auto"/>
          <w:szCs w:val="21"/>
          <w:highlight w:val="none"/>
          <w:lang w:eastAsia="zh-CN"/>
        </w:rPr>
        <w:t>2026年</w:t>
      </w:r>
      <w:r>
        <w:rPr>
          <w:rFonts w:hint="eastAsia" w:ascii="宋体" w:hAnsi="宋体" w:cs="宋体"/>
          <w:bCs/>
          <w:color w:val="auto"/>
          <w:szCs w:val="21"/>
          <w:highlight w:val="none"/>
          <w:lang w:val="en-US" w:eastAsia="zh-CN"/>
        </w:rPr>
        <w:t>6</w:t>
      </w:r>
      <w:r>
        <w:rPr>
          <w:rFonts w:hint="eastAsia" w:ascii="宋体" w:hAnsi="宋体" w:cs="宋体"/>
          <w:bCs/>
          <w:color w:val="auto"/>
          <w:szCs w:val="21"/>
          <w:highlight w:val="none"/>
          <w:lang w:eastAsia="zh-CN"/>
        </w:rPr>
        <w:t>月</w:t>
      </w:r>
      <w:r>
        <w:rPr>
          <w:rFonts w:hint="eastAsia" w:ascii="宋体" w:hAnsi="宋体" w:cs="宋体"/>
          <w:bCs/>
          <w:color w:val="auto"/>
          <w:szCs w:val="21"/>
          <w:highlight w:val="none"/>
          <w:lang w:val="en-US" w:eastAsia="zh-CN"/>
        </w:rPr>
        <w:t>29</w:t>
      </w:r>
      <w:r>
        <w:rPr>
          <w:rFonts w:hint="eastAsia" w:ascii="宋体" w:hAnsi="宋体" w:cs="宋体"/>
          <w:bCs/>
          <w:color w:val="auto"/>
          <w:szCs w:val="21"/>
          <w:highlight w:val="none"/>
          <w:lang w:eastAsia="zh-CN"/>
        </w:rPr>
        <w:t>日09:00:00</w:t>
      </w:r>
      <w:r>
        <w:rPr>
          <w:rFonts w:hint="eastAsia" w:ascii="宋体" w:hAnsi="宋体" w:cs="宋体"/>
          <w:bCs/>
          <w:color w:val="auto"/>
          <w:szCs w:val="21"/>
          <w:highlight w:val="none"/>
        </w:rPr>
        <w:t>（北京时间）</w:t>
      </w:r>
    </w:p>
    <w:p w14:paraId="2D701E9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首次响应文件提交地点：广西政府采购云平台（https://www.gcy.zfcg.gxzf.gov.cn/）</w:t>
      </w:r>
    </w:p>
    <w:p w14:paraId="32A335B3">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五、开启（首次响应文件开启时间）</w:t>
      </w:r>
    </w:p>
    <w:p w14:paraId="42CDC597">
      <w:pPr>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时间：</w:t>
      </w:r>
      <w:r>
        <w:rPr>
          <w:rFonts w:hint="eastAsia" w:ascii="宋体" w:hAnsi="宋体" w:cs="宋体"/>
          <w:color w:val="auto"/>
          <w:szCs w:val="21"/>
          <w:highlight w:val="none"/>
          <w:lang w:eastAsia="zh-CN"/>
        </w:rPr>
        <w:t>2026年</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月</w:t>
      </w:r>
      <w:r>
        <w:rPr>
          <w:rFonts w:hint="eastAsia" w:ascii="宋体" w:hAnsi="宋体" w:cs="宋体"/>
          <w:color w:val="auto"/>
          <w:szCs w:val="21"/>
          <w:highlight w:val="none"/>
          <w:lang w:val="en-US" w:eastAsia="zh-CN"/>
        </w:rPr>
        <w:t>29</w:t>
      </w:r>
      <w:r>
        <w:rPr>
          <w:rFonts w:hint="eastAsia" w:ascii="宋体" w:hAnsi="宋体" w:cs="宋体"/>
          <w:color w:val="auto"/>
          <w:szCs w:val="21"/>
          <w:highlight w:val="none"/>
          <w:lang w:eastAsia="zh-CN"/>
        </w:rPr>
        <w:t>日09:00:00</w:t>
      </w:r>
      <w:r>
        <w:rPr>
          <w:rFonts w:hint="eastAsia" w:ascii="宋体" w:hAnsi="宋体" w:cs="宋体"/>
          <w:bCs/>
          <w:color w:val="auto"/>
          <w:szCs w:val="21"/>
          <w:highlight w:val="none"/>
        </w:rPr>
        <w:t>（北京时间）</w:t>
      </w:r>
      <w:r>
        <w:rPr>
          <w:rFonts w:hint="eastAsia" w:ascii="宋体" w:hAnsi="宋体" w:cs="宋体"/>
          <w:color w:val="auto"/>
          <w:szCs w:val="21"/>
          <w:highlight w:val="none"/>
        </w:rPr>
        <w:t>后</w:t>
      </w:r>
    </w:p>
    <w:p w14:paraId="35750EEB">
      <w:pPr>
        <w:spacing w:line="360" w:lineRule="auto"/>
        <w:ind w:firstLine="420" w:firstLineChars="200"/>
        <w:rPr>
          <w:rFonts w:ascii="宋体" w:hAnsi="宋体" w:cs="宋体"/>
          <w:bCs/>
          <w:color w:val="auto"/>
          <w:szCs w:val="21"/>
          <w:highlight w:val="none"/>
          <w:u w:val="single"/>
        </w:rPr>
      </w:pPr>
      <w:r>
        <w:rPr>
          <w:rFonts w:hint="eastAsia" w:ascii="宋体" w:hAnsi="宋体" w:cs="宋体"/>
          <w:color w:val="auto"/>
          <w:szCs w:val="21"/>
          <w:highlight w:val="none"/>
        </w:rPr>
        <w:t>地点：广西政府采购云平台电子开标大厅</w:t>
      </w:r>
    </w:p>
    <w:p w14:paraId="58C84FE1">
      <w:pPr>
        <w:spacing w:line="360" w:lineRule="auto"/>
        <w:ind w:firstLine="482" w:firstLineChars="200"/>
        <w:rPr>
          <w:rFonts w:ascii="宋体" w:hAnsi="宋体" w:cs="宋体"/>
          <w:b/>
          <w:bCs/>
          <w:color w:val="auto"/>
          <w:sz w:val="24"/>
          <w:highlight w:val="none"/>
        </w:rPr>
      </w:pPr>
      <w:bookmarkStart w:id="43" w:name="_Toc28359084"/>
      <w:bookmarkStart w:id="44" w:name="_Toc35393794"/>
      <w:bookmarkStart w:id="45" w:name="_Toc28359007"/>
      <w:bookmarkStart w:id="46" w:name="_Toc35393625"/>
      <w:r>
        <w:rPr>
          <w:rFonts w:hint="eastAsia" w:ascii="宋体" w:hAnsi="宋体" w:cs="宋体"/>
          <w:b/>
          <w:bCs/>
          <w:color w:val="auto"/>
          <w:sz w:val="24"/>
          <w:highlight w:val="none"/>
        </w:rPr>
        <w:t>六、公告期限</w:t>
      </w:r>
      <w:bookmarkEnd w:id="43"/>
      <w:bookmarkEnd w:id="44"/>
      <w:bookmarkEnd w:id="45"/>
      <w:bookmarkEnd w:id="46"/>
    </w:p>
    <w:p w14:paraId="2BB6003E">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38AADDD2">
      <w:pPr>
        <w:spacing w:line="360" w:lineRule="auto"/>
        <w:ind w:firstLine="482" w:firstLineChars="200"/>
        <w:rPr>
          <w:rFonts w:ascii="宋体" w:hAnsi="宋体" w:cs="宋体"/>
          <w:b/>
          <w:bCs/>
          <w:color w:val="auto"/>
          <w:sz w:val="24"/>
          <w:highlight w:val="none"/>
        </w:rPr>
      </w:pPr>
      <w:bookmarkStart w:id="47" w:name="_Toc35393795"/>
      <w:bookmarkStart w:id="48" w:name="_Toc35393626"/>
      <w:r>
        <w:rPr>
          <w:rFonts w:hint="eastAsia" w:ascii="宋体" w:hAnsi="宋体" w:cs="宋体"/>
          <w:b/>
          <w:bCs/>
          <w:color w:val="auto"/>
          <w:sz w:val="24"/>
          <w:highlight w:val="none"/>
        </w:rPr>
        <w:t>七、其他补充事宜</w:t>
      </w:r>
      <w:bookmarkEnd w:id="47"/>
      <w:bookmarkEnd w:id="48"/>
    </w:p>
    <w:p w14:paraId="7A43EC66">
      <w:pPr>
        <w:spacing w:line="360" w:lineRule="auto"/>
        <w:ind w:firstLine="420" w:firstLineChars="200"/>
        <w:rPr>
          <w:rFonts w:ascii="宋体" w:hAnsi="宋体" w:cs="宋体"/>
          <w:color w:val="auto"/>
          <w:kern w:val="0"/>
          <w:szCs w:val="21"/>
          <w:highlight w:val="none"/>
        </w:rPr>
      </w:pPr>
      <w:bookmarkStart w:id="49" w:name="_Hlk37429585"/>
      <w:r>
        <w:rPr>
          <w:rFonts w:hint="eastAsia" w:ascii="宋体" w:hAnsi="宋体" w:cs="宋体"/>
          <w:color w:val="auto"/>
          <w:kern w:val="0"/>
          <w:szCs w:val="21"/>
          <w:highlight w:val="none"/>
        </w:rPr>
        <w:t>1.磋商保证金：</w:t>
      </w:r>
    </w:p>
    <w:p w14:paraId="4B717DF2">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磋商保证金金额：¥</w:t>
      </w:r>
      <w:r>
        <w:rPr>
          <w:rFonts w:hint="eastAsia" w:ascii="宋体" w:hAnsi="宋体" w:cs="宋体"/>
          <w:color w:val="auto"/>
          <w:kern w:val="0"/>
          <w:szCs w:val="21"/>
          <w:highlight w:val="none"/>
          <w:lang w:val="en-US" w:eastAsia="zh-CN"/>
        </w:rPr>
        <w:t>10000</w:t>
      </w:r>
      <w:r>
        <w:rPr>
          <w:rFonts w:hint="eastAsia" w:ascii="宋体" w:hAnsi="宋体" w:cs="宋体"/>
          <w:color w:val="auto"/>
          <w:kern w:val="0"/>
          <w:szCs w:val="21"/>
          <w:highlight w:val="none"/>
        </w:rPr>
        <w:t>.00元</w:t>
      </w:r>
    </w:p>
    <w:p w14:paraId="28799AC9">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磋商保证金的缴纳方式：银行转账、支票、汇票、本票或者金融机构、担保机构出具的保函等非现金形式提交。采用银行转账方式的，在首次响应文件提交截止时间前交至采购代理机构指定账户并且到账；缴纳磋商保证金指定账户的信息：</w:t>
      </w:r>
    </w:p>
    <w:p w14:paraId="393A478F">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开户名称：广西科联招标中心有限公司</w:t>
      </w:r>
    </w:p>
    <w:p w14:paraId="77CCEF82">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开户银行：招商银行南宁市金浦路支行</w:t>
      </w:r>
    </w:p>
    <w:p w14:paraId="7778F041">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银行账号：7719011969103330000000627</w:t>
      </w:r>
    </w:p>
    <w:p w14:paraId="47369FB9">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开户行行号：308611000112</w:t>
      </w:r>
    </w:p>
    <w:p w14:paraId="3BA3AD58">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采用支票、汇票、本票或者保函等方式的，供应商必须在首次响应文件提交截止时间前将支票、汇票、本票或者金融机构、担保机构出具的保函（电子保函除外）等原件提交给采购代理机构。否则视为无效磋商保证金。</w:t>
      </w:r>
    </w:p>
    <w:p w14:paraId="06D0FFC1">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bookmarkStart w:id="50" w:name="_Hlk37429595"/>
      <w:r>
        <w:rPr>
          <w:rFonts w:hint="eastAsia" w:ascii="宋体" w:hAnsi="宋体" w:cs="宋体"/>
          <w:color w:val="auto"/>
          <w:kern w:val="0"/>
          <w:szCs w:val="21"/>
          <w:highlight w:val="none"/>
        </w:rPr>
        <w:t>网上查询地址</w:t>
      </w:r>
    </w:p>
    <w:bookmarkEnd w:id="49"/>
    <w:bookmarkEnd w:id="50"/>
    <w:p w14:paraId="65E5CDF3">
      <w:pPr>
        <w:spacing w:line="360" w:lineRule="auto"/>
        <w:ind w:firstLine="420" w:firstLineChars="200"/>
        <w:rPr>
          <w:rFonts w:ascii="宋体" w:hAnsi="宋体" w:cs="宋体"/>
          <w:color w:val="auto"/>
          <w:kern w:val="0"/>
          <w:szCs w:val="21"/>
          <w:highlight w:val="none"/>
        </w:rPr>
      </w:pPr>
      <w:bookmarkStart w:id="51" w:name="_Hlk37429674"/>
      <w:r>
        <w:rPr>
          <w:rFonts w:hint="eastAsia" w:ascii="宋体" w:hAnsi="宋体" w:cs="宋体"/>
          <w:color w:val="auto"/>
          <w:kern w:val="0"/>
          <w:szCs w:val="21"/>
          <w:highlight w:val="none"/>
        </w:rPr>
        <w:t>http://www.ccgp-guangxi.gov.cn/（中国政府采购网广西分网）</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推送http://www.ccgp.gov.cn/（中国政府采购网）</w:t>
      </w:r>
      <w:r>
        <w:rPr>
          <w:rFonts w:hint="eastAsia" w:ascii="宋体" w:hAnsi="宋体" w:cs="宋体"/>
          <w:color w:val="auto"/>
          <w:kern w:val="0"/>
          <w:szCs w:val="21"/>
          <w:highlight w:val="none"/>
        </w:rPr>
        <w:t>。</w:t>
      </w:r>
    </w:p>
    <w:bookmarkEnd w:id="51"/>
    <w:p w14:paraId="57255E05">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 本项目需要落实的政府采购政策</w:t>
      </w:r>
    </w:p>
    <w:p w14:paraId="5A0DB849">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14FE2186">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14:paraId="46792121">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（3）强制采购节能产品；优先采购节能产品、环境标志产品。</w:t>
      </w:r>
    </w:p>
    <w:p w14:paraId="0250D8ED">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（4）政府采购促进残疾人就业政策。</w:t>
      </w:r>
    </w:p>
    <w:p w14:paraId="3F75E184">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（5）政府采购支持监狱企业发展。</w:t>
      </w:r>
    </w:p>
    <w:p w14:paraId="3F91C4D8">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（6）在政府采购中实施本国产品标准及相关政策。</w:t>
      </w:r>
    </w:p>
    <w:p w14:paraId="6A661700">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C570DEA">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5.对在“信用中国”网站(www.creditchina.gov.cn)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45B37ECC">
      <w:pPr>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6.在线竞标的有关说明：</w:t>
      </w:r>
    </w:p>
    <w:p w14:paraId="5DDEF48A">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响应文件提交方式：本项目为全流程电子化项目，通过广西政府采购云平台（https://www.gcy.zfcg.gxzf.gov.cn/）实行在线电子响应，供应商应先安装广西政府采购云平台新版客户端（新版客户端下载路径：广西政府采购网（访问地址http://zfcg.gxzf.gov.cn/）—办事指南—下载专区），并按照本项目采购文件和广西政府采购云平台的要求编制、加密后在响应文件提交截止时间前通过网络上传至广西政府采购云平台，供应商在广西政府采购云平台提交电子版响应文件时，请填写参加远程开标活动经办人联系方式。</w:t>
      </w:r>
    </w:p>
    <w:p w14:paraId="31C7C3A1">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未进行网上注册并办理数字证书（CA认证）的供应商将无法参与本项目政府采购活动，潜在供应商应当在首次响应文件提交截止时间前，完成电子交易平台上的CA数字证书办理及响应文件的提交。（3）为确保网上操作合法、有效和安全，请供应商确保在电子响应过程中能够对相关数据电文进行加密和使用电子签章，妥善保管CA数字证书并使用有效的CA数字证书参与整个采购活动。</w:t>
      </w:r>
    </w:p>
    <w:p w14:paraId="134922A2">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注：供应商应当在首次响应文件提交截止时间前完成电子响应文件的上传、提交，响应文件提交截止时间前可以补充、修改或者撤回响应文件。补充或者修改响应文件的，应当先行撤回原文件，补充、修改后重新上传、提交。响应文件提交截止时间前未完成上传、提交的，视为撤回响应文件。响应文件提交截止时间以后上传提交的响应文件，广西政府采购云平台将予以拒收。</w:t>
      </w:r>
    </w:p>
    <w:p w14:paraId="4B13EFC3">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（4）CA证书在线解密：首次响应文件开启时，需要供应商携带制作响应文件时用来加密的有效数字证书（CA认证）登录广西政府采购云平台电子开标大厅现场按规定时间对加密的响应文件进行解密。</w:t>
      </w:r>
    </w:p>
    <w:p w14:paraId="5FD3EF59">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（5）供应商需要在具备有摄像头及语音功能且互联网网络状况良好的电脑登录广西政府采购云平台远程开标大厅参与本次磋商，否则后果自负。</w:t>
      </w:r>
    </w:p>
    <w:p w14:paraId="28A72099">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7. 若对项目采购电子交易系统操作有疑问，可登录广西政府采购云平台（https://www.gcy.zfcg.gxzf.gov.cn/），点击右侧咨询小采，获取采小蜜智能服务管家帮助，或拨打广西政府采购云平台服务热线95763获取热线服务帮助。 </w:t>
      </w:r>
    </w:p>
    <w:p w14:paraId="7217ACDB">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8.银行、保险、石油石化、电力、电信等有行业特殊情况的，法人的分支机构经法人授权后可以分支机构的身份参加政府采购。如供应商为分支机构的，必须在响应文件中同时提供经法人授权供应商以分支机构名义参加竞标的授权委托书、法人营业执照及分支机构营业执照的复印件。</w:t>
      </w:r>
    </w:p>
    <w:p w14:paraId="4023F6F3">
      <w:pPr>
        <w:spacing w:line="360" w:lineRule="auto"/>
        <w:ind w:firstLine="482" w:firstLineChars="200"/>
        <w:rPr>
          <w:rFonts w:ascii="黑体" w:hAnsi="黑体" w:eastAsia="黑体" w:cs="宋体"/>
          <w:bCs/>
          <w:color w:val="auto"/>
          <w:sz w:val="24"/>
          <w:highlight w:val="none"/>
        </w:rPr>
      </w:pPr>
      <w:r>
        <w:rPr>
          <w:rFonts w:hint="eastAsia" w:ascii="黑体" w:hAnsi="黑体" w:eastAsia="黑体" w:cs="宋体"/>
          <w:b/>
          <w:color w:val="auto"/>
          <w:kern w:val="44"/>
          <w:sz w:val="24"/>
          <w:highlight w:val="none"/>
        </w:rPr>
        <w:t>八、凡对本次采购提出询问，请按</w:t>
      </w:r>
      <w:r>
        <w:rPr>
          <w:rFonts w:ascii="黑体" w:hAnsi="黑体" w:eastAsia="黑体" w:cs="宋体"/>
          <w:b/>
          <w:color w:val="auto"/>
          <w:kern w:val="44"/>
          <w:sz w:val="24"/>
          <w:highlight w:val="none"/>
        </w:rPr>
        <w:t>以下方式</w:t>
      </w:r>
      <w:r>
        <w:rPr>
          <w:rFonts w:hint="eastAsia" w:ascii="黑体" w:hAnsi="黑体" w:eastAsia="黑体" w:cs="宋体"/>
          <w:b/>
          <w:color w:val="auto"/>
          <w:kern w:val="44"/>
          <w:sz w:val="24"/>
          <w:highlight w:val="none"/>
        </w:rPr>
        <w:t>联系。</w:t>
      </w:r>
    </w:p>
    <w:p w14:paraId="59FE363E">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1.采购人信息</w:t>
      </w:r>
    </w:p>
    <w:p w14:paraId="5B3712B0">
      <w:pPr>
        <w:spacing w:line="360" w:lineRule="auto"/>
        <w:ind w:firstLine="630" w:firstLineChars="30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名称：</w:t>
      </w:r>
      <w:r>
        <w:rPr>
          <w:rFonts w:hint="eastAsia" w:ascii="宋体" w:hAnsi="宋体" w:cs="宋体"/>
          <w:color w:val="auto"/>
          <w:kern w:val="0"/>
          <w:szCs w:val="21"/>
          <w:highlight w:val="none"/>
          <w:lang w:eastAsia="zh-CN"/>
        </w:rPr>
        <w:t xml:space="preserve">广西信访信息中心 </w:t>
      </w:r>
    </w:p>
    <w:p w14:paraId="30F9EF28">
      <w:pPr>
        <w:spacing w:line="360" w:lineRule="auto"/>
        <w:ind w:firstLine="630" w:firstLineChars="30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地址：</w:t>
      </w:r>
      <w:r>
        <w:rPr>
          <w:rFonts w:hint="eastAsia" w:ascii="宋体" w:hAnsi="宋体" w:cs="宋体"/>
          <w:color w:val="auto"/>
          <w:kern w:val="0"/>
          <w:szCs w:val="21"/>
          <w:highlight w:val="none"/>
          <w:lang w:eastAsia="zh-CN"/>
        </w:rPr>
        <w:t>南宁市青秀区七星路133号</w:t>
      </w:r>
    </w:p>
    <w:p w14:paraId="6C4DE886">
      <w:pPr>
        <w:spacing w:line="360" w:lineRule="auto"/>
        <w:ind w:firstLine="630" w:firstLineChars="300"/>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项目联系人：农</w:t>
      </w:r>
      <w:r>
        <w:rPr>
          <w:rFonts w:hint="eastAsia" w:ascii="宋体" w:hAnsi="宋体" w:cs="宋体"/>
          <w:color w:val="auto"/>
          <w:kern w:val="0"/>
          <w:szCs w:val="21"/>
          <w:highlight w:val="none"/>
          <w:lang w:val="en-US" w:eastAsia="zh-CN"/>
        </w:rPr>
        <w:t>郁青</w:t>
      </w:r>
    </w:p>
    <w:p w14:paraId="04FA0313">
      <w:pPr>
        <w:spacing w:line="360" w:lineRule="auto"/>
        <w:ind w:firstLine="630" w:firstLineChars="300"/>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项目联系方式：</w:t>
      </w:r>
      <w:r>
        <w:rPr>
          <w:rFonts w:hint="eastAsia" w:ascii="宋体" w:hAnsi="宋体" w:cs="宋体"/>
          <w:color w:val="auto"/>
          <w:kern w:val="0"/>
          <w:szCs w:val="21"/>
          <w:highlight w:val="none"/>
          <w:lang w:eastAsia="zh-CN"/>
        </w:rPr>
        <w:t xml:space="preserve">0771-5896192 </w:t>
      </w:r>
    </w:p>
    <w:p w14:paraId="0CA087C7">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2.采购代理机构信息</w:t>
      </w:r>
    </w:p>
    <w:p w14:paraId="6D08B5F9">
      <w:pPr>
        <w:spacing w:line="360" w:lineRule="auto"/>
        <w:ind w:firstLine="630" w:firstLineChars="300"/>
        <w:rPr>
          <w:rFonts w:ascii="宋体" w:hAnsi="宋体" w:cs="宋体"/>
          <w:color w:val="auto"/>
          <w:kern w:val="0"/>
          <w:szCs w:val="21"/>
          <w:highlight w:val="none"/>
        </w:rPr>
      </w:pPr>
      <w:r>
        <w:rPr>
          <w:rFonts w:hint="eastAsia" w:ascii="宋体" w:hAnsi="宋体" w:cs="宋体"/>
          <w:color w:val="auto"/>
          <w:kern w:val="0"/>
          <w:szCs w:val="21"/>
          <w:highlight w:val="none"/>
        </w:rPr>
        <w:t>名称：</w:t>
      </w:r>
      <w:bookmarkStart w:id="52" w:name="PO_3000001866_PM031_1"/>
      <w:r>
        <w:rPr>
          <w:rFonts w:hint="eastAsia" w:ascii="宋体" w:hAnsi="宋体" w:cs="宋体"/>
          <w:color w:val="auto"/>
          <w:kern w:val="0"/>
          <w:szCs w:val="21"/>
          <w:highlight w:val="none"/>
        </w:rPr>
        <w:t>广西科联招标中心有限公司</w:t>
      </w:r>
      <w:bookmarkEnd w:id="52"/>
    </w:p>
    <w:p w14:paraId="51FB7AF3">
      <w:pPr>
        <w:spacing w:line="360" w:lineRule="auto"/>
        <w:ind w:firstLine="630" w:firstLineChars="300"/>
        <w:rPr>
          <w:rFonts w:ascii="宋体" w:hAnsi="宋体" w:cs="宋体"/>
          <w:color w:val="auto"/>
          <w:kern w:val="0"/>
          <w:szCs w:val="21"/>
          <w:highlight w:val="none"/>
        </w:rPr>
      </w:pPr>
      <w:r>
        <w:rPr>
          <w:rFonts w:hint="eastAsia" w:ascii="宋体" w:hAnsi="宋体" w:cs="宋体"/>
          <w:color w:val="auto"/>
          <w:kern w:val="0"/>
          <w:szCs w:val="21"/>
          <w:highlight w:val="none"/>
        </w:rPr>
        <w:t>地址：</w:t>
      </w:r>
      <w:bookmarkStart w:id="53" w:name="PO_3000001866_PM035_1"/>
      <w:r>
        <w:rPr>
          <w:rFonts w:hint="eastAsia" w:ascii="宋体" w:hAnsi="宋体" w:cs="宋体"/>
          <w:color w:val="auto"/>
          <w:kern w:val="0"/>
          <w:szCs w:val="21"/>
          <w:highlight w:val="none"/>
        </w:rPr>
        <w:t>广西南宁市大学东路170号</w:t>
      </w:r>
      <w:bookmarkEnd w:id="53"/>
    </w:p>
    <w:p w14:paraId="49A03EDF">
      <w:pPr>
        <w:spacing w:line="360" w:lineRule="auto"/>
        <w:ind w:firstLine="630" w:firstLineChars="30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项目联系人：</w:t>
      </w:r>
      <w:r>
        <w:rPr>
          <w:rFonts w:hint="eastAsia" w:ascii="宋体" w:hAnsi="宋体" w:cs="宋体"/>
          <w:color w:val="auto"/>
          <w:kern w:val="0"/>
          <w:szCs w:val="21"/>
          <w:highlight w:val="none"/>
          <w:lang w:val="en-US" w:eastAsia="zh-CN"/>
        </w:rPr>
        <w:t>欧明聪</w:t>
      </w:r>
    </w:p>
    <w:p w14:paraId="788F7FC2">
      <w:pPr>
        <w:spacing w:line="360" w:lineRule="auto"/>
        <w:ind w:firstLine="630" w:firstLineChars="300"/>
        <w:rPr>
          <w:rFonts w:hint="default" w:eastAsia="宋体"/>
          <w:color w:val="auto"/>
          <w:sz w:val="32"/>
          <w:szCs w:val="32"/>
          <w:highlight w:val="none"/>
          <w:lang w:val="en-US" w:eastAsia="zh-CN"/>
        </w:rPr>
      </w:pPr>
      <w:r>
        <w:rPr>
          <w:rFonts w:hint="eastAsia" w:ascii="宋体" w:hAnsi="宋体" w:cs="宋体"/>
          <w:color w:val="auto"/>
          <w:kern w:val="0"/>
          <w:szCs w:val="21"/>
          <w:highlight w:val="none"/>
        </w:rPr>
        <w:t>项目联系方式：0771-</w:t>
      </w:r>
      <w:r>
        <w:rPr>
          <w:rFonts w:hint="eastAsia" w:ascii="宋体" w:hAnsi="宋体" w:cs="宋体"/>
          <w:color w:val="auto"/>
          <w:kern w:val="0"/>
          <w:szCs w:val="21"/>
          <w:highlight w:val="none"/>
          <w:lang w:val="en-US" w:eastAsia="zh-CN"/>
        </w:rPr>
        <w:t>3482237</w:t>
      </w:r>
    </w:p>
    <w:p w14:paraId="09C0E0AB">
      <w:pPr>
        <w:rPr>
          <w:rFonts w:ascii="Cambria" w:hAnsi="Cambria"/>
          <w:color w:val="auto"/>
          <w:sz w:val="32"/>
          <w:szCs w:val="32"/>
          <w:highlight w:val="none"/>
        </w:rPr>
      </w:pPr>
      <w:bookmarkStart w:id="54" w:name="_Toc25520"/>
      <w:bookmarkStart w:id="55" w:name="_Toc7184"/>
      <w:bookmarkStart w:id="56" w:name="_Toc11093"/>
      <w:bookmarkStart w:id="57" w:name="_Toc9127"/>
      <w:bookmarkStart w:id="58" w:name="_Toc80886926"/>
      <w:bookmarkStart w:id="59" w:name="_Toc26836"/>
      <w:bookmarkStart w:id="60" w:name="_Toc22325"/>
      <w:bookmarkStart w:id="61" w:name="_Toc22760"/>
      <w:r>
        <w:rPr>
          <w:rFonts w:hint="eastAsia" w:ascii="Cambria" w:hAnsi="Cambria"/>
          <w:color w:val="auto"/>
          <w:sz w:val="32"/>
          <w:szCs w:val="32"/>
          <w:highlight w:val="none"/>
        </w:rPr>
        <w:br w:type="page"/>
      </w:r>
    </w:p>
    <w:p w14:paraId="5C35BB88">
      <w:pPr>
        <w:pStyle w:val="2"/>
        <w:spacing w:before="100" w:after="90" w:line="240" w:lineRule="auto"/>
        <w:jc w:val="center"/>
        <w:rPr>
          <w:rFonts w:ascii="Cambria" w:hAnsi="Cambria"/>
          <w:bCs w:val="0"/>
          <w:color w:val="auto"/>
          <w:sz w:val="32"/>
          <w:szCs w:val="32"/>
          <w:highlight w:val="none"/>
        </w:rPr>
      </w:pPr>
      <w:bookmarkStart w:id="62" w:name="OLE_LINK6"/>
      <w:r>
        <w:rPr>
          <w:rFonts w:hint="eastAsia" w:ascii="Cambria" w:hAnsi="Cambria"/>
          <w:bCs w:val="0"/>
          <w:color w:val="auto"/>
          <w:sz w:val="32"/>
          <w:szCs w:val="32"/>
          <w:highlight w:val="none"/>
        </w:rPr>
        <w:t>第二章 采购需求</w:t>
      </w:r>
      <w:bookmarkEnd w:id="54"/>
      <w:bookmarkEnd w:id="55"/>
      <w:bookmarkEnd w:id="56"/>
      <w:bookmarkEnd w:id="57"/>
      <w:bookmarkEnd w:id="58"/>
      <w:bookmarkEnd w:id="59"/>
      <w:bookmarkEnd w:id="60"/>
    </w:p>
    <w:bookmarkEnd w:id="61"/>
    <w:bookmarkEnd w:id="62"/>
    <w:p w14:paraId="61CE1154">
      <w:pPr>
        <w:spacing w:line="450" w:lineRule="exact"/>
        <w:jc w:val="left"/>
        <w:rPr>
          <w:rFonts w:cs="宋体"/>
          <w:b/>
          <w:bCs/>
          <w:color w:val="auto"/>
          <w:szCs w:val="21"/>
          <w:highlight w:val="none"/>
        </w:rPr>
      </w:pPr>
      <w:r>
        <w:rPr>
          <w:rFonts w:hint="eastAsia" w:cs="宋体"/>
          <w:b/>
          <w:bCs/>
          <w:color w:val="auto"/>
          <w:szCs w:val="21"/>
          <w:highlight w:val="none"/>
        </w:rPr>
        <w:t>说明：</w:t>
      </w:r>
    </w:p>
    <w:p w14:paraId="6AAB492D">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highlight w:val="none"/>
        </w:rPr>
        <w:t>1. 为落实政府采购政策需满足的要求：</w:t>
      </w:r>
    </w:p>
    <w:p w14:paraId="687F2FDA">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（1）本竞争性磋商文件所称中小企业必须符合《政府采购促进中小企业发展管理办法》（财库〔2020〕46号）的规定。</w:t>
      </w:r>
    </w:p>
    <w:p w14:paraId="0D663D93">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详见本章</w:t>
      </w:r>
      <w:r>
        <w:rPr>
          <w:rFonts w:hint="eastAsia" w:ascii="宋体" w:hAnsi="宋体" w:eastAsia="宋体" w:cs="宋体"/>
          <w:color w:val="auto"/>
          <w:szCs w:val="21"/>
          <w:highlight w:val="none"/>
          <w:lang w:eastAsia="zh-CN"/>
        </w:rPr>
        <w:t>附件</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供应商必须在响应文件中提供所竞标产品有效期内的节能产品认证证书复印件（加盖供应商公章），否则响应文件</w:t>
      </w:r>
      <w:r>
        <w:rPr>
          <w:rFonts w:hint="eastAsia" w:ascii="宋体" w:hAnsi="宋体" w:eastAsia="宋体" w:cs="宋体"/>
          <w:b/>
          <w:bCs/>
          <w:color w:val="auto"/>
          <w:szCs w:val="21"/>
          <w:highlight w:val="none"/>
          <w:lang w:eastAsia="zh-CN"/>
        </w:rPr>
        <w:t>按无效</w:t>
      </w:r>
      <w:r>
        <w:rPr>
          <w:rFonts w:hint="eastAsia" w:ascii="宋体" w:hAnsi="宋体" w:eastAsia="宋体" w:cs="宋体"/>
          <w:b/>
          <w:bCs/>
          <w:color w:val="auto"/>
          <w:szCs w:val="21"/>
          <w:highlight w:val="none"/>
        </w:rPr>
        <w:t>处理</w:t>
      </w:r>
      <w:r>
        <w:rPr>
          <w:rFonts w:hint="eastAsia" w:ascii="宋体" w:hAnsi="宋体" w:eastAsia="宋体" w:cs="宋体"/>
          <w:color w:val="auto"/>
          <w:szCs w:val="21"/>
          <w:highlight w:val="none"/>
        </w:rPr>
        <w:t xml:space="preserve">。如本项目包含的配套货物属于品目清单内非标注“★”的产品时，应优先采购，具体详见“第四章 </w:t>
      </w:r>
      <w:r>
        <w:rPr>
          <w:rStyle w:val="40"/>
          <w:rFonts w:hint="eastAsia" w:ascii="宋体" w:hAnsi="宋体" w:eastAsia="宋体" w:cs="宋体"/>
          <w:color w:val="auto"/>
          <w:highlight w:val="none"/>
        </w:rPr>
        <w:t>评审程序、评审方法和评审标准</w:t>
      </w:r>
      <w:r>
        <w:rPr>
          <w:rFonts w:hint="eastAsia" w:ascii="宋体" w:hAnsi="宋体" w:eastAsia="宋体" w:cs="宋体"/>
          <w:color w:val="auto"/>
          <w:szCs w:val="21"/>
          <w:highlight w:val="none"/>
        </w:rPr>
        <w:t>”。</w:t>
      </w:r>
    </w:p>
    <w:p w14:paraId="2F6E2B70">
      <w:pPr>
        <w:spacing w:line="420" w:lineRule="exact"/>
        <w:ind w:firstLine="420" w:firstLineChars="200"/>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2.</w:t>
      </w:r>
      <w:r>
        <w:rPr>
          <w:rFonts w:hint="eastAsia" w:ascii="宋体" w:hAnsi="宋体" w:eastAsia="宋体" w:cs="宋体"/>
          <w:color w:val="auto"/>
          <w:sz w:val="21"/>
          <w:szCs w:val="21"/>
          <w:highlight w:val="none"/>
          <w:lang w:val="en-US"/>
        </w:rPr>
        <w:t xml:space="preserve"> </w:t>
      </w:r>
      <w:r>
        <w:rPr>
          <w:rFonts w:hint="eastAsia" w:ascii="宋体" w:hAnsi="宋体" w:eastAsia="宋体" w:cs="宋体"/>
          <w:b w:val="0"/>
          <w:bCs w:val="0"/>
          <w:color w:val="auto"/>
          <w:sz w:val="21"/>
          <w:szCs w:val="21"/>
          <w:highlight w:val="none"/>
          <w:lang w:val="en-US"/>
        </w:rPr>
        <w:t>采购需求中带“▲”的条款</w:t>
      </w:r>
      <w:r>
        <w:rPr>
          <w:rFonts w:hint="eastAsia" w:ascii="宋体" w:hAnsi="宋体" w:eastAsia="宋体" w:cs="宋体"/>
          <w:b w:val="0"/>
          <w:bCs w:val="0"/>
          <w:color w:val="auto"/>
          <w:sz w:val="21"/>
          <w:szCs w:val="21"/>
          <w:highlight w:val="none"/>
          <w:lang w:val="en-US" w:eastAsia="zh-CN"/>
        </w:rPr>
        <w:t>为实质性条款，不满足作</w:t>
      </w:r>
      <w:r>
        <w:rPr>
          <w:rFonts w:hint="eastAsia" w:ascii="宋体" w:hAnsi="宋体" w:eastAsia="宋体" w:cs="宋体"/>
          <w:b w:val="0"/>
          <w:bCs w:val="0"/>
          <w:color w:val="auto"/>
          <w:sz w:val="21"/>
          <w:szCs w:val="21"/>
          <w:highlight w:val="none"/>
          <w:lang w:val="en-US"/>
        </w:rPr>
        <w:t>无效响应处理。</w:t>
      </w:r>
    </w:p>
    <w:p w14:paraId="3DFE8095">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rPr>
        <w:t>3</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本</w:t>
      </w:r>
      <w:r>
        <w:rPr>
          <w:rFonts w:hint="eastAsia" w:ascii="宋体" w:hAnsi="宋体" w:eastAsia="宋体" w:cs="宋体"/>
          <w:color w:val="auto"/>
          <w:szCs w:val="21"/>
          <w:highlight w:val="none"/>
        </w:rPr>
        <w:t>服务项目中伴随货物的，采购需求中出现的品牌、型号或者</w:t>
      </w:r>
      <w:r>
        <w:rPr>
          <w:rFonts w:hint="eastAsia" w:ascii="宋体" w:hAnsi="宋体" w:eastAsia="宋体" w:cs="宋体"/>
          <w:color w:val="auto"/>
          <w:szCs w:val="21"/>
          <w:highlight w:val="none"/>
          <w:lang w:eastAsia="zh-CN"/>
        </w:rPr>
        <w:t>制造商</w:t>
      </w:r>
      <w:r>
        <w:rPr>
          <w:rFonts w:hint="eastAsia" w:ascii="宋体" w:hAnsi="宋体" w:eastAsia="宋体" w:cs="宋体"/>
          <w:color w:val="auto"/>
          <w:szCs w:val="21"/>
          <w:highlight w:val="none"/>
        </w:rPr>
        <w:t>仅起参考作用，不属于指定品牌、型号或者</w:t>
      </w:r>
      <w:r>
        <w:rPr>
          <w:rFonts w:hint="eastAsia" w:ascii="宋体" w:hAnsi="宋体" w:eastAsia="宋体" w:cs="宋体"/>
          <w:color w:val="auto"/>
          <w:szCs w:val="21"/>
          <w:highlight w:val="none"/>
          <w:lang w:eastAsia="zh-CN"/>
        </w:rPr>
        <w:t>制造商</w:t>
      </w:r>
      <w:r>
        <w:rPr>
          <w:rFonts w:hint="eastAsia" w:ascii="宋体" w:hAnsi="宋体" w:eastAsia="宋体" w:cs="宋体"/>
          <w:color w:val="auto"/>
          <w:szCs w:val="21"/>
          <w:highlight w:val="none"/>
        </w:rPr>
        <w:t>的情形。</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可参照或者选用其他相当的品牌、型号或者</w:t>
      </w:r>
      <w:r>
        <w:rPr>
          <w:rFonts w:hint="eastAsia" w:ascii="宋体" w:hAnsi="宋体" w:eastAsia="宋体" w:cs="宋体"/>
          <w:color w:val="auto"/>
          <w:szCs w:val="21"/>
          <w:highlight w:val="none"/>
          <w:lang w:eastAsia="zh-CN"/>
        </w:rPr>
        <w:t>制造商</w:t>
      </w:r>
      <w:r>
        <w:rPr>
          <w:rFonts w:hint="eastAsia" w:ascii="宋体" w:hAnsi="宋体" w:eastAsia="宋体" w:cs="宋体"/>
          <w:color w:val="auto"/>
          <w:szCs w:val="21"/>
          <w:highlight w:val="none"/>
        </w:rPr>
        <w:t>替代，但选用的</w:t>
      </w:r>
      <w:r>
        <w:rPr>
          <w:rFonts w:hint="eastAsia" w:ascii="宋体" w:hAnsi="宋体" w:eastAsia="宋体" w:cs="宋体"/>
          <w:color w:val="auto"/>
          <w:szCs w:val="21"/>
          <w:highlight w:val="none"/>
          <w:lang w:eastAsia="zh-CN"/>
        </w:rPr>
        <w:t>竞标</w:t>
      </w:r>
      <w:r>
        <w:rPr>
          <w:rFonts w:hint="eastAsia" w:ascii="宋体" w:hAnsi="宋体" w:eastAsia="宋体" w:cs="宋体"/>
          <w:color w:val="auto"/>
          <w:szCs w:val="21"/>
          <w:highlight w:val="none"/>
        </w:rPr>
        <w:t>产品</w:t>
      </w:r>
      <w:r>
        <w:rPr>
          <w:rFonts w:hint="eastAsia" w:ascii="宋体" w:hAnsi="宋体" w:eastAsia="宋体" w:cs="宋体"/>
          <w:color w:val="auto"/>
          <w:szCs w:val="21"/>
          <w:highlight w:val="none"/>
          <w:lang w:eastAsia="zh-CN"/>
        </w:rPr>
        <w:t>技术</w:t>
      </w:r>
      <w:r>
        <w:rPr>
          <w:rFonts w:hint="eastAsia" w:ascii="宋体" w:hAnsi="宋体" w:eastAsia="宋体" w:cs="宋体"/>
          <w:color w:val="auto"/>
          <w:szCs w:val="21"/>
          <w:highlight w:val="none"/>
        </w:rPr>
        <w:t>参数</w:t>
      </w:r>
      <w:r>
        <w:rPr>
          <w:rFonts w:hint="eastAsia" w:ascii="宋体" w:hAnsi="宋体" w:eastAsia="宋体" w:cs="宋体"/>
          <w:color w:val="auto"/>
          <w:szCs w:val="21"/>
          <w:highlight w:val="none"/>
          <w:lang w:eastAsia="zh-CN"/>
        </w:rPr>
        <w:t>及配置</w:t>
      </w:r>
      <w:r>
        <w:rPr>
          <w:rFonts w:hint="eastAsia" w:ascii="宋体" w:hAnsi="宋体" w:eastAsia="宋体" w:cs="宋体"/>
          <w:color w:val="auto"/>
          <w:szCs w:val="21"/>
          <w:highlight w:val="none"/>
        </w:rPr>
        <w:t>必须满足</w:t>
      </w: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要求。</w:t>
      </w:r>
    </w:p>
    <w:p w14:paraId="6C3D4344">
      <w:pPr>
        <w:spacing w:line="42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必须对</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中提供的证明材料和资质文件真实性负责，如出现虚假应标情况，</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除了应接受有关部门的处罚外，还应依据《中华人民共</w:t>
      </w:r>
      <w:r>
        <w:rPr>
          <w:rFonts w:hint="eastAsia" w:ascii="宋体" w:hAnsi="宋体" w:eastAsia="宋体" w:cs="宋体"/>
          <w:color w:val="auto"/>
          <w:szCs w:val="21"/>
          <w:highlight w:val="none"/>
        </w:rPr>
        <w:t>和国民法典》的相关条款来</w:t>
      </w:r>
      <w:r>
        <w:rPr>
          <w:rFonts w:hint="eastAsia" w:ascii="宋体" w:hAnsi="宋体" w:eastAsia="宋体" w:cs="宋体"/>
          <w:color w:val="auto"/>
          <w:szCs w:val="21"/>
          <w:highlight w:val="none"/>
          <w:lang w:eastAsia="zh-CN"/>
        </w:rPr>
        <w:t>进行</w:t>
      </w:r>
      <w:r>
        <w:rPr>
          <w:rFonts w:hint="eastAsia" w:ascii="宋体" w:hAnsi="宋体" w:eastAsia="宋体" w:cs="宋体"/>
          <w:color w:val="auto"/>
          <w:szCs w:val="21"/>
          <w:highlight w:val="none"/>
        </w:rPr>
        <w:t>赔偿。</w:t>
      </w:r>
    </w:p>
    <w:p w14:paraId="174732BF">
      <w:pPr>
        <w:widowControl w:val="0"/>
        <w:spacing w:line="420" w:lineRule="exact"/>
        <w:ind w:firstLine="420" w:firstLineChars="200"/>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5.</w:t>
      </w:r>
      <w:r>
        <w:rPr>
          <w:rFonts w:hint="eastAsia" w:ascii="宋体" w:hAnsi="宋体" w:eastAsia="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4"/>
          <w:highlight w:val="none"/>
          <w:lang w:val="en-US" w:eastAsia="zh-CN" w:bidi="ar-SA"/>
        </w:rPr>
        <w:t>应对竞标内容所涉及的专利承担法律责任，并负责保护采购人的利益不受任何损害。一切由于文字、商标、技术和软件专利授权引起的法律裁决、诉讼和赔偿费用均由成交</w:t>
      </w:r>
      <w:r>
        <w:rPr>
          <w:rFonts w:hint="eastAsia" w:ascii="宋体" w:hAnsi="宋体" w:eastAsia="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4"/>
          <w:highlight w:val="none"/>
          <w:lang w:val="en-US" w:eastAsia="zh-CN" w:bidi="ar-SA"/>
        </w:rPr>
        <w:t>负责。</w:t>
      </w:r>
    </w:p>
    <w:p w14:paraId="05F8AC3F">
      <w:pPr>
        <w:pStyle w:val="13"/>
        <w:spacing w:line="450" w:lineRule="exact"/>
        <w:ind w:firstLine="420" w:firstLineChars="200"/>
        <w:rPr>
          <w:rFonts w:ascii="宋体" w:hAnsi="宋体" w:cs="宋体"/>
          <w:i/>
          <w:iCs/>
          <w:color w:val="auto"/>
          <w:highlight w:val="none"/>
          <w:u w:val="single"/>
        </w:rPr>
      </w:pPr>
      <w:r>
        <w:rPr>
          <w:rFonts w:hint="eastAsia" w:ascii="宋体" w:hAnsi="宋体" w:eastAsia="宋体" w:cs="宋体"/>
          <w:color w:val="auto"/>
          <w:highlight w:val="none"/>
          <w:lang w:val="en-US" w:eastAsia="zh-CN"/>
        </w:rPr>
        <w:t>6.采购标的对应的中小企业划分标准所属行业名称：</w:t>
      </w:r>
      <w:r>
        <w:rPr>
          <w:rFonts w:hint="eastAsia" w:ascii="宋体" w:hAnsi="宋体" w:cs="宋体"/>
          <w:b/>
          <w:bCs/>
          <w:color w:val="auto"/>
          <w:szCs w:val="21"/>
          <w:highlight w:val="none"/>
          <w:u w:val="single"/>
        </w:rPr>
        <w:t>租赁和商务服务业。</w:t>
      </w:r>
    </w:p>
    <w:tbl>
      <w:tblPr>
        <w:tblStyle w:val="32"/>
        <w:tblW w:w="96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
        <w:gridCol w:w="434"/>
        <w:gridCol w:w="924"/>
        <w:gridCol w:w="317"/>
        <w:gridCol w:w="259"/>
        <w:gridCol w:w="7293"/>
      </w:tblGrid>
      <w:tr w14:paraId="707B7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650" w:type="dxa"/>
            <w:gridSpan w:val="6"/>
            <w:tcBorders>
              <w:top w:val="single" w:color="auto" w:sz="4" w:space="0"/>
              <w:left w:val="single" w:color="auto" w:sz="4" w:space="0"/>
              <w:bottom w:val="single" w:color="auto" w:sz="4" w:space="0"/>
              <w:right w:val="single" w:color="auto" w:sz="4" w:space="0"/>
            </w:tcBorders>
            <w:vAlign w:val="center"/>
          </w:tcPr>
          <w:p w14:paraId="79F031C0">
            <w:pPr>
              <w:spacing w:line="380" w:lineRule="exact"/>
              <w:jc w:val="left"/>
              <w:rPr>
                <w:rFonts w:ascii="宋体" w:hAnsi="宋体" w:cs="宋体"/>
                <w:color w:val="auto"/>
                <w:szCs w:val="21"/>
                <w:highlight w:val="none"/>
              </w:rPr>
            </w:pPr>
            <w:r>
              <w:rPr>
                <w:rFonts w:hint="eastAsia" w:ascii="宋体" w:hAnsi="宋体" w:cs="宋体"/>
                <w:b/>
                <w:bCs/>
                <w:color w:val="auto"/>
                <w:szCs w:val="21"/>
                <w:highlight w:val="none"/>
              </w:rPr>
              <w:t>分标：/</w:t>
            </w:r>
          </w:p>
        </w:tc>
      </w:tr>
      <w:tr w14:paraId="14082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3" w:type="dxa"/>
            <w:vMerge w:val="restart"/>
            <w:tcBorders>
              <w:top w:val="single" w:color="auto" w:sz="4" w:space="0"/>
            </w:tcBorders>
            <w:vAlign w:val="center"/>
          </w:tcPr>
          <w:p w14:paraId="056CF85C">
            <w:pPr>
              <w:spacing w:line="380" w:lineRule="exact"/>
              <w:jc w:val="center"/>
              <w:rPr>
                <w:rFonts w:ascii="宋体" w:hAnsi="宋体" w:cs="宋体"/>
                <w:b/>
                <w:bCs/>
                <w:color w:val="auto"/>
                <w:szCs w:val="21"/>
                <w:highlight w:val="none"/>
              </w:rPr>
            </w:pPr>
            <w:r>
              <w:rPr>
                <w:rFonts w:hint="eastAsia" w:ascii="宋体" w:hAnsi="宋体" w:cs="宋体"/>
                <w:b/>
                <w:bCs/>
                <w:color w:val="auto"/>
                <w:szCs w:val="21"/>
                <w:highlight w:val="none"/>
              </w:rPr>
              <w:t>需求一览表</w:t>
            </w:r>
          </w:p>
        </w:tc>
        <w:tc>
          <w:tcPr>
            <w:tcW w:w="434" w:type="dxa"/>
            <w:tcBorders>
              <w:top w:val="single" w:color="auto" w:sz="4" w:space="0"/>
            </w:tcBorders>
            <w:vAlign w:val="center"/>
          </w:tcPr>
          <w:p w14:paraId="2920CCD0">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924" w:type="dxa"/>
            <w:tcBorders>
              <w:top w:val="single" w:color="auto" w:sz="4" w:space="0"/>
            </w:tcBorders>
            <w:vAlign w:val="center"/>
          </w:tcPr>
          <w:p w14:paraId="37489891">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标的名称</w:t>
            </w:r>
          </w:p>
        </w:tc>
        <w:tc>
          <w:tcPr>
            <w:tcW w:w="576" w:type="dxa"/>
            <w:gridSpan w:val="2"/>
            <w:tcBorders>
              <w:top w:val="single" w:color="auto" w:sz="4" w:space="0"/>
            </w:tcBorders>
            <w:vAlign w:val="center"/>
          </w:tcPr>
          <w:p w14:paraId="1ED3DE8A">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数量及单位</w:t>
            </w:r>
          </w:p>
        </w:tc>
        <w:tc>
          <w:tcPr>
            <w:tcW w:w="7293" w:type="dxa"/>
            <w:tcBorders>
              <w:top w:val="single" w:color="auto" w:sz="4" w:space="0"/>
            </w:tcBorders>
            <w:vAlign w:val="center"/>
          </w:tcPr>
          <w:p w14:paraId="34BDCCDE">
            <w:pPr>
              <w:spacing w:line="38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技术</w:t>
            </w:r>
            <w:r>
              <w:rPr>
                <w:rFonts w:hint="eastAsia" w:ascii="宋体" w:hAnsi="宋体" w:cs="宋体"/>
                <w:color w:val="auto"/>
                <w:szCs w:val="21"/>
                <w:highlight w:val="none"/>
              </w:rPr>
              <w:t>服务要求</w:t>
            </w:r>
          </w:p>
        </w:tc>
      </w:tr>
      <w:tr w14:paraId="5F5E0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3" w:type="dxa"/>
            <w:vMerge w:val="continue"/>
            <w:vAlign w:val="center"/>
          </w:tcPr>
          <w:p w14:paraId="1C02BC42">
            <w:pPr>
              <w:spacing w:line="380" w:lineRule="exact"/>
              <w:jc w:val="center"/>
              <w:rPr>
                <w:rFonts w:ascii="宋体" w:hAnsi="宋体" w:cs="宋体"/>
                <w:color w:val="auto"/>
                <w:szCs w:val="21"/>
                <w:highlight w:val="none"/>
              </w:rPr>
            </w:pPr>
          </w:p>
        </w:tc>
        <w:tc>
          <w:tcPr>
            <w:tcW w:w="434" w:type="dxa"/>
            <w:vAlign w:val="center"/>
          </w:tcPr>
          <w:p w14:paraId="7E664642">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924" w:type="dxa"/>
            <w:vAlign w:val="center"/>
          </w:tcPr>
          <w:p w14:paraId="772027BB">
            <w:pPr>
              <w:snapToGrid w:val="0"/>
              <w:jc w:val="center"/>
              <w:outlineLvl w:val="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广西网上信访信息系统维护</w:t>
            </w:r>
          </w:p>
        </w:tc>
        <w:tc>
          <w:tcPr>
            <w:tcW w:w="576" w:type="dxa"/>
            <w:gridSpan w:val="2"/>
            <w:vAlign w:val="center"/>
          </w:tcPr>
          <w:p w14:paraId="4E3FE7A1">
            <w:pPr>
              <w:snapToGrid w:val="0"/>
              <w:jc w:val="center"/>
              <w:outlineLvl w:val="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1项</w:t>
            </w:r>
          </w:p>
        </w:tc>
        <w:tc>
          <w:tcPr>
            <w:tcW w:w="7293" w:type="dxa"/>
            <w:vAlign w:val="center"/>
          </w:tcPr>
          <w:p w14:paraId="793FD6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总体服务要求：</w:t>
            </w:r>
          </w:p>
          <w:p w14:paraId="5B89EA6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1.运维范围</w:t>
            </w:r>
          </w:p>
          <w:p w14:paraId="3C03F39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运维对象为广西网上信访信息管理系统，其中内容包括代码升级、系统培训、标准适配、数据交互、业务接口、数据统计、日常运维等各种内容。</w:t>
            </w:r>
          </w:p>
          <w:p w14:paraId="4E5ED42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▲1）代码升级：根据国家信访局及我区各级信访部门、责任部门的业务要求调整和变更要求，在现有系统基础上，进行代码的开发、编写、测试、重构和升级到系统，使得系统适应业务的要求迭代更新。</w:t>
            </w:r>
          </w:p>
          <w:p w14:paraId="4BF6C4E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2）系统培训：根据自治区、各地市、各厅级单位的要求提供现场或远程的系统使用培训，包括讲解年度的各种考核要点、考核规则以及使用流程等。</w:t>
            </w:r>
          </w:p>
          <w:p w14:paraId="50E6C33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▲3）标准适配：根据国家信访局、广西绩效考核部门的要求，完成系统的代码改造适配，使得系统满足各方的考核要求，并每天根据考核规则统计出对应的考核数据。</w:t>
            </w:r>
          </w:p>
          <w:p w14:paraId="7076A6C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数据交互系统维护：保障信访局信息系统的数据与国家信访局、公安厅、自治区人大、住建厅等各单位系统的数据交互稳定的进行，并根据国家信访局的交换标准进行交换系统的代码升级，保证系统正常无误的进行交换。</w:t>
            </w:r>
          </w:p>
          <w:p w14:paraId="653839D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业务接口：网上信访信息管理系统对外提供的接口，包括门户网站数据接口、微信公众号、APP及大数据平台、智能化系统等提供了业务接口，需要在原有现有业务接口基础上进行深入代码级维护，保证各系统之间接口的变更后能正常实现数据的互通。</w:t>
            </w:r>
          </w:p>
          <w:p w14:paraId="539A709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▲6）数据统计：根据自治区信访局各部门的统计要求及时的通过系统、后台数据库表格等方式和渠道，根据业务要求进行数据库表结构业务逻辑关系联合查询，导出满足各处室要求的数据。</w:t>
            </w:r>
          </w:p>
          <w:p w14:paraId="0FAA672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7）日常运维：包括日常系统保障维护、巡检、用户使用问题处理、问题收集等方面内容。</w:t>
            </w:r>
          </w:p>
          <w:p w14:paraId="443F255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2.运维方式、周期及要求</w:t>
            </w:r>
          </w:p>
          <w:p w14:paraId="21E19A9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1）运维方式：自治区信访局驻点运维，对全区提供电话、微信、QQ等方式提供运维，对自治区信访局用户提供面对面的方式服务。</w:t>
            </w:r>
          </w:p>
          <w:p w14:paraId="5EEC80F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2）运维周期：系统运维时间为该系统上一年运维期结束之日起1年。</w:t>
            </w:r>
          </w:p>
          <w:p w14:paraId="4A0E59E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3）运维要求</w:t>
            </w:r>
          </w:p>
          <w:p w14:paraId="09C0179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（1）现场驻点运维时间：工作日提供5*8小时（8:00-12:00、14:30-18:30）的现场运维；工作日18:30-次日8:30及节假日24小时提供电话或远程技术支持服务。</w:t>
            </w:r>
          </w:p>
          <w:p w14:paraId="7324AB5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（2）远程运维时间：7*24小时电话或远程技术支持服务。</w:t>
            </w:r>
          </w:p>
          <w:p w14:paraId="0771DE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3.运维服务团队要求</w:t>
            </w:r>
          </w:p>
          <w:p w14:paraId="7353DFF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为确保运维服务的及时性，成立专门的运维服务团队，应包含管理人员、高级开发工程师、驻场运维等，并建立运维汇报机制。服务商驻场团队必须制定内部的管理制度，明确工作职责，建立良好的沟通机制。</w:t>
            </w:r>
          </w:p>
          <w:p w14:paraId="124173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（1）人员配备</w:t>
            </w:r>
          </w:p>
          <w:p w14:paraId="6B4B1AA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▲驻点人员数量不少于5人，包括具备同类型系统开发年限在5年以上的系统开发工程师3名，运维工程师2名；</w:t>
            </w:r>
          </w:p>
          <w:p w14:paraId="584AAB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远程服务人员为项目实施人员，非运维开发人员及驻场技术人员；驻点及远程运维人员合同期内原则上不允许更换，如有变动，须提前一周与所服务单位负责人进行书面沟通并达成一致。</w:t>
            </w:r>
          </w:p>
          <w:p w14:paraId="7572D92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（2）运维问题定期汇报机制</w:t>
            </w:r>
          </w:p>
          <w:p w14:paraId="075B83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每天下班前技术人员将当天已解决的问题，及时反馈汇报给管理人员；对超时未完成问题，管理人员定期将问题处理完成进度汇报给信息中心。</w:t>
            </w:r>
          </w:p>
          <w:p w14:paraId="36CA35F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（3）驻场服务人员管理</w:t>
            </w:r>
          </w:p>
          <w:p w14:paraId="586BC79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驻场服务人员应服从服务单位的礼仪规范与人员管理制度，按时上下班。针对全区服务建立单独的QQ运维群、微信和专属电话。</w:t>
            </w:r>
          </w:p>
          <w:p w14:paraId="62778FA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4.重要活动及节假日保障服务</w:t>
            </w:r>
          </w:p>
          <w:p w14:paraId="15449EC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1）法定节假日值班保障服务</w:t>
            </w:r>
          </w:p>
          <w:p w14:paraId="653638C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要求服务不少于36天法定节假日进行保障，保障重要活动节假日期间平台安全可靠运行，全面提高应对突发情况的综合管理水平和应急处置能力，最大限度地保证重大节假日期间平台稳定安全运行和可靠畅通。</w:t>
            </w:r>
          </w:p>
          <w:p w14:paraId="49D863C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2）两会驻场值班保障服务 </w:t>
            </w:r>
          </w:p>
          <w:p w14:paraId="5218A3E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两会（人民代表大会、政协会议）约5天：保障重要活动节假日期间平台安全可靠运行，全面提高应对突发情况的综合管理水平和应急处置能力，最大限度地保证重大节假日期间平台稳定安全运行和可靠畅通。</w:t>
            </w:r>
          </w:p>
          <w:p w14:paraId="55CEDE5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3）东盟博览会值班保障服务 </w:t>
            </w:r>
          </w:p>
          <w:p w14:paraId="5D40F84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东盟博览会约5天：保障重要活动节假日期间平台安全可靠运行，全面提高应对突发情况的综合管理水平和应急处置能力，最大限度地保证重大节假日期间平台稳定安全运行和可靠畅通。</w:t>
            </w:r>
          </w:p>
          <w:p w14:paraId="2B18383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4）周末值班保障服务</w:t>
            </w:r>
          </w:p>
          <w:p w14:paraId="634E29A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扣除节假日重叠的周末后，常规周末保障约98天：保障重要活动节假日期间平台安全可靠运行，全面提高应对突发情况的综合管理水平和应急处置能力，最大限度地保证重大节假日期间平台稳定安全运行和可靠畅通。</w:t>
            </w:r>
          </w:p>
          <w:p w14:paraId="4D82B5E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5.附属支撑系统维护</w:t>
            </w:r>
          </w:p>
          <w:p w14:paraId="29F5A1D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(1)多功能查询一体机系统运维支撑，保障系统的稳定运行，发生BUG时，在现有系统的源代码基础上进行代码修改和升级。</w:t>
            </w:r>
          </w:p>
          <w:p w14:paraId="76FFE34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(2)基于信创环境的高拍仪支撑系统运维，保障系统的稳定运行，发生BUG时，在现有系统的源代码基础上进行代码修改和升级。</w:t>
            </w:r>
          </w:p>
          <w:p w14:paraId="1B59547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(3)基于信创环境的扫描仪支撑系统运维，保障系统的稳定运行，发生BUG时，在现有系统的源代码基础上进行代码修改和升级。</w:t>
            </w:r>
          </w:p>
          <w:p w14:paraId="11345C7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在线预定用餐系统维护，保障系统的稳定运行，发生BUG时，在现有系统的源代码基础上进行代码修改和升级。</w:t>
            </w:r>
          </w:p>
          <w:p w14:paraId="495DC458">
            <w:pPr>
              <w:pStyle w:val="22"/>
              <w:spacing w:line="360" w:lineRule="auto"/>
              <w:rPr>
                <w:rFonts w:hint="eastAsia" w:ascii="宋体" w:hAnsi="宋体" w:eastAsia="宋体" w:cs="宋体"/>
                <w:color w:val="auto"/>
                <w:sz w:val="21"/>
                <w:szCs w:val="21"/>
                <w:highlight w:val="none"/>
                <w:lang w:eastAsia="zh-CN"/>
              </w:rPr>
            </w:pPr>
          </w:p>
        </w:tc>
      </w:tr>
      <w:tr w14:paraId="54648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3" w:type="dxa"/>
            <w:vMerge w:val="continue"/>
            <w:vAlign w:val="center"/>
          </w:tcPr>
          <w:p w14:paraId="263BC987">
            <w:pPr>
              <w:spacing w:line="380" w:lineRule="exact"/>
              <w:jc w:val="center"/>
              <w:rPr>
                <w:rFonts w:ascii="宋体" w:hAnsi="宋体" w:cs="宋体"/>
                <w:color w:val="auto"/>
                <w:szCs w:val="21"/>
                <w:highlight w:val="none"/>
              </w:rPr>
            </w:pPr>
          </w:p>
        </w:tc>
        <w:tc>
          <w:tcPr>
            <w:tcW w:w="434" w:type="dxa"/>
            <w:vAlign w:val="center"/>
          </w:tcPr>
          <w:p w14:paraId="3562AC20">
            <w:pPr>
              <w:spacing w:line="38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1.1</w:t>
            </w:r>
          </w:p>
        </w:tc>
        <w:tc>
          <w:tcPr>
            <w:tcW w:w="924" w:type="dxa"/>
            <w:vAlign w:val="center"/>
          </w:tcPr>
          <w:p w14:paraId="6C479D2D">
            <w:pPr>
              <w:snapToGrid w:val="0"/>
              <w:jc w:val="center"/>
              <w:outlineLvl w:val="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信访管理系统运维</w:t>
            </w:r>
          </w:p>
        </w:tc>
        <w:tc>
          <w:tcPr>
            <w:tcW w:w="576" w:type="dxa"/>
            <w:gridSpan w:val="2"/>
            <w:vAlign w:val="center"/>
          </w:tcPr>
          <w:p w14:paraId="3D0502AB">
            <w:pPr>
              <w:snapToGrid w:val="0"/>
              <w:jc w:val="center"/>
              <w:outlineLvl w:val="0"/>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1项</w:t>
            </w:r>
          </w:p>
        </w:tc>
        <w:tc>
          <w:tcPr>
            <w:tcW w:w="7293" w:type="dxa"/>
            <w:vAlign w:val="center"/>
          </w:tcPr>
          <w:p w14:paraId="3DE44C84">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1.运维服务内容</w:t>
            </w:r>
          </w:p>
          <w:p w14:paraId="4C2283A9">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1.1.常规运维</w:t>
            </w:r>
          </w:p>
          <w:p w14:paraId="324E3A18">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1.1.1 账号运维及咨询服务</w:t>
            </w:r>
          </w:p>
          <w:p w14:paraId="28692656">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账号维护：7×24 小时服务，驻场 + 应急现场支持，运维自治区及 14 地市等信访局账号，负责权限划分与用户管理，年服务 8000 + 单位不少于 365 次。</w:t>
            </w:r>
          </w:p>
          <w:p w14:paraId="74D35329">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机构维护：5×8 小时驻场 + 7×24 小时在线，运维自治区、区直、地市、县区信访局机构信息，年服务不少于 500 次。</w:t>
            </w:r>
          </w:p>
          <w:p w14:paraId="291BCE78">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业务咨询：5×8 小时驻场 + 7×24 小时在线，解答系统操作、流程、数据处理等问题，为全广西信访系统用户提供支撑。</w:t>
            </w:r>
          </w:p>
          <w:p w14:paraId="3AC04B2C">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1.1.2 运维培训服务</w:t>
            </w:r>
          </w:p>
          <w:p w14:paraId="056CBD9A">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提供系统使用、考核规范等培训，由专业驻场人员实施。</w:t>
            </w:r>
          </w:p>
          <w:p w14:paraId="24B90CB3">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现场培训：按需不定期开展；网络培训：制作操作视频，远程指导。</w:t>
            </w:r>
          </w:p>
          <w:p w14:paraId="71741E26">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1.1.3 系统阈值监控服务</w:t>
            </w:r>
          </w:p>
          <w:p w14:paraId="51C95E0A">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全年 248 个工作日专人监控：</w:t>
            </w:r>
          </w:p>
          <w:p w14:paraId="1CFDFD9A">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基础设施：CPU≤80%、内存≤85%、磁盘≤90%。</w:t>
            </w:r>
          </w:p>
          <w:p w14:paraId="6E51470A">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应用层：接口响应≤3s、成功率≥99.9%，监控应用进程状态。</w:t>
            </w:r>
          </w:p>
          <w:p w14:paraId="046839ED">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数据层：数据库连接≤最大连接数 80%、SQL 响应≤1s、同步延迟≤5min，每日核查备份。</w:t>
            </w:r>
          </w:p>
          <w:p w14:paraId="12685E8A">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业务层：核心业务提交≥99.95%、登录≥99.9%。</w:t>
            </w:r>
          </w:p>
          <w:p w14:paraId="5E9E5481">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1.1.4 系统更新回退</w:t>
            </w:r>
          </w:p>
          <w:p w14:paraId="355CA78D">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版本更新：提供编译、部署服务，年大版本≥12 次、常规≥24 次、紧急≥36 次。</w:t>
            </w:r>
          </w:p>
          <w:p w14:paraId="0D213C28">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版本回滚：更新异常可不限次数回滚，记录原因，保障业务不中断。</w:t>
            </w:r>
          </w:p>
          <w:p w14:paraId="2727EF83">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1.1.5 数据运维服务</w:t>
            </w:r>
          </w:p>
          <w:p w14:paraId="32C9F20D">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数据统计：按业务需求 SQL 查询、分析、整理数据，日均处理 1-3 份，应急时夜间 / 周末支撑。</w:t>
            </w:r>
          </w:p>
          <w:p w14:paraId="7270C91C">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SQL 优化：每日监控日志，每周分析低效 SQL 并优化，年分析≥48 次。</w:t>
            </w:r>
          </w:p>
          <w:p w14:paraId="6F750546">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1.1.6 使用故障处理服务</w:t>
            </w:r>
          </w:p>
          <w:p w14:paraId="51D37DA0">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提供问题登记、审核、跟踪、验证、反馈、复盘全流程服务，年均各项服务约 83 项。</w:t>
            </w:r>
          </w:p>
          <w:p w14:paraId="48B45BAF">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1.1.7 服务器应急服务</w:t>
            </w:r>
          </w:p>
          <w:p w14:paraId="2D376A2E">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宕机应急：单机故障切备用服务器，集群故障排查修复或启用灾备。</w:t>
            </w:r>
          </w:p>
          <w:p w14:paraId="2F1C26B6">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数据丢失：逻辑错误时点恢复，物理损坏用备份恢复并验证。</w:t>
            </w:r>
          </w:p>
          <w:p w14:paraId="7B54221B">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攻击应急：清理非法内容，联动安全防护，优先保障核心业务。</w:t>
            </w:r>
          </w:p>
          <w:p w14:paraId="0FD2B419">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1.1.8 系统应急运维服务</w:t>
            </w:r>
          </w:p>
          <w:p w14:paraId="3081AA56">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每日排查系统故障，出现问题驻场团队立即处置，无法解决则升级技术力量，确保系统正常运行。</w:t>
            </w:r>
          </w:p>
          <w:p w14:paraId="61EADFAD">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1.1.9 数据库运维服务</w:t>
            </w:r>
          </w:p>
          <w:p w14:paraId="533E0176">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监控：每日监控性能、连接、空间，工作日现场、非工作日远程值守。</w:t>
            </w:r>
          </w:p>
          <w:p w14:paraId="5AC6F34D">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备份恢复：</w:t>
            </w:r>
            <w:r>
              <w:rPr>
                <w:rFonts w:hint="eastAsia" w:ascii="宋体" w:hAnsi="宋体" w:eastAsia="宋体" w:cs="宋体"/>
                <w:color w:val="auto"/>
                <w:sz w:val="21"/>
                <w:szCs w:val="21"/>
                <w:highlight w:val="none"/>
                <w:lang w:eastAsia="zh-CN"/>
              </w:rPr>
              <w:t>每周备份≥</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次，</w:t>
            </w:r>
            <w:r>
              <w:rPr>
                <w:rFonts w:hint="eastAsia" w:ascii="宋体" w:hAnsi="宋体" w:eastAsia="宋体" w:cs="宋体"/>
                <w:color w:val="auto"/>
                <w:sz w:val="21"/>
                <w:szCs w:val="21"/>
                <w:highlight w:val="none"/>
                <w:lang w:eastAsia="zh-CN"/>
              </w:rPr>
              <w:t>每月验证，年恢复演练≥12 次，异常可不限次数恢复。</w:t>
            </w:r>
          </w:p>
          <w:p w14:paraId="44E50F9A">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安全管理：权限管控、数据加密、安全审计。</w:t>
            </w:r>
          </w:p>
          <w:p w14:paraId="053D96C1">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容量规划：每季度评估资源，提出扩容方案，年评估≥4 次。</w:t>
            </w:r>
          </w:p>
          <w:p w14:paraId="0E9899BA">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故障处理：快速诊断、修复、总结预防，保障数据安全稳定。</w:t>
            </w:r>
          </w:p>
          <w:p w14:paraId="0631CC48">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1.1.10 应用中间件维护</w:t>
            </w:r>
          </w:p>
          <w:p w14:paraId="34AE43FB">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维护≥8 套金蝶、东方通中间件，及时更新补丁，异常时联动厂家解决。</w:t>
            </w:r>
          </w:p>
          <w:p w14:paraId="57A1A77F">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1.1.11 短信接口运维服务</w:t>
            </w:r>
          </w:p>
          <w:p w14:paraId="4622D506">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7×24 小时运维短信接口，保障 6 个业务系统调用，故障 4 小时内解决；监控 3 个服务商接口，异常 1 小时内恢复。</w:t>
            </w:r>
          </w:p>
          <w:p w14:paraId="0070B3B0">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1.1.12 实名认证接口运维服务</w:t>
            </w:r>
          </w:p>
          <w:p w14:paraId="658E630D">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7×24 小时运维实名认证接口，保障 3 个业务系统调用，故障 4 小时内解决；监控服务商接口，异常 1 小时内恢复。</w:t>
            </w:r>
          </w:p>
          <w:p w14:paraId="72DF17FF">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1.1.13 其他系统维护</w:t>
            </w:r>
          </w:p>
          <w:p w14:paraId="3EF6DFDF">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运维查询机、高拍仪、扫描仪、订餐等小型系统，保障稳定运行。</w:t>
            </w:r>
          </w:p>
          <w:p w14:paraId="096F767B">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1.2.非常规维护</w:t>
            </w:r>
          </w:p>
          <w:p w14:paraId="44A3C297">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系统异常修复和快速全量多系统重部署、数据库高层次优化等保障服务。因为信访系统使用范围极广，包括全区各厅级单位、14各地市、111+县区以及各乡镇，一旦有异常将会影响极大，要求一位中级工程师驻场提供代码级调试和修复等维护服务：</w:t>
            </w:r>
          </w:p>
          <w:p w14:paraId="606A0334">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1.2.1.▲代码级漏洞管理</w:t>
            </w:r>
          </w:p>
          <w:p w14:paraId="4C32EF49">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提供深入源码级别的漏洞修复：应对每年的安全演练，等保测评的情况，当上级单位或被服务单位发现漏洞后，驻场开发人员接收到漏洞反馈后，在现有系统的源代码基础上及时进行排查重现、评估修复难度、进行修复系统与应用漏洞，修复代码后需要进行测试验证后升级到系统中，确保漏洞已消除且不影响系统功能。此服务在服务周期内不限次数，根据需要进行漏洞修复。</w:t>
            </w:r>
          </w:p>
          <w:p w14:paraId="65FAFC7B">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1.2.2.安全事件处理</w:t>
            </w:r>
          </w:p>
          <w:p w14:paraId="4A5EEF10">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发现安全事件后，驻场开发人员立即隔离受影响系统，防止事件扩大；收集日志，定位攻击源与影响范围；修复漏洞，恢复系统与数据；分析原因并制定预防措施。</w:t>
            </w:r>
          </w:p>
          <w:p w14:paraId="253DF611">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1.2.3.多系统快速重新部署服务</w:t>
            </w:r>
          </w:p>
          <w:p w14:paraId="4200505E">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由于常规运维人员无法做到对组成子系统完全了解，需要驻场人员进行运维服务，所以针对以下情况，需要专门驻场高级开发人员提供服务：</w:t>
            </w:r>
          </w:p>
          <w:p w14:paraId="371BA98D">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针对中病毒或遭受远程攻击导致数据丢失、服务器崩溃、应用崩溃、数据库崩溃等严重问题或业主的需要进行系统迁移的情况，驻场服务团队要立刻组织本地驻场团队实现系统环境、中间件、数据库及应用系统的重新部署，并实现从原备份数据库文件中恢复数据。</w:t>
            </w:r>
          </w:p>
          <w:p w14:paraId="15B4E690">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2）每月进行服务最新版本重新部署演练服务部署到本地备用服务器，确保出现重大异常时可以快速的相应重部署恢复服务，周期内不少于1次/月，共计不少于12次/年。包括环境准备、重部署服务。</w:t>
            </w:r>
          </w:p>
          <w:p w14:paraId="674CE924">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1.2.4.数据库性能优化</w:t>
            </w:r>
          </w:p>
          <w:p w14:paraId="1AC98FEF">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查询优化：分析数据库的查询语句，找出执行效率低下的查询，并进行优化。可以通过调整查询逻辑、添加合适的索引、优化数据库结构等方式提高查询性能。避免使用复杂的嵌套查询和全表扫描，尽量减少查询的数据量和执行时间。</w:t>
            </w:r>
          </w:p>
          <w:p w14:paraId="6F74EAD9">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索引优化：定期检查数据库索引的使用情况，确保索引的有效性和合理性。删除不必要的索引，避免索引过多导致维护成本增加和性能下降。根据数据的查询模式和更新频率，合理创建新的索引，提高查询速度。</w:t>
            </w:r>
          </w:p>
          <w:p w14:paraId="50FA3AB8">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数据库参数调整：根据数据库的负载和硬件资源情况，调整数据库的参数设置，如缓存大小、连接池参数、事务隔离级别等。以优化数据库的性能和资源利用率。</w:t>
            </w:r>
          </w:p>
          <w:p w14:paraId="44BE43FA">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每月协调数据库服务商进行性能分析和提出优化建议，并执行数据库优化以及优化后监控跟踪，服务期内不少于12次服务。</w:t>
            </w:r>
          </w:p>
          <w:p w14:paraId="0EF2CDB8">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1.2.5.▲国家规范调整前提下的系统功能使用运维</w:t>
            </w:r>
            <w:r>
              <w:rPr>
                <w:rFonts w:hint="eastAsia" w:ascii="宋体" w:hAnsi="宋体" w:eastAsia="宋体" w:cs="宋体"/>
                <w:color w:val="auto"/>
                <w:sz w:val="21"/>
                <w:szCs w:val="21"/>
                <w:highlight w:val="none"/>
                <w:lang w:eastAsia="zh-CN"/>
              </w:rPr>
              <w:tab/>
            </w:r>
          </w:p>
          <w:p w14:paraId="35357658">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1、基础业务优化维护</w:t>
            </w:r>
          </w:p>
          <w:p w14:paraId="7E4CA8C0">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1）书记主席信箱纯案数统计优化统计表格界面，新增 “纯案数” 统计字段并按地市划分；修改统计算法，实现纯案数统计与保存。</w:t>
            </w:r>
          </w:p>
          <w:p w14:paraId="28C51E6B">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2）扬言分类属性维护将 “扬言分类” 由标签改为细化下拉选项，提升风险识别精度；优化页面展示方式；改造数据库表结构，由单字段改为关联分类字段管理。</w:t>
            </w:r>
          </w:p>
          <w:p w14:paraId="1602E30E">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3）监督追责模块维护在监督追责模块新增 “应追责而不追责” 线索 / 件，维护秩序模块新增 “应查处而不查处” 件。</w:t>
            </w:r>
          </w:p>
          <w:p w14:paraId="19A68B38">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4）部门管理页面布局优化部门管理页面，统一字号，固定表头与前两列，其余内容支持滚动，设置分页样式。</w:t>
            </w:r>
          </w:p>
          <w:p w14:paraId="4D9324E6">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5）办理方式维护国家件上一办理方式为 030000 督办时，允许当前流程选择该办理方式。</w:t>
            </w:r>
          </w:p>
          <w:p w14:paraId="184CA478">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6）办理方式查询维护修改数据类型，兼容国家新增办理方式至原有查询功能。</w:t>
            </w:r>
          </w:p>
          <w:p w14:paraId="57DD333B">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7）调解和解信息统计优化在已办事项添加调解和解入口；优化填写框，支持补充调解流程与信息；调整数据库表字段及存储。</w:t>
            </w:r>
          </w:p>
          <w:p w14:paraId="36FA3857">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8）高级查询统计维护将统计末尾字段改为 “xx 件批次 /xx 件人次 /xx 纯案”，纯案按同一信访事项统计；结果列表按最后信访日期排序。</w:t>
            </w:r>
          </w:p>
          <w:p w14:paraId="412E2F8B">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9）重点事项排查记录按信访日期、重点标志、属地等条件排查统计；展示并统计人员信息、风险类型、涉法涉诉、缠访闹访等内容。</w:t>
            </w:r>
          </w:p>
          <w:p w14:paraId="56E54F06">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10）督办件经办人代码中固定添加黄勇刚为督办人，快速更新至正式环境，指导用户清理缓存。</w:t>
            </w:r>
          </w:p>
          <w:p w14:paraId="00573A37">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11）督查督办模块优化 3 个表格样式，固定表头及前三列，其余内容可上下滚动。</w:t>
            </w:r>
          </w:p>
          <w:p w14:paraId="7DDE9462">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12）导航栏名称显示用户名最多显示 6 个字符，超出部分用省略号展示。</w:t>
            </w:r>
          </w:p>
          <w:p w14:paraId="66369609">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13）导航监测预警样式重新设计入口图标，确认后替换上线。</w:t>
            </w:r>
          </w:p>
          <w:p w14:paraId="506E57D2">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14）不再受理告知特殊支持自治区级选择对应办理方式时，无需上传复查复核意见书；数据库对应字段由必填改为非必填。</w:t>
            </w:r>
          </w:p>
          <w:p w14:paraId="3D37CD5D">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15）调解协议监控未达成调解和解时，若上传附件含 “调解协议 / 和解协议” 关键字则校验，无则提示上传人员。</w:t>
            </w:r>
          </w:p>
          <w:p w14:paraId="5B7B6B85">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16）三项建议功能新增信访部门为被建议机构，增加 “不得录入工作秘密” 提示。</w:t>
            </w:r>
          </w:p>
          <w:p w14:paraId="4B442D4D">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17）信件超期短信通知对即将超期未办信件，向上级部门经办人发送预警短信。</w:t>
            </w:r>
          </w:p>
          <w:p w14:paraId="3AF757D7">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18）公告维护发布公告，控制每个账号仅弹窗一次，标记已读并调用后端接口更新。</w:t>
            </w:r>
          </w:p>
          <w:p w14:paraId="48E3C71A">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▲2、督办及业务办理维护</w:t>
            </w:r>
          </w:p>
          <w:p w14:paraId="6C4680A7">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1）中央督办维护：将第四批督办件纳入评查范围，办结需提交评查；支持中央督办事项核减、数量统计与核验，异常则提示。</w:t>
            </w:r>
          </w:p>
          <w:p w14:paraId="535887DF">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2）国家督办业务维护：按文件批量核减约 500 件国家抄送件，经两轮人工审核后办理；后台打标实现核减与特殊报送；修改办理标题；规范转送、交办、督办单必传并提供审核。</w:t>
            </w:r>
          </w:p>
          <w:p w14:paraId="749ABB20">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3）国家来访抄送件待办：可按需求手动为单位添加待办信息，方便办理信访件。</w:t>
            </w:r>
          </w:p>
          <w:p w14:paraId="5556C545">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4）评查后补材料：评查通过后，责任单位可补全送达信息、回执等并重新提交。</w:t>
            </w:r>
          </w:p>
          <w:p w14:paraId="6CD7BEB3">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5）拟办审核服务：转送 / 交办 / 督办拟办文书标题必须含对应关键字，附件名必须为对应单据，否则禁止提交。</w:t>
            </w:r>
          </w:p>
          <w:p w14:paraId="55EA98A4">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6）复查复核办理：可设置复查答复信息不上报国家；优化详情页编辑权限；限制申请书字数并调整数据库长度；清洗历史数据，优化流程标志。</w:t>
            </w:r>
          </w:p>
          <w:p w14:paraId="5DD3F125">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3、重复信访、涉法涉诉维护</w:t>
            </w:r>
          </w:p>
          <w:p w14:paraId="143BE125">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1）重复信访服务：优化统计公式与明细表格，排除信访形式 601；限定办理方式可选范围，完善对应提示信息。</w:t>
            </w:r>
          </w:p>
          <w:p w14:paraId="2ED4A832">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2）涉法涉诉模块：维护展示样式与内容；优化法院数据交互；按政法委要求扩展查询返回字段，生成对应文件。</w:t>
            </w:r>
          </w:p>
          <w:p w14:paraId="18A0D0FE">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4、申诉求决统计维护</w:t>
            </w:r>
          </w:p>
          <w:p w14:paraId="78C226F9">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1）数据与过程维护：校验填报数据不小于系统登记量；支持资金填写小数点，优化表格隔行底色、加粗小计；新增应办未办、领导接访等项并明确统计口径。</w:t>
            </w:r>
          </w:p>
          <w:p w14:paraId="29091BEB">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2）办理要素控制：仅限信访联席办填写监督追责、超期未申请复查 / 复核等项，同步修改填报、汇总、导出。</w:t>
            </w:r>
          </w:p>
          <w:p w14:paraId="0CE723D0">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统计与治理优化：统计领导接访，区分行政三级与调解数据；按关键词自动生成职能部门填报记录；新增调解量、协议量统计；优化依法分类展示与流程；源头治理件打标、不上报、不纳入考核，支持增删改。</w:t>
            </w:r>
          </w:p>
          <w:p w14:paraId="77224921">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5、综合统计表格服务</w:t>
            </w:r>
          </w:p>
          <w:p w14:paraId="6F7CF71E">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支持按区域、时间、机构、级别、初重件等多条件查询源数据并生成表格，包括：数据来源分布、信访形式、信访目的、涉案情况、全区法院纯案数、纯人数、涉诉事项清单、协同统计、调解复查考核、受理办理情况等统计服务。</w:t>
            </w:r>
          </w:p>
          <w:p w14:paraId="7C429C6B">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6、其他接口维护</w:t>
            </w:r>
          </w:p>
          <w:p w14:paraId="6821148F">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短信及三要素接口维护服务</w:t>
            </w:r>
          </w:p>
          <w:p w14:paraId="104B514F">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1）在现有运行接口的源代码基础上对网站端写信验证接口进行监控和维护，保证短信服务正常。</w:t>
            </w:r>
          </w:p>
          <w:p w14:paraId="53529C49">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2）在现有运行接口的源代码基础上对手机三要素验证接口进行监控和维护，保障验证服务正常。</w:t>
            </w:r>
          </w:p>
          <w:p w14:paraId="07BFF820">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移动端服务维护</w:t>
            </w:r>
          </w:p>
          <w:p w14:paraId="0390E60C">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在现有运行接口的源代码基础上移动端维护服务包括广西信访公众号、广西信访APP和广西信访办公APP，需要保障移动端的功能正常稳定运行意外，还需要根据门户网站的设计服务进行同步更新到移动端中。</w:t>
            </w:r>
          </w:p>
        </w:tc>
      </w:tr>
      <w:tr w14:paraId="3BA95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3" w:type="dxa"/>
            <w:vMerge w:val="continue"/>
            <w:vAlign w:val="center"/>
          </w:tcPr>
          <w:p w14:paraId="619E0CE6">
            <w:pPr>
              <w:spacing w:line="380" w:lineRule="exact"/>
              <w:jc w:val="center"/>
              <w:rPr>
                <w:rFonts w:ascii="宋体" w:hAnsi="宋体" w:cs="宋体"/>
                <w:color w:val="auto"/>
                <w:szCs w:val="21"/>
                <w:highlight w:val="none"/>
              </w:rPr>
            </w:pPr>
          </w:p>
        </w:tc>
        <w:tc>
          <w:tcPr>
            <w:tcW w:w="434" w:type="dxa"/>
            <w:vAlign w:val="center"/>
          </w:tcPr>
          <w:p w14:paraId="4075CFAC">
            <w:pPr>
              <w:spacing w:line="38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1.2</w:t>
            </w:r>
          </w:p>
        </w:tc>
        <w:tc>
          <w:tcPr>
            <w:tcW w:w="924" w:type="dxa"/>
            <w:vAlign w:val="center"/>
          </w:tcPr>
          <w:p w14:paraId="74C1569A">
            <w:pPr>
              <w:snapToGrid w:val="0"/>
              <w:jc w:val="center"/>
              <w:outlineLvl w:val="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地理空间、人像管理、智能语音系统维护</w:t>
            </w:r>
          </w:p>
        </w:tc>
        <w:tc>
          <w:tcPr>
            <w:tcW w:w="576" w:type="dxa"/>
            <w:gridSpan w:val="2"/>
            <w:vAlign w:val="center"/>
          </w:tcPr>
          <w:p w14:paraId="22D44FBF">
            <w:pPr>
              <w:snapToGrid w:val="0"/>
              <w:jc w:val="center"/>
              <w:outlineLvl w:val="0"/>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1项</w:t>
            </w:r>
          </w:p>
        </w:tc>
        <w:tc>
          <w:tcPr>
            <w:tcW w:w="7293" w:type="dxa"/>
            <w:vAlign w:val="center"/>
          </w:tcPr>
          <w:p w14:paraId="553E8DB2">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此项服务内容</w:t>
            </w:r>
            <w:r>
              <w:rPr>
                <w:rFonts w:hint="eastAsia" w:ascii="宋体" w:hAnsi="宋体" w:eastAsia="宋体" w:cs="宋体"/>
                <w:color w:val="auto"/>
                <w:sz w:val="21"/>
                <w:szCs w:val="21"/>
                <w:highlight w:val="none"/>
                <w:lang w:eastAsia="zh-CN"/>
              </w:rPr>
              <w:tab/>
            </w:r>
            <w:r>
              <w:rPr>
                <w:rFonts w:hint="eastAsia" w:ascii="宋体" w:hAnsi="宋体" w:eastAsia="宋体" w:cs="宋体"/>
                <w:color w:val="auto"/>
                <w:sz w:val="21"/>
                <w:szCs w:val="21"/>
                <w:highlight w:val="none"/>
                <w:lang w:eastAsia="zh-CN"/>
              </w:rPr>
              <w:t>包含地理空间信息系统、人像信息化管理系统、智能语音系统三大系统运维服务</w:t>
            </w:r>
          </w:p>
          <w:p w14:paraId="50C634A8">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1.地理空间信息系统维护</w:t>
            </w:r>
          </w:p>
          <w:p w14:paraId="16926C19">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1.1.地理空间集成插件调用维护</w:t>
            </w:r>
          </w:p>
          <w:p w14:paraId="60D27AF8">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定期监控地理空间集成插件的调用情况，</w:t>
            </w:r>
            <w:r>
              <w:rPr>
                <w:rFonts w:hint="eastAsia" w:ascii="宋体" w:hAnsi="宋体" w:eastAsia="宋体" w:cs="宋体"/>
                <w:color w:val="auto"/>
                <w:sz w:val="21"/>
                <w:szCs w:val="21"/>
                <w:highlight w:val="none"/>
                <w:lang w:eastAsia="zh-CN"/>
              </w:rPr>
              <w:t>定期排查紧系统运行日志</w:t>
            </w:r>
            <w:r>
              <w:rPr>
                <w:rFonts w:hint="eastAsia" w:ascii="宋体" w:hAnsi="宋体" w:eastAsia="宋体" w:cs="宋体"/>
                <w:color w:val="auto"/>
                <w:sz w:val="21"/>
                <w:szCs w:val="21"/>
                <w:highlight w:val="none"/>
                <w:lang w:eastAsia="zh-CN"/>
              </w:rPr>
              <w:t>，发现报错日志并及时反馈给原厂家进行排查解决。快速排查卡顿、闪退、提交失败等故障，重点保障业务高峰期运行稳定，做好监控台账记录，确保系统持续可用。</w:t>
            </w:r>
          </w:p>
          <w:p w14:paraId="598D8727">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1.2.版本与补丁更新维护</w:t>
            </w:r>
          </w:p>
          <w:p w14:paraId="5B86D511">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跟进厂商补丁与版本升级包，先在测试环境完成兼容性验证，再于业务低峰期部署。高危安全补丁限时更新，记录更新全流程，建立版本与补丁管理台账，消除已知安全漏洞，适配业务需求。</w:t>
            </w:r>
          </w:p>
          <w:p w14:paraId="395BF863">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1.3.接口对接监测</w:t>
            </w:r>
          </w:p>
          <w:p w14:paraId="1563330A">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维护与信访系统的对接接口，监控接口调用频次、传输状态及数据同步情况，及时排查接口超时、调用失败等问题，保障跨系统数据流转顺畅。</w:t>
            </w:r>
          </w:p>
          <w:p w14:paraId="68C1EC77">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1.4.异常日志溯源</w:t>
            </w:r>
          </w:p>
          <w:p w14:paraId="1AA37E85">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对调用地理空间插件发生报错的日志，及时溯源排查问题，无法解决时需要向原厂家反馈，并跟进解决进度，形成审计报告，确保系统持续可用。</w:t>
            </w:r>
          </w:p>
          <w:p w14:paraId="6942E382">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2.人像信息化管理系统</w:t>
            </w:r>
          </w:p>
          <w:p w14:paraId="2F59167B">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2.1.人像系统运行维护</w:t>
            </w:r>
          </w:p>
          <w:p w14:paraId="15558C1F">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常规性的维护人像信息化管理系统，包括信息系统运行状况，</w:t>
            </w:r>
            <w:r>
              <w:rPr>
                <w:rFonts w:hint="eastAsia" w:ascii="宋体" w:hAnsi="宋体" w:eastAsia="宋体" w:cs="宋体"/>
                <w:color w:val="auto"/>
                <w:sz w:val="21"/>
                <w:szCs w:val="21"/>
                <w:highlight w:val="none"/>
                <w:lang w:eastAsia="zh-CN"/>
              </w:rPr>
              <w:t>定期排查系统运行日志</w:t>
            </w:r>
            <w:r>
              <w:rPr>
                <w:rFonts w:hint="eastAsia" w:ascii="宋体" w:hAnsi="宋体" w:eastAsia="宋体" w:cs="宋体"/>
                <w:color w:val="auto"/>
                <w:sz w:val="21"/>
                <w:szCs w:val="21"/>
                <w:highlight w:val="none"/>
                <w:lang w:eastAsia="zh-CN"/>
              </w:rPr>
              <w:t>，发现报错日志并及时反馈给原厂家进行排查解决。快速排查卡顿、闪退、提交失败等故障，重点保障业务高峰期运行稳定，做好监控台账记录，确保系统持续可用。</w:t>
            </w:r>
          </w:p>
          <w:p w14:paraId="0634CAB8">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2.2.定期维护人脸数据库</w:t>
            </w:r>
          </w:p>
          <w:p w14:paraId="1653780C">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定期对人脸库、身份证信息库进行数据维护，对于抓取异常不清洗的空图片、异常图片进行清理删除，避免影响系统的稳定运行和查询效率。</w:t>
            </w:r>
          </w:p>
          <w:p w14:paraId="1D37F569">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2.3.黑名单维护</w:t>
            </w:r>
          </w:p>
          <w:p w14:paraId="6F1E355C">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对于系统的黑名单库进行维护，定期按要求的进行维护黑名单库内容，包括移除和增加黑名单人员图片。</w:t>
            </w:r>
          </w:p>
          <w:p w14:paraId="1487FA4D">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2.4.数据备份与恢复校验</w:t>
            </w:r>
          </w:p>
          <w:p w14:paraId="74CDF095">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执行定时备份策略，核心数据采用本地存储，每月全量备份，定期开展恢复测试，验证备份完整性与可用性，记录备份及测试信息，防范数据丢失、损坏风险。</w:t>
            </w:r>
          </w:p>
          <w:p w14:paraId="1D97AF40">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2.5.与信访系统对接维护</w:t>
            </w:r>
          </w:p>
          <w:p w14:paraId="7599987A">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维护与信访系统的对接接口，监控接口调用频次、传输状态及数据同步情况，及时排查接口超时、调用失败等问题，保障跨系统数据流转顺畅。</w:t>
            </w:r>
          </w:p>
          <w:p w14:paraId="6D6132E8">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2.6.系统运行异常重启</w:t>
            </w:r>
          </w:p>
          <w:p w14:paraId="420A006A">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针对系统运行较长时间发生异常</w:t>
            </w:r>
            <w:r>
              <w:rPr>
                <w:rFonts w:hint="eastAsia" w:ascii="宋体" w:hAnsi="宋体" w:cs="宋体"/>
                <w:color w:val="auto"/>
                <w:sz w:val="21"/>
                <w:szCs w:val="21"/>
                <w:highlight w:val="none"/>
                <w:lang w:eastAsia="zh-CN"/>
              </w:rPr>
              <w:t>系统崩溃</w:t>
            </w:r>
            <w:r>
              <w:rPr>
                <w:rFonts w:hint="eastAsia" w:ascii="宋体" w:hAnsi="宋体" w:eastAsia="宋体" w:cs="宋体"/>
                <w:color w:val="auto"/>
                <w:sz w:val="21"/>
                <w:szCs w:val="21"/>
                <w:highlight w:val="none"/>
                <w:lang w:eastAsia="zh-CN"/>
              </w:rPr>
              <w:t>等问题时，需要进行紧急系统的重启服务，并提取异常日志向厂家反馈问题，跟踪督促厂家解决问题。</w:t>
            </w:r>
          </w:p>
          <w:p w14:paraId="55504A83">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3.智能语音系统</w:t>
            </w:r>
          </w:p>
          <w:p w14:paraId="7C57E2C7">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3.1.智能语音服务端软件定期监测</w:t>
            </w:r>
          </w:p>
          <w:p w14:paraId="0037E30B">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常规性的维护智能语音服务端系统，包括信息系统运行状况，</w:t>
            </w:r>
            <w:r>
              <w:rPr>
                <w:rFonts w:hint="eastAsia" w:ascii="宋体" w:hAnsi="宋体" w:eastAsia="宋体" w:cs="宋体"/>
                <w:color w:val="auto"/>
                <w:sz w:val="21"/>
                <w:szCs w:val="21"/>
                <w:highlight w:val="none"/>
                <w:lang w:eastAsia="zh-CN"/>
              </w:rPr>
              <w:t>定期排查系统运行日志</w:t>
            </w:r>
            <w:r>
              <w:rPr>
                <w:rFonts w:hint="eastAsia" w:ascii="宋体" w:hAnsi="宋体" w:eastAsia="宋体" w:cs="宋体"/>
                <w:color w:val="auto"/>
                <w:sz w:val="21"/>
                <w:szCs w:val="21"/>
                <w:highlight w:val="none"/>
                <w:lang w:eastAsia="zh-CN"/>
              </w:rPr>
              <w:t>，发现报错日志并及时反馈给原厂家进行排查解决。快速排查卡顿、闪退、提交失败等故障，重点保障业务高峰期运行稳定，做好监控台账记录，确保系统持续可用。</w:t>
            </w:r>
          </w:p>
          <w:p w14:paraId="1F91DA34">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3.2.语音客户端检测维护</w:t>
            </w:r>
          </w:p>
          <w:p w14:paraId="28C78CCC">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定期对语音客户端的运行情况进行查看维护，包括用户登录成功率、链接成功率、呼叫成功率、呼叫时常、录音情况等进行定期查看和维护，保证呼叫服务的正常，避免影响系统的稳定运行和呼叫效率。</w:t>
            </w:r>
          </w:p>
          <w:p w14:paraId="75A63A35">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3.3.数据备份与恢复校验</w:t>
            </w:r>
          </w:p>
          <w:p w14:paraId="63D72E84">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执行定时备份策略，核心数据采用本地存储，每月全量备份，定期开展恢复测试，验证备份完整性与可用性，记录备份及测试信息，防范数据丢失、损坏风险。</w:t>
            </w:r>
          </w:p>
          <w:p w14:paraId="5F00C828">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3.4.系统运行异常重启</w:t>
            </w:r>
          </w:p>
          <w:p w14:paraId="3300B2A8">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针对系统运行较长时间发生异常</w:t>
            </w:r>
            <w:r>
              <w:rPr>
                <w:rFonts w:hint="eastAsia" w:ascii="宋体" w:hAnsi="宋体" w:cs="宋体"/>
                <w:color w:val="auto"/>
                <w:sz w:val="21"/>
                <w:szCs w:val="21"/>
                <w:highlight w:val="none"/>
                <w:lang w:eastAsia="zh-CN"/>
              </w:rPr>
              <w:t>系统崩溃</w:t>
            </w:r>
            <w:r>
              <w:rPr>
                <w:rFonts w:hint="eastAsia" w:ascii="宋体" w:hAnsi="宋体" w:eastAsia="宋体" w:cs="宋体"/>
                <w:color w:val="auto"/>
                <w:sz w:val="21"/>
                <w:szCs w:val="21"/>
                <w:highlight w:val="none"/>
                <w:lang w:eastAsia="zh-CN"/>
              </w:rPr>
              <w:t>等问题时，需要进行紧急系统的重启服务，并提取异常日志向厂家反馈问题，跟踪督促厂家解决问题。</w:t>
            </w:r>
          </w:p>
          <w:p w14:paraId="3DC60CAC">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3.5.与智能语音系统对接维护</w:t>
            </w:r>
          </w:p>
          <w:p w14:paraId="3D4FE151">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维护与智能语音的对接接口，监控接口调用频次、传输状态及数据同步情况，及时排查接口超时、调用失败等问题，保障跨系统数据流转顺畅。</w:t>
            </w:r>
          </w:p>
        </w:tc>
      </w:tr>
      <w:tr w14:paraId="74692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3" w:type="dxa"/>
            <w:vMerge w:val="continue"/>
            <w:vAlign w:val="center"/>
          </w:tcPr>
          <w:p w14:paraId="3B47CC2B">
            <w:pPr>
              <w:spacing w:line="380" w:lineRule="exact"/>
              <w:jc w:val="center"/>
              <w:rPr>
                <w:rFonts w:ascii="宋体" w:hAnsi="宋体" w:cs="宋体"/>
                <w:color w:val="auto"/>
                <w:szCs w:val="21"/>
                <w:highlight w:val="none"/>
              </w:rPr>
            </w:pPr>
          </w:p>
        </w:tc>
        <w:tc>
          <w:tcPr>
            <w:tcW w:w="434" w:type="dxa"/>
            <w:vAlign w:val="center"/>
          </w:tcPr>
          <w:p w14:paraId="5D716333">
            <w:pPr>
              <w:spacing w:line="38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1.3</w:t>
            </w:r>
          </w:p>
        </w:tc>
        <w:tc>
          <w:tcPr>
            <w:tcW w:w="924" w:type="dxa"/>
            <w:vAlign w:val="center"/>
          </w:tcPr>
          <w:p w14:paraId="4540ACDA">
            <w:pPr>
              <w:snapToGrid w:val="0"/>
              <w:jc w:val="center"/>
              <w:outlineLvl w:val="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动态考核监控平台</w:t>
            </w:r>
          </w:p>
        </w:tc>
        <w:tc>
          <w:tcPr>
            <w:tcW w:w="576" w:type="dxa"/>
            <w:gridSpan w:val="2"/>
            <w:vAlign w:val="center"/>
          </w:tcPr>
          <w:p w14:paraId="03058EA3">
            <w:pPr>
              <w:snapToGrid w:val="0"/>
              <w:jc w:val="center"/>
              <w:outlineLvl w:val="0"/>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1项</w:t>
            </w:r>
          </w:p>
        </w:tc>
        <w:tc>
          <w:tcPr>
            <w:tcW w:w="7293" w:type="dxa"/>
            <w:vAlign w:val="center"/>
          </w:tcPr>
          <w:p w14:paraId="2E5C582D">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动态监控平台是网上信访管理系统子系统，供自治区及各地市信访局领导查看考核数据，每年按国家及平安广西考核规则制定各级单位考核指标。</w:t>
            </w:r>
          </w:p>
          <w:p w14:paraId="1F5FC6FF">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 账号运维及咨询服务</w:t>
            </w:r>
          </w:p>
          <w:p w14:paraId="78216880">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账号维护：工作日驻场、非工作时间按需现场服务，7×24 小时电话支持；维护自治区及 14 地市信访局领导账号，提供权限划分与用户增删改启管理，周期内服务不少于 50 次。</w:t>
            </w:r>
          </w:p>
          <w:p w14:paraId="05E8427D">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 运维培训服务</w:t>
            </w:r>
          </w:p>
          <w:p w14:paraId="1D29417A">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为用户提供系统使用培训，内容含日常监控、数据查询、导出等，每年至少开展 1 次领导专项培训。</w:t>
            </w:r>
          </w:p>
          <w:p w14:paraId="1D1741B4">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现场培训：按需不定期开展；</w:t>
            </w:r>
          </w:p>
          <w:p w14:paraId="61275AB9">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网络培训：制作常见问题及操作视频，远程指导。</w:t>
            </w:r>
          </w:p>
          <w:p w14:paraId="4C8AE6D0">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 系统监控与告警服务</w:t>
            </w:r>
          </w:p>
          <w:p w14:paraId="65E91259">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每年248个工作日专人监控，每日巡检 1 小时：</w:t>
            </w:r>
          </w:p>
          <w:p w14:paraId="5332A4C9">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基础设施：CPU≤80%、内存≤85%、磁盘≤90%；</w:t>
            </w:r>
          </w:p>
          <w:p w14:paraId="2BA4DB6A">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应用层：接口响应≤3s、成功率≥99.9%，监控应用进程状态；</w:t>
            </w:r>
          </w:p>
          <w:p w14:paraId="4E2C8BE8">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数据层：数据库连接≤最大连接数 80%、SQL 响应≤1s、同步延迟≤5min，每日核查备份；</w:t>
            </w:r>
          </w:p>
          <w:p w14:paraId="5599550D">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业务层：业务提交≥99.95%、登录≥99.9%。</w:t>
            </w:r>
          </w:p>
          <w:p w14:paraId="516619BD">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 系统更新回退</w:t>
            </w:r>
          </w:p>
          <w:p w14:paraId="740FB937">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版本更新：提供编译、部署服务，年更新不少于 12 次，适配最新考核规则；</w:t>
            </w:r>
          </w:p>
          <w:p w14:paraId="0BD24A25">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版本回滚：更新异常可不限次数回滚，记录原因，保障系统可用；</w:t>
            </w:r>
          </w:p>
          <w:p w14:paraId="026FFC59">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重部署与演练：服务器异常时提供系统重部署与数据恢复，每年备用服务器演练不少于 4 次。</w:t>
            </w:r>
          </w:p>
          <w:p w14:paraId="28742590">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 安全运维服务</w:t>
            </w:r>
          </w:p>
          <w:p w14:paraId="2744C47F">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漏洞管理：提供源码级漏洞修复，不限次数，修复后验证；</w:t>
            </w:r>
          </w:p>
          <w:p w14:paraId="4CEEC377">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权限管理：遵循最小权限原则，每月排查账号，清理冗余账号，全年不少于 12 次；</w:t>
            </w:r>
          </w:p>
          <w:p w14:paraId="1C6E3A8F">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安全事件处理：快速隔离、溯源、修复、恢复并制定预防措施。</w:t>
            </w:r>
          </w:p>
          <w:p w14:paraId="64AE7732">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 报障处理服务</w:t>
            </w:r>
          </w:p>
          <w:p w14:paraId="5E93C367">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提供 7×24 小时专属热线，采用双人主备值班模式，接到报障立即处置，保障系统稳定。</w:t>
            </w:r>
          </w:p>
          <w:p w14:paraId="22FD013E">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 红黄灯预警调整服务</w:t>
            </w:r>
          </w:p>
          <w:p w14:paraId="5D1435B4">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警示范围：更新数据标签，排除中央集中督办件，将初件、重复件纳入监控；</w:t>
            </w:r>
          </w:p>
          <w:p w14:paraId="163698C5">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受理预警：优化时间逻辑，收到信访件 11 日未处置亮黄灯，13 日未处置亮红灯；</w:t>
            </w:r>
          </w:p>
          <w:p w14:paraId="321E0924">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办理预警：调整核心算法，信访途径受理后 40 日未办结亮黄灯、60 日未办结亮红灯；其他途径按限办时间预警。</w:t>
            </w:r>
          </w:p>
          <w:p w14:paraId="18E77366">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 考核规则实时更新</w:t>
            </w:r>
          </w:p>
          <w:p w14:paraId="0AA449BB">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每年按国家及平安广西考核要求，更新统计逻辑、展示样式与数据库字段，全年完成不少于 15 种考核规则的研读、设计与上线。</w:t>
            </w:r>
          </w:p>
        </w:tc>
      </w:tr>
      <w:tr w14:paraId="3AB6C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3" w:type="dxa"/>
            <w:vMerge w:val="continue"/>
            <w:vAlign w:val="center"/>
          </w:tcPr>
          <w:p w14:paraId="5D5A8C89">
            <w:pPr>
              <w:spacing w:line="380" w:lineRule="exact"/>
              <w:jc w:val="center"/>
              <w:rPr>
                <w:rFonts w:ascii="宋体" w:hAnsi="宋体" w:cs="宋体"/>
                <w:color w:val="auto"/>
                <w:szCs w:val="21"/>
                <w:highlight w:val="none"/>
              </w:rPr>
            </w:pPr>
          </w:p>
        </w:tc>
        <w:tc>
          <w:tcPr>
            <w:tcW w:w="434" w:type="dxa"/>
            <w:vAlign w:val="center"/>
          </w:tcPr>
          <w:p w14:paraId="1EE4EE9A">
            <w:pPr>
              <w:spacing w:line="38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1.4</w:t>
            </w:r>
          </w:p>
        </w:tc>
        <w:tc>
          <w:tcPr>
            <w:tcW w:w="924" w:type="dxa"/>
            <w:vAlign w:val="center"/>
          </w:tcPr>
          <w:p w14:paraId="5C8D9110">
            <w:pPr>
              <w:snapToGrid w:val="0"/>
              <w:jc w:val="center"/>
              <w:outlineLvl w:val="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驻京访管理系统</w:t>
            </w:r>
          </w:p>
        </w:tc>
        <w:tc>
          <w:tcPr>
            <w:tcW w:w="576" w:type="dxa"/>
            <w:gridSpan w:val="2"/>
            <w:vAlign w:val="center"/>
          </w:tcPr>
          <w:p w14:paraId="2DB1C309">
            <w:pPr>
              <w:snapToGrid w:val="0"/>
              <w:jc w:val="center"/>
              <w:outlineLvl w:val="0"/>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1项</w:t>
            </w:r>
          </w:p>
        </w:tc>
        <w:tc>
          <w:tcPr>
            <w:tcW w:w="7293" w:type="dxa"/>
            <w:vAlign w:val="center"/>
          </w:tcPr>
          <w:p w14:paraId="2F913DC9">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驻京访管理系统属于网上信访管理系统的子系统，主要为广西各级信访局人员驻京时使用的平台系统。</w:t>
            </w:r>
          </w:p>
          <w:p w14:paraId="1F7F6C00">
            <w:pPr>
              <w:pStyle w:val="22"/>
              <w:spacing w:line="360" w:lineRule="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 xml:space="preserve">.基础数据管理服务 </w:t>
            </w:r>
          </w:p>
          <w:p w14:paraId="0FED66D4">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①驻京系统初始化支持服务</w:t>
            </w:r>
          </w:p>
          <w:p w14:paraId="2B068413">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在信访系统上支持驻京系统，根据原有驻京系统首页进行提供重新设计服务，配置首页布局设计展示，包括logo栏、标题栏、菜单栏、图标栏、主要显示区域、版权底框等内容。布局以目前系统架构流行的方式进行</w:t>
            </w:r>
          </w:p>
          <w:p w14:paraId="2E189941">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部门数据清洗导入服务：从现有驻京访系统整理部门数据备份数据取回来后，根据格式进行清洗导入到信访系统中。</w:t>
            </w:r>
          </w:p>
          <w:p w14:paraId="6348BD75">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用户管理服务：从现有驻京访系统整理用户数据备份数据取回来后，根据格式进行清洗导入到信访系统中。</w:t>
            </w:r>
          </w:p>
          <w:p w14:paraId="268C3884">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角色管理服务：从现有驻京访系统整理角色数据备份数据取回来后，根据格式进行清洗导入到信访系统中。</w:t>
            </w:r>
          </w:p>
          <w:p w14:paraId="5204F49A">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权限管理重建服务：从现有驻京访系统整理各角色对应的权限数据备份数据取回来后，根据格式进行清洗导入到信访系统中。</w:t>
            </w:r>
          </w:p>
          <w:p w14:paraId="24EC9EFE">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菜单管理服务：对应驻京访系统菜单在信访系统中进行实施配置。</w:t>
            </w:r>
          </w:p>
          <w:p w14:paraId="321E8608">
            <w:pPr>
              <w:pStyle w:val="22"/>
              <w:spacing w:line="360" w:lineRule="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.来京登记数据迁移服务</w:t>
            </w:r>
          </w:p>
          <w:p w14:paraId="3AAA6BA5">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来京登记数据录入包括26张表格不同类型数据，根据各业务人员的需求，对26张业务表格分别进行收集、整理、清洗、汇总，在本地系统中重新导入数据，并进行数据校验，核对等服务，保证数据正确无误。</w:t>
            </w:r>
          </w:p>
          <w:p w14:paraId="083F567F">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非常规人员列表数据维护，对广西壮族自治区当日在京滞留、反复登记及有扬言、滋事倾向人员名单，包含字段：姓名 性别 地址 证件号码 问题属地 联系方式（选填） 内容分类 走访时间 需关注的情况 是否已录入国家访系统，进行数据入库服务，并进行数据校验，核对等服务，保证数据正确无误。</w:t>
            </w:r>
          </w:p>
          <w:p w14:paraId="6627102E">
            <w:pPr>
              <w:pStyle w:val="22"/>
              <w:spacing w:line="360" w:lineRule="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.提供表格统计服务</w:t>
            </w:r>
          </w:p>
          <w:p w14:paraId="61009732">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(1)提供给重复涉访统计服务 </w:t>
            </w:r>
          </w:p>
          <w:p w14:paraId="5A31FA4F">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提供可根据涉访日期段、涉访次数等条件在数据库或者系统中查询信访并得出源数据的服务。</w:t>
            </w:r>
          </w:p>
          <w:p w14:paraId="0A8F4343">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提供通过整理源数据后，按以下方式生成表格展示的服务：</w:t>
            </w:r>
          </w:p>
          <w:p w14:paraId="202EDD8E">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来京日期、姓名、身份证号、手机号、归属地、主要诉求等内容展示表格。</w:t>
            </w:r>
          </w:p>
          <w:p w14:paraId="2FEB78EB">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(2)提供滞留统计服务 </w:t>
            </w:r>
          </w:p>
          <w:p w14:paraId="0594F7EA">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提供可根据涉访日期段、关键字、问题属地等条件在数据库或者系统中查询信访并得出源数据的服务。</w:t>
            </w:r>
          </w:p>
          <w:p w14:paraId="52682CDA">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提供通过整理源数据后，按以下方式生成表格展示的服务：</w:t>
            </w:r>
          </w:p>
          <w:p w14:paraId="62329632">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广西壮族自治区当日在京滞留、反复登记及有扬言、滋事倾向人员名单统计，按照地址或问题属地（分自治区级、市级、县（市、区）级），分别统计出人次、纯人。</w:t>
            </w:r>
          </w:p>
          <w:p w14:paraId="226871D6">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(3)提供广西进京访内容分类统计服务 </w:t>
            </w:r>
          </w:p>
          <w:p w14:paraId="7ABB93AF">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提供可根据涉访日期等条件在数据库或者系统中查询信访并得出源数据的服务。</w:t>
            </w:r>
          </w:p>
          <w:p w14:paraId="52C9B0FD">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提供通过整理源数据后，按以下方式生成表格展示的服务：</w:t>
            </w:r>
          </w:p>
          <w:p w14:paraId="0AEF4EB0">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地址或问题属地（市级、县（市、区）级）内容分类一级分类，分别统计进京访的批次及人次。</w:t>
            </w:r>
          </w:p>
          <w:p w14:paraId="73D2D0B4">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(4)提供广西各地进京人员统计服务 </w:t>
            </w:r>
          </w:p>
          <w:p w14:paraId="40C41C22">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提供可根据涉访日期、所属地市或县区等条件在数据库或者系统中查询信访并得出源数据的服务。</w:t>
            </w:r>
          </w:p>
          <w:p w14:paraId="7EDDB57D">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提供通过整理源数据后，按以下方式生成表格展示的服务：</w:t>
            </w:r>
          </w:p>
          <w:p w14:paraId="0A48C017">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地址或问题属地、社会面、非社会面、年龄段、人员数量、总量的方式进行统计数据。</w:t>
            </w:r>
          </w:p>
          <w:p w14:paraId="4DE74ACB">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(5)提供劝返工作统计服务</w:t>
            </w:r>
          </w:p>
          <w:p w14:paraId="605260F6">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提供可根据当年数据，选择同比年份等条件在数据库或者系统中查询信访并得出源数据的服务。</w:t>
            </w:r>
          </w:p>
          <w:p w14:paraId="6078B5A6">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提供通过整理源数据后，按以下方式生成表格展示的服务：</w:t>
            </w:r>
          </w:p>
          <w:p w14:paraId="77175B1C">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按照所属地市、日期范围、劝返方式、涉访类型、同比统计、环比统计进行统计数据。</w:t>
            </w:r>
          </w:p>
          <w:p w14:paraId="24A254B2">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并提供查看详细获取对应列表信息，包含编号、涉访日期、姓名、户籍地、内容分类、诉求信息等字段，支持导出统计表及对应的详细列表，点击地市名称显示对应区县的数据。</w:t>
            </w:r>
          </w:p>
          <w:p w14:paraId="6B8DFAA1">
            <w:pPr>
              <w:pStyle w:val="22"/>
              <w:spacing w:line="360" w:lineRule="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.提供日常运维服务</w:t>
            </w:r>
          </w:p>
          <w:p w14:paraId="3CB284DA">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(1)系统监控与告警服务</w:t>
            </w:r>
          </w:p>
          <w:p w14:paraId="5E424230">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每年按工作日248天工作日驻场服务计算，对系统使用到的基础设施、应用层、业务层和数据层进行监控监控服务，保障系统的稳定运行。</w:t>
            </w:r>
          </w:p>
          <w:p w14:paraId="0C25D6BA">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(2)系统更新回退</w:t>
            </w:r>
          </w:p>
          <w:p w14:paraId="19E18BD2">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根据服务周期内的业务需要，对驻京系统进行版本更新服务1项、回滚服务1项和重新部署服务1项。</w:t>
            </w:r>
          </w:p>
          <w:p w14:paraId="7ED6CDD1">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(3)安全运维服务 </w:t>
            </w:r>
          </w:p>
          <w:p w14:paraId="43FC8F7C">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漏洞管理：提供深入源码级别的漏洞修复：应对每年的上级单位或被服务单位发现漏洞后，及时修复系统与应用漏洞，如修复 Apache Log4j 远程代码执行漏洞、权限绕过漏洞，修复后进行验证，确保漏洞已消除且不影响系统功能。此服务在服务周期内不限次数，根据需要进行漏洞修复。</w:t>
            </w:r>
          </w:p>
          <w:p w14:paraId="6E7F532C">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权限管理：考核平台涉及的数据较为严重，要求每月进行账号排查和处理，账号遵循“最小权限原则”，为每个用户分配唯一账号，根据角色设置权限，定期审计账号，对于长时间不使用的账号进行跟踪，删除冗余账号、回收过期权限。周期内要求不少于12次此项排查操作服务。</w:t>
            </w:r>
          </w:p>
          <w:p w14:paraId="013F08F3">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安全事件处理：发现安全事件后，立即隔离受影响系统，防止事件扩大；收集日志，定位攻击源与影响范围；修复漏洞，恢复系统与数据；分析原因并制定预防措施。</w:t>
            </w:r>
          </w:p>
          <w:p w14:paraId="326DE1DB">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(4)故障处理服务 </w:t>
            </w:r>
          </w:p>
          <w:p w14:paraId="0880FCED">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提供7*24小时服务电话，及时在线对接处理发生的故障。为了保障重要系统的服务，采用主备的两人互备在线值班模式。反馈问题后即刻组织运维团队进行平台维护，保障系统的稳定提供服务。要求提供随时服务1项。</w:t>
            </w:r>
          </w:p>
        </w:tc>
      </w:tr>
      <w:tr w14:paraId="4F53B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3" w:type="dxa"/>
            <w:vMerge w:val="continue"/>
            <w:vAlign w:val="center"/>
          </w:tcPr>
          <w:p w14:paraId="4DFCD0C1">
            <w:pPr>
              <w:spacing w:line="380" w:lineRule="exact"/>
              <w:jc w:val="center"/>
              <w:rPr>
                <w:rFonts w:ascii="宋体" w:hAnsi="宋体" w:cs="宋体"/>
                <w:color w:val="auto"/>
                <w:szCs w:val="21"/>
                <w:highlight w:val="none"/>
              </w:rPr>
            </w:pPr>
          </w:p>
        </w:tc>
        <w:tc>
          <w:tcPr>
            <w:tcW w:w="434" w:type="dxa"/>
            <w:vAlign w:val="center"/>
          </w:tcPr>
          <w:p w14:paraId="735D954B">
            <w:pPr>
              <w:spacing w:line="38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1.5</w:t>
            </w:r>
          </w:p>
        </w:tc>
        <w:tc>
          <w:tcPr>
            <w:tcW w:w="924" w:type="dxa"/>
            <w:vAlign w:val="center"/>
          </w:tcPr>
          <w:p w14:paraId="4B524D04">
            <w:pPr>
              <w:snapToGrid w:val="0"/>
              <w:jc w:val="center"/>
              <w:outlineLvl w:val="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广西信访网站群</w:t>
            </w:r>
          </w:p>
        </w:tc>
        <w:tc>
          <w:tcPr>
            <w:tcW w:w="576" w:type="dxa"/>
            <w:gridSpan w:val="2"/>
            <w:vAlign w:val="center"/>
          </w:tcPr>
          <w:p w14:paraId="0E9119FE">
            <w:pPr>
              <w:snapToGrid w:val="0"/>
              <w:jc w:val="center"/>
              <w:outlineLvl w:val="0"/>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1项</w:t>
            </w:r>
          </w:p>
        </w:tc>
        <w:tc>
          <w:tcPr>
            <w:tcW w:w="7293" w:type="dxa"/>
            <w:vAlign w:val="center"/>
          </w:tcPr>
          <w:p w14:paraId="32BA6002">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一、运维范围</w:t>
            </w:r>
          </w:p>
          <w:p w14:paraId="5B9B243B">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1）运维对象：包括15个信访门户网站、广西信访微信公众号、广西信访APP的运维、推广及内容制作费（图片、视频及Flash制作等）。</w:t>
            </w:r>
          </w:p>
          <w:p w14:paraId="447CC041">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代码升级：对现在自治区信访局使用的15个信访门户网站、微信公众号、广西信访APP进行代码级维护，当业务需要变更或者发现使用异常时，可以深入代码级的排查和代码开发，尽快根据需求升级以上系统，保障各系统的稳定运行。</w:t>
            </w:r>
          </w:p>
          <w:p w14:paraId="27DEAE03">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二、常规化运维服务</w:t>
            </w:r>
          </w:p>
          <w:p w14:paraId="4C3EB41E">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 账号运维及咨询服务</w:t>
            </w:r>
          </w:p>
          <w:p w14:paraId="366F1569">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账号维护：负责自治区及 13 地市信访局账号管理，按角色划分权限，提供用户新增、删除、停用、启用等服务，通过精细化权限管控提升平台安全与管理效率。</w:t>
            </w:r>
          </w:p>
          <w:p w14:paraId="78150197">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业务咨询：为网站管理人员提供操作、数据维护、系统模块、业务流程、新功能及信访件处理等实时答疑与指导。</w:t>
            </w:r>
          </w:p>
          <w:p w14:paraId="67C9FF4E">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 系统培训服务</w:t>
            </w:r>
          </w:p>
          <w:p w14:paraId="2E82F8CF">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现场培训：按使用单位需求不定期开展，每年至少 1 次，帮助用户熟练使用网上信访门户网站功能。</w:t>
            </w:r>
          </w:p>
          <w:p w14:paraId="0F0C9F7E">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网络培训：每年至少 1 次，梳理常见问题并制作操作视频，通过远程方式提供指导。</w:t>
            </w:r>
          </w:p>
          <w:p w14:paraId="21C499D8">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 系统监控与告警服务</w:t>
            </w:r>
          </w:p>
          <w:p w14:paraId="5B716750">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门户网站全年不间断运行，每日早晚各检测 1 次，全年共 730 次监控，覆盖 14 个门户网站、公众号、APP 及各层级运行状态。</w:t>
            </w:r>
          </w:p>
          <w:p w14:paraId="26F809DA">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基础设施监控：全年 248 个工作日监测服务器 CPU≤80%、内存≤85%、磁盘≤90%。</w:t>
            </w:r>
          </w:p>
          <w:p w14:paraId="427960CB">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应用层监控：监控接口响应≤3s、成功率≥99.9% 及应用进程运行状态。</w:t>
            </w:r>
          </w:p>
          <w:p w14:paraId="210EAAD4">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数据层监控：监控数据库连接、SQL 响应、数据同步及备份完成状态。</w:t>
            </w:r>
          </w:p>
          <w:p w14:paraId="360F94E2">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业务层监控：每日 2 次核查核心业务提交、系统访问成功率，保障服务可用。</w:t>
            </w:r>
          </w:p>
          <w:p w14:paraId="5652F73B">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 系统更新回退</w:t>
            </w:r>
          </w:p>
          <w:p w14:paraId="00B9611C">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根据业务需求提供版本更新、版本回滚及服务器重新部署服务。</w:t>
            </w:r>
          </w:p>
          <w:p w14:paraId="218F1518">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 安全运维服务</w:t>
            </w:r>
          </w:p>
          <w:p w14:paraId="157C9E3D">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漏洞管理：提供源码级漏洞修复，不限次数，修复后验证可用性。</w:t>
            </w:r>
          </w:p>
          <w:p w14:paraId="433912C0">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权限管理：遵循最小权限原则，每月排查账号，清理冗余账号，全年不少于 12 次。</w:t>
            </w:r>
          </w:p>
          <w:p w14:paraId="16D032F6">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安全事件处理：发生安全事件时立即隔离、溯源、修复并制定防范措施。</w:t>
            </w:r>
          </w:p>
          <w:p w14:paraId="42DFE815">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 故障处理服务</w:t>
            </w:r>
          </w:p>
          <w:p w14:paraId="6C9960AD">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提供 7×24 小时故障受理电话，采用双人主备值班模式，接到报障立即处置，保障平台稳定运行。</w:t>
            </w:r>
          </w:p>
          <w:p w14:paraId="7303A603">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 数据库运维服务</w:t>
            </w:r>
          </w:p>
          <w:p w14:paraId="1B08608D">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数据库监控：365 天监控性能、连接、空间，工作日现场值守，非工作日远程监控。</w:t>
            </w:r>
          </w:p>
          <w:p w14:paraId="79ED1F44">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备份恢复：每月备份并异地存储，每月开展恢复验证，全年不少于 12 次演练，异常可随时恢复。</w:t>
            </w:r>
          </w:p>
          <w:p w14:paraId="3ED1BC15">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安全管理：严格权限分配、敏感数据加密、安全审计，每周权限审查，全年不少于 48 次。</w:t>
            </w:r>
          </w:p>
          <w:p w14:paraId="2B6DD1B3">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性能优化：每月开展查询、索引及参数优化，跟踪优化效果，全年不少于 12 次。</w:t>
            </w:r>
          </w:p>
          <w:p w14:paraId="7F16D01B">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三、业务功能调整维护及攻防演练</w:t>
            </w:r>
          </w:p>
          <w:p w14:paraId="47C25582">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 节日主题设计及更换</w:t>
            </w:r>
          </w:p>
          <w:p w14:paraId="1385B1CD">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完成春节、五一、国庆网站主题设计，更新背景及模块样式，节日后恢复原风格。</w:t>
            </w:r>
          </w:p>
          <w:p w14:paraId="477B8D0E">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 系统其他维护服务</w:t>
            </w:r>
          </w:p>
          <w:p w14:paraId="1B89332F">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敏感信访件屏蔽：对指定信件前端不展示，统一调整网站、APP、公众号、查询机显示逻辑。</w:t>
            </w:r>
          </w:p>
          <w:p w14:paraId="569BDC01">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领导信息优化：调整后台发布及前端展示样式，按要求优化展示内容。</w:t>
            </w:r>
          </w:p>
          <w:p w14:paraId="67BC8039">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查询展示优化：网站、APP、公众号统一将国家内部处室名称统一显示为 “国家信访局”。</w:t>
            </w:r>
          </w:p>
          <w:p w14:paraId="660A3DF7">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调解和解信息展示：在多端新增显示调解和解信息及附件，适配国家数据交换要求。</w:t>
            </w:r>
          </w:p>
          <w:p w14:paraId="66B54C66">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民呼我应服务：完成页面设计、数据迁移、导航配置、分级展示，并同步支持公众号与 APP。</w:t>
            </w:r>
          </w:p>
          <w:p w14:paraId="461F9A88">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营商环境优化：在多端新增营商信访入口，完成数据转存及门户首页排版优化。</w:t>
            </w:r>
          </w:p>
          <w:p w14:paraId="0BEA178E">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 外部网站信访入口维护</w:t>
            </w:r>
          </w:p>
          <w:p w14:paraId="47E346B2">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为自治区及多地市政府网站、相关厅局网站提供信访入口对接、链接更新与维护。</w:t>
            </w:r>
          </w:p>
          <w:p w14:paraId="731FD8E0">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 攻防演练防护</w:t>
            </w:r>
          </w:p>
          <w:p w14:paraId="576666F6">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配合年度全区攻防演练，实时监控日志与数据库，防范攻击，保障系统与数据安全。</w:t>
            </w:r>
          </w:p>
          <w:p w14:paraId="0D993142">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四、发布运营支撑服务</w:t>
            </w:r>
          </w:p>
          <w:p w14:paraId="0822F2FC">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 会议服务与拍照：专人提供会议全程支撑与拍照，每周约 5 次，确保照片符合归档与宣传标准。</w:t>
            </w:r>
          </w:p>
          <w:p w14:paraId="1222A4DD">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 网站文章发布：每年发布编辑文章约 240 篇，提供标题、正文、排版、定时推送等服务。每年修改文章约 120 次，7×24 小时响应文章删除需求。</w:t>
            </w:r>
          </w:p>
          <w:p w14:paraId="05DCE569">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 公众号发布：每年发布排版推文约 48 篇，支持图文、视频等形式，必要时提供前端代码支持。</w:t>
            </w:r>
          </w:p>
          <w:p w14:paraId="0BE08662">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 PPT 制作：全年提供 PPT 制作与美化约 36 次，满足汇报、交流等使用场景。</w:t>
            </w:r>
          </w:p>
          <w:p w14:paraId="112BFBA9">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 图片处理：按规范完成会议及宣传图片裁剪、调色、修复等处理，全年约 288 次。</w:t>
            </w:r>
          </w:p>
          <w:p w14:paraId="1096EF76">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 视频剪辑：负责接访、宣传、培训等视频剪辑，确保合规、保密、画面规范并完成归档。</w:t>
            </w:r>
          </w:p>
        </w:tc>
      </w:tr>
      <w:tr w14:paraId="16715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3" w:type="dxa"/>
            <w:vMerge w:val="continue"/>
            <w:vAlign w:val="center"/>
          </w:tcPr>
          <w:p w14:paraId="437E658A">
            <w:pPr>
              <w:spacing w:line="380" w:lineRule="exact"/>
              <w:jc w:val="center"/>
              <w:rPr>
                <w:rFonts w:ascii="宋体" w:hAnsi="宋体" w:cs="宋体"/>
                <w:color w:val="auto"/>
                <w:szCs w:val="21"/>
                <w:highlight w:val="none"/>
              </w:rPr>
            </w:pPr>
          </w:p>
        </w:tc>
        <w:tc>
          <w:tcPr>
            <w:tcW w:w="434" w:type="dxa"/>
            <w:vAlign w:val="center"/>
          </w:tcPr>
          <w:p w14:paraId="72E44AD2">
            <w:pPr>
              <w:spacing w:line="38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1.6</w:t>
            </w:r>
          </w:p>
        </w:tc>
        <w:tc>
          <w:tcPr>
            <w:tcW w:w="924" w:type="dxa"/>
            <w:vAlign w:val="center"/>
          </w:tcPr>
          <w:p w14:paraId="5A9CB60F">
            <w:pPr>
              <w:snapToGrid w:val="0"/>
              <w:jc w:val="center"/>
              <w:outlineLvl w:val="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数据交换平台</w:t>
            </w:r>
          </w:p>
        </w:tc>
        <w:tc>
          <w:tcPr>
            <w:tcW w:w="576" w:type="dxa"/>
            <w:gridSpan w:val="2"/>
            <w:vAlign w:val="center"/>
          </w:tcPr>
          <w:p w14:paraId="0C2D5A3F">
            <w:pPr>
              <w:snapToGrid w:val="0"/>
              <w:jc w:val="center"/>
              <w:outlineLvl w:val="0"/>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1项</w:t>
            </w:r>
          </w:p>
        </w:tc>
        <w:tc>
          <w:tcPr>
            <w:tcW w:w="7293" w:type="dxa"/>
            <w:vAlign w:val="center"/>
          </w:tcPr>
          <w:p w14:paraId="07626837">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数据交换平台的维护包括与国家信访局数据、住建厅数据、司法厅数据、自治区人大四个数据交换系统的维护，需要保障各类数据的定期交换。每周进行各系统件的数据进行抽查核验，保障各系统件的数据的准确进行。当交换发生异常时，运维人员随时进行接入排查异常原因，并维护优化交换业务逻辑，重新交换准确完整的数据。</w:t>
            </w:r>
          </w:p>
          <w:p w14:paraId="2FA130FA">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▲代码升级维护：如涉及代码更新，需在现在自治区信访局使用的数据交换平台的基础上进行维护和代码更新。</w:t>
            </w:r>
          </w:p>
          <w:p w14:paraId="46A155FC">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需要对四个交换平台对外交换出去和交换回来的数据进行维护，各系统件需要交互的数据包括但不限于以下37类数据：</w:t>
            </w:r>
          </w:p>
          <w:p w14:paraId="275CA8AD">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1.信访件互通</w:t>
            </w:r>
          </w:p>
          <w:p w14:paraId="745B92C3">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信访件互通包括自治区信访局系统（下称“信访系统”）通过接口按国家信访局信访件标准80个以上字段、自治区信访局补充13个字段，传输给自治区司法厅系统（下称“本系统”）。</w:t>
            </w:r>
          </w:p>
          <w:p w14:paraId="382D98FA">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信访件互通还包括本系统通过接口按照与自治区信访局双方认可的字段并按照规范进行数据交换到自治区信访局系统。</w:t>
            </w:r>
          </w:p>
          <w:p w14:paraId="511A7D99">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2.信访人及备份信息互通</w:t>
            </w:r>
          </w:p>
          <w:p w14:paraId="7107A463">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在信访系统传输到本系统或本系统传输给信访系统时，传输的信访人数据与信访件数据都是成对传输的，所以在传输信访件时，还需要同时传输信访人信息，并在本系统入库时进行数据校验，数据缺一不可。</w:t>
            </w:r>
          </w:p>
          <w:p w14:paraId="1BC56DFB">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3.附件互通</w:t>
            </w:r>
          </w:p>
          <w:p w14:paraId="6555F78D">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信访件互相传输时，如果附带有附件信息时，还需要将附件通过约定的方式进行数据传输到对方的系统中。</w:t>
            </w:r>
          </w:p>
          <w:p w14:paraId="2B412A83">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4.办理流程信息互通</w:t>
            </w:r>
          </w:p>
          <w:p w14:paraId="5B1ADDB8">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对各单位之间办理流程信息进行互相同步，实现办理信息系统件同步的功能</w:t>
            </w:r>
          </w:p>
          <w:p w14:paraId="5E435EB6">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5.办理流程回退信息互通</w:t>
            </w:r>
          </w:p>
          <w:p w14:paraId="1C282E93">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对于各单位之间办理信访件流程进行回退的过程进行记录和同步，实现单位之间的同步。</w:t>
            </w:r>
          </w:p>
          <w:p w14:paraId="0F39EBD4">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6.待办信息互通</w:t>
            </w:r>
          </w:p>
          <w:p w14:paraId="50604192">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各单位账户之间的待办信息进行实时共享，保证数据的实时同步。</w:t>
            </w:r>
          </w:p>
          <w:p w14:paraId="40F44902">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7.已办信息互通</w:t>
            </w:r>
          </w:p>
          <w:p w14:paraId="76A2678B">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各单位账户之间的已办信息进行实时共享，保证数据的实时同步。</w:t>
            </w:r>
          </w:p>
          <w:p w14:paraId="12E3AFAA">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8.拟办信息互通</w:t>
            </w:r>
          </w:p>
          <w:p w14:paraId="606616E1">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各单位对信访件的拟办信息进行实时共享，保证数据的同步。</w:t>
            </w:r>
          </w:p>
          <w:p w14:paraId="41A70236">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9.告知互通</w:t>
            </w:r>
          </w:p>
          <w:p w14:paraId="6C773429">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当信访系统中存在信访部门办理的告知信息时，需要将对应的告知信息以及对应的内部指示信息传输到司法系统中，以便司法经办人更好的办理信访件。</w:t>
            </w:r>
          </w:p>
          <w:p w14:paraId="6682FD98">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当司法系统中办理信访件后，如果产生了告知信息，需要及时的将告知信息传输到信访系统中，以便受理率及时达成。</w:t>
            </w:r>
          </w:p>
          <w:p w14:paraId="2CB49FD9">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10.答复互通</w:t>
            </w:r>
          </w:p>
          <w:p w14:paraId="6DA9F21D">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当司法系统中办理信访件后，如果产生了答复信息，预示着信访件办理完成，需要及时的将答复信息传输到信访系统中，以便办结率及时达成。</w:t>
            </w:r>
          </w:p>
          <w:p w14:paraId="6D0D54D2">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11.答复评查申请信息互通</w:t>
            </w:r>
          </w:p>
          <w:p w14:paraId="55761548">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在信访业务流程中所涉及的答复评查申请信息，需实现各相关部门及环节之间的顺畅互通，确保信息能够及时、准确、完整地在不同业务主体间传递与共享，以此助力对答复内容进行全面、深入且高效的评查工作，让评查流程基于充分的信息支撑得以顺利推进 。</w:t>
            </w:r>
          </w:p>
          <w:p w14:paraId="07F29B94">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12.答复评查审批信息互通</w:t>
            </w:r>
          </w:p>
          <w:p w14:paraId="4503CAF8">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在信访业务流程中所涉及的答复评查审批信息，需实现各相关部门及环节之间的顺畅互通，确保信息能够及时、准确、完整地在不同业务主体间传递与共享，以此助力对答复内容进行全面、深入且高效的评查工作，让评查流程基于充分的信息支撑得以顺利推进 。</w:t>
            </w:r>
          </w:p>
          <w:p w14:paraId="57453DA3">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13.汇报互通</w:t>
            </w:r>
          </w:p>
          <w:p w14:paraId="2FC00A02">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当信访系统交办信访件到司法系统后，司法办理完成信访件后，需要进一步上传报告回复信访系统，产生报告后通过接口传输回复信访系统。</w:t>
            </w:r>
          </w:p>
          <w:p w14:paraId="343335FD">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14.依法分类处理信息互通</w:t>
            </w:r>
          </w:p>
          <w:p w14:paraId="2BBB981D">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当司法系统中按照其他法定途径办理信访件后，产生依法分类处理信息，需要及时的将依法分类处理信息传输到信访系统中，以便办结率及时达成。</w:t>
            </w:r>
          </w:p>
          <w:p w14:paraId="418802D3">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15.督办提醒信息互通</w:t>
            </w:r>
          </w:p>
          <w:p w14:paraId="178D6852">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各单位对信访件的督办信息进行实时双向同步，提升工作效率，避免信访案件因拖延而积压，保障信访工作流程的顺畅运行。</w:t>
            </w:r>
          </w:p>
          <w:p w14:paraId="7A37A7B8">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16.回访情况信息互通</w:t>
            </w:r>
          </w:p>
          <w:p w14:paraId="7A20B851">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各单位对信访件的回访情况信息进行实时共享，保证数据的同步。</w:t>
            </w:r>
          </w:p>
          <w:p w14:paraId="344A378F">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17.延期申请信息互通</w:t>
            </w:r>
          </w:p>
          <w:p w14:paraId="72FE031E">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各单位对信访件的延期申请信息进行实时共享，保证数据的同步。</w:t>
            </w:r>
          </w:p>
          <w:p w14:paraId="7CC4D0A7">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18.监督追责信息互通</w:t>
            </w:r>
          </w:p>
          <w:p w14:paraId="6096834F">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为及时了解掌握信访部门和纪检监察机关监督追责情况，各单位对信访件的监督追责信息进行实时共享，保证数据的同步。</w:t>
            </w:r>
          </w:p>
          <w:p w14:paraId="2E623EF2">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19.复查复核信息互通</w:t>
            </w:r>
          </w:p>
          <w:p w14:paraId="2080DE73">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各单位对信访件的复查或者复核信息进行实时共享，保证数据的同步。</w:t>
            </w:r>
          </w:p>
          <w:p w14:paraId="65FBD118">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20.复查复核申请信息互通</w:t>
            </w:r>
          </w:p>
          <w:p w14:paraId="7BDB3C97">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各单位对信访人在门户网站中进行申请复查或者复核的申请记录进行实时共享，保证数据的同步。</w:t>
            </w:r>
          </w:p>
          <w:p w14:paraId="7A339012">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21.复查复核移交信息互通</w:t>
            </w:r>
          </w:p>
          <w:p w14:paraId="7B6E57D8">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各单位对信访人在门户网站中申请复查或者复核的预处理信息进行实时共享，保证数据的同步。</w:t>
            </w:r>
          </w:p>
          <w:p w14:paraId="0FEE167C">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22.调解和解信息互通</w:t>
            </w:r>
          </w:p>
          <w:p w14:paraId="3FF1F6BF">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为掌握了解办理信访事项调解和解情况，各单位对信访件相关的调解和解信息进行实时共享，保证数据的同步。</w:t>
            </w:r>
          </w:p>
          <w:p w14:paraId="4C2017D9">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23.领导接访下访信息互通</w:t>
            </w:r>
          </w:p>
          <w:p w14:paraId="3991EB19">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根据考核要求，及时了解各地区各部门领导干部接访下访情况，各单位对信访件相关的领导接访下访信息进行实时共享，保证数据的同步。</w:t>
            </w:r>
          </w:p>
          <w:p w14:paraId="177B38DA">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24.维护秩序信息互通</w:t>
            </w:r>
          </w:p>
          <w:p w14:paraId="4BEA4137">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为掌握了解办理信访事项维护秩序时采取的相关措施，各单位对信访件相关的维护秩序信息进行实时共享，保证数据的同步。</w:t>
            </w:r>
          </w:p>
          <w:p w14:paraId="440F9A43">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25.信访业务申请申诉信息互通</w:t>
            </w:r>
          </w:p>
          <w:p w14:paraId="1B4C201A">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各单位对信访件相关的信访业务申请申诉信息进行实时共享，保证数据的同步。</w:t>
            </w:r>
          </w:p>
          <w:p w14:paraId="4207ADCF">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26.来访评价信息互通</w:t>
            </w:r>
          </w:p>
          <w:p w14:paraId="390AAB2A">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各单位对信访件相关的来访评价信息进行实时共享，保证数据的同步。</w:t>
            </w:r>
          </w:p>
          <w:p w14:paraId="14597372">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27.领导包案信息互通</w:t>
            </w:r>
          </w:p>
          <w:p w14:paraId="2EF25E87">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各单位对信访件相关的领导包案信息进行实时共享，保证数据的同步。</w:t>
            </w:r>
          </w:p>
          <w:p w14:paraId="5B0C0BE7">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28.领导留言板信息互通</w:t>
            </w:r>
          </w:p>
          <w:p w14:paraId="32A9D6DF">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领导留言件信息是网民在人民网门户网站中提交的个人信息以及诉求内容，领导留言件信息进行实时共享，保证数据的同步。</w:t>
            </w:r>
          </w:p>
          <w:p w14:paraId="4EC829E8">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29.领导留言板评价信息互通</w:t>
            </w:r>
          </w:p>
          <w:p w14:paraId="043B5FC2">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领导留言板评价信息是网民在人民网门户网站中对各单位的回复内容进行的评价信息，实现领导留言板评价信息实时共享，保证数据的同步。</w:t>
            </w:r>
          </w:p>
          <w:p w14:paraId="58507E4F">
            <w:pPr>
              <w:pStyle w:val="22"/>
              <w:spacing w:line="360" w:lineRule="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lang w:eastAsia="zh-CN"/>
              </w:rPr>
              <w:t>.领导留言板配置信息互通</w:t>
            </w:r>
          </w:p>
          <w:p w14:paraId="1D201E60">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领导留言板配置信息主要是各级领导留言件对应的初审部门、复审部门做配置，保证责任部门提交回复内容到做对应的初审、复审部门进行审批。实现领导留言板配置信息实时共享，保证数据的同步。</w:t>
            </w:r>
          </w:p>
          <w:p w14:paraId="3FFB14E9">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.领导留言板协办信息互通</w:t>
            </w:r>
          </w:p>
          <w:p w14:paraId="528FBC7B">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各单位对信访件相关的领导留言件协办信息进行实时共享，保证数据的同步。</w:t>
            </w:r>
          </w:p>
          <w:p w14:paraId="1B54C592">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.领导留言板审批信息互通</w:t>
            </w:r>
          </w:p>
          <w:p w14:paraId="4765BF5A">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各单位对信访件相关的领导留言件审批信息进行实时共享，保证数据的同步。</w:t>
            </w:r>
          </w:p>
          <w:p w14:paraId="4A4C2B6D">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.领导留言板延期申请审批信息互通</w:t>
            </w:r>
          </w:p>
          <w:p w14:paraId="020E69B2">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各单位对信访件相关的领导留言件延期申请信息进行实时共享，保证数据的同步。</w:t>
            </w:r>
          </w:p>
          <w:p w14:paraId="5CBA3845">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.特殊工作日、休息日配置信息互通</w:t>
            </w:r>
          </w:p>
          <w:p w14:paraId="5061CC8C">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特殊工作日、休息日配置是对国家法定节假日日期做配置，领导留言件办理期限以工作日来计算，特殊工作日、休息日配置为系统计算领导留言件限办截止时间做数据基础。对特殊工作日、休息日信息进行实时共享，保证数据的同步。</w:t>
            </w:r>
          </w:p>
          <w:p w14:paraId="480C6A7C">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.满意度互通</w:t>
            </w:r>
          </w:p>
          <w:p w14:paraId="5FE4E1F4">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当信访件为满意度件时，需要将满意度的相关信息通过接口的方式，互相同步到对方的系统中。</w:t>
            </w:r>
          </w:p>
          <w:p w14:paraId="5710ED2E">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.评价互通</w:t>
            </w:r>
          </w:p>
          <w:p w14:paraId="68BACB15">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当信访件为满意度件时，信访人评价之后，需要将满意度的评价信息通过接口的方式，互相同步到对方的系统中。</w:t>
            </w:r>
          </w:p>
          <w:p w14:paraId="37317404">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.积案信息互通</w:t>
            </w:r>
          </w:p>
          <w:p w14:paraId="5290E4C8">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当信访系统存在积案信访件需要司法体系办理时，需要将积案信息的信访件、办理指示信息传输到司法系统中，以便更好的办理积案。积案完成后，需要将积案办理的专属材料传输到信访系统中，以便完成积案的化解。</w:t>
            </w:r>
          </w:p>
        </w:tc>
      </w:tr>
      <w:tr w14:paraId="76DB6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3" w:type="dxa"/>
            <w:vMerge w:val="continue"/>
            <w:vAlign w:val="center"/>
          </w:tcPr>
          <w:p w14:paraId="0DE860EC">
            <w:pPr>
              <w:spacing w:line="380" w:lineRule="exact"/>
              <w:jc w:val="center"/>
              <w:rPr>
                <w:rFonts w:ascii="宋体" w:hAnsi="宋体" w:cs="宋体"/>
                <w:color w:val="auto"/>
                <w:szCs w:val="21"/>
                <w:highlight w:val="none"/>
              </w:rPr>
            </w:pPr>
          </w:p>
        </w:tc>
        <w:tc>
          <w:tcPr>
            <w:tcW w:w="434" w:type="dxa"/>
            <w:vAlign w:val="center"/>
          </w:tcPr>
          <w:p w14:paraId="05E8EAA3">
            <w:pPr>
              <w:spacing w:line="380" w:lineRule="exact"/>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2</w:t>
            </w:r>
          </w:p>
        </w:tc>
        <w:tc>
          <w:tcPr>
            <w:tcW w:w="924" w:type="dxa"/>
            <w:vAlign w:val="center"/>
          </w:tcPr>
          <w:p w14:paraId="364B0ECF">
            <w:pPr>
              <w:snapToGrid w:val="0"/>
              <w:jc w:val="center"/>
              <w:outlineLvl w:val="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大数据平台</w:t>
            </w:r>
          </w:p>
        </w:tc>
        <w:tc>
          <w:tcPr>
            <w:tcW w:w="576" w:type="dxa"/>
            <w:gridSpan w:val="2"/>
            <w:vAlign w:val="center"/>
          </w:tcPr>
          <w:p w14:paraId="72752704">
            <w:pPr>
              <w:snapToGrid w:val="0"/>
              <w:jc w:val="center"/>
              <w:outlineLvl w:val="0"/>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1项</w:t>
            </w:r>
          </w:p>
        </w:tc>
        <w:tc>
          <w:tcPr>
            <w:tcW w:w="7293" w:type="dxa"/>
            <w:vAlign w:val="center"/>
          </w:tcPr>
          <w:p w14:paraId="0180D5FC">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一、总体服务要求：</w:t>
            </w:r>
          </w:p>
          <w:p w14:paraId="4DF6A15E">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1、运维方式、周期及要求</w:t>
            </w:r>
          </w:p>
          <w:p w14:paraId="6A2104F2">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1）运维方式：自治区信访局驻点运维，对全区提供电话、微信、QQ等方式提供运维，对自治区信访局用户提供面对面的方式服务。</w:t>
            </w:r>
          </w:p>
          <w:p w14:paraId="26122CC3">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2）运维周期：系统运维时间为该系统上一年运维期结束之日起1年。</w:t>
            </w:r>
          </w:p>
          <w:p w14:paraId="0870EF3E">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3）运维要求：现场驻点运维时间：工作日提供5*8小时（8:00-12:00、14:30-18:30）的现场运维；工作日18:30-次日8:30及节假日24小时提供电话或远程技术支持服务。远程运维s时间：7*24小时电话或远程技术支持服务。</w:t>
            </w:r>
          </w:p>
          <w:p w14:paraId="6A9392DA">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2、运维服务团队</w:t>
            </w:r>
          </w:p>
          <w:p w14:paraId="4B268CF5">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为确保运维服务的及时性，成立专门的运维服务团队，应包含管理人员、高级开发人员、驻场运维兼客服人员等，并建立运维汇报机制。服务商驻场团队必须制定内部的管理制度，明确工作职责，建立良好的沟通机制。</w:t>
            </w:r>
          </w:p>
          <w:p w14:paraId="3FC359E4">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（1）人员配备</w:t>
            </w:r>
          </w:p>
          <w:p w14:paraId="3838B261">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▲驻点人员数量不少于3人，包括具备相关开发年限在3-5年以上的</w:t>
            </w:r>
            <w:r>
              <w:rPr>
                <w:rFonts w:hint="eastAsia" w:ascii="宋体" w:hAnsi="宋体" w:cs="宋体"/>
                <w:color w:val="auto"/>
                <w:sz w:val="21"/>
                <w:szCs w:val="21"/>
                <w:highlight w:val="none"/>
                <w:lang w:eastAsia="zh-CN"/>
              </w:rPr>
              <w:t>系统开发</w:t>
            </w:r>
            <w:r>
              <w:rPr>
                <w:rFonts w:hint="eastAsia" w:ascii="宋体" w:hAnsi="宋体" w:eastAsia="宋体" w:cs="宋体"/>
                <w:color w:val="auto"/>
                <w:sz w:val="21"/>
                <w:szCs w:val="21"/>
                <w:highlight w:val="none"/>
                <w:lang w:eastAsia="zh-CN"/>
              </w:rPr>
              <w:t>工程师2名，运维工程师1名；</w:t>
            </w:r>
          </w:p>
          <w:p w14:paraId="14607B34">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远程服务人员为项目实施人员，非运维开发人员及驻场技术人员；驻点及远程运维人员合同期内原则上不允许更换，如有变动，须提前一周与所服务单位负责人进行书面沟通并达成一致。</w:t>
            </w:r>
          </w:p>
          <w:p w14:paraId="662665BE">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（2）运维问题定期汇报机制</w:t>
            </w:r>
          </w:p>
          <w:p w14:paraId="209AFBC7">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每天下班前技术人员将当天已解决的问题，及时反馈汇报给管理人员；对超时未完成问题，管理人员定期将问题处理完成进度汇报给信息中心。</w:t>
            </w:r>
          </w:p>
          <w:p w14:paraId="29492AE9">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（3）严重问题升级机制</w:t>
            </w:r>
          </w:p>
          <w:p w14:paraId="14CE63C9">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针对中病毒、数据丢失、服务器崩溃、应用崩溃、数据库崩溃等严重问题需要把问题及时（30min内）升级到信息中心和运维团队高层领导，便于协调资源及时解决问题。</w:t>
            </w:r>
          </w:p>
          <w:p w14:paraId="5153D88B">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（4）驻场服务人员管理</w:t>
            </w:r>
          </w:p>
          <w:p w14:paraId="69D6DC72">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驻场服务人员应服从服务单位的礼仪规范与人员管理制度，按时上下班。针对全区服务建立单独的QQ运维群、微信和专属电话。</w:t>
            </w:r>
          </w:p>
          <w:p w14:paraId="101FD33B">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3、运维范围</w:t>
            </w:r>
          </w:p>
          <w:p w14:paraId="6E864346">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运维对象为全区信访大数据平台，其中内容包括新数据规范支持、升级完善分析模型、数据安全、业务接口、数据统计、日常运维等各种内容。</w:t>
            </w:r>
          </w:p>
          <w:p w14:paraId="55CFC979">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代码升级：根据国家信访局、自治区大数据局的业务要求，在现有系统基础上进行代码开发，调整数据接口，同时根据自治区信访局的业务需求进行数据分析模型的代码优化，并根据领导意图调整展示面板等，使得大数据平台可以更好的为自治区信访局及各地市领导进行数据的分析、研判和为决策提供有效的支撑。</w:t>
            </w:r>
          </w:p>
          <w:p w14:paraId="0D67397C">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2）数据安全防护：大数据平台是所有信访信访数据的集中地，服务方需要对系统数据的进行安全防护，避免数据的泄漏和丢失。</w:t>
            </w:r>
          </w:p>
          <w:p w14:paraId="3B623637">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业务接口：大数据分析平台与网上信访信息管理系统、公安厅等多个系统保持着业务接口互通的功能，服务商驻场团队需要对业务接口进行维护，包括发生数据交换异常或者业务逻辑变化等情况，具备在现有系统代码基础上进行代码级排查和开发的能力，24小时内完成BUG的修复或者及时进行功能开发并上线到系统中，保障接口的稳定运行。</w:t>
            </w:r>
          </w:p>
          <w:p w14:paraId="07672899">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4）日常运维：包括日常系统保障维护、巡检、用户使用问题处理、问题收集等方面内容。</w:t>
            </w:r>
          </w:p>
          <w:p w14:paraId="30BAF0DD">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二、服务内容</w:t>
            </w:r>
          </w:p>
          <w:p w14:paraId="4F672876">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1、机构账号运维服务</w:t>
            </w:r>
          </w:p>
          <w:p w14:paraId="6ECF701B">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1）账号维护服务负责维护自治区信访局、全区 14 个地市信访局以及各级使用单位的系统账号，按照管理员、普通用户、查询用户等不同角色进行精细化权限划分，提供用户信息新增、信息修改、账号删除、临时停用、重新启用等全生命周期技术服务。通过严格、规范的权限管控机制，有效提升平台整体运行安全性与业务管理效率。服务周期内，面向全广西使用大数据平台的各级单位用户提供账号相关服务不少于 365 次，单次服务时长约 0.5 小时，确保账号问题及时响应、快速处理。</w:t>
            </w:r>
          </w:p>
          <w:p w14:paraId="59AAA13C">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2）机构维护服务提供 5×8 小时现场驻场运维服务，非工作时间根据突发需求随时提供应急现场支持，同时保持 7×24 小时电话在线服务。负责维护自治区信访局、区直相关单位、14 个地市信访部门以及 110 个县（市、区）信访机构的基础信息，支持机构信息创建、信息修改、机构删除、单位负责人变更、联系方式更新等操作。通过机构信息规范化管理与权限精细化控制，进一步提升平台数据准确性、系统安全性和业务管理效率。服务周期内，为全区信访系统 8000 余家使用单位提供机构维护服务不少于 200 次，单次服务时长约 0.5 小时。</w:t>
            </w:r>
          </w:p>
          <w:p w14:paraId="217204AA">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2、业务咨询服务</w:t>
            </w:r>
          </w:p>
          <w:p w14:paraId="69297EF7">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提供 5×8 小时驻场值班服务，非工作时间可根据紧急需求随时赶赴现场提供运维支持，并保持 7×24 小时电话在线咨询服务。针对系统管理人员在日常使用过程中遇到的各类问题提供实时响应、答疑与操作指导，具体包括：系统功能操作疑问、数据统计规则与方式、技术类问题排查、各模块使用方法、业务流程咨询、各类报表处理、相关文档编写、数据汇总与统计、数据流转逻辑、流程退回与重办、系统使用规范及相关业务政策解读等，确保用户能够顺畅、高效使用系统。</w:t>
            </w:r>
          </w:p>
          <w:p w14:paraId="76EFF59B">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3、运维培训服务</w:t>
            </w:r>
          </w:p>
          <w:p w14:paraId="6C735600">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面向全区系统用户提供信访大数据平台软件及相关应用系统的专业技术培训服务。由具备扎实专业知识、丰富实战经验和项目实施经验的驻场技术团队承担培训工作，培训内容覆盖平台日常操作使用、考核数据统计规则、数据研判分析方法、数据钻取查看、指标理解与应用等核心内容。根据实际使用需求与组织形式，可灵活提供现场集中培训与网络远程线上培训两种模式，确保各级用户能够熟练掌握系统操作，满足日常业务办理与数据监管需求。</w:t>
            </w:r>
          </w:p>
          <w:p w14:paraId="0FDE4B3A">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4、系统监控与告警服务</w:t>
            </w:r>
          </w:p>
          <w:p w14:paraId="2EA0F4F4">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每年按照 248 个正常工作日计算，安排专人对平台进行全方位运行监控，及时发现隐患并处置：1）基础设施监控：实时监控服务器 CPU 使用率（≤80%）、内存使用率（≤85%）、磁盘空间使用率（≤90%），确保硬件资源稳定可靠。2）应用层监控：监控接口响应时间（≤3s）、接口调用成功率（≥99.9%），检查 Nginx 等关键应用进程运行状态，保证业务接口可用、稳定。3）数据层监控：监控数据库连接数（不超过最大连接数 80%）、SQL 查询响应时间（≤1s）、数据同步延迟（≤5min），并每日检查数据库备份完成状态，确保数据安全一致。4）业务层监控：监控核心业务功能成功率，包括业务提交成功率（≥99.95%）、用户登录成功率（≥99.9%），保障核心信访业务不间断运行。</w:t>
            </w:r>
          </w:p>
          <w:p w14:paraId="622BEF3A">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5、系统更新回退</w:t>
            </w:r>
          </w:p>
          <w:p w14:paraId="1AEDD3B8">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1）版本更新服务根据业务规则更新、功能优化及领导指示要求，提供源代码编译、程序打包、服务器上传、部署发布等全流程更新服务。服务周期内，至少完成 5 次大版本更新、12 次常规版本迭代更新，并根据紧急业务需求，对已开发完成的功能进行临时紧急升级更新不少于 24 次，确保系统功能始终贴合最新业务要求。</w:t>
            </w:r>
          </w:p>
          <w:p w14:paraId="2CF550B0">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版本回滚服务若生产环境版本更新部署后出现程序异常、功能故障或影响业务运行的问题，立即执行版本回退操作，恢复至上一稳定版本。回退过程中详细记录回滚原因、操作过程与处理结果，避免同类问题重复出现。当版本更新出现严重异常可能影响次日正常业务时，必须立即执行回滚操作，回滚次数根据实际需要不限，确保系统可用。</w:t>
            </w:r>
          </w:p>
          <w:p w14:paraId="4482DB02">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6、数据运维服务</w:t>
            </w:r>
          </w:p>
          <w:p w14:paraId="74AD78A2">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1）数据统计服务根据各业务处室实际工作需求，对平台现有统计功能无法直接输出的数据，通过后台数据库业务表执行 SQL 级别的精准查询、提取与统计分析，提供专业的数据整理、汇总、分析与报表输出服务。同时针对数据中存在的错误、缺失、不一致等问题，提出合理的数据修正、完善方案，并协助用户完成数据补充与修正工作。预估每周完成 2 份专项数据统计，单次平均服务时长约 3 小时，遇领导紧急急需资料时，可提供夜间、周末等加班统计服务。</w:t>
            </w:r>
          </w:p>
          <w:p w14:paraId="35BD9052">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2）源码 SQL 优化服务持续监控系统整体运行状况，每周根据当周系统运行排查情况与用户反馈，分析数据库慢查询日志，定位低效 SQL 语句，提交驻场高级开发人员进行影响评估，并开展 SQL 语句优化、逻辑调整，必要时增加字段索引、优化表结构等。每日对系统运行稳定性进行 1 次验证与查看，服务周期内系统运行监控不少于 248 次；每周完成 1 次运行状况分析总结，全年分析服务不少于 48 次。</w:t>
            </w:r>
          </w:p>
          <w:p w14:paraId="2F595332">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7、安全运维服务</w:t>
            </w:r>
          </w:p>
          <w:p w14:paraId="3667F3FD">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漏洞管理提供深入源码级别的系统漏洞检测与修复服务，应对每年网络安全攻防演练、等级保护测评、上级单位检查等工作。当被服务单位或上级部门发现系统存在漏洞时，及时开展漏洞分析、代码修复工作，典型漏洞包括 Apache Log4j 远程代码执行漏洞、权限绕过漏洞、越权访问漏洞等。修复完成后进行全面功能验证，确保漏洞彻底消除且不影响原有系统功能，服务周期内漏洞修复次数不限。</w:t>
            </w:r>
          </w:p>
          <w:p w14:paraId="245D54F4">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2）权限管理严格遵循账号 “最小权限原则”，每月开展一次全平台账号排查与梳理工作。为每位用户分配唯一账号，按照岗位职责与角色配置合理权限，禁止超额授权；定期开展账号安全审计，对长期未登录、长期不使用、岗位变动的账号进行跟踪、冻结或删除，及时清理冗余账号、回收过期权限。服务周期内完成账号权限排查操作不少于 12 次。</w:t>
            </w:r>
          </w:p>
          <w:p w14:paraId="3309A29D">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安全事件处理发现系统安全事件后立即启动应急处置：第一时间隔离受影响系统与服务，防止攻击范围扩大；全面收集系统日志、访问日志，精准定位攻击来源、入侵方式与影响范围；完成漏洞修复与系统加固，恢复正常业务与数据；事后全面分析事件原因，形成处置报告并制定长效预防措施。</w:t>
            </w:r>
          </w:p>
          <w:p w14:paraId="5923034F">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8、故障处理服务</w:t>
            </w:r>
          </w:p>
          <w:p w14:paraId="6CF5AAC6">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1）渠道运维服务提供及时高效的在线报障响应服务，根据业务运行需要，开通 7×24 小时微信群、电话等多渠道运维支撑，用户遇到问题可随时上报并获得技术支撑。采用主备双人互备在线运维模式，确保任一时刻均有人员在线，接到报障信息立即响应，快速介入处理。</w:t>
            </w:r>
          </w:p>
          <w:p w14:paraId="387F220F">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问题跟踪处理服务建立标准化问题闭环管理流程，对无法通过常规运维快速解决的问题进行全流程跟踪：（1）问题登记：通过电话、微信等渠道收集自治区、厅级、地市、县区各级单位反馈的异常问题，统一登记建档、审核分类。（2）问题审核：对登记问题进行故障原因分析、影响范围判断，制定合理解决方案，提交管理部门审核。（3）问题处理：向业主单位反馈解决思路与方案，经确认后提供代码级问题修复，按要求限时处理。（4）问题验证：问题修复后及时进行功能验证，确认完全解决后方可闭环，未解决则重新处理。（5）事后反馈：问题处理完毕后，在规定时间内向问题提出人及管理人员反馈处理结果。（6）问题复盘：对高频、共性问题开展全系统排查，分析根源并提出优化建议，推动系统持续稳定。全年预计处理各类问题约 48 项，单个问题完整流程处理时长约 4 小时。</w:t>
            </w:r>
          </w:p>
          <w:p w14:paraId="18B21D99">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9、系统应急服务</w:t>
            </w:r>
          </w:p>
          <w:p w14:paraId="498C6A50">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1）服务器宕机应急：单机故障立即切换至预配置相同环境的备用服务器，恢复业务同时修复原服务器；集群故障先排查共性问题，无法修复时启动异地灾备系统切换。</w:t>
            </w:r>
          </w:p>
          <w:p w14:paraId="2858872A">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数据丢失应急：逻辑错误导致数据异常，通过数据库二进制日志执行时间点精准恢复；物理存储损坏则使用异地备份文件恢复，恢复后严格验证数据完整性。3）攻击入侵应急：立即人工排查系统被篡改、上传的非法内容，及时删除并上报安全负责人；若攻击影响核心业务，临时限制非必要功能，优先保障信访登记、提交、查询等核心业务正常运行。</w:t>
            </w:r>
          </w:p>
          <w:p w14:paraId="081734D7">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10、重要活动及节假日保障服务</w:t>
            </w:r>
          </w:p>
          <w:p w14:paraId="7230DC6E">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1）法定节假日保障：对全年不少于 13 天法定节假日提供专项运维保障，提前分配应急资源、完善应急预案，成立专职保障小组，安排专人 24 小时待命，加密监控巡查。</w:t>
            </w:r>
          </w:p>
          <w:p w14:paraId="1F4E3058">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2）两会驻场保障：在两会期间（约 5 天）提供专项驻场值班，强化系统安全稳定保障，提升应急处置能力。</w:t>
            </w:r>
          </w:p>
          <w:p w14:paraId="101DA70E">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3）东盟博览会保障：博览会期间（约 5 天）执行重点保障机制，确保平台稳定、畅通、安全运行。</w:t>
            </w:r>
          </w:p>
          <w:p w14:paraId="5337254E">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4）周末值班保障：全年周末保障约 90 天，加强系统巡检与监控，突发问题第一时间处置，确保业务不中断。</w:t>
            </w:r>
          </w:p>
          <w:p w14:paraId="50470441">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11、应用系统异常运维服务</w:t>
            </w:r>
          </w:p>
          <w:p w14:paraId="3BFA7D0C">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故障检测及排除每日开展系统运行状态检测、服务排查与日志分析，提供系统紧急救援服务。一旦出现导致系统无法正常运行的严重故障，立即组织驻场团队全力处置；若本地无法解决，立即上报甲方并同步协调高级技术团队支撑，直至故障排除。接到维护请求后快速响应：宕机、数据丢失等严重故障 20 分钟内响应，4 小时内完成故障排除。每日系统服务与日志排查时长约 2 小时。</w:t>
            </w:r>
          </w:p>
          <w:p w14:paraId="6C4C5D51">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重新部署及恢复遇服务器感染病毒、遭受远程攻击、数据丢失、应用崩溃、数据库崩溃或需系统迁移等情况，立即由驻场团队完成系统环境、中间件、数据库及应用系统重新部署，并从备份文件中恢复数据。每月在本地备用服务器开展最新版本重部署演练，确保重大异常发生时可快速恢复服务，全年演练不少于 12 次。</w:t>
            </w:r>
          </w:p>
          <w:p w14:paraId="71E5A9C8">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12、数据库运维服务</w:t>
            </w:r>
          </w:p>
          <w:p w14:paraId="398828FC">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1）数据库监控365 天不间断监控数据库关键指标：CPU、内存、磁盘 I/O、网络流量、查询响应时间、事务处理速度；监控数据库连接数与异常连接；监控数据文件、日志文件空间使用，接近阈值及时告警。工作日现场监控，非工作日远程值守，确保数据库运行平稳。</w:t>
            </w:r>
          </w:p>
          <w:p w14:paraId="0A18F12A">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2）数据库备份与恢复制定完善的备份策略，包括全量、增量、差异备份，明确备份周期与存储位置，实现本地、网络或云存储异地保存。每周执行数据库备份并异地存储，全年不少于 48 次；每月开展数据恢复验证，确保备份可用，全年恢复演练不少于 12 次；系统异常时可根据需求不限次数执行数据恢复。</w:t>
            </w:r>
          </w:p>
          <w:p w14:paraId="65520BBB">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数据库安全维护严格执行数据库用户最小权限分配，定期权限审计，清理过期账号与多余权限；对敏感信息加密存储，防止数据泄露；开启数据库安全审计，记录登录、操作、数据访问行为，定期分析日志，防范违规操作。每月完成权限安全审查，全年不少于 12 次。</w:t>
            </w:r>
          </w:p>
          <w:p w14:paraId="2CB92273">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4）数据库性能优化每月开展查询语句分析，优化低效 SQL，合理添加与删除索引，调整数据库参数，提升查询效率与系统响应速度。优化后持续监控运行效果，形成优化记录，全年性能优化服务不少于 12 次。</w:t>
            </w:r>
          </w:p>
          <w:p w14:paraId="12B8A3FE">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5）数据库容量规划每季度分析数据增长趋势，预测存储空间需求，评估服务器 CPU、内存、I/O 等硬件资源使用情况，提出扩容与升级建议，提前规避性能瓶颈，全年专业评估不少于 4 次。</w:t>
            </w:r>
          </w:p>
          <w:p w14:paraId="0F3C357F">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数据库故障处理快速诊断数据库故障，通过日志分析定位原因，采取重启服务、修复文件、恢复数据等措施，确保数据完整一致。处理完成后总结复盘，完善预案，同时承担影子库、内存库、文件库等多类型数据库维护工作。</w:t>
            </w:r>
          </w:p>
          <w:p w14:paraId="626522A4">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13、应用中间件维护</w:t>
            </w:r>
          </w:p>
          <w:p w14:paraId="37A2D1AA">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负责维护不少于 3 套金蝶、东方通应用中间件，持续关注厂商发布的 BUG 修复、安全补丁与版本更新信息，及时完成本地升级，防范安全事故。中间件运行异常时，快速与厂家技术支持对接，获取解决方案并及时实施，保障系统稳定运行。</w:t>
            </w:r>
          </w:p>
          <w:p w14:paraId="506A8311">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14、系统优化运维服务</w:t>
            </w:r>
          </w:p>
          <w:p w14:paraId="0033E8C1">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根据国家信访局最新考核规范、数据交换标准及广西本地业务管理要求，对系统开展 28 项功能优化与统计模块升级，所有项均统一执行：数据库字段增删修改、统计算法更新优化、统计明细表维护备份、前端展示界面调整，删除过时内容，适配最新业务与展示需求。主要内容包括：国家规范兼容适配、申诉求决类事项统计、源头治理矛盾专项督办、到邕访交办督办、纯案纯人统计、重复访统计、赴邕上访内容分类、全区进度总览、核心指标看板、月度走势、环比分析、受理办理情况分析、考核明细、考核指标、业务协同统计、考核总览、中央督办事项统计、国家信访局督办问题分类、动态监测、总量监控、群众满意率、进度环比、核心指标展示等 28 项功能运维优化，确保系统符合国家及自治区考核要求，支撑全区信访业务高效监管与决策分析。</w:t>
            </w:r>
          </w:p>
        </w:tc>
      </w:tr>
      <w:tr w14:paraId="01AAF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3" w:type="dxa"/>
            <w:vMerge w:val="continue"/>
            <w:vAlign w:val="center"/>
          </w:tcPr>
          <w:p w14:paraId="33B5481E">
            <w:pPr>
              <w:spacing w:line="380" w:lineRule="exact"/>
              <w:jc w:val="center"/>
              <w:rPr>
                <w:rFonts w:ascii="宋体" w:hAnsi="宋体" w:cs="宋体"/>
                <w:color w:val="auto"/>
                <w:szCs w:val="21"/>
                <w:highlight w:val="none"/>
              </w:rPr>
            </w:pPr>
          </w:p>
        </w:tc>
        <w:tc>
          <w:tcPr>
            <w:tcW w:w="434" w:type="dxa"/>
            <w:vAlign w:val="center"/>
          </w:tcPr>
          <w:p w14:paraId="57487433">
            <w:pPr>
              <w:spacing w:line="380" w:lineRule="exact"/>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3</w:t>
            </w:r>
          </w:p>
        </w:tc>
        <w:tc>
          <w:tcPr>
            <w:tcW w:w="924" w:type="dxa"/>
            <w:vAlign w:val="center"/>
          </w:tcPr>
          <w:p w14:paraId="77F54F7E">
            <w:pPr>
              <w:snapToGrid w:val="0"/>
              <w:jc w:val="center"/>
              <w:outlineLvl w:val="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智能辅助系统智能化训练服务</w:t>
            </w:r>
          </w:p>
        </w:tc>
        <w:tc>
          <w:tcPr>
            <w:tcW w:w="576" w:type="dxa"/>
            <w:gridSpan w:val="2"/>
            <w:vAlign w:val="center"/>
          </w:tcPr>
          <w:p w14:paraId="66A90A9B">
            <w:pPr>
              <w:snapToGrid w:val="0"/>
              <w:jc w:val="center"/>
              <w:outlineLvl w:val="0"/>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1项</w:t>
            </w:r>
          </w:p>
        </w:tc>
        <w:tc>
          <w:tcPr>
            <w:tcW w:w="7293" w:type="dxa"/>
            <w:vAlign w:val="center"/>
          </w:tcPr>
          <w:p w14:paraId="49122A8D">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一、数据来源要求</w:t>
            </w:r>
          </w:p>
          <w:p w14:paraId="189C4887">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要求服务商自行根据现有信访系统的数据库表格设计，并根据已有数据生成对应训练的数据集，再进行智能体训练。</w:t>
            </w:r>
          </w:p>
          <w:p w14:paraId="5C9CB299">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二、训练内容要求</w:t>
            </w:r>
          </w:p>
          <w:p w14:paraId="298814AC">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1、智能接谈</w:t>
            </w:r>
          </w:p>
          <w:p w14:paraId="507D8A67">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1）采集近1年热电话咨询数据（≥8万条）标诉求、情绪。</w:t>
            </w:r>
          </w:p>
          <w:p w14:paraId="34E8D520">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2）用模型练 “听懂” 能力，更新信访话术库，使用录音转写工具、政策知识库。</w:t>
            </w:r>
          </w:p>
          <w:p w14:paraId="167E6F61">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3）对智能接谈模型进行评估和验证。</w:t>
            </w:r>
          </w:p>
          <w:p w14:paraId="1E830EF2">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4）模型部署和应用。</w:t>
            </w:r>
          </w:p>
          <w:p w14:paraId="4B3E102A">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2、智能办信（含网信）</w:t>
            </w:r>
          </w:p>
          <w:p w14:paraId="1BE5490A">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1）采集近3年信件（≥28.6万件）进行诉求、材料识别汇总。</w:t>
            </w:r>
          </w:p>
          <w:p w14:paraId="75C21EBE">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2）采用OCR工具、责任部门名录，练OCR转化成功率，甚至对认手写字进行训练识别，练习“信件 - 去向部门” 匹配。</w:t>
            </w:r>
          </w:p>
          <w:p w14:paraId="1CA05026">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3）对智能办信（含网信）模型进行评估和验证。</w:t>
            </w:r>
          </w:p>
          <w:p w14:paraId="3DE92A3D">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4）模型部署和应用。</w:t>
            </w:r>
          </w:p>
          <w:p w14:paraId="7A623003">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3、智能判重（来信、来访、网信）</w:t>
            </w:r>
          </w:p>
          <w:p w14:paraId="4D3F35D5">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1）采集近1年重复案例（≥38.7万件）标重复类型。</w:t>
            </w:r>
          </w:p>
          <w:p w14:paraId="08A3F4C8">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2）练语义相似度模型，调判重阈值等。</w:t>
            </w:r>
          </w:p>
          <w:p w14:paraId="65122394">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3）对智能判重（来信、来访、网信）模型进行评估和验证。</w:t>
            </w:r>
          </w:p>
          <w:p w14:paraId="0FEAEE1F">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4）模型部署和应用。</w:t>
            </w:r>
          </w:p>
          <w:p w14:paraId="476EB404">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4、智能推荐</w:t>
            </w:r>
          </w:p>
          <w:p w14:paraId="7016CBC9">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1）采集近3年历史办理案例（≥38.5万件）建 “诉求 - 流程 - 政策” 关联。</w:t>
            </w:r>
          </w:p>
          <w:p w14:paraId="5164255A">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2）通过案例库、政策数据库、反馈系统，练推荐模型，按反馈调优先级。</w:t>
            </w:r>
          </w:p>
          <w:p w14:paraId="16F7DB52">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3）对智能推荐模型进行评估和验证。</w:t>
            </w:r>
          </w:p>
          <w:p w14:paraId="48FD6C77">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4）模型部署和应用。</w:t>
            </w:r>
          </w:p>
          <w:p w14:paraId="37E71830">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5、智能审查</w:t>
            </w:r>
          </w:p>
          <w:p w14:paraId="3E70AAFF">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1）梳审查规则（≥15项），收集采集近3年各类审查训练素材（≥35.3万份）。</w:t>
            </w:r>
          </w:p>
          <w:p w14:paraId="48365E10">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2）练图像 + 文本模型查缺漏、防伪，练异常检测。同时进行审查规范、基于审查规则的样本库收集。</w:t>
            </w:r>
          </w:p>
          <w:p w14:paraId="5689C2C3">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3）对智能审查模型进行评估和验证。</w:t>
            </w:r>
          </w:p>
          <w:p w14:paraId="4C06DCEF">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4）模型部署和应用。</w:t>
            </w:r>
          </w:p>
          <w:p w14:paraId="7927AEA5">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6、风险评估</w:t>
            </w:r>
          </w:p>
          <w:p w14:paraId="4FB31AA2">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1）采集近3年的风险案例（≥16万件）标风险等级、特征。</w:t>
            </w:r>
          </w:p>
          <w:p w14:paraId="5B2EDF10">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2）通过风险案例库、重点信访人信息库，提15个评估维度，练风险预测模型。</w:t>
            </w:r>
          </w:p>
          <w:p w14:paraId="2B463AF2">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3）对风险评估模型进行评估和验证。</w:t>
            </w:r>
          </w:p>
          <w:p w14:paraId="02C6A84D">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4）模型部署和应用</w:t>
            </w:r>
          </w:p>
          <w:p w14:paraId="62B9F214">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7、智能回访</w:t>
            </w:r>
          </w:p>
          <w:p w14:paraId="0D1EBDF1">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1）标 “诉求-回访问题” 关联（≥30类诉求），采回访录音（≥3万条）标满意度。</w:t>
            </w:r>
          </w:p>
          <w:p w14:paraId="19461F45">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2）通过录音转文字工具、回访报告模板练 “认满意 + 写报告”。</w:t>
            </w:r>
          </w:p>
          <w:p w14:paraId="588721BA">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3）对智能回访模型进行评估和验证。</w:t>
            </w:r>
          </w:p>
          <w:p w14:paraId="0A23ECB8">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4）模型部署和应用。</w:t>
            </w:r>
          </w:p>
        </w:tc>
      </w:tr>
      <w:tr w14:paraId="41D94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3" w:type="dxa"/>
            <w:vMerge w:val="continue"/>
            <w:vAlign w:val="center"/>
          </w:tcPr>
          <w:p w14:paraId="76597E4E">
            <w:pPr>
              <w:spacing w:line="380" w:lineRule="exact"/>
              <w:jc w:val="center"/>
              <w:rPr>
                <w:rFonts w:ascii="宋体" w:hAnsi="宋体" w:cs="宋体"/>
                <w:color w:val="auto"/>
                <w:szCs w:val="21"/>
                <w:highlight w:val="none"/>
              </w:rPr>
            </w:pPr>
          </w:p>
        </w:tc>
        <w:tc>
          <w:tcPr>
            <w:tcW w:w="434" w:type="dxa"/>
            <w:vAlign w:val="center"/>
          </w:tcPr>
          <w:p w14:paraId="0B1723AC">
            <w:pPr>
              <w:spacing w:line="380" w:lineRule="exact"/>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4</w:t>
            </w:r>
          </w:p>
        </w:tc>
        <w:tc>
          <w:tcPr>
            <w:tcW w:w="924" w:type="dxa"/>
            <w:vAlign w:val="center"/>
          </w:tcPr>
          <w:p w14:paraId="50376F4F">
            <w:pPr>
              <w:snapToGrid w:val="0"/>
              <w:jc w:val="center"/>
              <w:outlineLvl w:val="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信访安全保障服务</w:t>
            </w:r>
          </w:p>
        </w:tc>
        <w:tc>
          <w:tcPr>
            <w:tcW w:w="576" w:type="dxa"/>
            <w:gridSpan w:val="2"/>
            <w:vAlign w:val="center"/>
          </w:tcPr>
          <w:p w14:paraId="743381C0">
            <w:pPr>
              <w:snapToGrid w:val="0"/>
              <w:jc w:val="center"/>
              <w:outlineLvl w:val="0"/>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1项</w:t>
            </w:r>
          </w:p>
        </w:tc>
        <w:tc>
          <w:tcPr>
            <w:tcW w:w="7293" w:type="dxa"/>
            <w:vAlign w:val="center"/>
          </w:tcPr>
          <w:p w14:paraId="2A12E56F">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一、软件基础架构安全防护维护</w:t>
            </w:r>
            <w:r>
              <w:rPr>
                <w:rFonts w:hint="eastAsia" w:ascii="宋体" w:hAnsi="宋体" w:eastAsia="宋体" w:cs="宋体"/>
                <w:color w:val="auto"/>
                <w:sz w:val="21"/>
                <w:szCs w:val="21"/>
                <w:highlight w:val="none"/>
                <w:lang w:eastAsia="zh-CN"/>
              </w:rPr>
              <w:tab/>
            </w:r>
          </w:p>
          <w:p w14:paraId="6D21A935">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1、操作系统安全：国产化操作系统（麒麟/统信）、传统操作系统的补丁常态化升级（高危 / 中危补丁 72 小时内完成）、漏洞扫描与修复；账号权限最小化管理，清理闲置账号，开启操作日志审计；禁用非必要端口 / 服务，配置系统防火墙策略。</w:t>
            </w:r>
          </w:p>
          <w:p w14:paraId="5BCE188C">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2、数据库安全：达梦/人大金仓等国产化数据库、传统数据库的权限精细化管控（按信访业务岗配置查询 / 录入 / 审核/管理权限，杜绝超权限操作）；定期开展数据库漏洞扫描、SQL 注入防护配置优化；开启数据库审计日志，留存至少 6 个月操作记录（含信访数据增删改查、账号登录）。</w:t>
            </w:r>
          </w:p>
          <w:p w14:paraId="2D94E829">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3、中间件/容器安全：信访系统所用应用中间件、容器平台的版本升级、补丁安装；配置中间件访问控制策略，限制非授权 IP 接入；监控容器资源占用与运行状态，及时处置容器逃逸、镜像篡改风险。</w:t>
            </w:r>
          </w:p>
          <w:p w14:paraId="0A63D316">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二、信访核心业务软件安全防护维护</w:t>
            </w:r>
            <w:r>
              <w:rPr>
                <w:rFonts w:hint="eastAsia" w:ascii="宋体" w:hAnsi="宋体" w:eastAsia="宋体" w:cs="宋体"/>
                <w:color w:val="auto"/>
                <w:sz w:val="21"/>
                <w:szCs w:val="21"/>
                <w:highlight w:val="none"/>
                <w:lang w:eastAsia="zh-CN"/>
              </w:rPr>
              <w:tab/>
            </w:r>
          </w:p>
          <w:p w14:paraId="635870C3">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1、漏洞全生命周期管理</w:t>
            </w:r>
          </w:p>
          <w:p w14:paraId="7BA497D1">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（1）定期开展白盒/黑盒漏洞扫描（每月常规扫描、重大节假日 / 会议前专项扫描），重点检测越权访问、跨站脚本、弱口令、文件上传漏洞等信访系统高频风险；</w:t>
            </w:r>
          </w:p>
          <w:p w14:paraId="28381D9E">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（2）对扫描发现的高危漏洞立即修复，中低危漏洞限期整改，无法立即修复的采取临时防护措施（如访问限制、流量过滤），并建立漏洞整改台账，做到闭环管理。</w:t>
            </w:r>
          </w:p>
          <w:p w14:paraId="1A9CA8E6">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2、版本与补丁安排推进</w:t>
            </w:r>
          </w:p>
          <w:p w14:paraId="5438E7AC">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（1）要求厂商要求完成信访业务软件的版本升级、功能补丁、安全补丁安装，升级前进行线下测试，避免影响线上业务；</w:t>
            </w:r>
          </w:p>
          <w:p w14:paraId="4EFA5A08">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（2）对国产化适配的信访软件，同步跟进国产化厂商的安全更新，保障信创环境下软件运行安全。</w:t>
            </w:r>
          </w:p>
          <w:p w14:paraId="4529AD71">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3、账号与权限精细化管理</w:t>
            </w:r>
          </w:p>
          <w:p w14:paraId="67269C89">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（1）落实账号实名化，信访系统所有账号与工作人员工号、岗位绑定，杜绝匿名账号、共用账号；</w:t>
            </w:r>
          </w:p>
          <w:p w14:paraId="3FB6DF93">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（2）严格执行密码复杂度要求（数字 + 字母 + 特殊符号），定期强制更换密码，开启账号异地登录、多次密码错误锁定功能；</w:t>
            </w:r>
          </w:p>
          <w:p w14:paraId="159085CA">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（3）人员调岗 / 离职 / 退休时，24 小时内回收其信访系统账号权限，同步更新权限台账；对厅级、处级等核心岗位账号进行重点监控。</w:t>
            </w:r>
          </w:p>
          <w:p w14:paraId="50401528">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三、安全监控与应急响应维护</w:t>
            </w:r>
          </w:p>
          <w:p w14:paraId="1555713D">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维护业务系统的安全态势感知平台、入侵检测 / 防御系统（IDS/IPS）、防火墙、日志审计系统等安全设备，确保其与信访软件联动运行，实时监测针对信访系统的网络攻击、漏洞扫描、异常访问等行为。</w:t>
            </w:r>
          </w:p>
          <w:p w14:paraId="51C84160">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四、应急预案完善与演练</w:t>
            </w:r>
          </w:p>
          <w:p w14:paraId="0B6AA000">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制定信访软件网络攻击、数据泄露、系统崩溃、病毒感染、断网断电等突发事件的专项应急预案，明确应急处置流程、责任分工、上报渠道（对接自治区网信办、公安厅、国家信访局）。</w:t>
            </w:r>
          </w:p>
          <w:p w14:paraId="7C16833C">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五、突发事件处置与复盘</w:t>
            </w:r>
          </w:p>
          <w:p w14:paraId="3E179F39">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1、发生安全突发事件时，立即启动应急预案，采取封堵攻击源、暂停受影响业务、恢复系统 / 数据等措施，最大限度降低影响，同时按规定及时上报，不得迟报、漏报、瞒报；</w:t>
            </w:r>
          </w:p>
          <w:p w14:paraId="7F60C246">
            <w:pPr>
              <w:pStyle w:val="2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2、事件处置完成后，开展复盘分析，查找安全漏洞与管理短板，制定整改措施，更新安全策略，做到 “一事一复盘、一事一整改”。</w:t>
            </w:r>
          </w:p>
        </w:tc>
      </w:tr>
      <w:tr w14:paraId="3BAF0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3" w:type="dxa"/>
            <w:vMerge w:val="continue"/>
            <w:vAlign w:val="center"/>
          </w:tcPr>
          <w:p w14:paraId="7A0319D4">
            <w:pPr>
              <w:spacing w:line="380" w:lineRule="exact"/>
              <w:jc w:val="center"/>
              <w:rPr>
                <w:rFonts w:ascii="宋体" w:hAnsi="宋体" w:cs="宋体"/>
                <w:color w:val="auto"/>
                <w:szCs w:val="21"/>
                <w:highlight w:val="none"/>
              </w:rPr>
            </w:pPr>
          </w:p>
        </w:tc>
        <w:tc>
          <w:tcPr>
            <w:tcW w:w="434" w:type="dxa"/>
            <w:vAlign w:val="center"/>
          </w:tcPr>
          <w:p w14:paraId="627D3EA8">
            <w:pPr>
              <w:spacing w:line="380" w:lineRule="exact"/>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5</w:t>
            </w:r>
          </w:p>
        </w:tc>
        <w:tc>
          <w:tcPr>
            <w:tcW w:w="924" w:type="dxa"/>
            <w:vAlign w:val="center"/>
          </w:tcPr>
          <w:p w14:paraId="18303D45">
            <w:pPr>
              <w:spacing w:beforeLines="0" w:afterLines="0" w:line="320" w:lineRule="exact"/>
              <w:jc w:val="center"/>
              <w:rPr>
                <w:rFonts w:hint="eastAsia" w:ascii="宋体" w:hAnsi="宋体" w:eastAsia="宋体" w:cs="宋体"/>
                <w:color w:val="auto"/>
                <w:szCs w:val="21"/>
                <w:highlight w:val="none"/>
                <w:lang w:eastAsia="zh-CN"/>
              </w:rPr>
            </w:pPr>
            <w:r>
              <w:rPr>
                <w:rFonts w:hint="eastAsia" w:ascii="宋体" w:hAnsi="宋体" w:cs="宋体"/>
                <w:b/>
                <w:color w:val="auto"/>
                <w:kern w:val="0"/>
                <w:sz w:val="21"/>
                <w:szCs w:val="21"/>
                <w:highlight w:val="none"/>
              </w:rPr>
              <w:t>软件系统短信服</w:t>
            </w:r>
          </w:p>
        </w:tc>
        <w:tc>
          <w:tcPr>
            <w:tcW w:w="576" w:type="dxa"/>
            <w:gridSpan w:val="2"/>
            <w:vAlign w:val="center"/>
          </w:tcPr>
          <w:p w14:paraId="4463A506">
            <w:pPr>
              <w:snapToGrid w:val="0"/>
              <w:jc w:val="center"/>
              <w:outlineLvl w:val="0"/>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1项</w:t>
            </w:r>
          </w:p>
        </w:tc>
        <w:tc>
          <w:tcPr>
            <w:tcW w:w="7293" w:type="dxa"/>
            <w:vAlign w:val="top"/>
          </w:tcPr>
          <w:p w14:paraId="2E49CE08">
            <w:pPr>
              <w:widowControl/>
              <w:numPr>
                <w:ilvl w:val="0"/>
                <w:numId w:val="0"/>
              </w:numPr>
              <w:spacing w:beforeLines="0" w:afterLines="0" w:line="360" w:lineRule="auto"/>
              <w:ind w:left="360" w:hanging="36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为了保证短信服务的稳定运行，运维服务费用包含服务期内的短信服务费用，由服务方与短信服务提供方签订合同并缴纳费用。</w:t>
            </w:r>
          </w:p>
        </w:tc>
      </w:tr>
      <w:tr w14:paraId="5A47B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3" w:type="dxa"/>
            <w:vMerge w:val="continue"/>
            <w:vAlign w:val="center"/>
          </w:tcPr>
          <w:p w14:paraId="6CA31288">
            <w:pPr>
              <w:spacing w:line="380" w:lineRule="exact"/>
              <w:jc w:val="center"/>
              <w:rPr>
                <w:rFonts w:ascii="宋体" w:hAnsi="宋体" w:cs="宋体"/>
                <w:color w:val="auto"/>
                <w:szCs w:val="21"/>
                <w:highlight w:val="none"/>
              </w:rPr>
            </w:pPr>
          </w:p>
        </w:tc>
        <w:tc>
          <w:tcPr>
            <w:tcW w:w="434" w:type="dxa"/>
            <w:vAlign w:val="center"/>
          </w:tcPr>
          <w:p w14:paraId="6A5C5788">
            <w:pPr>
              <w:spacing w:line="380" w:lineRule="exact"/>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6</w:t>
            </w:r>
          </w:p>
        </w:tc>
        <w:tc>
          <w:tcPr>
            <w:tcW w:w="924" w:type="dxa"/>
            <w:vAlign w:val="center"/>
          </w:tcPr>
          <w:p w14:paraId="4B64A3B4">
            <w:pPr>
              <w:spacing w:beforeLines="0" w:afterLines="0" w:line="320" w:lineRule="exact"/>
              <w:rPr>
                <w:rFonts w:hint="eastAsia" w:ascii="宋体" w:hAnsi="宋体" w:eastAsia="宋体" w:cs="宋体"/>
                <w:color w:val="auto"/>
                <w:szCs w:val="21"/>
                <w:highlight w:val="none"/>
                <w:lang w:eastAsia="zh-CN"/>
              </w:rPr>
            </w:pPr>
            <w:r>
              <w:rPr>
                <w:rFonts w:hint="eastAsia" w:ascii="宋体" w:hAnsi="宋体" w:cs="宋体"/>
                <w:b/>
                <w:color w:val="auto"/>
                <w:sz w:val="21"/>
                <w:szCs w:val="21"/>
                <w:highlight w:val="none"/>
              </w:rPr>
              <w:t>实名认证服务</w:t>
            </w:r>
          </w:p>
        </w:tc>
        <w:tc>
          <w:tcPr>
            <w:tcW w:w="576" w:type="dxa"/>
            <w:gridSpan w:val="2"/>
            <w:vAlign w:val="center"/>
          </w:tcPr>
          <w:p w14:paraId="5EFA962E">
            <w:pPr>
              <w:snapToGrid w:val="0"/>
              <w:jc w:val="center"/>
              <w:outlineLvl w:val="0"/>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1项</w:t>
            </w:r>
          </w:p>
        </w:tc>
        <w:tc>
          <w:tcPr>
            <w:tcW w:w="7293" w:type="dxa"/>
            <w:vAlign w:val="top"/>
          </w:tcPr>
          <w:p w14:paraId="48F31512">
            <w:pPr>
              <w:widowControl/>
              <w:spacing w:beforeLines="0" w:afterLines="0" w:line="360" w:lineRule="auto"/>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为了保证认证服务的稳定运行，本运维服务费用包含服务期认证服务费用，由服务方与认证服务提供方签订合同并缴纳费用</w:t>
            </w:r>
            <w:r>
              <w:rPr>
                <w:rFonts w:hint="eastAsia" w:ascii="宋体" w:hAnsi="宋体" w:eastAsia="宋体" w:cs="宋体"/>
                <w:color w:val="auto"/>
                <w:kern w:val="0"/>
                <w:sz w:val="21"/>
                <w:szCs w:val="21"/>
                <w:highlight w:val="none"/>
              </w:rPr>
              <w:t>。</w:t>
            </w:r>
          </w:p>
        </w:tc>
      </w:tr>
      <w:tr w14:paraId="16F1F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3" w:type="dxa"/>
            <w:vMerge w:val="continue"/>
            <w:vAlign w:val="center"/>
          </w:tcPr>
          <w:p w14:paraId="110EA6A2">
            <w:pPr>
              <w:spacing w:line="380" w:lineRule="exact"/>
              <w:jc w:val="center"/>
              <w:rPr>
                <w:rFonts w:ascii="宋体" w:hAnsi="宋体" w:cs="宋体"/>
                <w:color w:val="auto"/>
                <w:szCs w:val="21"/>
                <w:highlight w:val="none"/>
              </w:rPr>
            </w:pPr>
          </w:p>
        </w:tc>
        <w:tc>
          <w:tcPr>
            <w:tcW w:w="434" w:type="dxa"/>
            <w:vAlign w:val="center"/>
          </w:tcPr>
          <w:p w14:paraId="339BC506">
            <w:pPr>
              <w:spacing w:line="380" w:lineRule="exact"/>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7</w:t>
            </w:r>
          </w:p>
        </w:tc>
        <w:tc>
          <w:tcPr>
            <w:tcW w:w="924" w:type="dxa"/>
            <w:vAlign w:val="center"/>
          </w:tcPr>
          <w:p w14:paraId="3C499909">
            <w:pPr>
              <w:widowControl/>
              <w:spacing w:beforeLines="0" w:afterLines="0" w:line="320" w:lineRule="exact"/>
              <w:jc w:val="center"/>
              <w:rPr>
                <w:rFonts w:hint="eastAsia" w:ascii="宋体" w:hAnsi="宋体" w:eastAsia="宋体" w:cs="宋体"/>
                <w:color w:val="auto"/>
                <w:szCs w:val="21"/>
                <w:highlight w:val="none"/>
                <w:lang w:eastAsia="zh-CN"/>
              </w:rPr>
            </w:pPr>
            <w:r>
              <w:rPr>
                <w:rFonts w:hint="eastAsia" w:ascii="宋体" w:hAnsi="宋体" w:cs="宋体"/>
                <w:b/>
                <w:color w:val="auto"/>
                <w:kern w:val="0"/>
                <w:sz w:val="21"/>
                <w:szCs w:val="21"/>
                <w:highlight w:val="none"/>
              </w:rPr>
              <w:t>系统登录短信服务</w:t>
            </w:r>
          </w:p>
        </w:tc>
        <w:tc>
          <w:tcPr>
            <w:tcW w:w="576" w:type="dxa"/>
            <w:gridSpan w:val="2"/>
            <w:vAlign w:val="center"/>
          </w:tcPr>
          <w:p w14:paraId="523C5779">
            <w:pPr>
              <w:snapToGrid w:val="0"/>
              <w:jc w:val="center"/>
              <w:outlineLvl w:val="0"/>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1项</w:t>
            </w:r>
          </w:p>
        </w:tc>
        <w:tc>
          <w:tcPr>
            <w:tcW w:w="7293" w:type="dxa"/>
            <w:vAlign w:val="center"/>
          </w:tcPr>
          <w:p w14:paraId="6E097764">
            <w:pPr>
              <w:widowControl/>
              <w:spacing w:beforeLines="0" w:afterLines="0"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为保证网上信访系统用户登录，提供服务期内用户登录认证短信。最多不超过124万条短信。</w:t>
            </w:r>
          </w:p>
        </w:tc>
      </w:tr>
      <w:tr w14:paraId="59EF9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50" w:type="dxa"/>
            <w:gridSpan w:val="6"/>
            <w:vAlign w:val="center"/>
          </w:tcPr>
          <w:p w14:paraId="4E2846B4">
            <w:pPr>
              <w:pStyle w:val="15"/>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highlight w:val="none"/>
                <w:lang w:val="en-US" w:eastAsia="zh-CN"/>
              </w:rPr>
            </w:pPr>
            <w:r>
              <w:rPr>
                <w:rFonts w:hint="eastAsia" w:ascii="宋体" w:hAnsi="宋体" w:cs="宋体"/>
                <w:b/>
                <w:bCs/>
                <w:color w:val="auto"/>
                <w:sz w:val="21"/>
                <w:szCs w:val="21"/>
                <w:highlight w:val="none"/>
              </w:rPr>
              <w:t>商务条款</w:t>
            </w:r>
          </w:p>
        </w:tc>
      </w:tr>
      <w:tr w14:paraId="3B93E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98" w:type="dxa"/>
            <w:gridSpan w:val="4"/>
            <w:vAlign w:val="center"/>
          </w:tcPr>
          <w:p w14:paraId="45C79D3B">
            <w:pPr>
              <w:spacing w:beforeLines="0" w:afterLines="0" w:line="360" w:lineRule="auto"/>
              <w:jc w:val="center"/>
              <w:rPr>
                <w:rFonts w:hint="eastAsia" w:ascii="宋体" w:hAnsi="宋体" w:cs="宋体"/>
                <w:b/>
                <w:bCs/>
                <w:color w:val="auto"/>
                <w:sz w:val="21"/>
                <w:szCs w:val="21"/>
                <w:highlight w:val="none"/>
              </w:rPr>
            </w:pPr>
            <w:bookmarkStart w:id="63" w:name="_Toc80886927"/>
            <w:bookmarkStart w:id="64" w:name="_Toc3319"/>
            <w:r>
              <w:rPr>
                <w:rFonts w:hint="default" w:ascii="宋体" w:hAnsi="宋体"/>
                <w:b/>
                <w:color w:val="auto"/>
                <w:sz w:val="21"/>
                <w:szCs w:val="24"/>
                <w:highlight w:val="none"/>
              </w:rPr>
              <w:t>▲合同签订时间</w:t>
            </w:r>
          </w:p>
        </w:tc>
        <w:tc>
          <w:tcPr>
            <w:tcW w:w="7552" w:type="dxa"/>
            <w:gridSpan w:val="2"/>
            <w:vAlign w:val="center"/>
          </w:tcPr>
          <w:p w14:paraId="72A4DF9F">
            <w:pPr>
              <w:spacing w:beforeLines="0" w:afterLines="0" w:line="360" w:lineRule="auto"/>
              <w:rPr>
                <w:rFonts w:hint="eastAsia" w:ascii="宋体" w:hAnsi="宋体" w:eastAsia="宋体" w:cs="宋体"/>
                <w:color w:val="auto"/>
                <w:highlight w:val="none"/>
                <w:lang w:val="en-US" w:eastAsia="zh-CN"/>
              </w:rPr>
            </w:pPr>
            <w:r>
              <w:rPr>
                <w:rFonts w:hint="default" w:ascii="宋体" w:hAnsi="宋体" w:cs="宋体"/>
                <w:color w:val="auto"/>
                <w:sz w:val="21"/>
                <w:szCs w:val="21"/>
                <w:highlight w:val="none"/>
              </w:rPr>
              <w:t>成交通知书发出之日起25日内</w:t>
            </w:r>
          </w:p>
        </w:tc>
      </w:tr>
      <w:tr w14:paraId="06D02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98" w:type="dxa"/>
            <w:gridSpan w:val="4"/>
            <w:vAlign w:val="center"/>
          </w:tcPr>
          <w:p w14:paraId="00B8D93D">
            <w:pPr>
              <w:spacing w:beforeLines="0" w:afterLines="0" w:line="360" w:lineRule="auto"/>
              <w:jc w:val="center"/>
              <w:rPr>
                <w:rFonts w:hint="eastAsia" w:ascii="宋体" w:hAnsi="宋体" w:cs="宋体"/>
                <w:b/>
                <w:bCs/>
                <w:color w:val="auto"/>
                <w:sz w:val="21"/>
                <w:szCs w:val="21"/>
                <w:highlight w:val="none"/>
              </w:rPr>
            </w:pPr>
            <w:r>
              <w:rPr>
                <w:rFonts w:hint="default" w:ascii="宋体" w:hAnsi="宋体"/>
                <w:b/>
                <w:color w:val="auto"/>
                <w:sz w:val="21"/>
                <w:szCs w:val="24"/>
                <w:highlight w:val="none"/>
              </w:rPr>
              <w:t>▲服务期限</w:t>
            </w:r>
          </w:p>
        </w:tc>
        <w:tc>
          <w:tcPr>
            <w:tcW w:w="7552" w:type="dxa"/>
            <w:gridSpan w:val="2"/>
            <w:vAlign w:val="center"/>
          </w:tcPr>
          <w:p w14:paraId="3722DE72">
            <w:pPr>
              <w:spacing w:beforeLines="0" w:afterLines="0" w:line="360" w:lineRule="auto"/>
              <w:rPr>
                <w:rFonts w:hint="default" w:ascii="宋体" w:hAnsi="宋体" w:eastAsia="宋体" w:cs="宋体"/>
                <w:color w:val="auto"/>
                <w:highlight w:val="none"/>
                <w:lang w:val="en-US" w:eastAsia="zh-CN"/>
              </w:rPr>
            </w:pPr>
            <w:r>
              <w:rPr>
                <w:rFonts w:hint="default" w:ascii="宋体" w:hAnsi="宋体" w:cs="宋体"/>
                <w:color w:val="auto"/>
                <w:sz w:val="21"/>
                <w:szCs w:val="21"/>
                <w:highlight w:val="none"/>
              </w:rPr>
              <w:t>自合同签订之日起 12 个月。</w:t>
            </w:r>
          </w:p>
        </w:tc>
      </w:tr>
      <w:tr w14:paraId="55A2D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98" w:type="dxa"/>
            <w:gridSpan w:val="4"/>
            <w:vAlign w:val="center"/>
          </w:tcPr>
          <w:p w14:paraId="664F9448">
            <w:pPr>
              <w:spacing w:beforeLines="0" w:afterLines="0" w:line="360" w:lineRule="auto"/>
              <w:jc w:val="center"/>
              <w:rPr>
                <w:rFonts w:hint="eastAsia" w:ascii="宋体" w:hAnsi="宋体" w:cs="宋体"/>
                <w:b/>
                <w:bCs/>
                <w:color w:val="auto"/>
                <w:sz w:val="21"/>
                <w:szCs w:val="21"/>
                <w:highlight w:val="none"/>
              </w:rPr>
            </w:pPr>
            <w:r>
              <w:rPr>
                <w:rFonts w:hint="default" w:ascii="宋体" w:hAnsi="宋体"/>
                <w:b/>
                <w:color w:val="auto"/>
                <w:sz w:val="21"/>
                <w:szCs w:val="24"/>
                <w:highlight w:val="none"/>
              </w:rPr>
              <w:t>▲服务地点</w:t>
            </w:r>
          </w:p>
        </w:tc>
        <w:tc>
          <w:tcPr>
            <w:tcW w:w="7552" w:type="dxa"/>
            <w:gridSpan w:val="2"/>
            <w:vAlign w:val="center"/>
          </w:tcPr>
          <w:p w14:paraId="0E27AC36">
            <w:pPr>
              <w:spacing w:beforeLines="0" w:afterLines="0" w:line="360" w:lineRule="auto"/>
              <w:rPr>
                <w:rFonts w:hint="eastAsia" w:ascii="宋体" w:hAnsi="宋体" w:eastAsia="宋体" w:cs="宋体"/>
                <w:color w:val="auto"/>
                <w:highlight w:val="none"/>
                <w:lang w:val="en-US" w:eastAsia="zh-CN"/>
              </w:rPr>
            </w:pPr>
            <w:r>
              <w:rPr>
                <w:rFonts w:hint="default" w:ascii="宋体" w:hAnsi="宋体" w:cs="宋体"/>
                <w:color w:val="auto"/>
                <w:sz w:val="21"/>
                <w:szCs w:val="21"/>
                <w:highlight w:val="none"/>
              </w:rPr>
              <w:t>采购人指定地点</w:t>
            </w:r>
          </w:p>
        </w:tc>
      </w:tr>
      <w:tr w14:paraId="567B7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98" w:type="dxa"/>
            <w:gridSpan w:val="4"/>
            <w:vAlign w:val="center"/>
          </w:tcPr>
          <w:p w14:paraId="15699F35">
            <w:pPr>
              <w:spacing w:beforeLines="0" w:afterLines="0" w:line="360" w:lineRule="auto"/>
              <w:jc w:val="center"/>
              <w:rPr>
                <w:rFonts w:hint="eastAsia" w:ascii="宋体" w:hAnsi="宋体" w:cs="宋体"/>
                <w:b/>
                <w:bCs/>
                <w:color w:val="auto"/>
                <w:sz w:val="21"/>
                <w:szCs w:val="21"/>
                <w:highlight w:val="none"/>
              </w:rPr>
            </w:pPr>
            <w:r>
              <w:rPr>
                <w:rFonts w:hint="default" w:ascii="宋体" w:hAnsi="宋体"/>
                <w:b/>
                <w:color w:val="auto"/>
                <w:sz w:val="21"/>
                <w:szCs w:val="24"/>
                <w:highlight w:val="none"/>
              </w:rPr>
              <w:t>▲售后服务要求</w:t>
            </w:r>
          </w:p>
        </w:tc>
        <w:tc>
          <w:tcPr>
            <w:tcW w:w="7552" w:type="dxa"/>
            <w:gridSpan w:val="2"/>
            <w:vAlign w:val="center"/>
          </w:tcPr>
          <w:p w14:paraId="7A64C4B1">
            <w:pPr>
              <w:spacing w:beforeLines="0" w:afterLines="0" w:line="360" w:lineRule="auto"/>
              <w:rPr>
                <w:rFonts w:hint="eastAsia" w:ascii="宋体" w:hAnsi="宋体" w:eastAsia="宋体" w:cs="宋体"/>
                <w:color w:val="auto"/>
                <w:highlight w:val="none"/>
                <w:lang w:val="en-US" w:eastAsia="zh-CN"/>
              </w:rPr>
            </w:pPr>
            <w:r>
              <w:rPr>
                <w:rFonts w:hint="default" w:ascii="宋体" w:hAnsi="宋体" w:cs="宋体"/>
                <w:color w:val="auto"/>
                <w:sz w:val="21"/>
                <w:szCs w:val="21"/>
                <w:highlight w:val="none"/>
              </w:rPr>
              <w:t>为保证系统的运维服务质量，成交供应商需承诺在项目运维期间需有充足的实施人员，包括业务专家、系统开发工程师及运维工程师至少10名，周一至周五，每天8小时驻场进行现场运维支持，节假日期间如有紧急情况也需尽快到场处置。</w:t>
            </w:r>
          </w:p>
        </w:tc>
      </w:tr>
      <w:tr w14:paraId="5B81E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98" w:type="dxa"/>
            <w:gridSpan w:val="4"/>
            <w:vAlign w:val="center"/>
          </w:tcPr>
          <w:p w14:paraId="57CAF90C">
            <w:pPr>
              <w:spacing w:beforeLines="0" w:afterLines="0" w:line="360" w:lineRule="auto"/>
              <w:jc w:val="center"/>
              <w:rPr>
                <w:rFonts w:hint="eastAsia" w:ascii="宋体" w:hAnsi="宋体" w:cs="宋体"/>
                <w:b/>
                <w:bCs/>
                <w:color w:val="auto"/>
                <w:sz w:val="21"/>
                <w:szCs w:val="21"/>
                <w:highlight w:val="none"/>
              </w:rPr>
            </w:pPr>
            <w:r>
              <w:rPr>
                <w:rFonts w:hint="default" w:ascii="宋体" w:hAnsi="宋体"/>
                <w:b/>
                <w:color w:val="auto"/>
                <w:sz w:val="21"/>
                <w:szCs w:val="24"/>
                <w:highlight w:val="none"/>
              </w:rPr>
              <w:t>▲报价要求</w:t>
            </w:r>
          </w:p>
        </w:tc>
        <w:tc>
          <w:tcPr>
            <w:tcW w:w="7552" w:type="dxa"/>
            <w:gridSpan w:val="2"/>
            <w:vAlign w:val="center"/>
          </w:tcPr>
          <w:p w14:paraId="13DBCA5C">
            <w:pPr>
              <w:spacing w:beforeLines="0" w:afterLines="0" w:line="360" w:lineRule="auto"/>
              <w:rPr>
                <w:rFonts w:hint="default" w:ascii="宋体"/>
                <w:color w:val="auto"/>
                <w:sz w:val="21"/>
                <w:szCs w:val="24"/>
                <w:highlight w:val="none"/>
              </w:rPr>
            </w:pPr>
            <w:r>
              <w:rPr>
                <w:rFonts w:hint="default" w:ascii="宋体"/>
                <w:color w:val="auto"/>
                <w:sz w:val="21"/>
                <w:szCs w:val="24"/>
                <w:highlight w:val="none"/>
              </w:rPr>
              <w:t>报价必须包括但不限于以下内容：</w:t>
            </w:r>
          </w:p>
          <w:p w14:paraId="2DE45E66">
            <w:pPr>
              <w:spacing w:beforeLines="0" w:afterLines="0" w:line="360" w:lineRule="auto"/>
              <w:rPr>
                <w:rFonts w:hint="default" w:ascii="宋体"/>
                <w:color w:val="auto"/>
                <w:sz w:val="21"/>
                <w:szCs w:val="24"/>
                <w:highlight w:val="none"/>
              </w:rPr>
            </w:pPr>
            <w:r>
              <w:rPr>
                <w:rFonts w:hint="eastAsia" w:ascii="宋体"/>
                <w:color w:val="auto"/>
                <w:sz w:val="21"/>
                <w:szCs w:val="24"/>
                <w:highlight w:val="none"/>
                <w:lang w:val="en-US" w:eastAsia="zh-CN"/>
              </w:rPr>
              <w:t>1.</w:t>
            </w:r>
            <w:r>
              <w:rPr>
                <w:rFonts w:hint="default" w:ascii="宋体"/>
                <w:color w:val="auto"/>
                <w:sz w:val="21"/>
                <w:szCs w:val="24"/>
                <w:highlight w:val="none"/>
              </w:rPr>
              <w:t xml:space="preserve"> 服务的价格；</w:t>
            </w:r>
          </w:p>
          <w:p w14:paraId="78B61A80">
            <w:pPr>
              <w:spacing w:beforeLines="0" w:afterLines="0" w:line="360" w:lineRule="auto"/>
              <w:rPr>
                <w:rFonts w:hint="default" w:ascii="宋体"/>
                <w:color w:val="auto"/>
                <w:sz w:val="21"/>
                <w:szCs w:val="24"/>
                <w:highlight w:val="none"/>
              </w:rPr>
            </w:pPr>
            <w:r>
              <w:rPr>
                <w:rFonts w:hint="eastAsia" w:ascii="宋体"/>
                <w:color w:val="auto"/>
                <w:sz w:val="21"/>
                <w:szCs w:val="24"/>
                <w:highlight w:val="none"/>
                <w:lang w:val="en-US" w:eastAsia="zh-CN"/>
              </w:rPr>
              <w:t>2.</w:t>
            </w:r>
            <w:r>
              <w:rPr>
                <w:rFonts w:hint="default" w:ascii="宋体"/>
                <w:color w:val="auto"/>
                <w:sz w:val="21"/>
                <w:szCs w:val="24"/>
                <w:highlight w:val="none"/>
              </w:rPr>
              <w:t>必要的费用及各项服务税金；</w:t>
            </w:r>
          </w:p>
          <w:p w14:paraId="246211CC">
            <w:pPr>
              <w:spacing w:beforeLines="0" w:afterLines="0" w:line="360" w:lineRule="auto"/>
              <w:rPr>
                <w:rFonts w:hint="default" w:ascii="宋体"/>
                <w:color w:val="auto"/>
                <w:sz w:val="21"/>
                <w:szCs w:val="24"/>
                <w:highlight w:val="none"/>
              </w:rPr>
            </w:pPr>
            <w:r>
              <w:rPr>
                <w:rFonts w:hint="eastAsia" w:ascii="宋体"/>
                <w:color w:val="auto"/>
                <w:sz w:val="21"/>
                <w:szCs w:val="24"/>
                <w:highlight w:val="none"/>
                <w:lang w:val="en-US" w:eastAsia="zh-CN"/>
              </w:rPr>
              <w:t>3.</w:t>
            </w:r>
            <w:r>
              <w:rPr>
                <w:rFonts w:hint="default" w:ascii="宋体"/>
                <w:color w:val="auto"/>
                <w:sz w:val="21"/>
                <w:szCs w:val="24"/>
                <w:highlight w:val="none"/>
              </w:rPr>
              <w:t>该项目全程服务过程中所发生的一切费用由服务方自行负责，如所涉及的一切费用由服务方自行承担，服务方需满足采购人对本项目服务提出的有关需求所需的一切费用；</w:t>
            </w:r>
          </w:p>
          <w:p w14:paraId="3A5353E4">
            <w:pPr>
              <w:spacing w:beforeLines="0" w:afterLines="0" w:line="360" w:lineRule="auto"/>
              <w:rPr>
                <w:rFonts w:hint="eastAsia" w:ascii="宋体" w:hAnsi="宋体" w:eastAsia="宋体" w:cs="宋体"/>
                <w:color w:val="auto"/>
                <w:highlight w:val="none"/>
                <w:lang w:val="en-US" w:eastAsia="zh-CN"/>
              </w:rPr>
            </w:pPr>
            <w:r>
              <w:rPr>
                <w:rFonts w:hint="eastAsia" w:ascii="宋体"/>
                <w:color w:val="auto"/>
                <w:sz w:val="21"/>
                <w:szCs w:val="24"/>
                <w:highlight w:val="none"/>
                <w:lang w:val="en-US" w:eastAsia="zh-CN"/>
              </w:rPr>
              <w:t>4.</w:t>
            </w:r>
            <w:r>
              <w:rPr>
                <w:rFonts w:hint="default" w:ascii="宋体"/>
                <w:color w:val="auto"/>
                <w:sz w:val="21"/>
                <w:szCs w:val="24"/>
                <w:highlight w:val="none"/>
              </w:rPr>
              <w:t>其他</w:t>
            </w:r>
            <w:r>
              <w:rPr>
                <w:rFonts w:hint="eastAsia" w:ascii="宋体"/>
                <w:color w:val="auto"/>
                <w:sz w:val="21"/>
                <w:szCs w:val="24"/>
                <w:highlight w:val="none"/>
                <w:lang w:eastAsia="zh-CN"/>
              </w:rPr>
              <w:t>（</w:t>
            </w:r>
            <w:r>
              <w:rPr>
                <w:rFonts w:hint="default" w:ascii="宋体"/>
                <w:color w:val="auto"/>
                <w:sz w:val="21"/>
                <w:szCs w:val="24"/>
                <w:highlight w:val="none"/>
              </w:rPr>
              <w:t>如运输、装卸、安装、调试、技术支持、售后服务、验收等</w:t>
            </w:r>
            <w:r>
              <w:rPr>
                <w:rFonts w:hint="eastAsia" w:ascii="宋体"/>
                <w:color w:val="auto"/>
                <w:sz w:val="21"/>
                <w:szCs w:val="24"/>
                <w:highlight w:val="none"/>
                <w:lang w:eastAsia="zh-CN"/>
              </w:rPr>
              <w:t>）</w:t>
            </w:r>
            <w:r>
              <w:rPr>
                <w:rFonts w:hint="default" w:ascii="宋体"/>
                <w:color w:val="auto"/>
                <w:sz w:val="21"/>
                <w:szCs w:val="24"/>
                <w:highlight w:val="none"/>
              </w:rPr>
              <w:t>费用。</w:t>
            </w:r>
          </w:p>
        </w:tc>
      </w:tr>
      <w:tr w14:paraId="22694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98" w:type="dxa"/>
            <w:gridSpan w:val="4"/>
            <w:vAlign w:val="center"/>
          </w:tcPr>
          <w:p w14:paraId="0FCE000C">
            <w:pPr>
              <w:spacing w:beforeLines="0" w:afterLines="0" w:line="360" w:lineRule="auto"/>
              <w:jc w:val="center"/>
              <w:rPr>
                <w:rFonts w:hint="eastAsia" w:ascii="宋体" w:hAnsi="宋体" w:cs="宋体"/>
                <w:b/>
                <w:bCs/>
                <w:color w:val="auto"/>
                <w:sz w:val="21"/>
                <w:szCs w:val="21"/>
                <w:highlight w:val="none"/>
              </w:rPr>
            </w:pPr>
            <w:r>
              <w:rPr>
                <w:rFonts w:hint="default" w:ascii="宋体" w:hAnsi="宋体"/>
                <w:b/>
                <w:color w:val="auto"/>
                <w:sz w:val="21"/>
                <w:szCs w:val="24"/>
                <w:highlight w:val="none"/>
              </w:rPr>
              <w:t>▲付款方式</w:t>
            </w:r>
          </w:p>
        </w:tc>
        <w:tc>
          <w:tcPr>
            <w:tcW w:w="7552" w:type="dxa"/>
            <w:gridSpan w:val="2"/>
            <w:vAlign w:val="center"/>
          </w:tcPr>
          <w:p w14:paraId="64FB3E57">
            <w:pPr>
              <w:spacing w:beforeLines="0" w:afterLines="0"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合同签署生效后十个工作日以内，</w:t>
            </w:r>
            <w:r>
              <w:rPr>
                <w:rFonts w:hint="eastAsia" w:ascii="宋体" w:hAnsi="宋体" w:cs="宋体"/>
                <w:color w:val="auto"/>
                <w:highlight w:val="none"/>
                <w:lang w:val="en-US" w:eastAsia="zh-CN"/>
              </w:rPr>
              <w:t>采购人</w:t>
            </w:r>
            <w:r>
              <w:rPr>
                <w:rFonts w:hint="eastAsia" w:ascii="宋体" w:hAnsi="宋体" w:eastAsia="宋体" w:cs="宋体"/>
                <w:color w:val="auto"/>
                <w:highlight w:val="none"/>
                <w:lang w:val="en-US" w:eastAsia="zh-CN"/>
              </w:rPr>
              <w:t>向</w:t>
            </w:r>
            <w:r>
              <w:rPr>
                <w:rFonts w:hint="eastAsia" w:ascii="宋体" w:hAnsi="宋体" w:cs="宋体"/>
                <w:color w:val="auto"/>
                <w:highlight w:val="none"/>
                <w:lang w:val="en-US" w:eastAsia="zh-CN"/>
              </w:rPr>
              <w:t>成交供应商</w:t>
            </w:r>
            <w:r>
              <w:rPr>
                <w:rFonts w:hint="eastAsia" w:ascii="宋体" w:hAnsi="宋体" w:eastAsia="宋体" w:cs="宋体"/>
                <w:color w:val="auto"/>
                <w:highlight w:val="none"/>
                <w:lang w:val="en-US" w:eastAsia="zh-CN"/>
              </w:rPr>
              <w:t>支付合同总额的100%作为项目款。(付款前，成交供应商需向采购人出具等额增值税发票)。</w:t>
            </w:r>
          </w:p>
        </w:tc>
      </w:tr>
      <w:tr w14:paraId="54020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98" w:type="dxa"/>
            <w:gridSpan w:val="4"/>
            <w:vAlign w:val="center"/>
          </w:tcPr>
          <w:p w14:paraId="3010405A">
            <w:pPr>
              <w:spacing w:beforeLines="0" w:afterLines="0" w:line="360" w:lineRule="auto"/>
              <w:jc w:val="center"/>
              <w:rPr>
                <w:rFonts w:hint="eastAsia" w:ascii="宋体" w:hAnsi="宋体" w:cs="宋体"/>
                <w:b/>
                <w:bCs/>
                <w:color w:val="auto"/>
                <w:sz w:val="21"/>
                <w:szCs w:val="21"/>
                <w:highlight w:val="none"/>
              </w:rPr>
            </w:pPr>
            <w:r>
              <w:rPr>
                <w:rFonts w:hint="default" w:ascii="宋体" w:hAnsi="宋体"/>
                <w:b/>
                <w:color w:val="auto"/>
                <w:sz w:val="21"/>
                <w:szCs w:val="24"/>
                <w:highlight w:val="none"/>
              </w:rPr>
              <w:t>▲其他要求</w:t>
            </w:r>
          </w:p>
        </w:tc>
        <w:tc>
          <w:tcPr>
            <w:tcW w:w="7552" w:type="dxa"/>
            <w:gridSpan w:val="2"/>
            <w:vAlign w:val="center"/>
          </w:tcPr>
          <w:p w14:paraId="560A88DC">
            <w:pPr>
              <w:spacing w:beforeLines="0" w:afterLines="0" w:line="360" w:lineRule="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1.服务期间若驻场运维人员出现无法在规定时间内排除故障情况，采购人有权要求成交供应商更换驻场运维人员，若更换驻场运维人员后仍出现上述情况的，采购人有权追究成交供应商责任，因不能及时排除故障所产生的损失，由成交供应商负责。</w:t>
            </w:r>
          </w:p>
          <w:p w14:paraId="4DD0E6D7">
            <w:pPr>
              <w:spacing w:beforeLines="0" w:afterLines="0" w:line="360" w:lineRule="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2.若服务期间实际驻场运维人员未达采购文件要求的，经采购人警告后仍未补足驻场运维人员的，采购人有权通过法律途径解除采购合同，由此造成的损失，由成交供应商负责。</w:t>
            </w:r>
          </w:p>
        </w:tc>
      </w:tr>
    </w:tbl>
    <w:p w14:paraId="39846FD4">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241F3134">
      <w:pPr>
        <w:spacing w:line="528" w:lineRule="exact"/>
        <w:jc w:val="left"/>
        <w:rPr>
          <w:rFonts w:hint="eastAsia" w:ascii="宋体" w:hAnsi="宋体" w:eastAsia="宋体" w:cs="宋体"/>
          <w:color w:val="auto"/>
          <w:highlight w:val="none"/>
        </w:rPr>
      </w:pPr>
      <w:r>
        <w:rPr>
          <w:rFonts w:hint="eastAsia" w:ascii="宋体" w:hAnsi="宋体" w:eastAsia="宋体" w:cs="宋体"/>
          <w:color w:val="auto"/>
          <w:sz w:val="32"/>
          <w:szCs w:val="32"/>
          <w:highlight w:val="none"/>
        </w:rPr>
        <w:t>附件1</w:t>
      </w:r>
    </w:p>
    <w:p w14:paraId="225B6081">
      <w:pPr>
        <w:spacing w:line="528" w:lineRule="exact"/>
        <w:jc w:val="cente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节能产品政府采购品目清单</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116"/>
        <w:gridCol w:w="1516"/>
        <w:gridCol w:w="1612"/>
        <w:gridCol w:w="4640"/>
      </w:tblGrid>
      <w:tr w14:paraId="50666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noWrap w:val="0"/>
            <w:vAlign w:val="top"/>
          </w:tcPr>
          <w:p w14:paraId="78BDC61F">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品目序号</w:t>
            </w:r>
          </w:p>
        </w:tc>
        <w:tc>
          <w:tcPr>
            <w:tcW w:w="4244" w:type="dxa"/>
            <w:gridSpan w:val="3"/>
            <w:noWrap w:val="0"/>
            <w:vAlign w:val="center"/>
          </w:tcPr>
          <w:p w14:paraId="04D0E428">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名称</w:t>
            </w:r>
          </w:p>
        </w:tc>
        <w:tc>
          <w:tcPr>
            <w:tcW w:w="4640" w:type="dxa"/>
            <w:noWrap w:val="0"/>
            <w:vAlign w:val="center"/>
          </w:tcPr>
          <w:p w14:paraId="6C933763">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依据的标准</w:t>
            </w:r>
          </w:p>
        </w:tc>
      </w:tr>
      <w:tr w14:paraId="1E548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vMerge w:val="restart"/>
            <w:noWrap w:val="0"/>
            <w:vAlign w:val="center"/>
          </w:tcPr>
          <w:p w14:paraId="72950D28">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1116" w:type="dxa"/>
            <w:vMerge w:val="restart"/>
            <w:noWrap w:val="0"/>
            <w:vAlign w:val="center"/>
          </w:tcPr>
          <w:p w14:paraId="60B480CD">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A020101计算机设备</w:t>
            </w:r>
          </w:p>
        </w:tc>
        <w:tc>
          <w:tcPr>
            <w:tcW w:w="1516" w:type="dxa"/>
            <w:noWrap w:val="0"/>
            <w:vAlign w:val="center"/>
          </w:tcPr>
          <w:p w14:paraId="56009B8A">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★A02010104台式计算机</w:t>
            </w:r>
          </w:p>
        </w:tc>
        <w:tc>
          <w:tcPr>
            <w:tcW w:w="1612" w:type="dxa"/>
            <w:noWrap w:val="0"/>
            <w:vAlign w:val="center"/>
          </w:tcPr>
          <w:p w14:paraId="21B34631">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640" w:type="dxa"/>
            <w:noWrap w:val="0"/>
            <w:vAlign w:val="center"/>
          </w:tcPr>
          <w:p w14:paraId="054998AC">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《微型计算机能效限定值及能效等级》（GB28380）</w:t>
            </w:r>
          </w:p>
        </w:tc>
      </w:tr>
      <w:tr w14:paraId="36479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vMerge w:val="continue"/>
            <w:noWrap w:val="0"/>
            <w:vAlign w:val="center"/>
          </w:tcPr>
          <w:p w14:paraId="3660F544">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116" w:type="dxa"/>
            <w:vMerge w:val="continue"/>
            <w:noWrap w:val="0"/>
            <w:vAlign w:val="center"/>
          </w:tcPr>
          <w:p w14:paraId="44DD71E6">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516" w:type="dxa"/>
            <w:noWrap w:val="0"/>
            <w:vAlign w:val="center"/>
          </w:tcPr>
          <w:p w14:paraId="2C9376D7">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★A02010105便携式计算机</w:t>
            </w:r>
          </w:p>
        </w:tc>
        <w:tc>
          <w:tcPr>
            <w:tcW w:w="1612" w:type="dxa"/>
            <w:noWrap w:val="0"/>
            <w:vAlign w:val="center"/>
          </w:tcPr>
          <w:p w14:paraId="6D7320FE">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640" w:type="dxa"/>
            <w:noWrap w:val="0"/>
            <w:vAlign w:val="center"/>
          </w:tcPr>
          <w:p w14:paraId="430F116E">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《微型计算机能效限定值及能效等级》（GB28380）</w:t>
            </w:r>
          </w:p>
        </w:tc>
      </w:tr>
      <w:tr w14:paraId="1BCEA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vMerge w:val="continue"/>
            <w:noWrap w:val="0"/>
            <w:vAlign w:val="center"/>
          </w:tcPr>
          <w:p w14:paraId="3E1928B6">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116" w:type="dxa"/>
            <w:vMerge w:val="continue"/>
            <w:noWrap w:val="0"/>
            <w:vAlign w:val="center"/>
          </w:tcPr>
          <w:p w14:paraId="466668AE">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516" w:type="dxa"/>
            <w:noWrap w:val="0"/>
            <w:vAlign w:val="center"/>
          </w:tcPr>
          <w:p w14:paraId="75F6634B">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★A02010107平板式微型计算机</w:t>
            </w:r>
          </w:p>
        </w:tc>
        <w:tc>
          <w:tcPr>
            <w:tcW w:w="1612" w:type="dxa"/>
            <w:noWrap w:val="0"/>
            <w:vAlign w:val="center"/>
          </w:tcPr>
          <w:p w14:paraId="7D9490F6">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640" w:type="dxa"/>
            <w:noWrap w:val="0"/>
            <w:vAlign w:val="center"/>
          </w:tcPr>
          <w:p w14:paraId="03E6F8B0">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《微型计算机能效限定值及能效等级》（GB28380）</w:t>
            </w:r>
          </w:p>
        </w:tc>
      </w:tr>
      <w:tr w14:paraId="2F4FD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vMerge w:val="restart"/>
            <w:noWrap w:val="0"/>
            <w:vAlign w:val="center"/>
          </w:tcPr>
          <w:p w14:paraId="31B2E57A">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w:t>
            </w:r>
          </w:p>
        </w:tc>
        <w:tc>
          <w:tcPr>
            <w:tcW w:w="1116" w:type="dxa"/>
            <w:vMerge w:val="restart"/>
            <w:noWrap w:val="0"/>
            <w:vAlign w:val="center"/>
          </w:tcPr>
          <w:p w14:paraId="7071FFCA">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A020106输入输出设备</w:t>
            </w:r>
          </w:p>
        </w:tc>
        <w:tc>
          <w:tcPr>
            <w:tcW w:w="1516" w:type="dxa"/>
            <w:vMerge w:val="restart"/>
            <w:noWrap w:val="0"/>
            <w:vAlign w:val="center"/>
          </w:tcPr>
          <w:p w14:paraId="6A5D76C1">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A02010601打印设备</w:t>
            </w:r>
          </w:p>
        </w:tc>
        <w:tc>
          <w:tcPr>
            <w:tcW w:w="1612" w:type="dxa"/>
            <w:noWrap w:val="0"/>
            <w:vAlign w:val="center"/>
          </w:tcPr>
          <w:p w14:paraId="0FC8B878">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A0201060101喷墨打印机</w:t>
            </w:r>
          </w:p>
        </w:tc>
        <w:tc>
          <w:tcPr>
            <w:tcW w:w="4640" w:type="dxa"/>
            <w:noWrap w:val="0"/>
            <w:vAlign w:val="center"/>
          </w:tcPr>
          <w:p w14:paraId="09492608">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《复印机、打印机和传真机能效限定值及能效等级》（GB21521）</w:t>
            </w:r>
          </w:p>
        </w:tc>
      </w:tr>
      <w:tr w14:paraId="3788F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vMerge w:val="continue"/>
            <w:noWrap w:val="0"/>
            <w:vAlign w:val="center"/>
          </w:tcPr>
          <w:p w14:paraId="4A9D1F7A">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116" w:type="dxa"/>
            <w:vMerge w:val="continue"/>
            <w:noWrap w:val="0"/>
            <w:vAlign w:val="center"/>
          </w:tcPr>
          <w:p w14:paraId="601BE31E">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516" w:type="dxa"/>
            <w:vMerge w:val="continue"/>
            <w:noWrap w:val="0"/>
            <w:vAlign w:val="center"/>
          </w:tcPr>
          <w:p w14:paraId="7A0F1124">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612" w:type="dxa"/>
            <w:noWrap w:val="0"/>
            <w:vAlign w:val="center"/>
          </w:tcPr>
          <w:p w14:paraId="514E5599">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★A0201060102激光打印机</w:t>
            </w:r>
          </w:p>
        </w:tc>
        <w:tc>
          <w:tcPr>
            <w:tcW w:w="4640" w:type="dxa"/>
            <w:noWrap w:val="0"/>
            <w:vAlign w:val="center"/>
          </w:tcPr>
          <w:p w14:paraId="43BDC347">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《复印机、打印机和传真机能效限定值及能效等级》（GB21521）</w:t>
            </w:r>
          </w:p>
        </w:tc>
      </w:tr>
      <w:tr w14:paraId="78403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vMerge w:val="continue"/>
            <w:noWrap w:val="0"/>
            <w:vAlign w:val="center"/>
          </w:tcPr>
          <w:p w14:paraId="11FDA40D">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116" w:type="dxa"/>
            <w:vMerge w:val="continue"/>
            <w:noWrap w:val="0"/>
            <w:vAlign w:val="center"/>
          </w:tcPr>
          <w:p w14:paraId="230897DA">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516" w:type="dxa"/>
            <w:vMerge w:val="continue"/>
            <w:noWrap w:val="0"/>
            <w:vAlign w:val="center"/>
          </w:tcPr>
          <w:p w14:paraId="4D5B0BCC">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612" w:type="dxa"/>
            <w:noWrap w:val="0"/>
            <w:vAlign w:val="center"/>
          </w:tcPr>
          <w:p w14:paraId="432ED708">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★A0201060104针式打印机</w:t>
            </w:r>
          </w:p>
        </w:tc>
        <w:tc>
          <w:tcPr>
            <w:tcW w:w="4640" w:type="dxa"/>
            <w:noWrap w:val="0"/>
            <w:vAlign w:val="center"/>
          </w:tcPr>
          <w:p w14:paraId="2356FF33">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《复印机、打印机和传真机能效限定值及能效等级》（GB21521）</w:t>
            </w:r>
          </w:p>
        </w:tc>
      </w:tr>
      <w:tr w14:paraId="7153D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vMerge w:val="continue"/>
            <w:noWrap w:val="0"/>
            <w:vAlign w:val="center"/>
          </w:tcPr>
          <w:p w14:paraId="5B444BD3">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116" w:type="dxa"/>
            <w:vMerge w:val="continue"/>
            <w:noWrap w:val="0"/>
            <w:vAlign w:val="center"/>
          </w:tcPr>
          <w:p w14:paraId="23553619">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516" w:type="dxa"/>
            <w:noWrap w:val="0"/>
            <w:vAlign w:val="center"/>
          </w:tcPr>
          <w:p w14:paraId="0830B03F">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A02010604显示设备</w:t>
            </w:r>
          </w:p>
        </w:tc>
        <w:tc>
          <w:tcPr>
            <w:tcW w:w="1612" w:type="dxa"/>
            <w:noWrap w:val="0"/>
            <w:vAlign w:val="center"/>
          </w:tcPr>
          <w:p w14:paraId="2529AAB4">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★A0201060401液晶显示器</w:t>
            </w:r>
          </w:p>
        </w:tc>
        <w:tc>
          <w:tcPr>
            <w:tcW w:w="4640" w:type="dxa"/>
            <w:noWrap w:val="0"/>
            <w:vAlign w:val="center"/>
          </w:tcPr>
          <w:p w14:paraId="2514EEAA">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《计算机显示器能效限定值及能效等级》（GB21520）</w:t>
            </w:r>
          </w:p>
        </w:tc>
      </w:tr>
      <w:tr w14:paraId="57E15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vMerge w:val="continue"/>
            <w:noWrap w:val="0"/>
            <w:vAlign w:val="center"/>
          </w:tcPr>
          <w:p w14:paraId="6D9E5929">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116" w:type="dxa"/>
            <w:vMerge w:val="continue"/>
            <w:noWrap w:val="0"/>
            <w:vAlign w:val="center"/>
          </w:tcPr>
          <w:p w14:paraId="661BCA2B">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516" w:type="dxa"/>
            <w:noWrap w:val="0"/>
            <w:vAlign w:val="center"/>
          </w:tcPr>
          <w:p w14:paraId="3216E090">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A02010609图形图像输入设备</w:t>
            </w:r>
          </w:p>
        </w:tc>
        <w:tc>
          <w:tcPr>
            <w:tcW w:w="1612" w:type="dxa"/>
            <w:noWrap w:val="0"/>
            <w:vAlign w:val="center"/>
          </w:tcPr>
          <w:p w14:paraId="5FC2FF77">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A0201060901扫描仪</w:t>
            </w:r>
          </w:p>
        </w:tc>
        <w:tc>
          <w:tcPr>
            <w:tcW w:w="4640" w:type="dxa"/>
            <w:noWrap w:val="0"/>
            <w:vAlign w:val="center"/>
          </w:tcPr>
          <w:p w14:paraId="44708F18">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lang w:eastAsia="zh-CN"/>
              </w:rPr>
            </w:pPr>
            <w:r>
              <w:rPr>
                <w:rFonts w:hint="eastAsia" w:ascii="宋体" w:hAnsi="宋体" w:eastAsia="宋体" w:cs="宋体"/>
                <w:color w:val="auto"/>
                <w:kern w:val="0"/>
                <w:sz w:val="20"/>
                <w:szCs w:val="20"/>
                <w:highlight w:val="none"/>
              </w:rPr>
              <w:t>参照《复印机、打印机和传真机能效限定值及能效等级》（GB21521</w:t>
            </w:r>
            <w:r>
              <w:rPr>
                <w:rFonts w:hint="eastAsia" w:ascii="宋体" w:hAnsi="宋体" w:eastAsia="宋体" w:cs="宋体"/>
                <w:color w:val="auto"/>
                <w:kern w:val="0"/>
                <w:sz w:val="20"/>
                <w:szCs w:val="20"/>
                <w:highlight w:val="none"/>
                <w:lang w:eastAsia="zh-CN"/>
              </w:rPr>
              <w:t>）中打印速度为15页/分的针式打印机相关要求</w:t>
            </w:r>
          </w:p>
        </w:tc>
      </w:tr>
      <w:tr w14:paraId="6ACC8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noWrap w:val="0"/>
            <w:vAlign w:val="center"/>
          </w:tcPr>
          <w:p w14:paraId="4EF1CE00">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w:t>
            </w:r>
          </w:p>
        </w:tc>
        <w:tc>
          <w:tcPr>
            <w:tcW w:w="1116" w:type="dxa"/>
            <w:noWrap w:val="0"/>
            <w:vAlign w:val="center"/>
          </w:tcPr>
          <w:p w14:paraId="24316174">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A020202投影仪</w:t>
            </w:r>
          </w:p>
        </w:tc>
        <w:tc>
          <w:tcPr>
            <w:tcW w:w="1516" w:type="dxa"/>
            <w:noWrap w:val="0"/>
            <w:vAlign w:val="center"/>
          </w:tcPr>
          <w:p w14:paraId="37C5E892">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12" w:type="dxa"/>
            <w:noWrap w:val="0"/>
            <w:vAlign w:val="center"/>
          </w:tcPr>
          <w:p w14:paraId="264D376F">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640" w:type="dxa"/>
            <w:noWrap w:val="0"/>
            <w:vAlign w:val="center"/>
          </w:tcPr>
          <w:p w14:paraId="77365884">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《投影机能效限定值及能效等级》（GB32028）</w:t>
            </w:r>
          </w:p>
        </w:tc>
      </w:tr>
      <w:tr w14:paraId="5D760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noWrap w:val="0"/>
            <w:vAlign w:val="center"/>
          </w:tcPr>
          <w:p w14:paraId="2FDE7CD7">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w:t>
            </w:r>
          </w:p>
        </w:tc>
        <w:tc>
          <w:tcPr>
            <w:tcW w:w="1116" w:type="dxa"/>
            <w:noWrap w:val="0"/>
            <w:vAlign w:val="center"/>
          </w:tcPr>
          <w:p w14:paraId="2CF4CEC8">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A020204多功能一体机</w:t>
            </w:r>
          </w:p>
        </w:tc>
        <w:tc>
          <w:tcPr>
            <w:tcW w:w="1516" w:type="dxa"/>
            <w:noWrap w:val="0"/>
            <w:vAlign w:val="center"/>
          </w:tcPr>
          <w:p w14:paraId="3B4E7574">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12" w:type="dxa"/>
            <w:noWrap w:val="0"/>
            <w:vAlign w:val="center"/>
          </w:tcPr>
          <w:p w14:paraId="686AB6C1">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640" w:type="dxa"/>
            <w:noWrap w:val="0"/>
            <w:vAlign w:val="center"/>
          </w:tcPr>
          <w:p w14:paraId="1FAD42B1">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《复印机、打印机和传真机能效限定值及能效等级》（GB21521）</w:t>
            </w:r>
          </w:p>
        </w:tc>
      </w:tr>
      <w:tr w14:paraId="768CD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noWrap w:val="0"/>
            <w:vAlign w:val="center"/>
          </w:tcPr>
          <w:p w14:paraId="64A4FF57">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w:t>
            </w:r>
          </w:p>
        </w:tc>
        <w:tc>
          <w:tcPr>
            <w:tcW w:w="1116" w:type="dxa"/>
            <w:noWrap w:val="0"/>
            <w:vAlign w:val="center"/>
          </w:tcPr>
          <w:p w14:paraId="15BE2008">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A020519泵</w:t>
            </w:r>
          </w:p>
        </w:tc>
        <w:tc>
          <w:tcPr>
            <w:tcW w:w="1516" w:type="dxa"/>
            <w:noWrap w:val="0"/>
            <w:vAlign w:val="center"/>
          </w:tcPr>
          <w:p w14:paraId="0E1A1BB3">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A02051901离心泵</w:t>
            </w:r>
          </w:p>
        </w:tc>
        <w:tc>
          <w:tcPr>
            <w:tcW w:w="1612" w:type="dxa"/>
            <w:noWrap w:val="0"/>
            <w:vAlign w:val="center"/>
          </w:tcPr>
          <w:p w14:paraId="4DCD9A5D">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640" w:type="dxa"/>
            <w:noWrap w:val="0"/>
            <w:vAlign w:val="center"/>
          </w:tcPr>
          <w:p w14:paraId="3C3BFA7A">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《清水离心泵能效限定值及节能评价值》（GB19762）</w:t>
            </w:r>
          </w:p>
        </w:tc>
      </w:tr>
      <w:tr w14:paraId="2B48B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vMerge w:val="restart"/>
            <w:noWrap w:val="0"/>
            <w:vAlign w:val="center"/>
          </w:tcPr>
          <w:p w14:paraId="2DB910C8">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6</w:t>
            </w:r>
          </w:p>
        </w:tc>
        <w:tc>
          <w:tcPr>
            <w:tcW w:w="1116" w:type="dxa"/>
            <w:vMerge w:val="restart"/>
            <w:noWrap w:val="0"/>
            <w:vAlign w:val="center"/>
          </w:tcPr>
          <w:p w14:paraId="1F3B750F">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A020523制冷空调设备</w:t>
            </w:r>
          </w:p>
        </w:tc>
        <w:tc>
          <w:tcPr>
            <w:tcW w:w="1516" w:type="dxa"/>
            <w:vMerge w:val="restart"/>
            <w:noWrap w:val="0"/>
            <w:vAlign w:val="center"/>
          </w:tcPr>
          <w:p w14:paraId="4A05FAB9">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★A02052301制冷压缩机</w:t>
            </w:r>
          </w:p>
        </w:tc>
        <w:tc>
          <w:tcPr>
            <w:tcW w:w="1612" w:type="dxa"/>
            <w:noWrap w:val="0"/>
            <w:vAlign w:val="center"/>
          </w:tcPr>
          <w:p w14:paraId="3066B364">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冷水机组</w:t>
            </w:r>
          </w:p>
        </w:tc>
        <w:tc>
          <w:tcPr>
            <w:tcW w:w="4640" w:type="dxa"/>
            <w:noWrap w:val="0"/>
            <w:vAlign w:val="center"/>
          </w:tcPr>
          <w:p w14:paraId="426D29F0">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《冷水机组能效限定值及能效等级》（GB19577），《低环境温度空气源热泵（冷水）机组能效限定值及能效等级》（GB37480）</w:t>
            </w:r>
          </w:p>
        </w:tc>
      </w:tr>
      <w:tr w14:paraId="2DE52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vMerge w:val="continue"/>
            <w:noWrap w:val="0"/>
            <w:vAlign w:val="center"/>
          </w:tcPr>
          <w:p w14:paraId="3E662B9B">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116" w:type="dxa"/>
            <w:vMerge w:val="continue"/>
            <w:noWrap w:val="0"/>
            <w:vAlign w:val="center"/>
          </w:tcPr>
          <w:p w14:paraId="0983436F">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516" w:type="dxa"/>
            <w:vMerge w:val="continue"/>
            <w:noWrap w:val="0"/>
            <w:vAlign w:val="center"/>
          </w:tcPr>
          <w:p w14:paraId="7E96A5A1">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612" w:type="dxa"/>
            <w:noWrap w:val="0"/>
            <w:vAlign w:val="center"/>
          </w:tcPr>
          <w:p w14:paraId="5CB599EE">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水源热泵机组</w:t>
            </w:r>
          </w:p>
        </w:tc>
        <w:tc>
          <w:tcPr>
            <w:tcW w:w="4640" w:type="dxa"/>
            <w:noWrap w:val="0"/>
            <w:vAlign w:val="center"/>
          </w:tcPr>
          <w:p w14:paraId="32266E36">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《水（地）源热泵机组能效限定值及能效等级》（GB30721）</w:t>
            </w:r>
          </w:p>
        </w:tc>
      </w:tr>
      <w:tr w14:paraId="3FDA1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vMerge w:val="continue"/>
            <w:noWrap w:val="0"/>
            <w:vAlign w:val="center"/>
          </w:tcPr>
          <w:p w14:paraId="0252A95E">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116" w:type="dxa"/>
            <w:vMerge w:val="continue"/>
            <w:noWrap w:val="0"/>
            <w:vAlign w:val="center"/>
          </w:tcPr>
          <w:p w14:paraId="37A71509">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516" w:type="dxa"/>
            <w:vMerge w:val="continue"/>
            <w:noWrap w:val="0"/>
            <w:vAlign w:val="center"/>
          </w:tcPr>
          <w:p w14:paraId="626E356F">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612" w:type="dxa"/>
            <w:noWrap w:val="0"/>
            <w:vAlign w:val="center"/>
          </w:tcPr>
          <w:p w14:paraId="38ECAEFA">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溴化锂吸收式冷水机组</w:t>
            </w:r>
          </w:p>
        </w:tc>
        <w:tc>
          <w:tcPr>
            <w:tcW w:w="4640" w:type="dxa"/>
            <w:noWrap w:val="0"/>
            <w:vAlign w:val="center"/>
          </w:tcPr>
          <w:p w14:paraId="3A68B02A">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《溴化锂吸收式冷水机组能效限定值及能效等级》（GB29540）</w:t>
            </w:r>
          </w:p>
        </w:tc>
      </w:tr>
      <w:tr w14:paraId="7B62D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vMerge w:val="continue"/>
            <w:noWrap w:val="0"/>
            <w:vAlign w:val="center"/>
          </w:tcPr>
          <w:p w14:paraId="2757A62F">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116" w:type="dxa"/>
            <w:vMerge w:val="continue"/>
            <w:noWrap w:val="0"/>
            <w:vAlign w:val="center"/>
          </w:tcPr>
          <w:p w14:paraId="092C7029">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516" w:type="dxa"/>
            <w:vMerge w:val="restart"/>
            <w:noWrap w:val="0"/>
            <w:vAlign w:val="center"/>
          </w:tcPr>
          <w:p w14:paraId="0A11A99A">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★A02052305空调机组</w:t>
            </w:r>
          </w:p>
        </w:tc>
        <w:tc>
          <w:tcPr>
            <w:tcW w:w="1612" w:type="dxa"/>
            <w:noWrap w:val="0"/>
            <w:vAlign w:val="center"/>
          </w:tcPr>
          <w:p w14:paraId="2CE63ED8">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多联式空调（热泵）机组(制冷量&gt;14000W)</w:t>
            </w:r>
          </w:p>
        </w:tc>
        <w:tc>
          <w:tcPr>
            <w:tcW w:w="4640" w:type="dxa"/>
            <w:noWrap w:val="0"/>
            <w:vAlign w:val="center"/>
          </w:tcPr>
          <w:p w14:paraId="27F6D840">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《多联式空调（热泵）机组能效限定值及能源效率等级》（GB21454）</w:t>
            </w:r>
          </w:p>
        </w:tc>
      </w:tr>
      <w:tr w14:paraId="1026E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vMerge w:val="continue"/>
            <w:noWrap w:val="0"/>
            <w:vAlign w:val="center"/>
          </w:tcPr>
          <w:p w14:paraId="1C40A5B0">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116" w:type="dxa"/>
            <w:vMerge w:val="continue"/>
            <w:noWrap w:val="0"/>
            <w:vAlign w:val="center"/>
          </w:tcPr>
          <w:p w14:paraId="52EC4C9E">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516" w:type="dxa"/>
            <w:vMerge w:val="continue"/>
            <w:noWrap w:val="0"/>
            <w:vAlign w:val="center"/>
          </w:tcPr>
          <w:p w14:paraId="60DB24F8">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612" w:type="dxa"/>
            <w:noWrap w:val="0"/>
            <w:vAlign w:val="center"/>
          </w:tcPr>
          <w:p w14:paraId="2FE3B15F">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单元式空气调节机(制冷量&gt;14000W</w:t>
            </w:r>
          </w:p>
        </w:tc>
        <w:tc>
          <w:tcPr>
            <w:tcW w:w="4640" w:type="dxa"/>
            <w:noWrap w:val="0"/>
            <w:vAlign w:val="center"/>
          </w:tcPr>
          <w:p w14:paraId="37F02FF1">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《单元式空气调节机能效限定值及能效等级》（GB19576）《风管送风式空调机组能效限定值及能效等级》（GB37479）</w:t>
            </w:r>
          </w:p>
        </w:tc>
      </w:tr>
      <w:tr w14:paraId="480C0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vMerge w:val="continue"/>
            <w:noWrap w:val="0"/>
            <w:vAlign w:val="center"/>
          </w:tcPr>
          <w:p w14:paraId="4D99A8B4">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116" w:type="dxa"/>
            <w:vMerge w:val="continue"/>
            <w:noWrap w:val="0"/>
            <w:vAlign w:val="center"/>
          </w:tcPr>
          <w:p w14:paraId="7939FA9D">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516" w:type="dxa"/>
            <w:noWrap w:val="0"/>
            <w:vAlign w:val="center"/>
          </w:tcPr>
          <w:p w14:paraId="077E05EB">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★A02052309专用制冷、空调设备</w:t>
            </w:r>
          </w:p>
        </w:tc>
        <w:tc>
          <w:tcPr>
            <w:tcW w:w="1612" w:type="dxa"/>
            <w:noWrap w:val="0"/>
            <w:vAlign w:val="center"/>
          </w:tcPr>
          <w:p w14:paraId="1E020D4F">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机房空调</w:t>
            </w:r>
          </w:p>
        </w:tc>
        <w:tc>
          <w:tcPr>
            <w:tcW w:w="4640" w:type="dxa"/>
            <w:noWrap w:val="0"/>
            <w:vAlign w:val="center"/>
          </w:tcPr>
          <w:p w14:paraId="0FBD63D6">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《单元式空气调节机能效限定值及能效等级》（GB19576）</w:t>
            </w:r>
          </w:p>
        </w:tc>
      </w:tr>
      <w:tr w14:paraId="1A29A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vMerge w:val="continue"/>
            <w:noWrap w:val="0"/>
            <w:vAlign w:val="center"/>
          </w:tcPr>
          <w:p w14:paraId="5BA37E8A">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116" w:type="dxa"/>
            <w:vMerge w:val="continue"/>
            <w:noWrap w:val="0"/>
            <w:vAlign w:val="center"/>
          </w:tcPr>
          <w:p w14:paraId="01B293C4">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516" w:type="dxa"/>
            <w:noWrap w:val="0"/>
            <w:vAlign w:val="center"/>
          </w:tcPr>
          <w:p w14:paraId="787F671F">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A02052399其他制冷空调设备</w:t>
            </w:r>
          </w:p>
        </w:tc>
        <w:tc>
          <w:tcPr>
            <w:tcW w:w="1612" w:type="dxa"/>
            <w:noWrap w:val="0"/>
            <w:vAlign w:val="center"/>
          </w:tcPr>
          <w:p w14:paraId="5AB187AC">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冷却塔</w:t>
            </w:r>
          </w:p>
        </w:tc>
        <w:tc>
          <w:tcPr>
            <w:tcW w:w="4640" w:type="dxa"/>
            <w:noWrap w:val="0"/>
            <w:vAlign w:val="center"/>
          </w:tcPr>
          <w:p w14:paraId="5D142D6C">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《机械通风冷却塔第1部分：中小型开式冷却塔》（GB/T7190.1）；《机械通风冷却塔第2部分：大型开式冷却塔》（GB/T7190.2）</w:t>
            </w:r>
          </w:p>
        </w:tc>
      </w:tr>
      <w:tr w14:paraId="4EA81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noWrap w:val="0"/>
            <w:vAlign w:val="center"/>
          </w:tcPr>
          <w:p w14:paraId="165800A9">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7</w:t>
            </w:r>
          </w:p>
        </w:tc>
        <w:tc>
          <w:tcPr>
            <w:tcW w:w="1116" w:type="dxa"/>
            <w:noWrap w:val="0"/>
            <w:vAlign w:val="center"/>
          </w:tcPr>
          <w:p w14:paraId="3C425650">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A020601电机</w:t>
            </w:r>
          </w:p>
        </w:tc>
        <w:tc>
          <w:tcPr>
            <w:tcW w:w="1516" w:type="dxa"/>
            <w:noWrap w:val="0"/>
            <w:vAlign w:val="center"/>
          </w:tcPr>
          <w:p w14:paraId="637A93B5">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12" w:type="dxa"/>
            <w:noWrap w:val="0"/>
            <w:vAlign w:val="center"/>
          </w:tcPr>
          <w:p w14:paraId="42A90AB0">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640" w:type="dxa"/>
            <w:noWrap w:val="0"/>
            <w:vAlign w:val="center"/>
          </w:tcPr>
          <w:p w14:paraId="0F2ACFEC">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《中小型三相异步电动机能效限定值及能效等级》（GB18613）</w:t>
            </w:r>
          </w:p>
        </w:tc>
      </w:tr>
      <w:tr w14:paraId="13132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noWrap w:val="0"/>
            <w:vAlign w:val="center"/>
          </w:tcPr>
          <w:p w14:paraId="638795FE">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8</w:t>
            </w:r>
          </w:p>
        </w:tc>
        <w:tc>
          <w:tcPr>
            <w:tcW w:w="1116" w:type="dxa"/>
            <w:noWrap w:val="0"/>
            <w:vAlign w:val="center"/>
          </w:tcPr>
          <w:p w14:paraId="2211738B">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A020602变压器</w:t>
            </w:r>
          </w:p>
        </w:tc>
        <w:tc>
          <w:tcPr>
            <w:tcW w:w="1516" w:type="dxa"/>
            <w:noWrap w:val="0"/>
            <w:vAlign w:val="center"/>
          </w:tcPr>
          <w:p w14:paraId="2DCDB149">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配电变压器</w:t>
            </w:r>
          </w:p>
        </w:tc>
        <w:tc>
          <w:tcPr>
            <w:tcW w:w="1612" w:type="dxa"/>
            <w:noWrap w:val="0"/>
            <w:vAlign w:val="center"/>
          </w:tcPr>
          <w:p w14:paraId="38059129">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640" w:type="dxa"/>
            <w:noWrap w:val="0"/>
            <w:vAlign w:val="center"/>
          </w:tcPr>
          <w:p w14:paraId="301B36BF">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《三相配电变压器能效限定值及能效等级》（GB20052）</w:t>
            </w:r>
          </w:p>
        </w:tc>
      </w:tr>
      <w:tr w14:paraId="4FE61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noWrap w:val="0"/>
            <w:vAlign w:val="center"/>
          </w:tcPr>
          <w:p w14:paraId="3888BBE6">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9</w:t>
            </w:r>
          </w:p>
        </w:tc>
        <w:tc>
          <w:tcPr>
            <w:tcW w:w="1116" w:type="dxa"/>
            <w:noWrap w:val="0"/>
            <w:vAlign w:val="center"/>
          </w:tcPr>
          <w:p w14:paraId="3D36F122">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★A020609镇流器</w:t>
            </w:r>
          </w:p>
        </w:tc>
        <w:tc>
          <w:tcPr>
            <w:tcW w:w="1516" w:type="dxa"/>
            <w:noWrap w:val="0"/>
            <w:vAlign w:val="center"/>
          </w:tcPr>
          <w:p w14:paraId="17DD90E0">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管型荧光灯镇流器</w:t>
            </w:r>
          </w:p>
        </w:tc>
        <w:tc>
          <w:tcPr>
            <w:tcW w:w="1612" w:type="dxa"/>
            <w:noWrap w:val="0"/>
            <w:vAlign w:val="center"/>
          </w:tcPr>
          <w:p w14:paraId="6EEFAFF4">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640" w:type="dxa"/>
            <w:noWrap w:val="0"/>
            <w:vAlign w:val="center"/>
          </w:tcPr>
          <w:p w14:paraId="30CBABE3">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《管形荧光灯镇流器能效限定值及能效等级》（GB17896）</w:t>
            </w:r>
          </w:p>
        </w:tc>
      </w:tr>
      <w:tr w14:paraId="45A15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vMerge w:val="restart"/>
            <w:noWrap w:val="0"/>
            <w:vAlign w:val="center"/>
          </w:tcPr>
          <w:p w14:paraId="3BD6FA98">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w:t>
            </w:r>
          </w:p>
        </w:tc>
        <w:tc>
          <w:tcPr>
            <w:tcW w:w="1116" w:type="dxa"/>
            <w:vMerge w:val="restart"/>
            <w:noWrap w:val="0"/>
            <w:vAlign w:val="center"/>
          </w:tcPr>
          <w:p w14:paraId="4994B3DC">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A020618生活用电器</w:t>
            </w:r>
          </w:p>
        </w:tc>
        <w:tc>
          <w:tcPr>
            <w:tcW w:w="1516" w:type="dxa"/>
            <w:noWrap w:val="0"/>
            <w:vAlign w:val="center"/>
          </w:tcPr>
          <w:p w14:paraId="0B3CF9B6">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A0206180101电冰箱</w:t>
            </w:r>
          </w:p>
        </w:tc>
        <w:tc>
          <w:tcPr>
            <w:tcW w:w="1612" w:type="dxa"/>
            <w:noWrap w:val="0"/>
            <w:vAlign w:val="center"/>
          </w:tcPr>
          <w:p w14:paraId="42FE2D3D">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640" w:type="dxa"/>
            <w:noWrap w:val="0"/>
            <w:vAlign w:val="center"/>
          </w:tcPr>
          <w:p w14:paraId="40EAE6F4">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《家用电冰箱耗电量限定值及能效等级》（GB 12021.2）</w:t>
            </w:r>
          </w:p>
        </w:tc>
      </w:tr>
      <w:tr w14:paraId="4C86F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vMerge w:val="continue"/>
            <w:noWrap w:val="0"/>
            <w:vAlign w:val="center"/>
          </w:tcPr>
          <w:p w14:paraId="149F9A17">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116" w:type="dxa"/>
            <w:vMerge w:val="continue"/>
            <w:noWrap w:val="0"/>
            <w:vAlign w:val="center"/>
          </w:tcPr>
          <w:p w14:paraId="2EDC8510">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516" w:type="dxa"/>
            <w:vMerge w:val="restart"/>
            <w:noWrap w:val="0"/>
            <w:vAlign w:val="center"/>
          </w:tcPr>
          <w:p w14:paraId="18CADF2B">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★A0206180203空调机</w:t>
            </w:r>
          </w:p>
        </w:tc>
        <w:tc>
          <w:tcPr>
            <w:tcW w:w="1612" w:type="dxa"/>
            <w:noWrap w:val="0"/>
            <w:vAlign w:val="center"/>
          </w:tcPr>
          <w:p w14:paraId="65486A4C">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房间空气调节器</w:t>
            </w:r>
          </w:p>
        </w:tc>
        <w:tc>
          <w:tcPr>
            <w:tcW w:w="4640" w:type="dxa"/>
            <w:noWrap w:val="0"/>
            <w:vAlign w:val="center"/>
          </w:tcPr>
          <w:p w14:paraId="273E12C0">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《转速可控型房间空气调节器能效限定值及能效等级》（GB21455-2013），待2019年修订发布后，按《房间空气调节器能效限定值及能效等级》（GB21455-2019实施。</w:t>
            </w:r>
          </w:p>
        </w:tc>
      </w:tr>
      <w:tr w14:paraId="2F36F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vMerge w:val="continue"/>
            <w:noWrap w:val="0"/>
            <w:vAlign w:val="center"/>
          </w:tcPr>
          <w:p w14:paraId="672FA586">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116" w:type="dxa"/>
            <w:vMerge w:val="continue"/>
            <w:noWrap w:val="0"/>
            <w:vAlign w:val="center"/>
          </w:tcPr>
          <w:p w14:paraId="2E9ECCC7">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516" w:type="dxa"/>
            <w:vMerge w:val="continue"/>
            <w:noWrap w:val="0"/>
            <w:vAlign w:val="center"/>
          </w:tcPr>
          <w:p w14:paraId="761CF1F3">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612" w:type="dxa"/>
            <w:noWrap w:val="0"/>
            <w:vAlign w:val="center"/>
          </w:tcPr>
          <w:p w14:paraId="513E93C1">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多联式空调（热泵）机组（制冷量≤ 14000W）</w:t>
            </w:r>
          </w:p>
        </w:tc>
        <w:tc>
          <w:tcPr>
            <w:tcW w:w="4640" w:type="dxa"/>
            <w:noWrap w:val="0"/>
            <w:vAlign w:val="center"/>
          </w:tcPr>
          <w:p w14:paraId="467759AF">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《多联式空调（热泵）机组能效限定值及能源效率等级》（GB21454）</w:t>
            </w:r>
          </w:p>
        </w:tc>
      </w:tr>
      <w:tr w14:paraId="0A130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vMerge w:val="continue"/>
            <w:noWrap w:val="0"/>
            <w:vAlign w:val="center"/>
          </w:tcPr>
          <w:p w14:paraId="49EE3331">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116" w:type="dxa"/>
            <w:vMerge w:val="continue"/>
            <w:noWrap w:val="0"/>
            <w:vAlign w:val="center"/>
          </w:tcPr>
          <w:p w14:paraId="348C3E18">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516" w:type="dxa"/>
            <w:vMerge w:val="continue"/>
            <w:noWrap w:val="0"/>
            <w:vAlign w:val="center"/>
          </w:tcPr>
          <w:p w14:paraId="2062A6D3">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612" w:type="dxa"/>
            <w:noWrap w:val="0"/>
            <w:vAlign w:val="center"/>
          </w:tcPr>
          <w:p w14:paraId="0E388F14">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单元式空气调节机(制冷量≤14000W)</w:t>
            </w:r>
          </w:p>
        </w:tc>
        <w:tc>
          <w:tcPr>
            <w:tcW w:w="4640" w:type="dxa"/>
            <w:noWrap w:val="0"/>
            <w:vAlign w:val="center"/>
          </w:tcPr>
          <w:p w14:paraId="3989DFC3">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《单元式空气调节机能效限定值及能源效率等级》（GB19576）《风管送风式空调机组能效限定值及能效等级》（GB37479）</w:t>
            </w:r>
          </w:p>
        </w:tc>
      </w:tr>
      <w:tr w14:paraId="45EF2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vMerge w:val="continue"/>
            <w:noWrap w:val="0"/>
            <w:vAlign w:val="center"/>
          </w:tcPr>
          <w:p w14:paraId="6E204FA9">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116" w:type="dxa"/>
            <w:vMerge w:val="continue"/>
            <w:noWrap w:val="0"/>
            <w:vAlign w:val="center"/>
          </w:tcPr>
          <w:p w14:paraId="216A42D1">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516" w:type="dxa"/>
            <w:noWrap w:val="0"/>
            <w:vAlign w:val="center"/>
          </w:tcPr>
          <w:p w14:paraId="42A2D593">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A0206180301洗衣机</w:t>
            </w:r>
          </w:p>
        </w:tc>
        <w:tc>
          <w:tcPr>
            <w:tcW w:w="1612" w:type="dxa"/>
            <w:noWrap w:val="0"/>
            <w:vAlign w:val="center"/>
          </w:tcPr>
          <w:p w14:paraId="44995202">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640" w:type="dxa"/>
            <w:noWrap w:val="0"/>
            <w:vAlign w:val="center"/>
          </w:tcPr>
          <w:p w14:paraId="4EEF4A80">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《电动洗衣机能效水效限定值及等级》（GB12021.4）</w:t>
            </w:r>
          </w:p>
        </w:tc>
      </w:tr>
      <w:tr w14:paraId="06385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vMerge w:val="continue"/>
            <w:noWrap w:val="0"/>
            <w:vAlign w:val="center"/>
          </w:tcPr>
          <w:p w14:paraId="17D0808B">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116" w:type="dxa"/>
            <w:vMerge w:val="continue"/>
            <w:noWrap w:val="0"/>
            <w:vAlign w:val="center"/>
          </w:tcPr>
          <w:p w14:paraId="335F4F9D">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516" w:type="dxa"/>
            <w:vMerge w:val="restart"/>
            <w:noWrap w:val="0"/>
            <w:vAlign w:val="center"/>
          </w:tcPr>
          <w:p w14:paraId="7756EAC7">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A02061808热水器</w:t>
            </w:r>
          </w:p>
        </w:tc>
        <w:tc>
          <w:tcPr>
            <w:tcW w:w="1612" w:type="dxa"/>
            <w:noWrap w:val="0"/>
            <w:vAlign w:val="center"/>
          </w:tcPr>
          <w:p w14:paraId="248FC351">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★电热水器</w:t>
            </w:r>
          </w:p>
        </w:tc>
        <w:tc>
          <w:tcPr>
            <w:tcW w:w="4640" w:type="dxa"/>
            <w:noWrap w:val="0"/>
            <w:vAlign w:val="center"/>
          </w:tcPr>
          <w:p w14:paraId="3143B3DA">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《储水式电热水器能效限定值及能效等级》（GB21519）</w:t>
            </w:r>
          </w:p>
        </w:tc>
      </w:tr>
      <w:tr w14:paraId="3AD9D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vMerge w:val="continue"/>
            <w:noWrap w:val="0"/>
            <w:vAlign w:val="center"/>
          </w:tcPr>
          <w:p w14:paraId="6D0C9368">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116" w:type="dxa"/>
            <w:vMerge w:val="continue"/>
            <w:noWrap w:val="0"/>
            <w:vAlign w:val="center"/>
          </w:tcPr>
          <w:p w14:paraId="1DCB9BB1">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516" w:type="dxa"/>
            <w:vMerge w:val="continue"/>
            <w:noWrap w:val="0"/>
            <w:vAlign w:val="center"/>
          </w:tcPr>
          <w:p w14:paraId="7A49FA4E">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612" w:type="dxa"/>
            <w:noWrap w:val="0"/>
            <w:vAlign w:val="center"/>
          </w:tcPr>
          <w:p w14:paraId="645203AC">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燃气热水器</w:t>
            </w:r>
          </w:p>
        </w:tc>
        <w:tc>
          <w:tcPr>
            <w:tcW w:w="4640" w:type="dxa"/>
            <w:noWrap w:val="0"/>
            <w:vAlign w:val="center"/>
          </w:tcPr>
          <w:p w14:paraId="2E8A6216">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《家用燃气快速热水器和燃气采暖热水炉能效限定值及能效等级》（GB20665）</w:t>
            </w:r>
          </w:p>
        </w:tc>
      </w:tr>
      <w:tr w14:paraId="024CF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vMerge w:val="continue"/>
            <w:noWrap w:val="0"/>
            <w:vAlign w:val="center"/>
          </w:tcPr>
          <w:p w14:paraId="68BAEF0F">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116" w:type="dxa"/>
            <w:vMerge w:val="continue"/>
            <w:noWrap w:val="0"/>
            <w:vAlign w:val="center"/>
          </w:tcPr>
          <w:p w14:paraId="28836B8C">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516" w:type="dxa"/>
            <w:vMerge w:val="continue"/>
            <w:noWrap w:val="0"/>
            <w:vAlign w:val="center"/>
          </w:tcPr>
          <w:p w14:paraId="3C8DC722">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612" w:type="dxa"/>
            <w:noWrap w:val="0"/>
            <w:vAlign w:val="center"/>
          </w:tcPr>
          <w:p w14:paraId="606D6300">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热泵热水器</w:t>
            </w:r>
          </w:p>
        </w:tc>
        <w:tc>
          <w:tcPr>
            <w:tcW w:w="4640" w:type="dxa"/>
            <w:noWrap w:val="0"/>
            <w:vAlign w:val="center"/>
          </w:tcPr>
          <w:p w14:paraId="49529C22">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《热泵热水机（器）能效限定值及能效等级》（GB29541）</w:t>
            </w:r>
          </w:p>
        </w:tc>
      </w:tr>
      <w:tr w14:paraId="11AD3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vMerge w:val="continue"/>
            <w:noWrap w:val="0"/>
            <w:vAlign w:val="center"/>
          </w:tcPr>
          <w:p w14:paraId="56FA764A">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116" w:type="dxa"/>
            <w:vMerge w:val="continue"/>
            <w:noWrap w:val="0"/>
            <w:vAlign w:val="center"/>
          </w:tcPr>
          <w:p w14:paraId="5E5ACAB4">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516" w:type="dxa"/>
            <w:vMerge w:val="continue"/>
            <w:noWrap w:val="0"/>
            <w:vAlign w:val="center"/>
          </w:tcPr>
          <w:p w14:paraId="76E974C7">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612" w:type="dxa"/>
            <w:noWrap w:val="0"/>
            <w:vAlign w:val="center"/>
          </w:tcPr>
          <w:p w14:paraId="55C6C580">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太阳能热水系统</w:t>
            </w:r>
          </w:p>
        </w:tc>
        <w:tc>
          <w:tcPr>
            <w:tcW w:w="4640" w:type="dxa"/>
            <w:noWrap w:val="0"/>
            <w:vAlign w:val="center"/>
          </w:tcPr>
          <w:p w14:paraId="5FAFA28D">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《家用太阳能热水系统能效限定值及能效等级》（GB26969）</w:t>
            </w:r>
          </w:p>
        </w:tc>
      </w:tr>
      <w:tr w14:paraId="50D4A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vMerge w:val="restart"/>
            <w:noWrap w:val="0"/>
            <w:vAlign w:val="center"/>
          </w:tcPr>
          <w:p w14:paraId="2FEBBA28">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11</w:t>
            </w:r>
          </w:p>
        </w:tc>
        <w:tc>
          <w:tcPr>
            <w:tcW w:w="1116" w:type="dxa"/>
            <w:vMerge w:val="restart"/>
            <w:noWrap w:val="0"/>
            <w:vAlign w:val="center"/>
          </w:tcPr>
          <w:p w14:paraId="0BCC4F51">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A020619照明设备</w:t>
            </w:r>
          </w:p>
        </w:tc>
        <w:tc>
          <w:tcPr>
            <w:tcW w:w="1516" w:type="dxa"/>
            <w:noWrap w:val="0"/>
            <w:vAlign w:val="center"/>
          </w:tcPr>
          <w:p w14:paraId="50B85E37">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★普通照明用双端荧光灯</w:t>
            </w:r>
          </w:p>
        </w:tc>
        <w:tc>
          <w:tcPr>
            <w:tcW w:w="1612" w:type="dxa"/>
            <w:noWrap w:val="0"/>
            <w:vAlign w:val="center"/>
          </w:tcPr>
          <w:p w14:paraId="215235BB">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640" w:type="dxa"/>
            <w:noWrap w:val="0"/>
            <w:vAlign w:val="center"/>
          </w:tcPr>
          <w:p w14:paraId="1894740D">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《普通照明用双端荧光灯能效限定值及能效等级》（GB19043）</w:t>
            </w:r>
          </w:p>
        </w:tc>
      </w:tr>
      <w:tr w14:paraId="4F9E1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vMerge w:val="continue"/>
            <w:noWrap w:val="0"/>
            <w:vAlign w:val="center"/>
          </w:tcPr>
          <w:p w14:paraId="1265406C">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116" w:type="dxa"/>
            <w:vMerge w:val="continue"/>
            <w:noWrap w:val="0"/>
            <w:vAlign w:val="center"/>
          </w:tcPr>
          <w:p w14:paraId="618DA636">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516" w:type="dxa"/>
            <w:noWrap w:val="0"/>
            <w:vAlign w:val="center"/>
          </w:tcPr>
          <w:p w14:paraId="50262F3C">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LED道路/隧道照明产品</w:t>
            </w:r>
          </w:p>
        </w:tc>
        <w:tc>
          <w:tcPr>
            <w:tcW w:w="1612" w:type="dxa"/>
            <w:noWrap w:val="0"/>
            <w:vAlign w:val="center"/>
          </w:tcPr>
          <w:p w14:paraId="335CD0B4">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640" w:type="dxa"/>
            <w:noWrap w:val="0"/>
            <w:vAlign w:val="center"/>
          </w:tcPr>
          <w:p w14:paraId="326AAD96">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《道路和隧道照明用LED灯具能效限定值及能效等级》（GB37478）</w:t>
            </w:r>
          </w:p>
        </w:tc>
      </w:tr>
      <w:tr w14:paraId="01657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vMerge w:val="continue"/>
            <w:noWrap w:val="0"/>
            <w:vAlign w:val="center"/>
          </w:tcPr>
          <w:p w14:paraId="597E2D54">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116" w:type="dxa"/>
            <w:vMerge w:val="continue"/>
            <w:noWrap w:val="0"/>
            <w:vAlign w:val="center"/>
          </w:tcPr>
          <w:p w14:paraId="538E7971">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516" w:type="dxa"/>
            <w:noWrap w:val="0"/>
            <w:vAlign w:val="center"/>
          </w:tcPr>
          <w:p w14:paraId="5899D65A">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LED筒灯</w:t>
            </w:r>
          </w:p>
        </w:tc>
        <w:tc>
          <w:tcPr>
            <w:tcW w:w="1612" w:type="dxa"/>
            <w:noWrap w:val="0"/>
            <w:vAlign w:val="center"/>
          </w:tcPr>
          <w:p w14:paraId="26FB09D0">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640" w:type="dxa"/>
            <w:noWrap w:val="0"/>
            <w:vAlign w:val="center"/>
          </w:tcPr>
          <w:p w14:paraId="3E855235">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《室内照明用LED产品能效限定值及能效等级》（GB30255）</w:t>
            </w:r>
          </w:p>
        </w:tc>
      </w:tr>
      <w:tr w14:paraId="5D3A4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vMerge w:val="continue"/>
            <w:noWrap w:val="0"/>
            <w:vAlign w:val="center"/>
          </w:tcPr>
          <w:p w14:paraId="14DB8648">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116" w:type="dxa"/>
            <w:vMerge w:val="continue"/>
            <w:noWrap w:val="0"/>
            <w:vAlign w:val="center"/>
          </w:tcPr>
          <w:p w14:paraId="504A5BF9">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516" w:type="dxa"/>
            <w:noWrap w:val="0"/>
            <w:vAlign w:val="center"/>
          </w:tcPr>
          <w:p w14:paraId="0157A624">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普通照明用非定向自镇流LED灯</w:t>
            </w:r>
          </w:p>
        </w:tc>
        <w:tc>
          <w:tcPr>
            <w:tcW w:w="1612" w:type="dxa"/>
            <w:noWrap w:val="0"/>
            <w:vAlign w:val="center"/>
          </w:tcPr>
          <w:p w14:paraId="57F6EAF7">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640" w:type="dxa"/>
            <w:noWrap w:val="0"/>
            <w:vAlign w:val="center"/>
          </w:tcPr>
          <w:p w14:paraId="7A51D5BA">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《室内照明用LED产品能效限定值及能效等级》（GB30255）</w:t>
            </w:r>
          </w:p>
        </w:tc>
      </w:tr>
      <w:tr w14:paraId="660FE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noWrap w:val="0"/>
            <w:vAlign w:val="center"/>
          </w:tcPr>
          <w:p w14:paraId="64D75B19">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12</w:t>
            </w:r>
          </w:p>
        </w:tc>
        <w:tc>
          <w:tcPr>
            <w:tcW w:w="1116" w:type="dxa"/>
            <w:noWrap w:val="0"/>
            <w:vAlign w:val="center"/>
          </w:tcPr>
          <w:p w14:paraId="0F7E9BD1">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★A020910电视设备</w:t>
            </w:r>
          </w:p>
        </w:tc>
        <w:tc>
          <w:tcPr>
            <w:tcW w:w="1516" w:type="dxa"/>
            <w:noWrap w:val="0"/>
            <w:vAlign w:val="center"/>
          </w:tcPr>
          <w:p w14:paraId="43C8A541">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A02091001普通电视设备（电视机）</w:t>
            </w:r>
          </w:p>
        </w:tc>
        <w:tc>
          <w:tcPr>
            <w:tcW w:w="1612" w:type="dxa"/>
            <w:noWrap w:val="0"/>
            <w:vAlign w:val="center"/>
          </w:tcPr>
          <w:p w14:paraId="7160EB09">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640" w:type="dxa"/>
            <w:noWrap w:val="0"/>
            <w:vAlign w:val="center"/>
          </w:tcPr>
          <w:p w14:paraId="590D8166">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《平板电视能效限定值及能效等级》（GB24850）</w:t>
            </w:r>
          </w:p>
        </w:tc>
      </w:tr>
      <w:tr w14:paraId="6676C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noWrap w:val="0"/>
            <w:vAlign w:val="center"/>
          </w:tcPr>
          <w:p w14:paraId="1D23EC1F">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13</w:t>
            </w:r>
          </w:p>
        </w:tc>
        <w:tc>
          <w:tcPr>
            <w:tcW w:w="1116" w:type="dxa"/>
            <w:noWrap w:val="0"/>
            <w:vAlign w:val="center"/>
          </w:tcPr>
          <w:p w14:paraId="354B1A70">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★A020911视频设备</w:t>
            </w:r>
          </w:p>
        </w:tc>
        <w:tc>
          <w:tcPr>
            <w:tcW w:w="1516" w:type="dxa"/>
            <w:noWrap w:val="0"/>
            <w:vAlign w:val="center"/>
          </w:tcPr>
          <w:p w14:paraId="71A44EC2">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A02091107视频监控设备</w:t>
            </w:r>
          </w:p>
        </w:tc>
        <w:tc>
          <w:tcPr>
            <w:tcW w:w="1612" w:type="dxa"/>
            <w:noWrap w:val="0"/>
            <w:vAlign w:val="center"/>
          </w:tcPr>
          <w:p w14:paraId="6D2F9DB1">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监视器</w:t>
            </w:r>
          </w:p>
        </w:tc>
        <w:tc>
          <w:tcPr>
            <w:tcW w:w="4640" w:type="dxa"/>
            <w:noWrap w:val="0"/>
            <w:vAlign w:val="center"/>
          </w:tcPr>
          <w:p w14:paraId="50B289E7">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以射频信号为主要信号输入的监视器应符合《平板电视能效限定值及能效等级》（GB24850），以数字信号为主要信号输入的监视器应符合《计算机显示器能效限定值及能效等级》（GB21520）</w:t>
            </w:r>
          </w:p>
        </w:tc>
      </w:tr>
      <w:tr w14:paraId="1D984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noWrap w:val="0"/>
            <w:vAlign w:val="center"/>
          </w:tcPr>
          <w:p w14:paraId="5120077E">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14</w:t>
            </w:r>
          </w:p>
        </w:tc>
        <w:tc>
          <w:tcPr>
            <w:tcW w:w="1116" w:type="dxa"/>
            <w:noWrap w:val="0"/>
            <w:vAlign w:val="center"/>
          </w:tcPr>
          <w:p w14:paraId="10919628">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A031210饮食炊事机械</w:t>
            </w:r>
          </w:p>
        </w:tc>
        <w:tc>
          <w:tcPr>
            <w:tcW w:w="1516" w:type="dxa"/>
            <w:noWrap w:val="0"/>
            <w:vAlign w:val="center"/>
          </w:tcPr>
          <w:p w14:paraId="3EB0F370">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商用燃气灶具</w:t>
            </w:r>
          </w:p>
        </w:tc>
        <w:tc>
          <w:tcPr>
            <w:tcW w:w="1612" w:type="dxa"/>
            <w:noWrap w:val="0"/>
            <w:vAlign w:val="center"/>
          </w:tcPr>
          <w:p w14:paraId="222F4F91">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640" w:type="dxa"/>
            <w:noWrap w:val="0"/>
            <w:vAlign w:val="center"/>
          </w:tcPr>
          <w:p w14:paraId="1A80E0B9">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《商用燃气灶具能效限定值及能效等级》（GB30531）</w:t>
            </w:r>
          </w:p>
        </w:tc>
      </w:tr>
      <w:tr w14:paraId="074F1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vMerge w:val="restart"/>
            <w:noWrap w:val="0"/>
            <w:vAlign w:val="center"/>
          </w:tcPr>
          <w:p w14:paraId="21D980CC">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15</w:t>
            </w:r>
          </w:p>
        </w:tc>
        <w:tc>
          <w:tcPr>
            <w:tcW w:w="1116" w:type="dxa"/>
            <w:vMerge w:val="restart"/>
            <w:noWrap w:val="0"/>
            <w:vAlign w:val="center"/>
          </w:tcPr>
          <w:p w14:paraId="3189F1DE">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★A060805便器</w:t>
            </w:r>
          </w:p>
        </w:tc>
        <w:tc>
          <w:tcPr>
            <w:tcW w:w="1516" w:type="dxa"/>
            <w:noWrap w:val="0"/>
            <w:vAlign w:val="center"/>
          </w:tcPr>
          <w:p w14:paraId="2D6ABB68">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坐便器</w:t>
            </w:r>
          </w:p>
        </w:tc>
        <w:tc>
          <w:tcPr>
            <w:tcW w:w="1612" w:type="dxa"/>
            <w:noWrap w:val="0"/>
            <w:vAlign w:val="center"/>
          </w:tcPr>
          <w:p w14:paraId="2C5A1B89">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640" w:type="dxa"/>
            <w:noWrap w:val="0"/>
            <w:vAlign w:val="center"/>
          </w:tcPr>
          <w:p w14:paraId="224A0236">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《坐便器水效限定值及水效等级》（GB25502）</w:t>
            </w:r>
          </w:p>
        </w:tc>
      </w:tr>
      <w:tr w14:paraId="05560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vMerge w:val="continue"/>
            <w:noWrap w:val="0"/>
            <w:vAlign w:val="center"/>
          </w:tcPr>
          <w:p w14:paraId="5180824F">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116" w:type="dxa"/>
            <w:vMerge w:val="continue"/>
            <w:noWrap w:val="0"/>
            <w:vAlign w:val="center"/>
          </w:tcPr>
          <w:p w14:paraId="4ED3238A">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516" w:type="dxa"/>
            <w:noWrap w:val="0"/>
            <w:vAlign w:val="center"/>
          </w:tcPr>
          <w:p w14:paraId="02BECC05">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蹲便器</w:t>
            </w:r>
          </w:p>
        </w:tc>
        <w:tc>
          <w:tcPr>
            <w:tcW w:w="1612" w:type="dxa"/>
            <w:noWrap w:val="0"/>
            <w:vAlign w:val="center"/>
          </w:tcPr>
          <w:p w14:paraId="6D8638C6">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640" w:type="dxa"/>
            <w:noWrap w:val="0"/>
            <w:vAlign w:val="center"/>
          </w:tcPr>
          <w:p w14:paraId="730CA64F">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《蹲便器用水效率限定值及用水效率等级》（GB30717）</w:t>
            </w:r>
          </w:p>
        </w:tc>
      </w:tr>
      <w:tr w14:paraId="4C510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vMerge w:val="continue"/>
            <w:noWrap w:val="0"/>
            <w:vAlign w:val="center"/>
          </w:tcPr>
          <w:p w14:paraId="29C8A484">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116" w:type="dxa"/>
            <w:vMerge w:val="continue"/>
            <w:noWrap w:val="0"/>
            <w:vAlign w:val="center"/>
          </w:tcPr>
          <w:p w14:paraId="66F05C0A">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516" w:type="dxa"/>
            <w:noWrap w:val="0"/>
            <w:vAlign w:val="center"/>
          </w:tcPr>
          <w:p w14:paraId="4DF3D9FD">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小便器</w:t>
            </w:r>
          </w:p>
        </w:tc>
        <w:tc>
          <w:tcPr>
            <w:tcW w:w="1612" w:type="dxa"/>
            <w:noWrap w:val="0"/>
            <w:vAlign w:val="center"/>
          </w:tcPr>
          <w:p w14:paraId="1CDE996F">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640" w:type="dxa"/>
            <w:noWrap w:val="0"/>
            <w:vAlign w:val="center"/>
          </w:tcPr>
          <w:p w14:paraId="036EBF54">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《小便器用水效率限定值及用水效率等级》（GB28377）</w:t>
            </w:r>
          </w:p>
        </w:tc>
      </w:tr>
      <w:tr w14:paraId="79318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noWrap w:val="0"/>
            <w:vAlign w:val="center"/>
          </w:tcPr>
          <w:p w14:paraId="426BC7D7">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16</w:t>
            </w:r>
          </w:p>
        </w:tc>
        <w:tc>
          <w:tcPr>
            <w:tcW w:w="1116" w:type="dxa"/>
            <w:noWrap w:val="0"/>
            <w:vAlign w:val="center"/>
          </w:tcPr>
          <w:p w14:paraId="11C3E3F5">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★A060806水嘴</w:t>
            </w:r>
          </w:p>
        </w:tc>
        <w:tc>
          <w:tcPr>
            <w:tcW w:w="1516" w:type="dxa"/>
            <w:noWrap w:val="0"/>
            <w:vAlign w:val="center"/>
          </w:tcPr>
          <w:p w14:paraId="0EB33040">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12" w:type="dxa"/>
            <w:noWrap w:val="0"/>
            <w:vAlign w:val="center"/>
          </w:tcPr>
          <w:p w14:paraId="63951E4F">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640" w:type="dxa"/>
            <w:noWrap w:val="0"/>
            <w:vAlign w:val="center"/>
          </w:tcPr>
          <w:p w14:paraId="079DDAC0">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《水嘴用水效率限定值及用水效率等级》（GB 25501）</w:t>
            </w:r>
          </w:p>
        </w:tc>
      </w:tr>
      <w:tr w14:paraId="41692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noWrap w:val="0"/>
            <w:vAlign w:val="center"/>
          </w:tcPr>
          <w:p w14:paraId="0B58C707">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17</w:t>
            </w:r>
          </w:p>
        </w:tc>
        <w:tc>
          <w:tcPr>
            <w:tcW w:w="1116" w:type="dxa"/>
            <w:noWrap w:val="0"/>
            <w:vAlign w:val="center"/>
          </w:tcPr>
          <w:p w14:paraId="2A505419">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A060807便器冲洗阀</w:t>
            </w:r>
          </w:p>
        </w:tc>
        <w:tc>
          <w:tcPr>
            <w:tcW w:w="1516" w:type="dxa"/>
            <w:noWrap w:val="0"/>
            <w:vAlign w:val="center"/>
          </w:tcPr>
          <w:p w14:paraId="2242645C">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12" w:type="dxa"/>
            <w:noWrap w:val="0"/>
            <w:vAlign w:val="center"/>
          </w:tcPr>
          <w:p w14:paraId="7DA92350">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640" w:type="dxa"/>
            <w:noWrap w:val="0"/>
            <w:vAlign w:val="center"/>
          </w:tcPr>
          <w:p w14:paraId="28AF0EC5">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《便器冲洗阀用水效率限定值及用水效率等级》（GB28379）</w:t>
            </w:r>
          </w:p>
        </w:tc>
      </w:tr>
      <w:tr w14:paraId="1AB00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noWrap w:val="0"/>
            <w:vAlign w:val="center"/>
          </w:tcPr>
          <w:p w14:paraId="2E98D19E">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18</w:t>
            </w:r>
          </w:p>
        </w:tc>
        <w:tc>
          <w:tcPr>
            <w:tcW w:w="1116" w:type="dxa"/>
            <w:noWrap w:val="0"/>
            <w:vAlign w:val="center"/>
          </w:tcPr>
          <w:p w14:paraId="17122CA4">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A060810淋浴器</w:t>
            </w:r>
          </w:p>
        </w:tc>
        <w:tc>
          <w:tcPr>
            <w:tcW w:w="1516" w:type="dxa"/>
            <w:noWrap w:val="0"/>
            <w:vAlign w:val="center"/>
          </w:tcPr>
          <w:p w14:paraId="7D0E170D">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12" w:type="dxa"/>
            <w:noWrap w:val="0"/>
            <w:vAlign w:val="center"/>
          </w:tcPr>
          <w:p w14:paraId="3D6C8E66">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640" w:type="dxa"/>
            <w:noWrap w:val="0"/>
            <w:vAlign w:val="center"/>
          </w:tcPr>
          <w:p w14:paraId="3EDB6668">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《淋浴器用水效率限定值及用水效率等级》（GB28378）</w:t>
            </w:r>
          </w:p>
        </w:tc>
      </w:tr>
    </w:tbl>
    <w:p w14:paraId="7BE6EE05">
      <w:pPr>
        <w:spacing w:after="120" w:line="240" w:lineRule="auto"/>
        <w:rPr>
          <w:rFonts w:hint="eastAsia" w:ascii="宋体" w:hAnsi="宋体" w:eastAsia="宋体" w:cs="宋体"/>
          <w:color w:val="auto"/>
          <w:szCs w:val="21"/>
          <w:highlight w:val="none"/>
        </w:rPr>
      </w:pPr>
      <w:r>
        <w:rPr>
          <w:rFonts w:hint="eastAsia" w:ascii="宋体" w:hAnsi="宋体" w:eastAsia="宋体" w:cs="宋体"/>
          <w:color w:val="auto"/>
          <w:spacing w:val="-3"/>
          <w:szCs w:val="21"/>
          <w:highlight w:val="none"/>
        </w:rPr>
        <w:t>注：1.节能产品认证应依据相关国家标准的最新版本，依据国家标准中二级能效（水效）</w:t>
      </w:r>
      <w:r>
        <w:rPr>
          <w:rFonts w:hint="eastAsia" w:ascii="宋体" w:hAnsi="宋体" w:eastAsia="宋体" w:cs="宋体"/>
          <w:color w:val="auto"/>
          <w:szCs w:val="21"/>
          <w:highlight w:val="none"/>
        </w:rPr>
        <w:t>指标。</w:t>
      </w:r>
    </w:p>
    <w:p w14:paraId="666F7315">
      <w:pPr>
        <w:numPr>
          <w:ilvl w:val="0"/>
          <w:numId w:val="0"/>
        </w:numPr>
        <w:spacing w:line="240" w:lineRule="auto"/>
        <w:ind w:left="420" w:leftChars="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以“★”标注的为政府强制采购产品。</w:t>
      </w:r>
    </w:p>
    <w:p w14:paraId="4441A255">
      <w:pPr>
        <w:rPr>
          <w:rFonts w:hint="eastAsia" w:ascii="Arial Unicode MS" w:hAnsi="Arial Unicode MS" w:eastAsia="Arial Unicode MS" w:cs="Arial Unicode MS"/>
          <w:color w:val="auto"/>
          <w:sz w:val="32"/>
          <w:szCs w:val="32"/>
          <w:highlight w:val="none"/>
        </w:rPr>
      </w:pPr>
      <w:r>
        <w:rPr>
          <w:rFonts w:hint="eastAsia" w:ascii="Arial Unicode MS" w:hAnsi="Arial Unicode MS" w:eastAsia="Arial Unicode MS" w:cs="Arial Unicode MS"/>
          <w:color w:val="auto"/>
          <w:sz w:val="32"/>
          <w:szCs w:val="32"/>
          <w:highlight w:val="none"/>
        </w:rPr>
        <w:br w:type="page"/>
      </w:r>
    </w:p>
    <w:p w14:paraId="40D4B034">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0"/>
          <w:sz w:val="32"/>
          <w:szCs w:val="32"/>
          <w:highlight w:val="none"/>
        </w:rPr>
      </w:pP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2</w:t>
      </w:r>
    </w:p>
    <w:p w14:paraId="1C37E23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kern w:val="0"/>
          <w:sz w:val="30"/>
          <w:szCs w:val="30"/>
          <w:highlight w:val="none"/>
        </w:rPr>
      </w:pPr>
      <w:bookmarkStart w:id="65" w:name="_Toc28361_WPSOffice_Level2"/>
      <w:r>
        <w:rPr>
          <w:rFonts w:hint="eastAsia" w:ascii="宋体" w:hAnsi="宋体" w:eastAsia="宋体" w:cs="宋体"/>
          <w:b/>
          <w:bCs/>
          <w:color w:val="auto"/>
          <w:kern w:val="0"/>
          <w:sz w:val="30"/>
          <w:szCs w:val="30"/>
          <w:highlight w:val="none"/>
        </w:rPr>
        <w:t>统计上大中小微型企业划分标准</w:t>
      </w:r>
      <w:bookmarkEnd w:id="65"/>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113"/>
        <w:gridCol w:w="1369"/>
        <w:gridCol w:w="709"/>
        <w:gridCol w:w="1125"/>
        <w:gridCol w:w="1701"/>
        <w:gridCol w:w="1426"/>
        <w:gridCol w:w="992"/>
      </w:tblGrid>
      <w:tr w14:paraId="30742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blHeader/>
          <w:jc w:val="center"/>
        </w:trPr>
        <w:tc>
          <w:tcPr>
            <w:tcW w:w="2113" w:type="dxa"/>
            <w:shd w:val="clear" w:color="auto" w:fill="auto"/>
            <w:noWrap w:val="0"/>
            <w:vAlign w:val="center"/>
          </w:tcPr>
          <w:p w14:paraId="242F01CA">
            <w:pPr>
              <w:widowControl/>
              <w:spacing w:line="280" w:lineRule="exact"/>
              <w:jc w:val="center"/>
              <w:rPr>
                <w:rFonts w:hint="eastAsia" w:ascii="宋体" w:hAnsi="宋体" w:eastAsia="宋体" w:cs="宋体"/>
                <w:b/>
                <w:bCs/>
                <w:color w:val="auto"/>
                <w:kern w:val="0"/>
                <w:sz w:val="18"/>
                <w:szCs w:val="21"/>
                <w:highlight w:val="none"/>
              </w:rPr>
            </w:pPr>
            <w:r>
              <w:rPr>
                <w:rFonts w:hint="eastAsia" w:ascii="宋体" w:hAnsi="宋体" w:eastAsia="宋体" w:cs="宋体"/>
                <w:b/>
                <w:bCs/>
                <w:color w:val="auto"/>
                <w:kern w:val="0"/>
                <w:sz w:val="18"/>
                <w:szCs w:val="21"/>
                <w:highlight w:val="none"/>
              </w:rPr>
              <w:t>行业名称</w:t>
            </w:r>
          </w:p>
        </w:tc>
        <w:tc>
          <w:tcPr>
            <w:tcW w:w="1369" w:type="dxa"/>
            <w:shd w:val="clear" w:color="auto" w:fill="auto"/>
            <w:noWrap w:val="0"/>
            <w:vAlign w:val="center"/>
          </w:tcPr>
          <w:p w14:paraId="4EDA2EC6">
            <w:pPr>
              <w:widowControl/>
              <w:spacing w:line="280" w:lineRule="exac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指标名称</w:t>
            </w:r>
          </w:p>
        </w:tc>
        <w:tc>
          <w:tcPr>
            <w:tcW w:w="709" w:type="dxa"/>
            <w:shd w:val="clear" w:color="auto" w:fill="auto"/>
            <w:noWrap w:val="0"/>
            <w:vAlign w:val="center"/>
          </w:tcPr>
          <w:p w14:paraId="7A7E6D2E">
            <w:pPr>
              <w:widowControl/>
              <w:spacing w:line="280" w:lineRule="exact"/>
              <w:jc w:val="center"/>
              <w:rPr>
                <w:rFonts w:hint="eastAsia" w:ascii="宋体" w:hAnsi="宋体" w:eastAsia="宋体" w:cs="宋体"/>
                <w:b/>
                <w:bCs/>
                <w:color w:val="auto"/>
                <w:kern w:val="0"/>
                <w:sz w:val="18"/>
                <w:szCs w:val="18"/>
                <w:highlight w:val="none"/>
                <w:lang w:eastAsia="zh-CN"/>
              </w:rPr>
            </w:pPr>
            <w:r>
              <w:rPr>
                <w:rFonts w:hint="eastAsia" w:ascii="宋体" w:hAnsi="宋体" w:eastAsia="宋体" w:cs="宋体"/>
                <w:b/>
                <w:bCs/>
                <w:color w:val="auto"/>
                <w:kern w:val="0"/>
                <w:sz w:val="18"/>
                <w:szCs w:val="18"/>
                <w:highlight w:val="none"/>
              </w:rPr>
              <w:t>计量</w:t>
            </w:r>
          </w:p>
          <w:p w14:paraId="44F3172A">
            <w:pPr>
              <w:widowControl/>
              <w:spacing w:line="280" w:lineRule="exac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单位</w:t>
            </w:r>
          </w:p>
        </w:tc>
        <w:tc>
          <w:tcPr>
            <w:tcW w:w="1125" w:type="dxa"/>
            <w:shd w:val="clear" w:color="auto" w:fill="auto"/>
            <w:noWrap w:val="0"/>
            <w:vAlign w:val="center"/>
          </w:tcPr>
          <w:p w14:paraId="62BCBDA4">
            <w:pPr>
              <w:widowControl/>
              <w:spacing w:line="280" w:lineRule="exac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大型</w:t>
            </w:r>
          </w:p>
        </w:tc>
        <w:tc>
          <w:tcPr>
            <w:tcW w:w="1701" w:type="dxa"/>
            <w:shd w:val="clear" w:color="auto" w:fill="auto"/>
            <w:noWrap w:val="0"/>
            <w:vAlign w:val="center"/>
          </w:tcPr>
          <w:p w14:paraId="20D335E8">
            <w:pPr>
              <w:widowControl/>
              <w:spacing w:line="280" w:lineRule="exac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中型</w:t>
            </w:r>
          </w:p>
        </w:tc>
        <w:tc>
          <w:tcPr>
            <w:tcW w:w="1426" w:type="dxa"/>
            <w:shd w:val="clear" w:color="auto" w:fill="auto"/>
            <w:noWrap w:val="0"/>
            <w:vAlign w:val="center"/>
          </w:tcPr>
          <w:p w14:paraId="1D1B872F">
            <w:pPr>
              <w:widowControl/>
              <w:spacing w:line="280" w:lineRule="exac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小型</w:t>
            </w:r>
          </w:p>
        </w:tc>
        <w:tc>
          <w:tcPr>
            <w:tcW w:w="992" w:type="dxa"/>
            <w:shd w:val="clear" w:color="auto" w:fill="auto"/>
            <w:noWrap w:val="0"/>
            <w:vAlign w:val="center"/>
          </w:tcPr>
          <w:p w14:paraId="522AD41D">
            <w:pPr>
              <w:widowControl/>
              <w:spacing w:line="280" w:lineRule="exac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微型</w:t>
            </w:r>
          </w:p>
        </w:tc>
      </w:tr>
      <w:tr w14:paraId="4211C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113" w:type="dxa"/>
            <w:shd w:val="clear" w:color="auto" w:fill="auto"/>
            <w:noWrap w:val="0"/>
            <w:vAlign w:val="center"/>
          </w:tcPr>
          <w:p w14:paraId="5892B6D2">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农、林、牧、渔业</w:t>
            </w:r>
          </w:p>
        </w:tc>
        <w:tc>
          <w:tcPr>
            <w:tcW w:w="1369" w:type="dxa"/>
            <w:shd w:val="clear" w:color="auto" w:fill="auto"/>
            <w:noWrap w:val="0"/>
            <w:vAlign w:val="center"/>
          </w:tcPr>
          <w:p w14:paraId="6606DF9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shd w:val="clear" w:color="auto" w:fill="auto"/>
            <w:noWrap w:val="0"/>
            <w:vAlign w:val="center"/>
          </w:tcPr>
          <w:p w14:paraId="27F746CD">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shd w:val="clear" w:color="auto" w:fill="auto"/>
            <w:noWrap w:val="0"/>
            <w:vAlign w:val="center"/>
          </w:tcPr>
          <w:p w14:paraId="27A5350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w:t>
            </w:r>
          </w:p>
        </w:tc>
        <w:tc>
          <w:tcPr>
            <w:tcW w:w="1701" w:type="dxa"/>
            <w:shd w:val="clear" w:color="auto" w:fill="auto"/>
            <w:noWrap w:val="0"/>
            <w:vAlign w:val="center"/>
          </w:tcPr>
          <w:p w14:paraId="3237EC39">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426" w:type="dxa"/>
            <w:shd w:val="clear" w:color="auto" w:fill="auto"/>
            <w:noWrap w:val="0"/>
            <w:vAlign w:val="center"/>
          </w:tcPr>
          <w:p w14:paraId="01D67E2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50≤Y＜500</w:t>
            </w:r>
          </w:p>
        </w:tc>
        <w:tc>
          <w:tcPr>
            <w:tcW w:w="992" w:type="dxa"/>
            <w:shd w:val="clear" w:color="auto" w:fill="auto"/>
            <w:noWrap w:val="0"/>
            <w:vAlign w:val="center"/>
          </w:tcPr>
          <w:p w14:paraId="3E8A63A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5ED93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113" w:type="dxa"/>
            <w:vMerge w:val="restart"/>
            <w:shd w:val="clear" w:color="auto" w:fill="auto"/>
            <w:noWrap w:val="0"/>
            <w:vAlign w:val="center"/>
          </w:tcPr>
          <w:p w14:paraId="33D3B44F">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工业 *</w:t>
            </w:r>
          </w:p>
        </w:tc>
        <w:tc>
          <w:tcPr>
            <w:tcW w:w="1369" w:type="dxa"/>
            <w:shd w:val="clear" w:color="auto" w:fill="auto"/>
            <w:noWrap w:val="0"/>
            <w:vAlign w:val="center"/>
          </w:tcPr>
          <w:p w14:paraId="3DC5348F">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shd w:val="clear" w:color="auto" w:fill="auto"/>
            <w:noWrap w:val="0"/>
            <w:vAlign w:val="center"/>
          </w:tcPr>
          <w:p w14:paraId="2A608521">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shd w:val="clear" w:color="auto" w:fill="auto"/>
            <w:noWrap w:val="0"/>
            <w:vAlign w:val="center"/>
          </w:tcPr>
          <w:p w14:paraId="37291BC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shd w:val="clear" w:color="auto" w:fill="auto"/>
            <w:noWrap w:val="0"/>
            <w:vAlign w:val="center"/>
          </w:tcPr>
          <w:p w14:paraId="4F4C05C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shd w:val="clear" w:color="auto" w:fill="auto"/>
            <w:noWrap w:val="0"/>
            <w:vAlign w:val="center"/>
          </w:tcPr>
          <w:p w14:paraId="6D3A5101">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92" w:type="dxa"/>
            <w:shd w:val="clear" w:color="auto" w:fill="auto"/>
            <w:noWrap w:val="0"/>
            <w:vAlign w:val="center"/>
          </w:tcPr>
          <w:p w14:paraId="3DE61DE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4D093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113" w:type="dxa"/>
            <w:vMerge w:val="continue"/>
            <w:shd w:val="clear" w:color="auto" w:fill="auto"/>
            <w:noWrap w:val="0"/>
            <w:vAlign w:val="center"/>
          </w:tcPr>
          <w:p w14:paraId="47DF8419">
            <w:pPr>
              <w:widowControl/>
              <w:spacing w:line="280" w:lineRule="exact"/>
              <w:jc w:val="left"/>
              <w:rPr>
                <w:rFonts w:hint="eastAsia" w:ascii="宋体" w:hAnsi="宋体" w:eastAsia="宋体" w:cs="宋体"/>
                <w:color w:val="auto"/>
                <w:kern w:val="0"/>
                <w:sz w:val="18"/>
                <w:szCs w:val="18"/>
                <w:highlight w:val="none"/>
              </w:rPr>
            </w:pPr>
          </w:p>
        </w:tc>
        <w:tc>
          <w:tcPr>
            <w:tcW w:w="1369" w:type="dxa"/>
            <w:shd w:val="clear" w:color="auto" w:fill="auto"/>
            <w:noWrap w:val="0"/>
            <w:vAlign w:val="center"/>
          </w:tcPr>
          <w:p w14:paraId="12770796">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shd w:val="clear" w:color="auto" w:fill="auto"/>
            <w:noWrap w:val="0"/>
            <w:vAlign w:val="center"/>
          </w:tcPr>
          <w:p w14:paraId="228F096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shd w:val="clear" w:color="auto" w:fill="auto"/>
            <w:noWrap w:val="0"/>
            <w:vAlign w:val="center"/>
          </w:tcPr>
          <w:p w14:paraId="3AE325E1">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Y≥40000</w:t>
            </w:r>
          </w:p>
        </w:tc>
        <w:tc>
          <w:tcPr>
            <w:tcW w:w="1701" w:type="dxa"/>
            <w:shd w:val="clear" w:color="auto" w:fill="auto"/>
            <w:noWrap w:val="0"/>
            <w:vAlign w:val="center"/>
          </w:tcPr>
          <w:p w14:paraId="5EBC244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2000≤Y＜40000</w:t>
            </w:r>
          </w:p>
        </w:tc>
        <w:tc>
          <w:tcPr>
            <w:tcW w:w="1426" w:type="dxa"/>
            <w:shd w:val="clear" w:color="auto" w:fill="auto"/>
            <w:noWrap w:val="0"/>
            <w:vAlign w:val="center"/>
          </w:tcPr>
          <w:p w14:paraId="3C99E21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300≤Y＜2000</w:t>
            </w:r>
          </w:p>
        </w:tc>
        <w:tc>
          <w:tcPr>
            <w:tcW w:w="992" w:type="dxa"/>
            <w:shd w:val="clear" w:color="auto" w:fill="auto"/>
            <w:noWrap w:val="0"/>
            <w:vAlign w:val="center"/>
          </w:tcPr>
          <w:p w14:paraId="09FF1A32">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0E5F3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113" w:type="dxa"/>
            <w:vMerge w:val="restart"/>
            <w:shd w:val="clear" w:color="auto" w:fill="auto"/>
            <w:noWrap w:val="0"/>
            <w:vAlign w:val="center"/>
          </w:tcPr>
          <w:p w14:paraId="35385E9C">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建筑业</w:t>
            </w:r>
          </w:p>
        </w:tc>
        <w:tc>
          <w:tcPr>
            <w:tcW w:w="1369" w:type="dxa"/>
            <w:shd w:val="clear" w:color="auto" w:fill="auto"/>
            <w:noWrap w:val="0"/>
            <w:vAlign w:val="center"/>
          </w:tcPr>
          <w:p w14:paraId="02E20130">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shd w:val="clear" w:color="auto" w:fill="auto"/>
            <w:noWrap w:val="0"/>
            <w:vAlign w:val="center"/>
          </w:tcPr>
          <w:p w14:paraId="045F965D">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shd w:val="clear" w:color="auto" w:fill="auto"/>
            <w:noWrap w:val="0"/>
            <w:vAlign w:val="center"/>
          </w:tcPr>
          <w:p w14:paraId="63D5FA94">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Y≥80000</w:t>
            </w:r>
          </w:p>
        </w:tc>
        <w:tc>
          <w:tcPr>
            <w:tcW w:w="1701" w:type="dxa"/>
            <w:shd w:val="clear" w:color="auto" w:fill="auto"/>
            <w:noWrap w:val="0"/>
            <w:vAlign w:val="center"/>
          </w:tcPr>
          <w:p w14:paraId="05BB4AD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6000≤Y＜80000</w:t>
            </w:r>
          </w:p>
        </w:tc>
        <w:tc>
          <w:tcPr>
            <w:tcW w:w="1426" w:type="dxa"/>
            <w:shd w:val="clear" w:color="auto" w:fill="auto"/>
            <w:noWrap w:val="0"/>
            <w:vAlign w:val="center"/>
          </w:tcPr>
          <w:p w14:paraId="5F3E2499">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300≤Y＜6000</w:t>
            </w:r>
          </w:p>
        </w:tc>
        <w:tc>
          <w:tcPr>
            <w:tcW w:w="992" w:type="dxa"/>
            <w:shd w:val="clear" w:color="auto" w:fill="auto"/>
            <w:noWrap w:val="0"/>
            <w:vAlign w:val="center"/>
          </w:tcPr>
          <w:p w14:paraId="63728464">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26B05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113" w:type="dxa"/>
            <w:vMerge w:val="continue"/>
            <w:shd w:val="clear" w:color="auto" w:fill="auto"/>
            <w:noWrap w:val="0"/>
            <w:vAlign w:val="center"/>
          </w:tcPr>
          <w:p w14:paraId="707C2389">
            <w:pPr>
              <w:widowControl/>
              <w:spacing w:line="280" w:lineRule="exact"/>
              <w:jc w:val="left"/>
              <w:rPr>
                <w:rFonts w:hint="eastAsia" w:ascii="宋体" w:hAnsi="宋体" w:eastAsia="宋体" w:cs="宋体"/>
                <w:color w:val="auto"/>
                <w:kern w:val="0"/>
                <w:sz w:val="18"/>
                <w:szCs w:val="18"/>
                <w:highlight w:val="none"/>
              </w:rPr>
            </w:pPr>
          </w:p>
        </w:tc>
        <w:tc>
          <w:tcPr>
            <w:tcW w:w="1369" w:type="dxa"/>
            <w:shd w:val="clear" w:color="auto" w:fill="auto"/>
            <w:noWrap w:val="0"/>
            <w:vAlign w:val="center"/>
          </w:tcPr>
          <w:p w14:paraId="12368072">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shd w:val="clear" w:color="auto" w:fill="auto"/>
            <w:noWrap w:val="0"/>
            <w:vAlign w:val="center"/>
          </w:tcPr>
          <w:p w14:paraId="23EF3E9F">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shd w:val="clear" w:color="auto" w:fill="auto"/>
            <w:noWrap w:val="0"/>
            <w:vAlign w:val="center"/>
          </w:tcPr>
          <w:p w14:paraId="14D56F6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Z≥80000</w:t>
            </w:r>
          </w:p>
        </w:tc>
        <w:tc>
          <w:tcPr>
            <w:tcW w:w="1701" w:type="dxa"/>
            <w:shd w:val="clear" w:color="auto" w:fill="auto"/>
            <w:noWrap w:val="0"/>
            <w:vAlign w:val="center"/>
          </w:tcPr>
          <w:p w14:paraId="13F8CE51">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5000≤Z＜80000</w:t>
            </w:r>
          </w:p>
        </w:tc>
        <w:tc>
          <w:tcPr>
            <w:tcW w:w="1426" w:type="dxa"/>
            <w:shd w:val="clear" w:color="auto" w:fill="auto"/>
            <w:noWrap w:val="0"/>
            <w:vAlign w:val="center"/>
          </w:tcPr>
          <w:p w14:paraId="542DAA5D">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300≤Z＜5000</w:t>
            </w:r>
          </w:p>
        </w:tc>
        <w:tc>
          <w:tcPr>
            <w:tcW w:w="992" w:type="dxa"/>
            <w:shd w:val="clear" w:color="auto" w:fill="auto"/>
            <w:noWrap w:val="0"/>
            <w:vAlign w:val="center"/>
          </w:tcPr>
          <w:p w14:paraId="6EB5F07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Z＜300</w:t>
            </w:r>
          </w:p>
        </w:tc>
      </w:tr>
      <w:tr w14:paraId="06BF0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113" w:type="dxa"/>
            <w:vMerge w:val="restart"/>
            <w:shd w:val="clear" w:color="auto" w:fill="auto"/>
            <w:noWrap w:val="0"/>
            <w:vAlign w:val="center"/>
          </w:tcPr>
          <w:p w14:paraId="2B291416">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批发业</w:t>
            </w:r>
          </w:p>
        </w:tc>
        <w:tc>
          <w:tcPr>
            <w:tcW w:w="1369" w:type="dxa"/>
            <w:shd w:val="clear" w:color="auto" w:fill="auto"/>
            <w:noWrap w:val="0"/>
            <w:vAlign w:val="center"/>
          </w:tcPr>
          <w:p w14:paraId="24B04481">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shd w:val="clear" w:color="auto" w:fill="auto"/>
            <w:noWrap w:val="0"/>
            <w:vAlign w:val="center"/>
          </w:tcPr>
          <w:p w14:paraId="24FD767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shd w:val="clear" w:color="auto" w:fill="auto"/>
            <w:noWrap w:val="0"/>
            <w:vAlign w:val="center"/>
          </w:tcPr>
          <w:p w14:paraId="1E6CC529">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w:t>
            </w:r>
          </w:p>
        </w:tc>
        <w:tc>
          <w:tcPr>
            <w:tcW w:w="1701" w:type="dxa"/>
            <w:shd w:val="clear" w:color="auto" w:fill="auto"/>
            <w:noWrap w:val="0"/>
            <w:vAlign w:val="center"/>
          </w:tcPr>
          <w:p w14:paraId="15E478E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20≤X＜200</w:t>
            </w:r>
          </w:p>
        </w:tc>
        <w:tc>
          <w:tcPr>
            <w:tcW w:w="1426" w:type="dxa"/>
            <w:shd w:val="clear" w:color="auto" w:fill="auto"/>
            <w:noWrap w:val="0"/>
            <w:vAlign w:val="center"/>
          </w:tcPr>
          <w:p w14:paraId="09E28C2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5≤X＜20</w:t>
            </w:r>
          </w:p>
        </w:tc>
        <w:tc>
          <w:tcPr>
            <w:tcW w:w="992" w:type="dxa"/>
            <w:shd w:val="clear" w:color="auto" w:fill="auto"/>
            <w:noWrap w:val="0"/>
            <w:vAlign w:val="center"/>
          </w:tcPr>
          <w:p w14:paraId="422C18A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X＜5</w:t>
            </w:r>
          </w:p>
        </w:tc>
      </w:tr>
      <w:tr w14:paraId="52856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113" w:type="dxa"/>
            <w:vMerge w:val="continue"/>
            <w:shd w:val="clear" w:color="auto" w:fill="auto"/>
            <w:noWrap w:val="0"/>
            <w:vAlign w:val="center"/>
          </w:tcPr>
          <w:p w14:paraId="0E094029">
            <w:pPr>
              <w:widowControl/>
              <w:spacing w:line="280" w:lineRule="exact"/>
              <w:jc w:val="left"/>
              <w:rPr>
                <w:rFonts w:hint="eastAsia" w:ascii="宋体" w:hAnsi="宋体" w:eastAsia="宋体" w:cs="宋体"/>
                <w:color w:val="auto"/>
                <w:kern w:val="0"/>
                <w:sz w:val="18"/>
                <w:szCs w:val="18"/>
                <w:highlight w:val="none"/>
              </w:rPr>
            </w:pPr>
          </w:p>
        </w:tc>
        <w:tc>
          <w:tcPr>
            <w:tcW w:w="1369" w:type="dxa"/>
            <w:shd w:val="clear" w:color="auto" w:fill="auto"/>
            <w:noWrap w:val="0"/>
            <w:vAlign w:val="center"/>
          </w:tcPr>
          <w:p w14:paraId="0AAB48F2">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shd w:val="clear" w:color="auto" w:fill="auto"/>
            <w:noWrap w:val="0"/>
            <w:vAlign w:val="center"/>
          </w:tcPr>
          <w:p w14:paraId="3E004F29">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shd w:val="clear" w:color="auto" w:fill="auto"/>
            <w:noWrap w:val="0"/>
            <w:vAlign w:val="center"/>
          </w:tcPr>
          <w:p w14:paraId="74D23422">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Y≥40000</w:t>
            </w:r>
          </w:p>
        </w:tc>
        <w:tc>
          <w:tcPr>
            <w:tcW w:w="1701" w:type="dxa"/>
            <w:shd w:val="clear" w:color="auto" w:fill="auto"/>
            <w:noWrap w:val="0"/>
            <w:vAlign w:val="center"/>
          </w:tcPr>
          <w:p w14:paraId="12C01414">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5000≤Y＜40000</w:t>
            </w:r>
          </w:p>
        </w:tc>
        <w:tc>
          <w:tcPr>
            <w:tcW w:w="1426" w:type="dxa"/>
            <w:shd w:val="clear" w:color="auto" w:fill="auto"/>
            <w:noWrap w:val="0"/>
            <w:vAlign w:val="center"/>
          </w:tcPr>
          <w:p w14:paraId="090599C6">
            <w:pPr>
              <w:widowControl/>
              <w:spacing w:line="280" w:lineRule="exact"/>
              <w:ind w:left="-1" w:leftChars="-1" w:hanging="1"/>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992" w:type="dxa"/>
            <w:shd w:val="clear" w:color="auto" w:fill="auto"/>
            <w:noWrap w:val="0"/>
            <w:vAlign w:val="center"/>
          </w:tcPr>
          <w:p w14:paraId="24172ABC">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w:t>
            </w:r>
          </w:p>
        </w:tc>
      </w:tr>
      <w:tr w14:paraId="3BBA2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113" w:type="dxa"/>
            <w:vMerge w:val="restart"/>
            <w:shd w:val="clear" w:color="auto" w:fill="auto"/>
            <w:noWrap w:val="0"/>
            <w:vAlign w:val="center"/>
          </w:tcPr>
          <w:p w14:paraId="1BE2EDEF">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零售业</w:t>
            </w:r>
          </w:p>
        </w:tc>
        <w:tc>
          <w:tcPr>
            <w:tcW w:w="1369" w:type="dxa"/>
            <w:shd w:val="clear" w:color="auto" w:fill="auto"/>
            <w:noWrap w:val="0"/>
            <w:vAlign w:val="center"/>
          </w:tcPr>
          <w:p w14:paraId="2FD3F319">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shd w:val="clear" w:color="auto" w:fill="auto"/>
            <w:noWrap w:val="0"/>
            <w:vAlign w:val="center"/>
          </w:tcPr>
          <w:p w14:paraId="4540B122">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shd w:val="clear" w:color="auto" w:fill="auto"/>
            <w:noWrap w:val="0"/>
            <w:vAlign w:val="center"/>
          </w:tcPr>
          <w:p w14:paraId="7DCD8E8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shd w:val="clear" w:color="auto" w:fill="auto"/>
            <w:noWrap w:val="0"/>
            <w:vAlign w:val="center"/>
          </w:tcPr>
          <w:p w14:paraId="3BA91A61">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50≤X＜300</w:t>
            </w:r>
          </w:p>
        </w:tc>
        <w:tc>
          <w:tcPr>
            <w:tcW w:w="1426" w:type="dxa"/>
            <w:shd w:val="clear" w:color="auto" w:fill="auto"/>
            <w:noWrap w:val="0"/>
            <w:vAlign w:val="center"/>
          </w:tcPr>
          <w:p w14:paraId="1A0F1A13">
            <w:pPr>
              <w:widowControl/>
              <w:spacing w:line="280" w:lineRule="exact"/>
              <w:ind w:left="-1" w:leftChars="-1" w:hanging="1"/>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10≤X＜50 </w:t>
            </w:r>
          </w:p>
        </w:tc>
        <w:tc>
          <w:tcPr>
            <w:tcW w:w="992" w:type="dxa"/>
            <w:shd w:val="clear" w:color="auto" w:fill="auto"/>
            <w:noWrap w:val="0"/>
            <w:vAlign w:val="center"/>
          </w:tcPr>
          <w:p w14:paraId="6B97C879">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2A9BA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113" w:type="dxa"/>
            <w:vMerge w:val="continue"/>
            <w:shd w:val="clear" w:color="auto" w:fill="auto"/>
            <w:noWrap w:val="0"/>
            <w:vAlign w:val="center"/>
          </w:tcPr>
          <w:p w14:paraId="79DD5F4C">
            <w:pPr>
              <w:widowControl/>
              <w:spacing w:line="280" w:lineRule="exact"/>
              <w:jc w:val="left"/>
              <w:rPr>
                <w:rFonts w:hint="eastAsia" w:ascii="宋体" w:hAnsi="宋体" w:eastAsia="宋体" w:cs="宋体"/>
                <w:color w:val="auto"/>
                <w:kern w:val="0"/>
                <w:sz w:val="18"/>
                <w:szCs w:val="18"/>
                <w:highlight w:val="none"/>
              </w:rPr>
            </w:pPr>
          </w:p>
        </w:tc>
        <w:tc>
          <w:tcPr>
            <w:tcW w:w="1369" w:type="dxa"/>
            <w:shd w:val="clear" w:color="auto" w:fill="auto"/>
            <w:noWrap w:val="0"/>
            <w:vAlign w:val="center"/>
          </w:tcPr>
          <w:p w14:paraId="3524648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shd w:val="clear" w:color="auto" w:fill="auto"/>
            <w:noWrap w:val="0"/>
            <w:vAlign w:val="center"/>
          </w:tcPr>
          <w:p w14:paraId="11DDCE06">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shd w:val="clear" w:color="auto" w:fill="auto"/>
            <w:noWrap w:val="0"/>
            <w:vAlign w:val="center"/>
          </w:tcPr>
          <w:p w14:paraId="3FFB0A90">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w:t>
            </w:r>
          </w:p>
        </w:tc>
        <w:tc>
          <w:tcPr>
            <w:tcW w:w="1701" w:type="dxa"/>
            <w:shd w:val="clear" w:color="auto" w:fill="auto"/>
            <w:noWrap w:val="0"/>
            <w:vAlign w:val="center"/>
          </w:tcPr>
          <w:p w14:paraId="5042BAA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426" w:type="dxa"/>
            <w:shd w:val="clear" w:color="auto" w:fill="auto"/>
            <w:noWrap w:val="0"/>
            <w:vAlign w:val="center"/>
          </w:tcPr>
          <w:p w14:paraId="0A973327">
            <w:pPr>
              <w:widowControl/>
              <w:spacing w:line="280" w:lineRule="exact"/>
              <w:ind w:left="-1" w:leftChars="-1" w:hanging="1"/>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100≤Y＜500</w:t>
            </w:r>
          </w:p>
        </w:tc>
        <w:tc>
          <w:tcPr>
            <w:tcW w:w="992" w:type="dxa"/>
            <w:shd w:val="clear" w:color="auto" w:fill="auto"/>
            <w:noWrap w:val="0"/>
            <w:vAlign w:val="center"/>
          </w:tcPr>
          <w:p w14:paraId="6AF3307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1482B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113" w:type="dxa"/>
            <w:vMerge w:val="restart"/>
            <w:shd w:val="clear" w:color="auto" w:fill="auto"/>
            <w:noWrap w:val="0"/>
            <w:vAlign w:val="center"/>
          </w:tcPr>
          <w:p w14:paraId="1EE8EAEC">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交通运输业 *</w:t>
            </w:r>
          </w:p>
        </w:tc>
        <w:tc>
          <w:tcPr>
            <w:tcW w:w="1369" w:type="dxa"/>
            <w:shd w:val="clear" w:color="auto" w:fill="auto"/>
            <w:noWrap w:val="0"/>
            <w:vAlign w:val="center"/>
          </w:tcPr>
          <w:p w14:paraId="084632E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shd w:val="clear" w:color="auto" w:fill="auto"/>
            <w:noWrap w:val="0"/>
            <w:vAlign w:val="center"/>
          </w:tcPr>
          <w:p w14:paraId="10823C74">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shd w:val="clear" w:color="auto" w:fill="auto"/>
            <w:noWrap w:val="0"/>
            <w:vAlign w:val="center"/>
          </w:tcPr>
          <w:p w14:paraId="14EA186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shd w:val="clear" w:color="auto" w:fill="auto"/>
            <w:noWrap w:val="0"/>
            <w:vAlign w:val="center"/>
          </w:tcPr>
          <w:p w14:paraId="33B78E5F">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shd w:val="clear" w:color="auto" w:fill="auto"/>
            <w:noWrap w:val="0"/>
            <w:vAlign w:val="center"/>
          </w:tcPr>
          <w:p w14:paraId="73C35D39">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92" w:type="dxa"/>
            <w:shd w:val="clear" w:color="auto" w:fill="auto"/>
            <w:noWrap w:val="0"/>
            <w:vAlign w:val="center"/>
          </w:tcPr>
          <w:p w14:paraId="32369F2F">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00FC9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113" w:type="dxa"/>
            <w:vMerge w:val="continue"/>
            <w:shd w:val="clear" w:color="auto" w:fill="auto"/>
            <w:noWrap w:val="0"/>
            <w:vAlign w:val="center"/>
          </w:tcPr>
          <w:p w14:paraId="248DFB29">
            <w:pPr>
              <w:widowControl/>
              <w:spacing w:line="280" w:lineRule="exact"/>
              <w:jc w:val="left"/>
              <w:rPr>
                <w:rFonts w:hint="eastAsia" w:ascii="宋体" w:hAnsi="宋体" w:eastAsia="宋体" w:cs="宋体"/>
                <w:color w:val="auto"/>
                <w:kern w:val="0"/>
                <w:sz w:val="18"/>
                <w:szCs w:val="18"/>
                <w:highlight w:val="none"/>
              </w:rPr>
            </w:pPr>
          </w:p>
        </w:tc>
        <w:tc>
          <w:tcPr>
            <w:tcW w:w="1369" w:type="dxa"/>
            <w:shd w:val="clear" w:color="auto" w:fill="auto"/>
            <w:noWrap w:val="0"/>
            <w:vAlign w:val="center"/>
          </w:tcPr>
          <w:p w14:paraId="51115C9C">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shd w:val="clear" w:color="auto" w:fill="auto"/>
            <w:noWrap w:val="0"/>
            <w:vAlign w:val="center"/>
          </w:tcPr>
          <w:p w14:paraId="26DA3629">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shd w:val="clear" w:color="auto" w:fill="auto"/>
            <w:noWrap w:val="0"/>
            <w:vAlign w:val="center"/>
          </w:tcPr>
          <w:p w14:paraId="12F641A1">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shd w:val="clear" w:color="auto" w:fill="auto"/>
            <w:noWrap w:val="0"/>
            <w:vAlign w:val="center"/>
          </w:tcPr>
          <w:p w14:paraId="0BC7751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3000≤Y＜30000</w:t>
            </w:r>
          </w:p>
        </w:tc>
        <w:tc>
          <w:tcPr>
            <w:tcW w:w="1426" w:type="dxa"/>
            <w:shd w:val="clear" w:color="auto" w:fill="auto"/>
            <w:noWrap w:val="0"/>
            <w:vAlign w:val="center"/>
          </w:tcPr>
          <w:p w14:paraId="3A9EA15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200≤Y＜3000</w:t>
            </w:r>
          </w:p>
        </w:tc>
        <w:tc>
          <w:tcPr>
            <w:tcW w:w="992" w:type="dxa"/>
            <w:shd w:val="clear" w:color="auto" w:fill="auto"/>
            <w:noWrap w:val="0"/>
            <w:vAlign w:val="center"/>
          </w:tcPr>
          <w:p w14:paraId="25DA01B9">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w:t>
            </w:r>
          </w:p>
        </w:tc>
      </w:tr>
      <w:tr w14:paraId="2142D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113" w:type="dxa"/>
            <w:vMerge w:val="restart"/>
            <w:shd w:val="clear" w:color="auto" w:fill="auto"/>
            <w:noWrap w:val="0"/>
            <w:vAlign w:val="center"/>
          </w:tcPr>
          <w:p w14:paraId="01539743">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仓储业*</w:t>
            </w:r>
          </w:p>
        </w:tc>
        <w:tc>
          <w:tcPr>
            <w:tcW w:w="1369" w:type="dxa"/>
            <w:shd w:val="clear" w:color="auto" w:fill="auto"/>
            <w:noWrap w:val="0"/>
            <w:vAlign w:val="center"/>
          </w:tcPr>
          <w:p w14:paraId="3B72038E">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shd w:val="clear" w:color="auto" w:fill="auto"/>
            <w:noWrap w:val="0"/>
            <w:vAlign w:val="center"/>
          </w:tcPr>
          <w:p w14:paraId="2A1557D9">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shd w:val="clear" w:color="auto" w:fill="auto"/>
            <w:noWrap w:val="0"/>
            <w:vAlign w:val="center"/>
          </w:tcPr>
          <w:p w14:paraId="56DDEB9D">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w:t>
            </w:r>
          </w:p>
        </w:tc>
        <w:tc>
          <w:tcPr>
            <w:tcW w:w="1701" w:type="dxa"/>
            <w:shd w:val="clear" w:color="auto" w:fill="auto"/>
            <w:noWrap w:val="0"/>
            <w:vAlign w:val="center"/>
          </w:tcPr>
          <w:p w14:paraId="7FB03F4E">
            <w:pPr>
              <w:widowControl/>
              <w:spacing w:line="280" w:lineRule="exact"/>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w:t>
            </w:r>
          </w:p>
        </w:tc>
        <w:tc>
          <w:tcPr>
            <w:tcW w:w="1426" w:type="dxa"/>
            <w:shd w:val="clear" w:color="auto" w:fill="auto"/>
            <w:noWrap w:val="0"/>
            <w:vAlign w:val="center"/>
          </w:tcPr>
          <w:p w14:paraId="3B9FA413">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20≤X＜100</w:t>
            </w:r>
          </w:p>
        </w:tc>
        <w:tc>
          <w:tcPr>
            <w:tcW w:w="992" w:type="dxa"/>
            <w:shd w:val="clear" w:color="auto" w:fill="auto"/>
            <w:noWrap w:val="0"/>
            <w:vAlign w:val="center"/>
          </w:tcPr>
          <w:p w14:paraId="6245F8CC">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0BA31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113" w:type="dxa"/>
            <w:vMerge w:val="continue"/>
            <w:shd w:val="clear" w:color="auto" w:fill="auto"/>
            <w:noWrap w:val="0"/>
            <w:vAlign w:val="center"/>
          </w:tcPr>
          <w:p w14:paraId="639A3CE4">
            <w:pPr>
              <w:widowControl/>
              <w:spacing w:line="280" w:lineRule="exact"/>
              <w:jc w:val="left"/>
              <w:rPr>
                <w:rFonts w:hint="eastAsia" w:ascii="宋体" w:hAnsi="宋体" w:eastAsia="宋体" w:cs="宋体"/>
                <w:color w:val="auto"/>
                <w:kern w:val="0"/>
                <w:sz w:val="18"/>
                <w:szCs w:val="18"/>
                <w:highlight w:val="none"/>
              </w:rPr>
            </w:pPr>
          </w:p>
        </w:tc>
        <w:tc>
          <w:tcPr>
            <w:tcW w:w="1369" w:type="dxa"/>
            <w:shd w:val="clear" w:color="auto" w:fill="auto"/>
            <w:noWrap w:val="0"/>
            <w:vAlign w:val="center"/>
          </w:tcPr>
          <w:p w14:paraId="62AF100C">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shd w:val="clear" w:color="auto" w:fill="auto"/>
            <w:noWrap w:val="0"/>
            <w:vAlign w:val="center"/>
          </w:tcPr>
          <w:p w14:paraId="334A910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shd w:val="clear" w:color="auto" w:fill="auto"/>
            <w:noWrap w:val="0"/>
            <w:vAlign w:val="center"/>
          </w:tcPr>
          <w:p w14:paraId="5BB1A02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shd w:val="clear" w:color="auto" w:fill="auto"/>
            <w:noWrap w:val="0"/>
            <w:vAlign w:val="center"/>
          </w:tcPr>
          <w:p w14:paraId="5CBE3D6C">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1000≤Y＜30000</w:t>
            </w:r>
          </w:p>
        </w:tc>
        <w:tc>
          <w:tcPr>
            <w:tcW w:w="1426" w:type="dxa"/>
            <w:shd w:val="clear" w:color="auto" w:fill="auto"/>
            <w:noWrap w:val="0"/>
            <w:vAlign w:val="center"/>
          </w:tcPr>
          <w:p w14:paraId="425221FD">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shd w:val="clear" w:color="auto" w:fill="auto"/>
            <w:noWrap w:val="0"/>
            <w:vAlign w:val="center"/>
          </w:tcPr>
          <w:p w14:paraId="782289D6">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7ADB3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113" w:type="dxa"/>
            <w:vMerge w:val="restart"/>
            <w:shd w:val="clear" w:color="auto" w:fill="auto"/>
            <w:noWrap w:val="0"/>
            <w:vAlign w:val="center"/>
          </w:tcPr>
          <w:p w14:paraId="20E473FF">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邮政业</w:t>
            </w:r>
          </w:p>
        </w:tc>
        <w:tc>
          <w:tcPr>
            <w:tcW w:w="1369" w:type="dxa"/>
            <w:shd w:val="clear" w:color="auto" w:fill="auto"/>
            <w:noWrap w:val="0"/>
            <w:vAlign w:val="center"/>
          </w:tcPr>
          <w:p w14:paraId="737BE244">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shd w:val="clear" w:color="auto" w:fill="auto"/>
            <w:noWrap w:val="0"/>
            <w:vAlign w:val="center"/>
          </w:tcPr>
          <w:p w14:paraId="1A254A1F">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shd w:val="clear" w:color="auto" w:fill="auto"/>
            <w:noWrap w:val="0"/>
            <w:vAlign w:val="center"/>
          </w:tcPr>
          <w:p w14:paraId="2B89274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shd w:val="clear" w:color="auto" w:fill="auto"/>
            <w:noWrap w:val="0"/>
            <w:vAlign w:val="center"/>
          </w:tcPr>
          <w:p w14:paraId="37429CAD">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shd w:val="clear" w:color="auto" w:fill="auto"/>
            <w:noWrap w:val="0"/>
            <w:vAlign w:val="center"/>
          </w:tcPr>
          <w:p w14:paraId="12093AC1">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92" w:type="dxa"/>
            <w:shd w:val="clear" w:color="auto" w:fill="auto"/>
            <w:noWrap w:val="0"/>
            <w:vAlign w:val="center"/>
          </w:tcPr>
          <w:p w14:paraId="140C3EAD">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29BC3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113" w:type="dxa"/>
            <w:vMerge w:val="continue"/>
            <w:shd w:val="clear" w:color="auto" w:fill="auto"/>
            <w:noWrap w:val="0"/>
            <w:vAlign w:val="center"/>
          </w:tcPr>
          <w:p w14:paraId="7980A959">
            <w:pPr>
              <w:widowControl/>
              <w:spacing w:line="280" w:lineRule="exact"/>
              <w:jc w:val="left"/>
              <w:rPr>
                <w:rFonts w:hint="eastAsia" w:ascii="宋体" w:hAnsi="宋体" w:eastAsia="宋体" w:cs="宋体"/>
                <w:color w:val="auto"/>
                <w:kern w:val="0"/>
                <w:sz w:val="18"/>
                <w:szCs w:val="18"/>
                <w:highlight w:val="none"/>
              </w:rPr>
            </w:pPr>
          </w:p>
        </w:tc>
        <w:tc>
          <w:tcPr>
            <w:tcW w:w="1369" w:type="dxa"/>
            <w:shd w:val="clear" w:color="auto" w:fill="auto"/>
            <w:noWrap w:val="0"/>
            <w:vAlign w:val="center"/>
          </w:tcPr>
          <w:p w14:paraId="36DA9C0D">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shd w:val="clear" w:color="auto" w:fill="auto"/>
            <w:noWrap w:val="0"/>
            <w:vAlign w:val="center"/>
          </w:tcPr>
          <w:p w14:paraId="7DAE6CD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shd w:val="clear" w:color="auto" w:fill="auto"/>
            <w:noWrap w:val="0"/>
            <w:vAlign w:val="center"/>
          </w:tcPr>
          <w:p w14:paraId="569BD4CC">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shd w:val="clear" w:color="auto" w:fill="auto"/>
            <w:noWrap w:val="0"/>
            <w:vAlign w:val="center"/>
          </w:tcPr>
          <w:p w14:paraId="3B99C85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2000≤Y＜30000</w:t>
            </w:r>
          </w:p>
        </w:tc>
        <w:tc>
          <w:tcPr>
            <w:tcW w:w="1426" w:type="dxa"/>
            <w:shd w:val="clear" w:color="auto" w:fill="auto"/>
            <w:noWrap w:val="0"/>
            <w:vAlign w:val="center"/>
          </w:tcPr>
          <w:p w14:paraId="13E7EFF6">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shd w:val="clear" w:color="auto" w:fill="auto"/>
            <w:noWrap w:val="0"/>
            <w:vAlign w:val="center"/>
          </w:tcPr>
          <w:p w14:paraId="67D7F1AE">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0408A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113" w:type="dxa"/>
            <w:vMerge w:val="restart"/>
            <w:shd w:val="clear" w:color="auto" w:fill="auto"/>
            <w:noWrap w:val="0"/>
            <w:vAlign w:val="center"/>
          </w:tcPr>
          <w:p w14:paraId="16E14FE4">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住宿业</w:t>
            </w:r>
          </w:p>
        </w:tc>
        <w:tc>
          <w:tcPr>
            <w:tcW w:w="1369" w:type="dxa"/>
            <w:shd w:val="clear" w:color="auto" w:fill="auto"/>
            <w:noWrap w:val="0"/>
            <w:vAlign w:val="center"/>
          </w:tcPr>
          <w:p w14:paraId="1D1146E2">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shd w:val="clear" w:color="auto" w:fill="auto"/>
            <w:noWrap w:val="0"/>
            <w:vAlign w:val="center"/>
          </w:tcPr>
          <w:p w14:paraId="5075046F">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shd w:val="clear" w:color="auto" w:fill="auto"/>
            <w:noWrap w:val="0"/>
            <w:vAlign w:val="center"/>
          </w:tcPr>
          <w:p w14:paraId="36ADB81D">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shd w:val="clear" w:color="auto" w:fill="auto"/>
            <w:noWrap w:val="0"/>
            <w:vAlign w:val="center"/>
          </w:tcPr>
          <w:p w14:paraId="1E894279">
            <w:pPr>
              <w:widowControl/>
              <w:spacing w:line="280" w:lineRule="exact"/>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26" w:type="dxa"/>
            <w:shd w:val="clear" w:color="auto" w:fill="auto"/>
            <w:noWrap w:val="0"/>
            <w:vAlign w:val="center"/>
          </w:tcPr>
          <w:p w14:paraId="340B2006">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shd w:val="clear" w:color="auto" w:fill="auto"/>
            <w:noWrap w:val="0"/>
            <w:vAlign w:val="center"/>
          </w:tcPr>
          <w:p w14:paraId="2E7B47C9">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18C13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113" w:type="dxa"/>
            <w:vMerge w:val="continue"/>
            <w:shd w:val="clear" w:color="auto" w:fill="auto"/>
            <w:noWrap w:val="0"/>
            <w:vAlign w:val="center"/>
          </w:tcPr>
          <w:p w14:paraId="026A465E">
            <w:pPr>
              <w:widowControl/>
              <w:spacing w:line="280" w:lineRule="exact"/>
              <w:jc w:val="left"/>
              <w:rPr>
                <w:rFonts w:hint="eastAsia" w:ascii="宋体" w:hAnsi="宋体" w:eastAsia="宋体" w:cs="宋体"/>
                <w:color w:val="auto"/>
                <w:kern w:val="0"/>
                <w:sz w:val="18"/>
                <w:szCs w:val="18"/>
                <w:highlight w:val="none"/>
              </w:rPr>
            </w:pPr>
          </w:p>
        </w:tc>
        <w:tc>
          <w:tcPr>
            <w:tcW w:w="1369" w:type="dxa"/>
            <w:shd w:val="clear" w:color="auto" w:fill="auto"/>
            <w:noWrap w:val="0"/>
            <w:vAlign w:val="center"/>
          </w:tcPr>
          <w:p w14:paraId="2FD40381">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shd w:val="clear" w:color="auto" w:fill="auto"/>
            <w:noWrap w:val="0"/>
            <w:vAlign w:val="center"/>
          </w:tcPr>
          <w:p w14:paraId="0D10E5DD">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shd w:val="clear" w:color="auto" w:fill="auto"/>
            <w:noWrap w:val="0"/>
            <w:vAlign w:val="center"/>
          </w:tcPr>
          <w:p w14:paraId="2917D791">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shd w:val="clear" w:color="auto" w:fill="auto"/>
            <w:noWrap w:val="0"/>
            <w:vAlign w:val="center"/>
          </w:tcPr>
          <w:p w14:paraId="5085694F">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426" w:type="dxa"/>
            <w:shd w:val="clear" w:color="auto" w:fill="auto"/>
            <w:noWrap w:val="0"/>
            <w:vAlign w:val="center"/>
          </w:tcPr>
          <w:p w14:paraId="361C137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shd w:val="clear" w:color="auto" w:fill="auto"/>
            <w:noWrap w:val="0"/>
            <w:vAlign w:val="center"/>
          </w:tcPr>
          <w:p w14:paraId="0BC38EB6">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0CCAE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113" w:type="dxa"/>
            <w:vMerge w:val="restart"/>
            <w:shd w:val="clear" w:color="auto" w:fill="auto"/>
            <w:noWrap w:val="0"/>
            <w:vAlign w:val="center"/>
          </w:tcPr>
          <w:p w14:paraId="2E923DF5">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餐饮业</w:t>
            </w:r>
          </w:p>
        </w:tc>
        <w:tc>
          <w:tcPr>
            <w:tcW w:w="1369" w:type="dxa"/>
            <w:shd w:val="clear" w:color="auto" w:fill="auto"/>
            <w:noWrap w:val="0"/>
            <w:vAlign w:val="center"/>
          </w:tcPr>
          <w:p w14:paraId="3634F35E">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shd w:val="clear" w:color="auto" w:fill="auto"/>
            <w:noWrap w:val="0"/>
            <w:vAlign w:val="center"/>
          </w:tcPr>
          <w:p w14:paraId="15C9B383">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shd w:val="clear" w:color="auto" w:fill="auto"/>
            <w:noWrap w:val="0"/>
            <w:vAlign w:val="center"/>
          </w:tcPr>
          <w:p w14:paraId="534AA1BE">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shd w:val="clear" w:color="auto" w:fill="auto"/>
            <w:noWrap w:val="0"/>
            <w:vAlign w:val="center"/>
          </w:tcPr>
          <w:p w14:paraId="31D1C574">
            <w:pPr>
              <w:widowControl/>
              <w:spacing w:line="280" w:lineRule="exact"/>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100≤X＜300 </w:t>
            </w:r>
          </w:p>
        </w:tc>
        <w:tc>
          <w:tcPr>
            <w:tcW w:w="1426" w:type="dxa"/>
            <w:shd w:val="clear" w:color="auto" w:fill="auto"/>
            <w:noWrap w:val="0"/>
            <w:vAlign w:val="center"/>
          </w:tcPr>
          <w:p w14:paraId="4F2E2884">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shd w:val="clear" w:color="auto" w:fill="auto"/>
            <w:noWrap w:val="0"/>
            <w:vAlign w:val="center"/>
          </w:tcPr>
          <w:p w14:paraId="261640CE">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67F8C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13" w:type="dxa"/>
            <w:vMerge w:val="continue"/>
            <w:shd w:val="clear" w:color="auto" w:fill="auto"/>
            <w:noWrap w:val="0"/>
            <w:vAlign w:val="center"/>
          </w:tcPr>
          <w:p w14:paraId="75963E1C">
            <w:pPr>
              <w:widowControl/>
              <w:spacing w:line="280" w:lineRule="exact"/>
              <w:jc w:val="left"/>
              <w:rPr>
                <w:rFonts w:hint="eastAsia" w:ascii="宋体" w:hAnsi="宋体" w:eastAsia="宋体" w:cs="宋体"/>
                <w:color w:val="auto"/>
                <w:kern w:val="0"/>
                <w:sz w:val="18"/>
                <w:szCs w:val="18"/>
                <w:highlight w:val="none"/>
              </w:rPr>
            </w:pPr>
          </w:p>
        </w:tc>
        <w:tc>
          <w:tcPr>
            <w:tcW w:w="1369" w:type="dxa"/>
            <w:shd w:val="clear" w:color="auto" w:fill="auto"/>
            <w:noWrap w:val="0"/>
            <w:vAlign w:val="center"/>
          </w:tcPr>
          <w:p w14:paraId="0D520AF3">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shd w:val="clear" w:color="auto" w:fill="auto"/>
            <w:noWrap w:val="0"/>
            <w:vAlign w:val="center"/>
          </w:tcPr>
          <w:p w14:paraId="40648BE3">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shd w:val="clear" w:color="auto" w:fill="auto"/>
            <w:noWrap w:val="0"/>
            <w:vAlign w:val="center"/>
          </w:tcPr>
          <w:p w14:paraId="710DBB0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shd w:val="clear" w:color="auto" w:fill="auto"/>
            <w:noWrap w:val="0"/>
            <w:vAlign w:val="center"/>
          </w:tcPr>
          <w:p w14:paraId="497C6B80">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426" w:type="dxa"/>
            <w:shd w:val="clear" w:color="auto" w:fill="auto"/>
            <w:noWrap w:val="0"/>
            <w:vAlign w:val="center"/>
          </w:tcPr>
          <w:p w14:paraId="2D0DD4E6">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shd w:val="clear" w:color="auto" w:fill="auto"/>
            <w:noWrap w:val="0"/>
            <w:vAlign w:val="center"/>
          </w:tcPr>
          <w:p w14:paraId="5975EBF4">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53D83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113" w:type="dxa"/>
            <w:vMerge w:val="restart"/>
            <w:shd w:val="clear" w:color="auto" w:fill="auto"/>
            <w:noWrap w:val="0"/>
            <w:vAlign w:val="center"/>
          </w:tcPr>
          <w:p w14:paraId="32623C40">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信息传输业 *</w:t>
            </w:r>
          </w:p>
        </w:tc>
        <w:tc>
          <w:tcPr>
            <w:tcW w:w="1369" w:type="dxa"/>
            <w:shd w:val="clear" w:color="auto" w:fill="auto"/>
            <w:noWrap w:val="0"/>
            <w:vAlign w:val="center"/>
          </w:tcPr>
          <w:p w14:paraId="2FE46363">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shd w:val="clear" w:color="auto" w:fill="auto"/>
            <w:noWrap w:val="0"/>
            <w:vAlign w:val="center"/>
          </w:tcPr>
          <w:p w14:paraId="3CD61A2F">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shd w:val="clear" w:color="auto" w:fill="auto"/>
            <w:noWrap w:val="0"/>
            <w:vAlign w:val="center"/>
          </w:tcPr>
          <w:p w14:paraId="265D86E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X≥2000</w:t>
            </w:r>
          </w:p>
        </w:tc>
        <w:tc>
          <w:tcPr>
            <w:tcW w:w="1701" w:type="dxa"/>
            <w:shd w:val="clear" w:color="auto" w:fill="auto"/>
            <w:noWrap w:val="0"/>
            <w:vAlign w:val="center"/>
          </w:tcPr>
          <w:p w14:paraId="23ACE70E">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100≤X＜2000</w:t>
            </w:r>
          </w:p>
        </w:tc>
        <w:tc>
          <w:tcPr>
            <w:tcW w:w="1426" w:type="dxa"/>
            <w:shd w:val="clear" w:color="auto" w:fill="auto"/>
            <w:noWrap w:val="0"/>
            <w:vAlign w:val="center"/>
          </w:tcPr>
          <w:p w14:paraId="3CC080C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shd w:val="clear" w:color="auto" w:fill="auto"/>
            <w:noWrap w:val="0"/>
            <w:vAlign w:val="center"/>
          </w:tcPr>
          <w:p w14:paraId="6338275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34BB3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113" w:type="dxa"/>
            <w:vMerge w:val="continue"/>
            <w:shd w:val="clear" w:color="auto" w:fill="auto"/>
            <w:noWrap w:val="0"/>
            <w:vAlign w:val="center"/>
          </w:tcPr>
          <w:p w14:paraId="41464164">
            <w:pPr>
              <w:widowControl/>
              <w:spacing w:line="280" w:lineRule="exact"/>
              <w:jc w:val="left"/>
              <w:rPr>
                <w:rFonts w:hint="eastAsia" w:ascii="宋体" w:hAnsi="宋体" w:eastAsia="宋体" w:cs="宋体"/>
                <w:color w:val="auto"/>
                <w:kern w:val="0"/>
                <w:sz w:val="18"/>
                <w:szCs w:val="18"/>
                <w:highlight w:val="none"/>
              </w:rPr>
            </w:pPr>
          </w:p>
        </w:tc>
        <w:tc>
          <w:tcPr>
            <w:tcW w:w="1369" w:type="dxa"/>
            <w:shd w:val="clear" w:color="auto" w:fill="auto"/>
            <w:noWrap w:val="0"/>
            <w:vAlign w:val="center"/>
          </w:tcPr>
          <w:p w14:paraId="736E65A2">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shd w:val="clear" w:color="auto" w:fill="auto"/>
            <w:noWrap w:val="0"/>
            <w:vAlign w:val="center"/>
          </w:tcPr>
          <w:p w14:paraId="53B19B1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shd w:val="clear" w:color="auto" w:fill="auto"/>
            <w:noWrap w:val="0"/>
            <w:vAlign w:val="center"/>
          </w:tcPr>
          <w:p w14:paraId="6FCB455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Y≥100000</w:t>
            </w:r>
          </w:p>
        </w:tc>
        <w:tc>
          <w:tcPr>
            <w:tcW w:w="1701" w:type="dxa"/>
            <w:shd w:val="clear" w:color="auto" w:fill="auto"/>
            <w:noWrap w:val="0"/>
            <w:vAlign w:val="center"/>
          </w:tcPr>
          <w:p w14:paraId="069968CD">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1000≤Y＜100000</w:t>
            </w:r>
          </w:p>
        </w:tc>
        <w:tc>
          <w:tcPr>
            <w:tcW w:w="1426" w:type="dxa"/>
            <w:shd w:val="clear" w:color="auto" w:fill="auto"/>
            <w:noWrap w:val="0"/>
            <w:vAlign w:val="center"/>
          </w:tcPr>
          <w:p w14:paraId="6041151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shd w:val="clear" w:color="auto" w:fill="auto"/>
            <w:noWrap w:val="0"/>
            <w:vAlign w:val="center"/>
          </w:tcPr>
          <w:p w14:paraId="6C8C94E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5A7CB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113" w:type="dxa"/>
            <w:vMerge w:val="restart"/>
            <w:shd w:val="clear" w:color="auto" w:fill="auto"/>
            <w:noWrap w:val="0"/>
            <w:vAlign w:val="center"/>
          </w:tcPr>
          <w:p w14:paraId="7CC88E5A">
            <w:pPr>
              <w:widowControl/>
              <w:spacing w:line="280" w:lineRule="exact"/>
              <w:jc w:val="left"/>
              <w:rPr>
                <w:rFonts w:hint="eastAsia" w:ascii="宋体" w:hAnsi="宋体" w:eastAsia="宋体" w:cs="宋体"/>
                <w:color w:val="auto"/>
                <w:spacing w:val="-12"/>
                <w:kern w:val="0"/>
                <w:sz w:val="18"/>
                <w:szCs w:val="18"/>
                <w:highlight w:val="none"/>
              </w:rPr>
            </w:pPr>
            <w:r>
              <w:rPr>
                <w:rFonts w:hint="eastAsia" w:ascii="宋体" w:hAnsi="宋体" w:eastAsia="宋体" w:cs="宋体"/>
                <w:color w:val="auto"/>
                <w:spacing w:val="-12"/>
                <w:kern w:val="0"/>
                <w:sz w:val="18"/>
                <w:szCs w:val="18"/>
                <w:highlight w:val="none"/>
              </w:rPr>
              <w:t>软件和信息技术服</w:t>
            </w:r>
            <w:r>
              <w:rPr>
                <w:rFonts w:hint="eastAsia" w:ascii="宋体" w:hAnsi="宋体" w:eastAsia="宋体" w:cs="宋体"/>
                <w:color w:val="auto"/>
                <w:kern w:val="0"/>
                <w:sz w:val="18"/>
                <w:szCs w:val="18"/>
                <w:highlight w:val="none"/>
              </w:rPr>
              <w:t>务业</w:t>
            </w:r>
          </w:p>
        </w:tc>
        <w:tc>
          <w:tcPr>
            <w:tcW w:w="1369" w:type="dxa"/>
            <w:shd w:val="clear" w:color="auto" w:fill="auto"/>
            <w:noWrap w:val="0"/>
            <w:vAlign w:val="center"/>
          </w:tcPr>
          <w:p w14:paraId="2A75D630">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shd w:val="clear" w:color="auto" w:fill="auto"/>
            <w:noWrap w:val="0"/>
            <w:vAlign w:val="center"/>
          </w:tcPr>
          <w:p w14:paraId="13204F43">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shd w:val="clear" w:color="auto" w:fill="auto"/>
            <w:noWrap w:val="0"/>
            <w:vAlign w:val="center"/>
          </w:tcPr>
          <w:p w14:paraId="595287D6">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shd w:val="clear" w:color="auto" w:fill="auto"/>
            <w:noWrap w:val="0"/>
            <w:vAlign w:val="center"/>
          </w:tcPr>
          <w:p w14:paraId="64BCCB59">
            <w:pPr>
              <w:widowControl/>
              <w:spacing w:line="280" w:lineRule="exact"/>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100≤X＜300 </w:t>
            </w:r>
          </w:p>
        </w:tc>
        <w:tc>
          <w:tcPr>
            <w:tcW w:w="1426" w:type="dxa"/>
            <w:shd w:val="clear" w:color="auto" w:fill="auto"/>
            <w:noWrap w:val="0"/>
            <w:vAlign w:val="center"/>
          </w:tcPr>
          <w:p w14:paraId="54D584B9">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shd w:val="clear" w:color="auto" w:fill="auto"/>
            <w:noWrap w:val="0"/>
            <w:vAlign w:val="center"/>
          </w:tcPr>
          <w:p w14:paraId="727ACD63">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63139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113" w:type="dxa"/>
            <w:vMerge w:val="continue"/>
            <w:shd w:val="clear" w:color="auto" w:fill="auto"/>
            <w:noWrap w:val="0"/>
            <w:vAlign w:val="center"/>
          </w:tcPr>
          <w:p w14:paraId="7E725C17">
            <w:pPr>
              <w:widowControl/>
              <w:spacing w:line="280" w:lineRule="exact"/>
              <w:jc w:val="left"/>
              <w:rPr>
                <w:rFonts w:hint="eastAsia" w:ascii="宋体" w:hAnsi="宋体" w:eastAsia="宋体" w:cs="宋体"/>
                <w:color w:val="auto"/>
                <w:spacing w:val="-12"/>
                <w:kern w:val="0"/>
                <w:sz w:val="18"/>
                <w:szCs w:val="18"/>
                <w:highlight w:val="none"/>
              </w:rPr>
            </w:pPr>
          </w:p>
        </w:tc>
        <w:tc>
          <w:tcPr>
            <w:tcW w:w="1369" w:type="dxa"/>
            <w:shd w:val="clear" w:color="auto" w:fill="auto"/>
            <w:noWrap w:val="0"/>
            <w:vAlign w:val="center"/>
          </w:tcPr>
          <w:p w14:paraId="7B5BB5AF">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shd w:val="clear" w:color="auto" w:fill="auto"/>
            <w:noWrap w:val="0"/>
            <w:vAlign w:val="center"/>
          </w:tcPr>
          <w:p w14:paraId="584E3E6D">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shd w:val="clear" w:color="auto" w:fill="auto"/>
            <w:noWrap w:val="0"/>
            <w:vAlign w:val="center"/>
          </w:tcPr>
          <w:p w14:paraId="18AEF93E">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shd w:val="clear" w:color="auto" w:fill="auto"/>
            <w:noWrap w:val="0"/>
            <w:vAlign w:val="center"/>
          </w:tcPr>
          <w:p w14:paraId="4DD606FD">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w:t>
            </w:r>
          </w:p>
        </w:tc>
        <w:tc>
          <w:tcPr>
            <w:tcW w:w="1426" w:type="dxa"/>
            <w:shd w:val="clear" w:color="auto" w:fill="auto"/>
            <w:noWrap w:val="0"/>
            <w:vAlign w:val="center"/>
          </w:tcPr>
          <w:p w14:paraId="39F732B6">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50≤Y＜1000</w:t>
            </w:r>
          </w:p>
        </w:tc>
        <w:tc>
          <w:tcPr>
            <w:tcW w:w="992" w:type="dxa"/>
            <w:shd w:val="clear" w:color="auto" w:fill="auto"/>
            <w:noWrap w:val="0"/>
            <w:vAlign w:val="center"/>
          </w:tcPr>
          <w:p w14:paraId="53F17102">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1A0AB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113" w:type="dxa"/>
            <w:vMerge w:val="restart"/>
            <w:shd w:val="clear" w:color="auto" w:fill="auto"/>
            <w:noWrap w:val="0"/>
            <w:vAlign w:val="center"/>
          </w:tcPr>
          <w:p w14:paraId="4FFE56B5">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房地产开发经营</w:t>
            </w:r>
          </w:p>
        </w:tc>
        <w:tc>
          <w:tcPr>
            <w:tcW w:w="1369" w:type="dxa"/>
            <w:shd w:val="clear" w:color="auto" w:fill="auto"/>
            <w:noWrap w:val="0"/>
            <w:vAlign w:val="center"/>
          </w:tcPr>
          <w:p w14:paraId="1E3B986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shd w:val="clear" w:color="auto" w:fill="auto"/>
            <w:noWrap w:val="0"/>
            <w:vAlign w:val="center"/>
          </w:tcPr>
          <w:p w14:paraId="1C8D93FC">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shd w:val="clear" w:color="auto" w:fill="auto"/>
            <w:noWrap w:val="0"/>
            <w:vAlign w:val="center"/>
          </w:tcPr>
          <w:p w14:paraId="089C083F">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Y≥200000</w:t>
            </w:r>
          </w:p>
        </w:tc>
        <w:tc>
          <w:tcPr>
            <w:tcW w:w="1701" w:type="dxa"/>
            <w:shd w:val="clear" w:color="auto" w:fill="auto"/>
            <w:noWrap w:val="0"/>
            <w:vAlign w:val="center"/>
          </w:tcPr>
          <w:p w14:paraId="6ACDE6F4">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1000≤Y＜200000</w:t>
            </w:r>
          </w:p>
        </w:tc>
        <w:tc>
          <w:tcPr>
            <w:tcW w:w="1426" w:type="dxa"/>
            <w:shd w:val="clear" w:color="auto" w:fill="auto"/>
            <w:noWrap w:val="0"/>
            <w:vAlign w:val="center"/>
          </w:tcPr>
          <w:p w14:paraId="0B0F217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shd w:val="clear" w:color="auto" w:fill="auto"/>
            <w:noWrap w:val="0"/>
            <w:vAlign w:val="center"/>
          </w:tcPr>
          <w:p w14:paraId="581E1259">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3380F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113" w:type="dxa"/>
            <w:vMerge w:val="continue"/>
            <w:shd w:val="clear" w:color="auto" w:fill="auto"/>
            <w:noWrap w:val="0"/>
            <w:vAlign w:val="center"/>
          </w:tcPr>
          <w:p w14:paraId="7FE9FAD0">
            <w:pPr>
              <w:widowControl/>
              <w:spacing w:line="280" w:lineRule="exact"/>
              <w:jc w:val="left"/>
              <w:rPr>
                <w:rFonts w:hint="eastAsia" w:ascii="宋体" w:hAnsi="宋体" w:eastAsia="宋体" w:cs="宋体"/>
                <w:color w:val="auto"/>
                <w:kern w:val="0"/>
                <w:sz w:val="18"/>
                <w:szCs w:val="18"/>
                <w:highlight w:val="none"/>
              </w:rPr>
            </w:pPr>
          </w:p>
        </w:tc>
        <w:tc>
          <w:tcPr>
            <w:tcW w:w="1369" w:type="dxa"/>
            <w:shd w:val="clear" w:color="auto" w:fill="auto"/>
            <w:noWrap w:val="0"/>
            <w:vAlign w:val="center"/>
          </w:tcPr>
          <w:p w14:paraId="37C9767E">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shd w:val="clear" w:color="auto" w:fill="auto"/>
            <w:noWrap w:val="0"/>
            <w:vAlign w:val="center"/>
          </w:tcPr>
          <w:p w14:paraId="6739EB72">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shd w:val="clear" w:color="auto" w:fill="auto"/>
            <w:noWrap w:val="0"/>
            <w:vAlign w:val="center"/>
          </w:tcPr>
          <w:p w14:paraId="0B7AFC0D">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Z≥10000</w:t>
            </w:r>
          </w:p>
        </w:tc>
        <w:tc>
          <w:tcPr>
            <w:tcW w:w="1701" w:type="dxa"/>
            <w:shd w:val="clear" w:color="auto" w:fill="auto"/>
            <w:noWrap w:val="0"/>
            <w:vAlign w:val="center"/>
          </w:tcPr>
          <w:p w14:paraId="6B18876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5000≤Z＜10000</w:t>
            </w:r>
          </w:p>
        </w:tc>
        <w:tc>
          <w:tcPr>
            <w:tcW w:w="1426" w:type="dxa"/>
            <w:shd w:val="clear" w:color="auto" w:fill="auto"/>
            <w:noWrap w:val="0"/>
            <w:vAlign w:val="center"/>
          </w:tcPr>
          <w:p w14:paraId="5B1D3FC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2000≤Z＜5000</w:t>
            </w:r>
          </w:p>
        </w:tc>
        <w:tc>
          <w:tcPr>
            <w:tcW w:w="992" w:type="dxa"/>
            <w:shd w:val="clear" w:color="auto" w:fill="auto"/>
            <w:noWrap w:val="0"/>
            <w:vAlign w:val="center"/>
          </w:tcPr>
          <w:p w14:paraId="2093A4B1">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Z＜2000</w:t>
            </w:r>
          </w:p>
        </w:tc>
      </w:tr>
      <w:tr w14:paraId="3E40E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113" w:type="dxa"/>
            <w:vMerge w:val="restart"/>
            <w:shd w:val="clear" w:color="auto" w:fill="auto"/>
            <w:noWrap w:val="0"/>
            <w:vAlign w:val="center"/>
          </w:tcPr>
          <w:p w14:paraId="1436BC6C">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物业管理</w:t>
            </w:r>
          </w:p>
        </w:tc>
        <w:tc>
          <w:tcPr>
            <w:tcW w:w="1369" w:type="dxa"/>
            <w:shd w:val="clear" w:color="auto" w:fill="auto"/>
            <w:noWrap w:val="0"/>
            <w:vAlign w:val="center"/>
          </w:tcPr>
          <w:p w14:paraId="1FCBDE96">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shd w:val="clear" w:color="auto" w:fill="auto"/>
            <w:noWrap w:val="0"/>
            <w:vAlign w:val="center"/>
          </w:tcPr>
          <w:p w14:paraId="6DA281D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shd w:val="clear" w:color="auto" w:fill="auto"/>
            <w:noWrap w:val="0"/>
            <w:vAlign w:val="center"/>
          </w:tcPr>
          <w:p w14:paraId="4378C909">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shd w:val="clear" w:color="auto" w:fill="auto"/>
            <w:noWrap w:val="0"/>
            <w:vAlign w:val="center"/>
          </w:tcPr>
          <w:p w14:paraId="66611F7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shd w:val="clear" w:color="auto" w:fill="auto"/>
            <w:noWrap w:val="0"/>
            <w:vAlign w:val="center"/>
          </w:tcPr>
          <w:p w14:paraId="5158AA8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992" w:type="dxa"/>
            <w:shd w:val="clear" w:color="auto" w:fill="auto"/>
            <w:noWrap w:val="0"/>
            <w:vAlign w:val="center"/>
          </w:tcPr>
          <w:p w14:paraId="1848E0A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3EAB1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113" w:type="dxa"/>
            <w:vMerge w:val="continue"/>
            <w:shd w:val="clear" w:color="auto" w:fill="auto"/>
            <w:noWrap w:val="0"/>
            <w:vAlign w:val="center"/>
          </w:tcPr>
          <w:p w14:paraId="364F41FC">
            <w:pPr>
              <w:widowControl/>
              <w:spacing w:line="280" w:lineRule="exact"/>
              <w:jc w:val="left"/>
              <w:rPr>
                <w:rFonts w:hint="eastAsia" w:ascii="宋体" w:hAnsi="宋体" w:eastAsia="宋体" w:cs="宋体"/>
                <w:color w:val="auto"/>
                <w:kern w:val="0"/>
                <w:sz w:val="18"/>
                <w:szCs w:val="18"/>
                <w:highlight w:val="none"/>
              </w:rPr>
            </w:pPr>
          </w:p>
        </w:tc>
        <w:tc>
          <w:tcPr>
            <w:tcW w:w="1369" w:type="dxa"/>
            <w:shd w:val="clear" w:color="auto" w:fill="auto"/>
            <w:noWrap w:val="0"/>
            <w:vAlign w:val="center"/>
          </w:tcPr>
          <w:p w14:paraId="252DE84D">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shd w:val="clear" w:color="auto" w:fill="auto"/>
            <w:noWrap w:val="0"/>
            <w:vAlign w:val="center"/>
          </w:tcPr>
          <w:p w14:paraId="14D5F060">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shd w:val="clear" w:color="auto" w:fill="auto"/>
            <w:noWrap w:val="0"/>
            <w:vAlign w:val="center"/>
          </w:tcPr>
          <w:p w14:paraId="79C4472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Y≥5000</w:t>
            </w:r>
          </w:p>
        </w:tc>
        <w:tc>
          <w:tcPr>
            <w:tcW w:w="1701" w:type="dxa"/>
            <w:shd w:val="clear" w:color="auto" w:fill="auto"/>
            <w:noWrap w:val="0"/>
            <w:vAlign w:val="center"/>
          </w:tcPr>
          <w:p w14:paraId="1717941F">
            <w:pPr>
              <w:widowControl/>
              <w:spacing w:line="280" w:lineRule="exact"/>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426" w:type="dxa"/>
            <w:shd w:val="clear" w:color="auto" w:fill="auto"/>
            <w:noWrap w:val="0"/>
            <w:vAlign w:val="center"/>
          </w:tcPr>
          <w:p w14:paraId="3F4EB5BE">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500≤Y＜1000</w:t>
            </w:r>
          </w:p>
        </w:tc>
        <w:tc>
          <w:tcPr>
            <w:tcW w:w="992" w:type="dxa"/>
            <w:shd w:val="clear" w:color="auto" w:fill="auto"/>
            <w:noWrap w:val="0"/>
            <w:vAlign w:val="center"/>
          </w:tcPr>
          <w:p w14:paraId="76399D73">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w:t>
            </w:r>
          </w:p>
        </w:tc>
      </w:tr>
      <w:tr w14:paraId="6973A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113" w:type="dxa"/>
            <w:vMerge w:val="restart"/>
            <w:shd w:val="clear" w:color="auto" w:fill="auto"/>
            <w:noWrap w:val="0"/>
            <w:vAlign w:val="center"/>
          </w:tcPr>
          <w:p w14:paraId="2E09864D">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租赁和商务服务业</w:t>
            </w:r>
          </w:p>
        </w:tc>
        <w:tc>
          <w:tcPr>
            <w:tcW w:w="1369" w:type="dxa"/>
            <w:shd w:val="clear" w:color="auto" w:fill="auto"/>
            <w:noWrap w:val="0"/>
            <w:vAlign w:val="center"/>
          </w:tcPr>
          <w:p w14:paraId="24C397A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shd w:val="clear" w:color="auto" w:fill="auto"/>
            <w:noWrap w:val="0"/>
            <w:vAlign w:val="center"/>
          </w:tcPr>
          <w:p w14:paraId="31214CE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shd w:val="clear" w:color="auto" w:fill="auto"/>
            <w:noWrap w:val="0"/>
            <w:vAlign w:val="center"/>
          </w:tcPr>
          <w:p w14:paraId="4875C0C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shd w:val="clear" w:color="auto" w:fill="auto"/>
            <w:noWrap w:val="0"/>
            <w:vAlign w:val="center"/>
          </w:tcPr>
          <w:p w14:paraId="189A8F9A">
            <w:pPr>
              <w:widowControl/>
              <w:spacing w:line="280" w:lineRule="exact"/>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26" w:type="dxa"/>
            <w:shd w:val="clear" w:color="auto" w:fill="auto"/>
            <w:noWrap w:val="0"/>
            <w:vAlign w:val="center"/>
          </w:tcPr>
          <w:p w14:paraId="15F764E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shd w:val="clear" w:color="auto" w:fill="auto"/>
            <w:noWrap w:val="0"/>
            <w:vAlign w:val="center"/>
          </w:tcPr>
          <w:p w14:paraId="6C8BF7C0">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48BB2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113" w:type="dxa"/>
            <w:vMerge w:val="continue"/>
            <w:shd w:val="clear" w:color="auto" w:fill="auto"/>
            <w:noWrap w:val="0"/>
            <w:vAlign w:val="center"/>
          </w:tcPr>
          <w:p w14:paraId="3959E3A6">
            <w:pPr>
              <w:widowControl/>
              <w:spacing w:line="280" w:lineRule="exact"/>
              <w:jc w:val="left"/>
              <w:rPr>
                <w:rFonts w:hint="eastAsia" w:ascii="宋体" w:hAnsi="宋体" w:eastAsia="宋体" w:cs="宋体"/>
                <w:color w:val="auto"/>
                <w:kern w:val="0"/>
                <w:sz w:val="18"/>
                <w:szCs w:val="18"/>
                <w:highlight w:val="none"/>
              </w:rPr>
            </w:pPr>
          </w:p>
        </w:tc>
        <w:tc>
          <w:tcPr>
            <w:tcW w:w="1369" w:type="dxa"/>
            <w:shd w:val="clear" w:color="auto" w:fill="auto"/>
            <w:noWrap w:val="0"/>
            <w:vAlign w:val="center"/>
          </w:tcPr>
          <w:p w14:paraId="6F298A63">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shd w:val="clear" w:color="auto" w:fill="auto"/>
            <w:noWrap w:val="0"/>
            <w:vAlign w:val="center"/>
          </w:tcPr>
          <w:p w14:paraId="07264B3F">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shd w:val="clear" w:color="auto" w:fill="auto"/>
            <w:noWrap w:val="0"/>
            <w:vAlign w:val="center"/>
          </w:tcPr>
          <w:p w14:paraId="17C195E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Z≥120000</w:t>
            </w:r>
          </w:p>
        </w:tc>
        <w:tc>
          <w:tcPr>
            <w:tcW w:w="1701" w:type="dxa"/>
            <w:shd w:val="clear" w:color="auto" w:fill="auto"/>
            <w:noWrap w:val="0"/>
            <w:vAlign w:val="center"/>
          </w:tcPr>
          <w:p w14:paraId="04C132F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8000≤Z＜120000</w:t>
            </w:r>
          </w:p>
        </w:tc>
        <w:tc>
          <w:tcPr>
            <w:tcW w:w="1426" w:type="dxa"/>
            <w:shd w:val="clear" w:color="auto" w:fill="auto"/>
            <w:noWrap w:val="0"/>
            <w:vAlign w:val="center"/>
          </w:tcPr>
          <w:p w14:paraId="5B79DBC4">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100≤Z＜8000</w:t>
            </w:r>
          </w:p>
        </w:tc>
        <w:tc>
          <w:tcPr>
            <w:tcW w:w="992" w:type="dxa"/>
            <w:shd w:val="clear" w:color="auto" w:fill="auto"/>
            <w:noWrap w:val="0"/>
            <w:vAlign w:val="center"/>
          </w:tcPr>
          <w:p w14:paraId="48DF1E2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Z＜100</w:t>
            </w:r>
          </w:p>
        </w:tc>
      </w:tr>
      <w:tr w14:paraId="364DB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113" w:type="dxa"/>
            <w:shd w:val="clear" w:color="auto" w:fill="auto"/>
            <w:noWrap w:val="0"/>
            <w:vAlign w:val="center"/>
          </w:tcPr>
          <w:p w14:paraId="40073BC4">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其他未列明行业 *</w:t>
            </w:r>
          </w:p>
        </w:tc>
        <w:tc>
          <w:tcPr>
            <w:tcW w:w="1369" w:type="dxa"/>
            <w:shd w:val="clear" w:color="auto" w:fill="auto"/>
            <w:noWrap w:val="0"/>
            <w:vAlign w:val="center"/>
          </w:tcPr>
          <w:p w14:paraId="28E20AA1">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shd w:val="clear" w:color="auto" w:fill="auto"/>
            <w:noWrap w:val="0"/>
            <w:vAlign w:val="center"/>
          </w:tcPr>
          <w:p w14:paraId="2463347D">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shd w:val="clear" w:color="auto" w:fill="auto"/>
            <w:noWrap w:val="0"/>
            <w:vAlign w:val="center"/>
          </w:tcPr>
          <w:p w14:paraId="46613D6C">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shd w:val="clear" w:color="auto" w:fill="auto"/>
            <w:noWrap w:val="0"/>
            <w:vAlign w:val="center"/>
          </w:tcPr>
          <w:p w14:paraId="7F65FB6A">
            <w:pPr>
              <w:widowControl/>
              <w:spacing w:line="280" w:lineRule="exact"/>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26" w:type="dxa"/>
            <w:shd w:val="clear" w:color="auto" w:fill="auto"/>
            <w:noWrap w:val="0"/>
            <w:vAlign w:val="center"/>
          </w:tcPr>
          <w:p w14:paraId="01799CEF">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shd w:val="clear" w:color="auto" w:fill="auto"/>
            <w:noWrap w:val="0"/>
            <w:vAlign w:val="center"/>
          </w:tcPr>
          <w:p w14:paraId="3F0AF9C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bl>
    <w:p w14:paraId="1723F089">
      <w:pPr>
        <w:keepNext w:val="0"/>
        <w:keepLines w:val="0"/>
        <w:pageBreakBefore w:val="0"/>
        <w:widowControl/>
        <w:kinsoku/>
        <w:wordWrap/>
        <w:overflowPunct/>
        <w:topLinePunct w:val="0"/>
        <w:autoSpaceDE/>
        <w:autoSpaceDN/>
        <w:bidi w:val="0"/>
        <w:snapToGrid/>
        <w:spacing w:line="240" w:lineRule="exact"/>
        <w:textAlignment w:val="auto"/>
        <w:rPr>
          <w:rFonts w:hint="eastAsia" w:ascii="宋体" w:hAnsi="宋体" w:eastAsia="宋体" w:cs="宋体"/>
          <w:color w:val="auto"/>
          <w:spacing w:val="8"/>
          <w:kern w:val="0"/>
          <w:sz w:val="21"/>
          <w:szCs w:val="21"/>
          <w:highlight w:val="none"/>
        </w:rPr>
      </w:pPr>
      <w:r>
        <w:rPr>
          <w:rFonts w:hint="eastAsia" w:ascii="宋体" w:hAnsi="宋体" w:eastAsia="宋体" w:cs="宋体"/>
          <w:color w:val="auto"/>
          <w:spacing w:val="8"/>
          <w:kern w:val="0"/>
          <w:sz w:val="21"/>
          <w:szCs w:val="21"/>
          <w:highlight w:val="none"/>
        </w:rPr>
        <w:t>说明：</w:t>
      </w:r>
    </w:p>
    <w:p w14:paraId="38A0E84C">
      <w:pPr>
        <w:keepNext w:val="0"/>
        <w:keepLines w:val="0"/>
        <w:pageBreakBefore w:val="0"/>
        <w:widowControl w:val="0"/>
        <w:kinsoku/>
        <w:wordWrap/>
        <w:overflowPunct/>
        <w:topLinePunct w:val="0"/>
        <w:autoSpaceDE/>
        <w:autoSpaceDN/>
        <w:bidi w:val="0"/>
        <w:adjustRightInd w:val="0"/>
        <w:snapToGrid/>
        <w:spacing w:line="240" w:lineRule="exact"/>
        <w:ind w:firstLine="452" w:firstLineChars="200"/>
        <w:contextualSpacing/>
        <w:jc w:val="both"/>
        <w:textAlignment w:val="auto"/>
        <w:rPr>
          <w:rFonts w:hint="eastAsia" w:ascii="宋体" w:hAnsi="宋体" w:eastAsia="宋体" w:cs="宋体"/>
          <w:color w:val="auto"/>
          <w:spacing w:val="8"/>
          <w:kern w:val="0"/>
          <w:sz w:val="21"/>
          <w:szCs w:val="21"/>
          <w:highlight w:val="none"/>
          <w:lang w:val="en-US" w:eastAsia="zh-CN" w:bidi="ar-SA"/>
        </w:rPr>
      </w:pPr>
      <w:r>
        <w:rPr>
          <w:rFonts w:hint="eastAsia" w:ascii="宋体" w:hAnsi="宋体" w:eastAsia="宋体" w:cs="宋体"/>
          <w:color w:val="auto"/>
          <w:spacing w:val="8"/>
          <w:kern w:val="0"/>
          <w:sz w:val="21"/>
          <w:szCs w:val="21"/>
          <w:highlight w:val="none"/>
          <w:lang w:val="en-US" w:eastAsia="zh-CN" w:bidi="ar-SA"/>
        </w:rPr>
        <w:t>1.大型、中型和小型企业须同时满足所列指标的下限，否则下划一档；微型企业只须满足所列指标中的一项即可。</w:t>
      </w:r>
    </w:p>
    <w:p w14:paraId="0CAB3782">
      <w:pPr>
        <w:keepNext w:val="0"/>
        <w:keepLines w:val="0"/>
        <w:pageBreakBefore w:val="0"/>
        <w:widowControl w:val="0"/>
        <w:kinsoku/>
        <w:wordWrap/>
        <w:overflowPunct/>
        <w:topLinePunct w:val="0"/>
        <w:autoSpaceDE/>
        <w:autoSpaceDN/>
        <w:bidi w:val="0"/>
        <w:adjustRightInd w:val="0"/>
        <w:snapToGrid/>
        <w:spacing w:line="240" w:lineRule="exact"/>
        <w:ind w:firstLine="452" w:firstLineChars="200"/>
        <w:contextualSpacing/>
        <w:jc w:val="both"/>
        <w:textAlignment w:val="auto"/>
        <w:rPr>
          <w:rFonts w:hint="eastAsia" w:ascii="宋体" w:hAnsi="宋体" w:eastAsia="宋体" w:cs="宋体"/>
          <w:color w:val="auto"/>
          <w:spacing w:val="8"/>
          <w:kern w:val="0"/>
          <w:sz w:val="21"/>
          <w:szCs w:val="21"/>
          <w:highlight w:val="none"/>
          <w:lang w:val="en-US" w:eastAsia="zh-CN" w:bidi="ar-SA"/>
        </w:rPr>
      </w:pPr>
      <w:r>
        <w:rPr>
          <w:rFonts w:hint="eastAsia" w:ascii="宋体" w:hAnsi="宋体" w:eastAsia="宋体" w:cs="宋体"/>
          <w:color w:val="auto"/>
          <w:spacing w:val="8"/>
          <w:kern w:val="0"/>
          <w:sz w:val="21"/>
          <w:szCs w:val="21"/>
          <w:highlight w:val="none"/>
          <w:lang w:val="en-US" w:eastAsia="zh-CN" w:bidi="ar-SA"/>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1459C16B">
      <w:pPr>
        <w:keepNext w:val="0"/>
        <w:keepLines w:val="0"/>
        <w:pageBreakBefore w:val="0"/>
        <w:kinsoku/>
        <w:wordWrap/>
        <w:overflowPunct/>
        <w:topLinePunct w:val="0"/>
        <w:autoSpaceDE/>
        <w:autoSpaceDN/>
        <w:bidi w:val="0"/>
        <w:snapToGrid/>
        <w:spacing w:line="240" w:lineRule="exact"/>
        <w:ind w:firstLine="452" w:firstLineChars="200"/>
        <w:textAlignment w:val="auto"/>
        <w:rPr>
          <w:rFonts w:hint="eastAsia" w:ascii="宋体" w:hAnsi="宋体" w:eastAsia="宋体" w:cs="宋体"/>
          <w:color w:val="auto"/>
          <w:spacing w:val="8"/>
          <w:kern w:val="0"/>
          <w:sz w:val="21"/>
          <w:szCs w:val="21"/>
          <w:highlight w:val="none"/>
          <w:lang w:val="en-US" w:eastAsia="zh-CN" w:bidi="ar-SA"/>
        </w:rPr>
      </w:pPr>
      <w:r>
        <w:rPr>
          <w:rFonts w:hint="eastAsia" w:ascii="宋体" w:hAnsi="宋体" w:eastAsia="宋体" w:cs="宋体"/>
          <w:color w:val="auto"/>
          <w:spacing w:val="8"/>
          <w:kern w:val="0"/>
          <w:sz w:val="21"/>
          <w:szCs w:val="21"/>
          <w:highlight w:val="none"/>
          <w:lang w:val="en-US" w:eastAsia="zh-CN" w:bidi="ar-SA"/>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bookmarkStart w:id="66" w:name="_Toc9239"/>
      <w:bookmarkStart w:id="67" w:name="_Toc13614"/>
      <w:bookmarkStart w:id="68" w:name="_Toc2072"/>
      <w:bookmarkStart w:id="69" w:name="_Toc7704"/>
      <w:bookmarkStart w:id="70" w:name="_Toc24174"/>
      <w:bookmarkStart w:id="71" w:name="_Toc19152"/>
    </w:p>
    <w:p w14:paraId="2836D6C9">
      <w:pPr>
        <w:rPr>
          <w:rFonts w:hint="eastAsia" w:ascii="宋体" w:hAnsi="宋体" w:eastAsia="宋体" w:cs="宋体"/>
          <w:color w:val="auto"/>
          <w:spacing w:val="8"/>
          <w:kern w:val="0"/>
          <w:sz w:val="21"/>
          <w:szCs w:val="21"/>
          <w:highlight w:val="none"/>
          <w:lang w:val="en-US" w:eastAsia="zh-CN" w:bidi="ar-SA"/>
        </w:rPr>
      </w:pPr>
      <w:r>
        <w:rPr>
          <w:rFonts w:hint="eastAsia" w:ascii="宋体" w:hAnsi="宋体" w:eastAsia="宋体" w:cs="宋体"/>
          <w:color w:val="auto"/>
          <w:spacing w:val="8"/>
          <w:kern w:val="0"/>
          <w:sz w:val="21"/>
          <w:szCs w:val="21"/>
          <w:highlight w:val="none"/>
          <w:lang w:val="en-US" w:eastAsia="zh-CN" w:bidi="ar-SA"/>
        </w:rPr>
        <w:br w:type="page"/>
      </w:r>
    </w:p>
    <w:p w14:paraId="49972643">
      <w:pPr>
        <w:pStyle w:val="2"/>
        <w:spacing w:line="480" w:lineRule="auto"/>
        <w:jc w:val="center"/>
        <w:rPr>
          <w:rFonts w:ascii="Calibri" w:hAnsi="Calibri"/>
          <w:color w:val="auto"/>
          <w:highlight w:val="none"/>
        </w:rPr>
      </w:pPr>
      <w:r>
        <w:rPr>
          <w:rFonts w:hint="eastAsia" w:ascii="Cambria" w:hAnsi="Cambria"/>
          <w:bCs w:val="0"/>
          <w:color w:val="auto"/>
          <w:sz w:val="32"/>
          <w:szCs w:val="32"/>
          <w:highlight w:val="none"/>
        </w:rPr>
        <w:t>第三章 供应商须知</w:t>
      </w:r>
      <w:bookmarkEnd w:id="63"/>
      <w:bookmarkEnd w:id="64"/>
      <w:bookmarkEnd w:id="66"/>
      <w:bookmarkEnd w:id="67"/>
      <w:bookmarkEnd w:id="68"/>
      <w:bookmarkEnd w:id="69"/>
      <w:bookmarkEnd w:id="70"/>
      <w:bookmarkEnd w:id="71"/>
    </w:p>
    <w:p w14:paraId="59E36697">
      <w:pPr>
        <w:pStyle w:val="3"/>
        <w:spacing w:line="240" w:lineRule="auto"/>
        <w:jc w:val="center"/>
        <w:rPr>
          <w:rFonts w:ascii="宋体" w:hAnsi="宋体"/>
          <w:b w:val="0"/>
          <w:color w:val="auto"/>
          <w:highlight w:val="none"/>
        </w:rPr>
      </w:pPr>
      <w:bookmarkStart w:id="72" w:name="_Toc9482"/>
      <w:bookmarkStart w:id="73" w:name="_Toc30660"/>
      <w:bookmarkStart w:id="74" w:name="_Toc80886928"/>
      <w:r>
        <w:rPr>
          <w:rFonts w:hint="eastAsia" w:ascii="宋体" w:hAnsi="宋体"/>
          <w:b w:val="0"/>
          <w:color w:val="auto"/>
          <w:highlight w:val="none"/>
        </w:rPr>
        <w:t>第一节 供应商须知前附表</w:t>
      </w:r>
      <w:bookmarkEnd w:id="72"/>
      <w:bookmarkEnd w:id="73"/>
      <w:bookmarkEnd w:id="74"/>
    </w:p>
    <w:tbl>
      <w:tblPr>
        <w:tblStyle w:val="32"/>
        <w:tblW w:w="96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3"/>
        <w:gridCol w:w="2135"/>
        <w:gridCol w:w="6553"/>
      </w:tblGrid>
      <w:tr w14:paraId="7F3B0C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963" w:type="dxa"/>
            <w:noWrap w:val="0"/>
            <w:vAlign w:val="center"/>
          </w:tcPr>
          <w:p w14:paraId="1B390415">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2135" w:type="dxa"/>
            <w:noWrap w:val="0"/>
            <w:vAlign w:val="center"/>
          </w:tcPr>
          <w:p w14:paraId="344EE504">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条款内容</w:t>
            </w:r>
          </w:p>
        </w:tc>
        <w:tc>
          <w:tcPr>
            <w:tcW w:w="6553" w:type="dxa"/>
            <w:noWrap w:val="0"/>
            <w:vAlign w:val="center"/>
          </w:tcPr>
          <w:p w14:paraId="6B714AC6">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具体要求</w:t>
            </w:r>
          </w:p>
        </w:tc>
      </w:tr>
      <w:tr w14:paraId="5652A3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524D79FC">
            <w:pPr>
              <w:spacing w:line="360" w:lineRule="auto"/>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7</w:t>
            </w:r>
          </w:p>
        </w:tc>
        <w:tc>
          <w:tcPr>
            <w:tcW w:w="2135" w:type="dxa"/>
            <w:noWrap w:val="0"/>
            <w:vAlign w:val="center"/>
          </w:tcPr>
          <w:p w14:paraId="515952B8">
            <w:pPr>
              <w:spacing w:line="360" w:lineRule="auto"/>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color w:val="auto"/>
                <w:szCs w:val="21"/>
                <w:highlight w:val="none"/>
              </w:rPr>
              <w:t>实质性要求</w:t>
            </w:r>
          </w:p>
        </w:tc>
        <w:tc>
          <w:tcPr>
            <w:tcW w:w="6553" w:type="dxa"/>
            <w:noWrap w:val="0"/>
            <w:vAlign w:val="top"/>
          </w:tcPr>
          <w:p w14:paraId="6CFD4F65">
            <w:pPr>
              <w:spacing w:line="360" w:lineRule="auto"/>
              <w:jc w:val="left"/>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color w:val="auto"/>
                <w:szCs w:val="21"/>
                <w:highlight w:val="none"/>
              </w:rPr>
              <w:t>指</w:t>
            </w:r>
            <w:r>
              <w:rPr>
                <w:rFonts w:hint="eastAsia" w:ascii="宋体" w:hAnsi="宋体" w:eastAsia="宋体" w:cs="宋体"/>
                <w:b w:val="0"/>
                <w:bCs w:val="0"/>
                <w:color w:val="auto"/>
                <w:szCs w:val="21"/>
                <w:highlight w:val="none"/>
                <w:lang w:eastAsia="zh-CN"/>
              </w:rPr>
              <w:t>竞争性</w:t>
            </w:r>
            <w:r>
              <w:rPr>
                <w:rFonts w:hint="eastAsia" w:ascii="宋体" w:hAnsi="宋体" w:eastAsia="宋体" w:cs="宋体"/>
                <w:b w:val="0"/>
                <w:bCs w:val="0"/>
                <w:color w:val="auto"/>
                <w:szCs w:val="21"/>
                <w:highlight w:val="none"/>
                <w:lang w:val="en-US" w:eastAsia="zh-CN"/>
              </w:rPr>
              <w:t>磋商</w:t>
            </w:r>
            <w:r>
              <w:rPr>
                <w:rFonts w:hint="eastAsia" w:ascii="宋体" w:hAnsi="宋体" w:eastAsia="宋体" w:cs="宋体"/>
                <w:b w:val="0"/>
                <w:bCs w:val="0"/>
                <w:color w:val="auto"/>
                <w:szCs w:val="21"/>
                <w:highlight w:val="none"/>
              </w:rPr>
              <w:t>文件中已经指明</w:t>
            </w:r>
            <w:r>
              <w:rPr>
                <w:rFonts w:hint="eastAsia" w:ascii="宋体" w:hAnsi="宋体" w:eastAsia="宋体" w:cs="宋体"/>
                <w:b w:val="0"/>
                <w:bCs w:val="0"/>
                <w:color w:val="auto"/>
                <w:szCs w:val="21"/>
                <w:highlight w:val="none"/>
                <w:lang w:eastAsia="zh-CN"/>
              </w:rPr>
              <w:t>不提供或</w:t>
            </w:r>
            <w:r>
              <w:rPr>
                <w:rFonts w:hint="eastAsia" w:ascii="宋体" w:hAnsi="宋体" w:eastAsia="宋体" w:cs="宋体"/>
                <w:b w:val="0"/>
                <w:bCs w:val="0"/>
                <w:color w:val="auto"/>
                <w:szCs w:val="21"/>
                <w:highlight w:val="none"/>
              </w:rPr>
              <w:t>不满足则响应文件</w:t>
            </w:r>
            <w:r>
              <w:rPr>
                <w:rFonts w:hint="eastAsia" w:ascii="宋体" w:hAnsi="宋体" w:eastAsia="宋体" w:cs="宋体"/>
                <w:b w:val="0"/>
                <w:bCs w:val="0"/>
                <w:color w:val="auto"/>
                <w:szCs w:val="21"/>
                <w:highlight w:val="none"/>
                <w:lang w:eastAsia="zh-CN"/>
              </w:rPr>
              <w:t>作</w:t>
            </w:r>
            <w:r>
              <w:rPr>
                <w:rFonts w:hint="eastAsia" w:ascii="宋体" w:hAnsi="宋体" w:eastAsia="宋体" w:cs="宋体"/>
                <w:b w:val="0"/>
                <w:bCs w:val="0"/>
                <w:color w:val="auto"/>
                <w:szCs w:val="21"/>
                <w:highlight w:val="none"/>
              </w:rPr>
              <w:t>无效响应处理的条款，或者</w:t>
            </w:r>
            <w:r>
              <w:rPr>
                <w:rFonts w:hint="eastAsia" w:ascii="宋体" w:hAnsi="宋体" w:eastAsia="宋体" w:cs="宋体"/>
                <w:color w:val="auto"/>
                <w:szCs w:val="21"/>
                <w:highlight w:val="none"/>
              </w:rPr>
              <w:t>第二章“采购需求”及第</w:t>
            </w:r>
            <w:r>
              <w:rPr>
                <w:rFonts w:hint="eastAsia" w:ascii="宋体" w:hAnsi="宋体" w:eastAsia="宋体" w:cs="宋体"/>
                <w:color w:val="auto"/>
                <w:szCs w:val="21"/>
                <w:highlight w:val="none"/>
                <w:lang w:eastAsia="zh-CN"/>
              </w:rPr>
              <w:t>五</w:t>
            </w:r>
            <w:r>
              <w:rPr>
                <w:rFonts w:hint="eastAsia" w:ascii="宋体" w:hAnsi="宋体" w:eastAsia="宋体" w:cs="宋体"/>
                <w:color w:val="auto"/>
                <w:szCs w:val="21"/>
                <w:highlight w:val="none"/>
              </w:rPr>
              <w:t>章“</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文件格式”</w:t>
            </w:r>
            <w:r>
              <w:rPr>
                <w:rFonts w:hint="eastAsia" w:ascii="宋体" w:hAnsi="宋体" w:eastAsia="宋体" w:cs="宋体"/>
                <w:b w:val="0"/>
                <w:bCs w:val="0"/>
                <w:color w:val="auto"/>
                <w:szCs w:val="21"/>
                <w:highlight w:val="none"/>
              </w:rPr>
              <w:t>中带“▲”的条款</w:t>
            </w:r>
            <w:r>
              <w:rPr>
                <w:rFonts w:hint="eastAsia" w:ascii="宋体" w:hAnsi="宋体" w:eastAsia="宋体" w:cs="宋体"/>
                <w:color w:val="auto"/>
                <w:szCs w:val="21"/>
                <w:highlight w:val="none"/>
              </w:rPr>
              <w:t>。</w:t>
            </w:r>
          </w:p>
        </w:tc>
      </w:tr>
      <w:tr w14:paraId="637327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0FF640C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2135" w:type="dxa"/>
            <w:noWrap w:val="0"/>
            <w:vAlign w:val="center"/>
          </w:tcPr>
          <w:p w14:paraId="78241A4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w:t>
            </w:r>
          </w:p>
        </w:tc>
        <w:tc>
          <w:tcPr>
            <w:tcW w:w="6553" w:type="dxa"/>
            <w:noWrap w:val="0"/>
            <w:vAlign w:val="top"/>
          </w:tcPr>
          <w:p w14:paraId="2DE599A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详见竞争性磋商公告。</w:t>
            </w:r>
          </w:p>
        </w:tc>
      </w:tr>
      <w:tr w14:paraId="1FDC99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10B1EC5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2135" w:type="dxa"/>
            <w:noWrap w:val="0"/>
            <w:vAlign w:val="center"/>
          </w:tcPr>
          <w:p w14:paraId="59C60E1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是否接受联合体竞标</w:t>
            </w:r>
          </w:p>
        </w:tc>
        <w:tc>
          <w:tcPr>
            <w:tcW w:w="6553" w:type="dxa"/>
            <w:noWrap w:val="0"/>
            <w:vAlign w:val="center"/>
          </w:tcPr>
          <w:p w14:paraId="209E1A40">
            <w:pPr>
              <w:spacing w:line="360" w:lineRule="auto"/>
              <w:rPr>
                <w:rFonts w:hint="eastAsia" w:ascii="宋体" w:hAnsi="宋体" w:eastAsia="宋体" w:cs="宋体"/>
                <w:color w:val="auto"/>
                <w:szCs w:val="21"/>
                <w:highlight w:val="none"/>
              </w:rPr>
            </w:pPr>
            <w:bookmarkStart w:id="75" w:name="PO_3000001868_PM007"/>
            <w:r>
              <w:rPr>
                <w:rFonts w:hint="eastAsia" w:ascii="宋体" w:hAnsi="宋体" w:eastAsia="宋体" w:cs="宋体"/>
                <w:color w:val="auto"/>
                <w:szCs w:val="21"/>
                <w:highlight w:val="none"/>
              </w:rPr>
              <w:t>详见竞争性磋商公告</w:t>
            </w:r>
            <w:bookmarkEnd w:id="75"/>
          </w:p>
        </w:tc>
      </w:tr>
      <w:tr w14:paraId="738D5D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4F1B25B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2135" w:type="dxa"/>
            <w:noWrap w:val="0"/>
            <w:vAlign w:val="center"/>
          </w:tcPr>
          <w:p w14:paraId="3ECB90A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联合体竞标要求</w:t>
            </w:r>
          </w:p>
        </w:tc>
        <w:tc>
          <w:tcPr>
            <w:tcW w:w="6553" w:type="dxa"/>
            <w:noWrap w:val="0"/>
            <w:vAlign w:val="center"/>
          </w:tcPr>
          <w:p w14:paraId="5E2565CD">
            <w:pPr>
              <w:widowControl w:val="0"/>
              <w:spacing w:line="380" w:lineRule="exact"/>
              <w:jc w:val="left"/>
              <w:rPr>
                <w:rFonts w:hint="eastAsia" w:ascii="宋体" w:hAnsi="宋体" w:eastAsia="宋体" w:cs="宋体"/>
                <w:color w:val="auto"/>
                <w:szCs w:val="21"/>
                <w:highlight w:val="none"/>
              </w:rPr>
            </w:pPr>
            <w:r>
              <w:rPr>
                <w:rFonts w:hint="eastAsia" w:ascii="宋体" w:hAnsi="宋体" w:cs="宋体"/>
                <w:b/>
                <w:bCs/>
                <w:color w:val="auto"/>
                <w:kern w:val="2"/>
                <w:sz w:val="21"/>
                <w:szCs w:val="21"/>
                <w:highlight w:val="none"/>
                <w:lang w:val="en-US" w:eastAsia="zh-CN" w:bidi="ar-SA"/>
              </w:rPr>
              <w:t>☑</w:t>
            </w:r>
            <w:r>
              <w:rPr>
                <w:rFonts w:hint="eastAsia" w:ascii="宋体" w:hAnsi="宋体" w:eastAsia="宋体" w:cs="宋体"/>
                <w:b/>
                <w:bCs/>
                <w:color w:val="auto"/>
                <w:kern w:val="2"/>
                <w:sz w:val="21"/>
                <w:szCs w:val="21"/>
                <w:highlight w:val="none"/>
                <w:lang w:val="en-US" w:eastAsia="zh-CN" w:bidi="ar-SA"/>
              </w:rPr>
              <w:t>不接受联合体。</w:t>
            </w:r>
          </w:p>
        </w:tc>
      </w:tr>
      <w:tr w14:paraId="5D97AA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7411482D">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en-US" w:eastAsia="zh-CN"/>
              </w:rPr>
              <w:t>2</w:t>
            </w:r>
          </w:p>
        </w:tc>
        <w:tc>
          <w:tcPr>
            <w:tcW w:w="2135" w:type="dxa"/>
            <w:noWrap w:val="0"/>
            <w:vAlign w:val="center"/>
          </w:tcPr>
          <w:p w14:paraId="08DACA4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是否允许分包</w:t>
            </w:r>
          </w:p>
        </w:tc>
        <w:tc>
          <w:tcPr>
            <w:tcW w:w="6553" w:type="dxa"/>
            <w:noWrap w:val="0"/>
            <w:vAlign w:val="center"/>
          </w:tcPr>
          <w:p w14:paraId="47B0BDAA">
            <w:pPr>
              <w:widowControl w:val="0"/>
              <w:spacing w:line="360" w:lineRule="auto"/>
              <w:jc w:val="left"/>
              <w:rPr>
                <w:rFonts w:hint="eastAsia" w:ascii="宋体" w:hAnsi="宋体" w:eastAsia="宋体" w:cs="宋体"/>
                <w:b/>
                <w:bCs/>
                <w:color w:val="auto"/>
                <w:kern w:val="2"/>
                <w:sz w:val="21"/>
                <w:szCs w:val="21"/>
                <w:highlight w:val="none"/>
                <w:lang w:val="en-US" w:eastAsia="zh-CN" w:bidi="ar-SA"/>
              </w:rPr>
            </w:pPr>
            <w:r>
              <w:rPr>
                <w:rFonts w:hint="eastAsia" w:ascii="宋体" w:hAnsi="宋体" w:cs="宋体"/>
                <w:b/>
                <w:bCs/>
                <w:color w:val="auto"/>
                <w:kern w:val="2"/>
                <w:sz w:val="21"/>
                <w:szCs w:val="21"/>
                <w:highlight w:val="none"/>
                <w:lang w:val="en-US" w:eastAsia="zh-CN" w:bidi="ar-SA"/>
              </w:rPr>
              <w:t>☑</w:t>
            </w:r>
            <w:r>
              <w:rPr>
                <w:rFonts w:hint="eastAsia" w:ascii="宋体" w:hAnsi="宋体" w:eastAsia="宋体" w:cs="宋体"/>
                <w:b/>
                <w:bCs/>
                <w:color w:val="auto"/>
                <w:kern w:val="2"/>
                <w:sz w:val="21"/>
                <w:szCs w:val="21"/>
                <w:highlight w:val="none"/>
                <w:lang w:val="en-US" w:eastAsia="zh-CN" w:bidi="ar-SA"/>
              </w:rPr>
              <w:t>不允许分包。</w:t>
            </w:r>
          </w:p>
          <w:p w14:paraId="7F7ACA4F">
            <w:pPr>
              <w:widowControl w:val="0"/>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□允许分包：</w:t>
            </w:r>
          </w:p>
          <w:p w14:paraId="26D3724A">
            <w:pPr>
              <w:widowControl w:val="0"/>
              <w:spacing w:line="360" w:lineRule="auto"/>
              <w:jc w:val="left"/>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分包内容：</w:t>
            </w:r>
            <w:r>
              <w:rPr>
                <w:rFonts w:hint="eastAsia" w:ascii="宋体" w:hAnsi="宋体" w:eastAsia="宋体" w:cs="宋体"/>
                <w:color w:val="auto"/>
                <w:kern w:val="2"/>
                <w:sz w:val="21"/>
                <w:szCs w:val="21"/>
                <w:highlight w:val="none"/>
                <w:u w:val="single"/>
                <w:lang w:val="en-US" w:eastAsia="zh-CN" w:bidi="ar-SA"/>
              </w:rPr>
              <w:t xml:space="preserve">                                     。</w:t>
            </w:r>
          </w:p>
          <w:p w14:paraId="04217296">
            <w:pPr>
              <w:widowControl w:val="0"/>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分包金额或者比例：</w:t>
            </w:r>
            <w:r>
              <w:rPr>
                <w:rFonts w:hint="eastAsia" w:ascii="宋体" w:hAnsi="宋体" w:eastAsia="宋体" w:cs="宋体"/>
                <w:color w:val="auto"/>
                <w:kern w:val="2"/>
                <w:sz w:val="21"/>
                <w:szCs w:val="21"/>
                <w:highlight w:val="none"/>
                <w:u w:val="single"/>
                <w:lang w:val="en-US" w:eastAsia="zh-CN" w:bidi="ar-SA"/>
              </w:rPr>
              <w:t xml:space="preserve">                                     。</w:t>
            </w:r>
          </w:p>
        </w:tc>
      </w:tr>
      <w:tr w14:paraId="0A1FE5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6C549E8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w:t>
            </w:r>
          </w:p>
        </w:tc>
        <w:tc>
          <w:tcPr>
            <w:tcW w:w="2135" w:type="dxa"/>
            <w:noWrap w:val="0"/>
            <w:vAlign w:val="center"/>
          </w:tcPr>
          <w:p w14:paraId="4BE7FB09">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资格文件组成</w:t>
            </w:r>
          </w:p>
        </w:tc>
        <w:tc>
          <w:tcPr>
            <w:tcW w:w="6553" w:type="dxa"/>
            <w:noWrap w:val="0"/>
            <w:vAlign w:val="center"/>
          </w:tcPr>
          <w:p w14:paraId="1F84CC50">
            <w:pPr>
              <w:widowControl w:val="0"/>
              <w:numPr>
                <w:ilvl w:val="0"/>
                <w:numId w:val="2"/>
              </w:numPr>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供应商为法人或者其他组织的，提供营业执照等证明文件复印件（如营业执照或者事业单位法人证书或者执业许可证等），供应商为自然人的，提供有效身份证正反面复印件；银行、保险、石油石化、电力、电信等有行业特殊情况的，法人的分支机构经法人授权后可以分支机构的身份参加政府采购。如供应商为分支机构的，必须在响应文件中同时提供经法人授权供应商以分支机构名义参加竞标的授权委托书、法人营业执照及分支机构营业执照的复印件；（</w:t>
            </w:r>
            <w:r>
              <w:rPr>
                <w:rFonts w:hint="eastAsia" w:ascii="宋体" w:hAnsi="宋体" w:eastAsia="宋体" w:cs="宋体"/>
                <w:b/>
                <w:color w:val="auto"/>
                <w:kern w:val="2"/>
                <w:sz w:val="21"/>
                <w:szCs w:val="21"/>
                <w:highlight w:val="none"/>
                <w:lang w:val="en-US" w:eastAsia="zh-CN" w:bidi="ar-SA"/>
              </w:rPr>
              <w:t>必须提供，否则响应文件按无效响应处理</w:t>
            </w:r>
            <w:r>
              <w:rPr>
                <w:rFonts w:hint="eastAsia" w:ascii="宋体" w:hAnsi="宋体" w:eastAsia="宋体" w:cs="宋体"/>
                <w:color w:val="auto"/>
                <w:kern w:val="2"/>
                <w:sz w:val="21"/>
                <w:szCs w:val="21"/>
                <w:highlight w:val="none"/>
                <w:lang w:val="en-US" w:eastAsia="zh-CN" w:bidi="ar-SA"/>
              </w:rPr>
              <w:t>）</w:t>
            </w:r>
          </w:p>
          <w:p w14:paraId="24041488">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2.供应商依法缴纳税收的相关材料（</w:t>
            </w:r>
            <w:r>
              <w:rPr>
                <w:rFonts w:hint="eastAsia" w:ascii="宋体" w:hAnsi="宋体" w:eastAsia="宋体" w:cs="宋体"/>
                <w:color w:val="auto"/>
                <w:szCs w:val="21"/>
                <w:highlight w:val="none"/>
                <w:u w:val="none"/>
                <w:lang w:val="en-US" w:eastAsia="zh-CN"/>
              </w:rPr>
              <w:t>提供税款所属时期为</w:t>
            </w:r>
            <w:r>
              <w:rPr>
                <w:rFonts w:hint="eastAsia" w:ascii="宋体" w:hAnsi="宋体" w:cs="宋体"/>
                <w:color w:val="auto"/>
                <w:szCs w:val="21"/>
                <w:highlight w:val="none"/>
                <w:u w:val="single"/>
                <w:lang w:val="en-US" w:eastAsia="zh-CN"/>
              </w:rPr>
              <w:t>2026</w:t>
            </w:r>
            <w:r>
              <w:rPr>
                <w:rFonts w:hint="eastAsia" w:ascii="宋体" w:hAnsi="宋体" w:eastAsia="宋体" w:cs="宋体"/>
                <w:color w:val="auto"/>
                <w:szCs w:val="21"/>
                <w:highlight w:val="none"/>
              </w:rPr>
              <w:t>年</w:t>
            </w:r>
            <w:r>
              <w:rPr>
                <w:rFonts w:hint="eastAsia" w:ascii="宋体" w:hAnsi="宋体" w:cs="宋体"/>
                <w:color w:val="auto"/>
                <w:szCs w:val="21"/>
                <w:highlight w:val="none"/>
                <w:u w:val="single"/>
                <w:lang w:val="en-US" w:eastAsia="zh-CN"/>
              </w:rPr>
              <w:t>1</w:t>
            </w:r>
            <w:r>
              <w:rPr>
                <w:rFonts w:hint="eastAsia" w:ascii="宋体" w:hAnsi="宋体" w:eastAsia="宋体" w:cs="宋体"/>
                <w:color w:val="auto"/>
                <w:szCs w:val="21"/>
                <w:highlight w:val="none"/>
              </w:rPr>
              <w:t>月至</w:t>
            </w:r>
            <w:r>
              <w:rPr>
                <w:rFonts w:hint="eastAsia" w:ascii="宋体" w:hAnsi="宋体" w:eastAsia="宋体" w:cs="宋体"/>
                <w:color w:val="auto"/>
                <w:sz w:val="21"/>
                <w:szCs w:val="21"/>
                <w:highlight w:val="none"/>
                <w:lang w:val="en-US" w:eastAsia="zh-CN"/>
              </w:rPr>
              <w:t>首次响应</w:t>
            </w:r>
            <w:r>
              <w:rPr>
                <w:rFonts w:hint="eastAsia" w:ascii="宋体" w:hAnsi="宋体" w:eastAsia="宋体" w:cs="宋体"/>
                <w:color w:val="auto"/>
                <w:sz w:val="21"/>
                <w:szCs w:val="21"/>
                <w:highlight w:val="none"/>
              </w:rPr>
              <w:t>文件提交截止时间止</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Cs w:val="21"/>
                <w:highlight w:val="none"/>
                <w:lang w:eastAsia="zh-CN"/>
              </w:rPr>
              <w:t>任意</w:t>
            </w:r>
            <w:r>
              <w:rPr>
                <w:rFonts w:hint="eastAsia" w:ascii="宋体" w:hAnsi="宋体" w:cs="宋体"/>
                <w:color w:val="auto"/>
                <w:szCs w:val="21"/>
                <w:highlight w:val="none"/>
                <w:u w:val="single"/>
                <w:lang w:val="en-US" w:eastAsia="zh-CN"/>
              </w:rPr>
              <w:t>1</w:t>
            </w:r>
            <w:r>
              <w:rPr>
                <w:rFonts w:hint="eastAsia" w:ascii="宋体" w:hAnsi="宋体" w:eastAsia="宋体" w:cs="宋体"/>
                <w:color w:val="auto"/>
                <w:szCs w:val="21"/>
                <w:highlight w:val="none"/>
              </w:rPr>
              <w:t>个月的依法缴纳税收的凭据复印件；依法免税的供应商，必须提供相应文件证明其依法免税。从取得营业执照时间起到首次响应文件提交截止时间为止不足要求月数的，只需提供从取得营业执照起的依法缴纳税收相应证明文件）；（</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7859BC29">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3.供应商依法缴纳社会保障资金的相关材料</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none"/>
                <w:lang w:val="en-US" w:eastAsia="zh-CN"/>
              </w:rPr>
              <w:t>提供税款所属时期或缴费起始时间为</w:t>
            </w:r>
            <w:r>
              <w:rPr>
                <w:rFonts w:hint="eastAsia" w:ascii="宋体" w:hAnsi="宋体" w:cs="宋体"/>
                <w:color w:val="auto"/>
                <w:szCs w:val="21"/>
                <w:highlight w:val="none"/>
                <w:u w:val="single"/>
                <w:lang w:val="en-US" w:eastAsia="zh-CN"/>
              </w:rPr>
              <w:t>2026</w:t>
            </w:r>
            <w:r>
              <w:rPr>
                <w:rFonts w:hint="eastAsia" w:ascii="宋体" w:hAnsi="宋体" w:eastAsia="宋体" w:cs="宋体"/>
                <w:color w:val="auto"/>
                <w:szCs w:val="21"/>
                <w:highlight w:val="none"/>
              </w:rPr>
              <w:t>年</w:t>
            </w:r>
            <w:r>
              <w:rPr>
                <w:rFonts w:hint="eastAsia" w:ascii="宋体" w:hAnsi="宋体" w:cs="宋体"/>
                <w:color w:val="auto"/>
                <w:szCs w:val="21"/>
                <w:highlight w:val="none"/>
                <w:u w:val="single"/>
                <w:lang w:val="en-US" w:eastAsia="zh-CN"/>
              </w:rPr>
              <w:t>1</w:t>
            </w:r>
            <w:r>
              <w:rPr>
                <w:rFonts w:hint="eastAsia" w:ascii="宋体" w:hAnsi="宋体" w:eastAsia="宋体" w:cs="宋体"/>
                <w:color w:val="auto"/>
                <w:szCs w:val="21"/>
                <w:highlight w:val="none"/>
              </w:rPr>
              <w:t>月至</w:t>
            </w:r>
            <w:r>
              <w:rPr>
                <w:rFonts w:hint="eastAsia" w:ascii="宋体" w:hAnsi="宋体" w:eastAsia="宋体" w:cs="宋体"/>
                <w:color w:val="auto"/>
                <w:sz w:val="21"/>
                <w:szCs w:val="21"/>
                <w:highlight w:val="none"/>
                <w:lang w:val="en-US" w:eastAsia="zh-CN"/>
              </w:rPr>
              <w:t>首次响应</w:t>
            </w:r>
            <w:r>
              <w:rPr>
                <w:rFonts w:hint="eastAsia" w:ascii="宋体" w:hAnsi="宋体" w:eastAsia="宋体" w:cs="宋体"/>
                <w:color w:val="auto"/>
                <w:sz w:val="21"/>
                <w:szCs w:val="21"/>
                <w:highlight w:val="none"/>
              </w:rPr>
              <w:t>文件提交截止时间止</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Cs w:val="21"/>
                <w:highlight w:val="none"/>
                <w:lang w:eastAsia="zh-CN"/>
              </w:rPr>
              <w:t>任意</w:t>
            </w:r>
            <w:r>
              <w:rPr>
                <w:rFonts w:hint="eastAsia" w:ascii="宋体" w:hAnsi="宋体" w:cs="宋体"/>
                <w:color w:val="auto"/>
                <w:szCs w:val="21"/>
                <w:highlight w:val="none"/>
                <w:u w:val="single"/>
                <w:lang w:val="en-US" w:eastAsia="zh-CN"/>
              </w:rPr>
              <w:t>1</w:t>
            </w:r>
            <w:r>
              <w:rPr>
                <w:rFonts w:hint="eastAsia" w:ascii="宋体" w:hAnsi="宋体" w:eastAsia="宋体" w:cs="宋体"/>
                <w:color w:val="auto"/>
                <w:szCs w:val="21"/>
                <w:highlight w:val="none"/>
              </w:rPr>
              <w:t>个月的依法缴纳社会保障资金的缴费凭证复印件；依法不需要缴纳社会保障资金的供应商，必须提供相应文件证明不需要缴纳社会保障资金。从取得营业执照时间起到首次响应文件提交截止时间为止不足要求月数的只需提供从取得营业执照起的依法缴纳社会保障资金的相应证明文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59461897">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4.供应商财务状况报告</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提供</w:t>
            </w:r>
            <w:r>
              <w:rPr>
                <w:rFonts w:hint="eastAsia" w:ascii="宋体" w:hAnsi="宋体" w:cs="宋体"/>
                <w:color w:val="auto"/>
                <w:szCs w:val="21"/>
                <w:highlight w:val="none"/>
                <w:u w:val="single"/>
                <w:lang w:val="en-US" w:eastAsia="zh-CN"/>
              </w:rPr>
              <w:t>2025</w:t>
            </w:r>
            <w:r>
              <w:rPr>
                <w:rFonts w:hint="eastAsia" w:ascii="宋体" w:hAnsi="宋体" w:eastAsia="宋体" w:cs="宋体"/>
                <w:color w:val="auto"/>
                <w:szCs w:val="21"/>
                <w:highlight w:val="none"/>
              </w:rPr>
              <w:t>年度经审计的财务报告</w:t>
            </w:r>
            <w:r>
              <w:rPr>
                <w:rFonts w:hint="eastAsia" w:ascii="宋体" w:hAnsi="宋体" w:eastAsia="宋体" w:cs="宋体"/>
                <w:color w:val="auto"/>
                <w:szCs w:val="21"/>
                <w:highlight w:val="none"/>
                <w:lang w:eastAsia="zh-CN"/>
              </w:rPr>
              <w:t>复印件</w:t>
            </w:r>
            <w:r>
              <w:rPr>
                <w:rFonts w:hint="eastAsia" w:ascii="宋体" w:hAnsi="宋体" w:eastAsia="宋体" w:cs="宋体"/>
                <w:color w:val="auto"/>
                <w:szCs w:val="21"/>
                <w:highlight w:val="none"/>
              </w:rPr>
              <w:t>或</w:t>
            </w:r>
            <w:r>
              <w:rPr>
                <w:rFonts w:hint="eastAsia" w:ascii="宋体" w:hAnsi="宋体" w:eastAsia="宋体" w:cs="宋体"/>
                <w:color w:val="auto"/>
                <w:szCs w:val="21"/>
                <w:highlight w:val="none"/>
                <w:lang w:eastAsia="zh-CN"/>
              </w:rPr>
              <w:t>者</w:t>
            </w:r>
            <w:r>
              <w:rPr>
                <w:rFonts w:hint="eastAsia" w:ascii="宋体" w:hAnsi="宋体" w:eastAsia="宋体" w:cs="宋体"/>
                <w:color w:val="auto"/>
                <w:szCs w:val="21"/>
                <w:highlight w:val="none"/>
              </w:rPr>
              <w:t>截标时间前半年内至少一个月能反映财务状况的报表或</w:t>
            </w:r>
            <w:r>
              <w:rPr>
                <w:rFonts w:hint="eastAsia" w:ascii="宋体" w:hAnsi="宋体" w:eastAsia="宋体" w:cs="宋体"/>
                <w:color w:val="auto"/>
                <w:szCs w:val="21"/>
                <w:highlight w:val="none"/>
                <w:lang w:eastAsia="zh-CN"/>
              </w:rPr>
              <w:t>者供应商</w:t>
            </w:r>
            <w:r>
              <w:rPr>
                <w:rFonts w:hint="eastAsia" w:ascii="宋体" w:hAnsi="宋体" w:eastAsia="宋体" w:cs="宋体"/>
                <w:color w:val="auto"/>
                <w:szCs w:val="21"/>
                <w:highlight w:val="none"/>
              </w:rPr>
              <w:t>自拟的截标时间前半年内至少一个月的财务情况说明</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bCs/>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bCs/>
                <w:color w:val="auto"/>
                <w:szCs w:val="21"/>
                <w:highlight w:val="none"/>
              </w:rPr>
              <w:t>）</w:t>
            </w:r>
          </w:p>
          <w:p w14:paraId="492AB4E1">
            <w:pPr>
              <w:snapToGrid w:val="0"/>
              <w:spacing w:line="360" w:lineRule="auto"/>
              <w:jc w:val="left"/>
              <w:rPr>
                <w:rFonts w:hint="default" w:ascii="宋体" w:hAnsi="宋体" w:eastAsia="宋体" w:cs="宋体"/>
                <w:b/>
                <w:bCs/>
                <w:color w:val="auto"/>
                <w:szCs w:val="21"/>
                <w:highlight w:val="none"/>
                <w:lang w:val="en-US" w:eastAsia="zh-CN"/>
              </w:rPr>
            </w:pPr>
            <w:r>
              <w:rPr>
                <w:rFonts w:hint="eastAsia" w:ascii="宋体" w:hAnsi="宋体" w:cs="宋体"/>
                <w:color w:val="auto"/>
                <w:szCs w:val="21"/>
                <w:highlight w:val="none"/>
                <w:lang w:val="en-US" w:eastAsia="zh-CN"/>
              </w:rPr>
              <w:t>5.本项目为专门面向中小企业采购的项目。供应商必须提供中小企业声明函或者残疾人福利性单位声明函（格式后附）或者供应商属于监狱企业的需提供由省级以上监狱管理局、戒毒管理局（含新疆生产建设兵团）出具的属于监狱企业的证明文件。</w:t>
            </w:r>
            <w:r>
              <w:rPr>
                <w:rFonts w:hint="eastAsia" w:ascii="宋体" w:hAnsi="宋体" w:cs="宋体"/>
                <w:b/>
                <w:bCs/>
                <w:color w:val="auto"/>
                <w:szCs w:val="21"/>
                <w:highlight w:val="none"/>
                <w:lang w:val="en-US" w:eastAsia="zh-CN"/>
              </w:rPr>
              <w:t>（必须提供，否则响应文件按无效响应处理）</w:t>
            </w:r>
          </w:p>
          <w:p w14:paraId="24C68C34">
            <w:pPr>
              <w:snapToGrid w:val="0"/>
              <w:spacing w:line="360" w:lineRule="auto"/>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.本项目的特定资格要求</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u w:val="single"/>
                <w:lang w:val="en-US" w:eastAsia="zh-CN"/>
              </w:rPr>
              <w:t>无</w:t>
            </w:r>
            <w:r>
              <w:rPr>
                <w:rFonts w:hint="eastAsia" w:ascii="宋体" w:hAnsi="宋体" w:eastAsia="宋体" w:cs="宋体"/>
                <w:color w:val="auto"/>
                <w:szCs w:val="21"/>
                <w:highlight w:val="none"/>
              </w:rPr>
              <w:t>；</w:t>
            </w:r>
          </w:p>
          <w:p w14:paraId="04F34179">
            <w:pPr>
              <w:numPr>
                <w:ilvl w:val="0"/>
                <w:numId w:val="0"/>
              </w:numPr>
              <w:snapToGrid w:val="0"/>
              <w:spacing w:line="380" w:lineRule="exact"/>
              <w:ind w:left="0" w:firstLine="0"/>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lang w:val="en-US" w:eastAsia="zh-CN"/>
              </w:rPr>
              <w:t>.</w:t>
            </w:r>
            <w:r>
              <w:rPr>
                <w:rFonts w:hint="eastAsia" w:ascii="宋体" w:hAnsi="宋体" w:eastAsia="宋体"/>
                <w:color w:val="auto"/>
                <w:szCs w:val="21"/>
                <w:highlight w:val="none"/>
                <w:lang w:eastAsia="zh-CN"/>
              </w:rPr>
              <w:t>供应商</w:t>
            </w:r>
            <w:r>
              <w:rPr>
                <w:rFonts w:hint="eastAsia" w:ascii="宋体" w:hAnsi="宋体" w:eastAsia="宋体"/>
                <w:color w:val="auto"/>
                <w:szCs w:val="21"/>
                <w:highlight w:val="none"/>
              </w:rPr>
              <w:t>直接控股股东信息表</w:t>
            </w:r>
            <w:r>
              <w:rPr>
                <w:rFonts w:hint="eastAsia" w:ascii="宋体" w:hAnsi="宋体" w:eastAsia="宋体" w:cs="宋体"/>
                <w:color w:val="auto"/>
                <w:szCs w:val="21"/>
                <w:highlight w:val="none"/>
              </w:rPr>
              <w:t>（格式后附）</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w:t>
            </w:r>
            <w:r>
              <w:rPr>
                <w:rFonts w:hint="eastAsia" w:ascii="宋体" w:hAnsi="宋体" w:eastAsia="宋体"/>
                <w:b/>
                <w:color w:val="auto"/>
                <w:szCs w:val="21"/>
                <w:highlight w:val="none"/>
              </w:rPr>
              <w:t>必须提供，</w:t>
            </w:r>
            <w:r>
              <w:rPr>
                <w:rFonts w:hint="eastAsia" w:ascii="宋体" w:hAnsi="宋体" w:eastAsia="宋体" w:cs="宋体"/>
                <w:b/>
                <w:color w:val="auto"/>
                <w:szCs w:val="21"/>
                <w:highlight w:val="none"/>
              </w:rPr>
              <w:t>否则响应文件按无效响应处理</w:t>
            </w:r>
            <w:r>
              <w:rPr>
                <w:rFonts w:hint="eastAsia" w:ascii="宋体" w:hAnsi="宋体" w:eastAsia="宋体"/>
                <w:color w:val="auto"/>
                <w:szCs w:val="21"/>
                <w:highlight w:val="none"/>
              </w:rPr>
              <w:t>）</w:t>
            </w:r>
          </w:p>
          <w:p w14:paraId="4CD493F2">
            <w:pPr>
              <w:spacing w:line="380" w:lineRule="exact"/>
              <w:rPr>
                <w:rFonts w:hint="eastAsia" w:eastAsia="宋体"/>
                <w:color w:val="auto"/>
                <w:highlight w:val="none"/>
              </w:rPr>
            </w:pPr>
            <w:r>
              <w:rPr>
                <w:rFonts w:hint="eastAsia" w:ascii="宋体" w:hAnsi="宋体"/>
                <w:color w:val="auto"/>
                <w:szCs w:val="21"/>
                <w:highlight w:val="none"/>
                <w:lang w:val="en-US" w:eastAsia="zh-CN"/>
              </w:rPr>
              <w:t>8</w:t>
            </w:r>
            <w:r>
              <w:rPr>
                <w:rFonts w:hint="eastAsia" w:ascii="宋体" w:hAnsi="宋体" w:eastAsia="宋体"/>
                <w:color w:val="auto"/>
                <w:szCs w:val="21"/>
                <w:highlight w:val="none"/>
                <w:lang w:val="en-US" w:eastAsia="zh-CN"/>
              </w:rPr>
              <w:t>.</w:t>
            </w:r>
            <w:r>
              <w:rPr>
                <w:rFonts w:hint="eastAsia" w:ascii="宋体" w:hAnsi="宋体" w:eastAsia="宋体"/>
                <w:color w:val="auto"/>
                <w:szCs w:val="21"/>
                <w:highlight w:val="none"/>
                <w:lang w:eastAsia="zh-CN"/>
              </w:rPr>
              <w:t>供应商</w:t>
            </w:r>
            <w:r>
              <w:rPr>
                <w:rFonts w:hint="eastAsia" w:ascii="宋体" w:hAnsi="宋体" w:eastAsia="宋体"/>
                <w:color w:val="auto"/>
                <w:szCs w:val="21"/>
                <w:highlight w:val="none"/>
              </w:rPr>
              <w:t>直接管理关系信息表</w:t>
            </w:r>
            <w:r>
              <w:rPr>
                <w:rFonts w:hint="eastAsia" w:ascii="宋体" w:hAnsi="宋体" w:eastAsia="宋体" w:cs="宋体"/>
                <w:color w:val="auto"/>
                <w:szCs w:val="21"/>
                <w:highlight w:val="none"/>
              </w:rPr>
              <w:t>（格式后附）</w:t>
            </w:r>
            <w:r>
              <w:rPr>
                <w:rFonts w:hint="eastAsia" w:ascii="宋体" w:hAnsi="宋体" w:eastAsia="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26DEF7F7">
            <w:pPr>
              <w:snapToGrid w:val="0"/>
              <w:spacing w:line="360" w:lineRule="auto"/>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rPr>
              <w:t>.声明</w:t>
            </w:r>
            <w:r>
              <w:rPr>
                <w:rFonts w:hint="eastAsia" w:ascii="宋体" w:hAnsi="宋体" w:eastAsia="宋体" w:cs="宋体"/>
                <w:color w:val="auto"/>
                <w:szCs w:val="21"/>
                <w:highlight w:val="none"/>
                <w:lang w:eastAsia="zh-CN"/>
              </w:rPr>
              <w:t>函</w:t>
            </w:r>
            <w:r>
              <w:rPr>
                <w:rFonts w:hint="eastAsia" w:ascii="宋体" w:hAnsi="宋体" w:eastAsia="宋体" w:cs="宋体"/>
                <w:color w:val="auto"/>
                <w:sz w:val="21"/>
                <w:szCs w:val="21"/>
                <w:highlight w:val="none"/>
              </w:rPr>
              <w:t>（格式后附）</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1609662E">
            <w:pPr>
              <w:snapToGrid w:val="0"/>
              <w:spacing w:line="360" w:lineRule="auto"/>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.联合体</w:t>
            </w:r>
            <w:r>
              <w:rPr>
                <w:rFonts w:hint="eastAsia" w:ascii="宋体" w:hAnsi="宋体" w:eastAsia="宋体" w:cs="宋体"/>
                <w:color w:val="auto"/>
                <w:szCs w:val="21"/>
                <w:highlight w:val="none"/>
                <w:lang w:eastAsia="zh-CN"/>
              </w:rPr>
              <w:t>竞标</w:t>
            </w:r>
            <w:r>
              <w:rPr>
                <w:rFonts w:hint="eastAsia" w:ascii="宋体" w:hAnsi="宋体" w:eastAsia="宋体" w:cs="宋体"/>
                <w:color w:val="auto"/>
                <w:szCs w:val="21"/>
                <w:highlight w:val="none"/>
              </w:rPr>
              <w:t>协议书</w:t>
            </w:r>
            <w:r>
              <w:rPr>
                <w:rFonts w:hint="eastAsia" w:ascii="宋体" w:hAnsi="宋体" w:eastAsia="宋体" w:cs="宋体"/>
                <w:color w:val="auto"/>
                <w:sz w:val="21"/>
                <w:szCs w:val="21"/>
                <w:highlight w:val="none"/>
              </w:rPr>
              <w:t>（格式后附）</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联合体竞标时必须提供，否则响应文件按无效响应处理</w:t>
            </w:r>
            <w:r>
              <w:rPr>
                <w:rFonts w:hint="eastAsia" w:ascii="宋体" w:hAnsi="宋体" w:eastAsia="宋体" w:cs="宋体"/>
                <w:color w:val="auto"/>
                <w:szCs w:val="21"/>
                <w:highlight w:val="none"/>
              </w:rPr>
              <w:t>）</w:t>
            </w:r>
          </w:p>
          <w:p w14:paraId="6F22F8FC">
            <w:pPr>
              <w:snapToGrid w:val="0"/>
              <w:spacing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.除</w:t>
            </w:r>
            <w:r>
              <w:rPr>
                <w:rFonts w:hint="eastAsia" w:ascii="宋体" w:hAnsi="宋体" w:eastAsia="宋体" w:cs="宋体"/>
                <w:color w:val="auto"/>
                <w:szCs w:val="21"/>
                <w:highlight w:val="none"/>
                <w:lang w:eastAsia="zh-CN"/>
              </w:rPr>
              <w:t>竞争性</w:t>
            </w:r>
            <w:r>
              <w:rPr>
                <w:rFonts w:hint="eastAsia" w:ascii="宋体" w:hAnsi="宋体" w:eastAsia="宋体" w:cs="宋体"/>
                <w:color w:val="auto"/>
                <w:szCs w:val="21"/>
                <w:highlight w:val="none"/>
              </w:rPr>
              <w:t>磋商文件规定必须提供以外，供应商认为需要提供的</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证明材料</w:t>
            </w:r>
            <w:r>
              <w:rPr>
                <w:rFonts w:hint="eastAsia" w:ascii="宋体" w:hAnsi="宋体" w:eastAsia="宋体" w:cs="宋体"/>
                <w:color w:val="auto"/>
                <w:sz w:val="21"/>
                <w:szCs w:val="21"/>
                <w:highlight w:val="none"/>
              </w:rPr>
              <w:t>（格式自拟）</w:t>
            </w:r>
            <w:r>
              <w:rPr>
                <w:rFonts w:hint="eastAsia" w:ascii="宋体" w:hAnsi="宋体" w:eastAsia="宋体" w:cs="宋体"/>
                <w:color w:val="auto"/>
                <w:szCs w:val="21"/>
                <w:highlight w:val="none"/>
                <w:lang w:eastAsia="zh-CN"/>
              </w:rPr>
              <w:t>。</w:t>
            </w:r>
          </w:p>
          <w:p w14:paraId="3BAB5867">
            <w:pPr>
              <w:snapToGrid w:val="0"/>
              <w:spacing w:line="360" w:lineRule="auto"/>
              <w:jc w:val="left"/>
              <w:rPr>
                <w:rFonts w:hint="eastAsia" w:ascii="宋体" w:hAnsi="宋体" w:eastAsia="宋体" w:cs="宋体"/>
                <w:color w:val="auto"/>
                <w:szCs w:val="21"/>
                <w:highlight w:val="none"/>
              </w:rPr>
            </w:pPr>
          </w:p>
          <w:p w14:paraId="5D3712A5">
            <w:pPr>
              <w:widowControl w:val="0"/>
              <w:spacing w:line="360" w:lineRule="auto"/>
              <w:ind w:firstLine="0" w:firstLineChars="0"/>
              <w:jc w:val="left"/>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注：</w:t>
            </w:r>
          </w:p>
          <w:p w14:paraId="49D505E1">
            <w:pPr>
              <w:widowControl w:val="0"/>
              <w:spacing w:line="360" w:lineRule="auto"/>
              <w:ind w:firstLine="0" w:firstLineChars="0"/>
              <w:jc w:val="left"/>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　　1.以上标明“必须提供”的材料属于复印件的扫描件的，必须加盖供应商公章，否则响应文件按无效响应处理。</w:t>
            </w:r>
          </w:p>
        </w:tc>
      </w:tr>
      <w:tr w14:paraId="4C1EFD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restart"/>
            <w:noWrap w:val="0"/>
            <w:vAlign w:val="center"/>
          </w:tcPr>
          <w:p w14:paraId="790C1A3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2135" w:type="dxa"/>
            <w:noWrap w:val="0"/>
            <w:vAlign w:val="center"/>
          </w:tcPr>
          <w:p w14:paraId="59E5DC00">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商务文件组成</w:t>
            </w:r>
          </w:p>
        </w:tc>
        <w:tc>
          <w:tcPr>
            <w:tcW w:w="6553" w:type="dxa"/>
            <w:noWrap w:val="0"/>
            <w:vAlign w:val="center"/>
          </w:tcPr>
          <w:p w14:paraId="56FE194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1.无串通竞标行为的承诺函</w:t>
            </w:r>
            <w:r>
              <w:rPr>
                <w:rFonts w:hint="eastAsia" w:ascii="宋体" w:hAnsi="宋体" w:eastAsia="宋体" w:cs="宋体"/>
                <w:color w:val="auto"/>
                <w:sz w:val="21"/>
                <w:szCs w:val="21"/>
                <w:highlight w:val="none"/>
              </w:rPr>
              <w:t>（格式后附）</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27178D30">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法定代表人身份证明及法定代表人有效身份证正反面复印件</w:t>
            </w:r>
            <w:r>
              <w:rPr>
                <w:rFonts w:hint="eastAsia" w:ascii="宋体" w:hAnsi="宋体" w:eastAsia="宋体" w:cs="宋体"/>
                <w:color w:val="auto"/>
                <w:sz w:val="21"/>
                <w:szCs w:val="21"/>
                <w:highlight w:val="none"/>
              </w:rPr>
              <w:t>（格式后附）</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除自然人竞标外</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711C10F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.法定代表人授权委托书及委托代理人有效身份证正反面复印件</w:t>
            </w:r>
            <w:r>
              <w:rPr>
                <w:rFonts w:hint="eastAsia" w:ascii="宋体" w:hAnsi="宋体" w:eastAsia="宋体" w:cs="宋体"/>
                <w:color w:val="auto"/>
                <w:sz w:val="21"/>
                <w:szCs w:val="21"/>
                <w:highlight w:val="none"/>
              </w:rPr>
              <w:t>（格式后附）</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委托时必须提供，否则响应文件按无效响应处理</w:t>
            </w:r>
            <w:r>
              <w:rPr>
                <w:rFonts w:hint="eastAsia" w:ascii="宋体" w:hAnsi="宋体" w:eastAsia="宋体" w:cs="宋体"/>
                <w:color w:val="auto"/>
                <w:szCs w:val="21"/>
                <w:highlight w:val="none"/>
              </w:rPr>
              <w:t>）</w:t>
            </w:r>
          </w:p>
          <w:p w14:paraId="13917E6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磋商保证金提交凭证；（</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6D9A270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.商务条款偏离表</w:t>
            </w:r>
            <w:r>
              <w:rPr>
                <w:rFonts w:hint="eastAsia" w:ascii="宋体" w:hAnsi="宋体" w:eastAsia="宋体" w:cs="宋体"/>
                <w:color w:val="auto"/>
                <w:sz w:val="21"/>
                <w:szCs w:val="21"/>
                <w:highlight w:val="none"/>
              </w:rPr>
              <w:t>（格式后附）</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5344D94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情况介绍</w:t>
            </w:r>
            <w:r>
              <w:rPr>
                <w:rFonts w:hint="eastAsia" w:ascii="宋体" w:hAnsi="宋体" w:eastAsia="宋体" w:cs="宋体"/>
                <w:color w:val="auto"/>
                <w:sz w:val="21"/>
                <w:szCs w:val="21"/>
                <w:highlight w:val="none"/>
              </w:rPr>
              <w:t>（格式自拟）</w:t>
            </w:r>
            <w:r>
              <w:rPr>
                <w:rFonts w:hint="eastAsia" w:ascii="宋体" w:hAnsi="宋体" w:eastAsia="宋体" w:cs="宋体"/>
                <w:color w:val="auto"/>
                <w:szCs w:val="21"/>
                <w:highlight w:val="none"/>
              </w:rPr>
              <w:t>；</w:t>
            </w:r>
          </w:p>
          <w:p w14:paraId="57E3B9F2">
            <w:pPr>
              <w:spacing w:line="360" w:lineRule="auto"/>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.对应采购需求的商务条款提供的其他文件资料</w:t>
            </w:r>
            <w:r>
              <w:rPr>
                <w:rFonts w:hint="eastAsia" w:ascii="宋体" w:hAnsi="宋体" w:eastAsia="宋体" w:cs="宋体"/>
                <w:color w:val="auto"/>
                <w:sz w:val="21"/>
                <w:szCs w:val="21"/>
                <w:highlight w:val="none"/>
              </w:rPr>
              <w:t>（格式自拟）</w:t>
            </w:r>
            <w:r>
              <w:rPr>
                <w:rFonts w:hint="eastAsia" w:ascii="宋体" w:hAnsi="宋体" w:eastAsia="宋体" w:cs="宋体"/>
                <w:color w:val="auto"/>
                <w:szCs w:val="21"/>
                <w:highlight w:val="none"/>
              </w:rPr>
              <w:t>；</w:t>
            </w:r>
          </w:p>
          <w:p w14:paraId="21B0342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.供应商认为需要提供的其他有关资料</w:t>
            </w:r>
            <w:r>
              <w:rPr>
                <w:rFonts w:hint="eastAsia" w:ascii="宋体" w:hAnsi="宋体" w:eastAsia="宋体" w:cs="宋体"/>
                <w:color w:val="auto"/>
                <w:sz w:val="21"/>
                <w:szCs w:val="21"/>
                <w:highlight w:val="none"/>
              </w:rPr>
              <w:t>（格式自拟）</w:t>
            </w:r>
            <w:r>
              <w:rPr>
                <w:rFonts w:hint="eastAsia" w:ascii="宋体" w:hAnsi="宋体" w:eastAsia="宋体" w:cs="宋体"/>
                <w:color w:val="auto"/>
                <w:szCs w:val="21"/>
                <w:highlight w:val="none"/>
              </w:rPr>
              <w:t>。</w:t>
            </w:r>
          </w:p>
          <w:p w14:paraId="0389E181">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注： </w:t>
            </w:r>
          </w:p>
          <w:p w14:paraId="524EEBBD">
            <w:pPr>
              <w:snapToGrid w:val="0"/>
              <w:spacing w:line="360" w:lineRule="auto"/>
              <w:ind w:firstLine="413" w:firstLineChars="196"/>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1.法定代表人授权委托书必须由法定代表人及</w:t>
            </w:r>
            <w:r>
              <w:rPr>
                <w:rFonts w:hint="eastAsia" w:ascii="宋体" w:hAnsi="宋体" w:eastAsia="宋体" w:cs="宋体"/>
                <w:b/>
                <w:color w:val="auto"/>
                <w:szCs w:val="21"/>
                <w:highlight w:val="none"/>
                <w:lang w:eastAsia="zh-CN"/>
              </w:rPr>
              <w:t>其</w:t>
            </w:r>
            <w:r>
              <w:rPr>
                <w:rFonts w:hint="eastAsia" w:ascii="宋体" w:hAnsi="宋体" w:eastAsia="宋体" w:cs="宋体"/>
                <w:b/>
                <w:color w:val="auto"/>
                <w:szCs w:val="21"/>
                <w:highlight w:val="none"/>
              </w:rPr>
              <w:t>委托代理人签字，并加盖供应商公章，否则响应文件按无效响应处理。</w:t>
            </w:r>
          </w:p>
          <w:p w14:paraId="5D67C772">
            <w:pPr>
              <w:spacing w:line="360" w:lineRule="auto"/>
              <w:ind w:firstLine="413" w:firstLineChars="196"/>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2.以上标明“必须提供”的材料属于复印件的扫描件的，必须加盖供应商公章，否则响应文件按无效响应处理。</w:t>
            </w:r>
          </w:p>
        </w:tc>
      </w:tr>
      <w:tr w14:paraId="0A6228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8" w:hRule="atLeast"/>
          <w:jc w:val="center"/>
        </w:trPr>
        <w:tc>
          <w:tcPr>
            <w:tcW w:w="963" w:type="dxa"/>
            <w:vMerge w:val="continue"/>
            <w:noWrap w:val="0"/>
            <w:vAlign w:val="center"/>
          </w:tcPr>
          <w:p w14:paraId="07E559FB">
            <w:pPr>
              <w:spacing w:line="360" w:lineRule="auto"/>
              <w:jc w:val="center"/>
              <w:rPr>
                <w:rFonts w:hint="eastAsia" w:ascii="宋体" w:hAnsi="宋体" w:eastAsia="宋体" w:cs="宋体"/>
                <w:color w:val="auto"/>
                <w:szCs w:val="21"/>
                <w:highlight w:val="none"/>
              </w:rPr>
            </w:pPr>
          </w:p>
        </w:tc>
        <w:tc>
          <w:tcPr>
            <w:tcW w:w="2135" w:type="dxa"/>
            <w:noWrap w:val="0"/>
            <w:vAlign w:val="center"/>
          </w:tcPr>
          <w:p w14:paraId="01871C11">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技术文件组成</w:t>
            </w:r>
          </w:p>
        </w:tc>
        <w:tc>
          <w:tcPr>
            <w:tcW w:w="6553" w:type="dxa"/>
            <w:noWrap w:val="0"/>
            <w:vAlign w:val="center"/>
          </w:tcPr>
          <w:p w14:paraId="5F2B7EB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服务要求</w:t>
            </w:r>
            <w:r>
              <w:rPr>
                <w:rFonts w:hint="eastAsia" w:ascii="宋体" w:hAnsi="宋体" w:eastAsia="宋体" w:cs="宋体"/>
                <w:color w:val="auto"/>
                <w:szCs w:val="21"/>
                <w:highlight w:val="none"/>
              </w:rPr>
              <w:t>偏离表</w:t>
            </w:r>
            <w:r>
              <w:rPr>
                <w:rFonts w:hint="eastAsia" w:ascii="宋体" w:hAnsi="宋体" w:eastAsia="宋体" w:cs="宋体"/>
                <w:color w:val="auto"/>
                <w:sz w:val="21"/>
                <w:szCs w:val="21"/>
                <w:highlight w:val="none"/>
              </w:rPr>
              <w:t>（格式后附）</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6120E7E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2.服务方案</w:t>
            </w:r>
            <w:r>
              <w:rPr>
                <w:rFonts w:hint="eastAsia" w:ascii="宋体" w:hAnsi="宋体" w:eastAsia="宋体" w:cs="宋体"/>
                <w:color w:val="auto"/>
                <w:sz w:val="21"/>
                <w:szCs w:val="21"/>
                <w:highlight w:val="none"/>
              </w:rPr>
              <w:t>（格式自拟）</w:t>
            </w:r>
            <w:r>
              <w:rPr>
                <w:rFonts w:hint="eastAsia" w:ascii="宋体" w:hAnsi="宋体" w:eastAsia="宋体" w:cs="宋体"/>
                <w:color w:val="auto"/>
                <w:szCs w:val="21"/>
                <w:highlight w:val="none"/>
                <w:lang w:eastAsia="zh-CN"/>
              </w:rPr>
              <w:t>；</w:t>
            </w:r>
          </w:p>
          <w:p w14:paraId="6BB8515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.项目实施人员一览表</w:t>
            </w:r>
            <w:r>
              <w:rPr>
                <w:rFonts w:hint="eastAsia" w:ascii="宋体" w:hAnsi="宋体" w:eastAsia="宋体" w:cs="宋体"/>
                <w:color w:val="auto"/>
                <w:sz w:val="21"/>
                <w:szCs w:val="21"/>
                <w:highlight w:val="none"/>
              </w:rPr>
              <w:t>（格式自拟）</w:t>
            </w:r>
            <w:r>
              <w:rPr>
                <w:rFonts w:hint="eastAsia" w:ascii="宋体" w:hAnsi="宋体" w:eastAsia="宋体" w:cs="宋体"/>
                <w:color w:val="auto"/>
                <w:szCs w:val="21"/>
                <w:highlight w:val="none"/>
              </w:rPr>
              <w:t xml:space="preserve">； </w:t>
            </w:r>
          </w:p>
          <w:p w14:paraId="553D00D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rPr>
              <w:t>除</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文件规定必须提供以外，</w:t>
            </w:r>
            <w:r>
              <w:rPr>
                <w:rFonts w:hint="eastAsia" w:ascii="宋体" w:hAnsi="宋体" w:eastAsia="宋体" w:cs="宋体"/>
                <w:color w:val="auto"/>
                <w:szCs w:val="21"/>
                <w:highlight w:val="none"/>
              </w:rPr>
              <w:t>供应商认为需要提供的其他有关资料</w:t>
            </w:r>
            <w:r>
              <w:rPr>
                <w:rFonts w:hint="eastAsia" w:ascii="宋体" w:hAnsi="宋体" w:eastAsia="宋体" w:cs="宋体"/>
                <w:color w:val="auto"/>
                <w:sz w:val="21"/>
                <w:szCs w:val="21"/>
                <w:highlight w:val="none"/>
              </w:rPr>
              <w:t>（格式自拟）</w:t>
            </w:r>
            <w:r>
              <w:rPr>
                <w:rFonts w:hint="eastAsia" w:ascii="宋体" w:hAnsi="宋体" w:eastAsia="宋体" w:cs="宋体"/>
                <w:color w:val="auto"/>
                <w:szCs w:val="21"/>
                <w:highlight w:val="none"/>
              </w:rPr>
              <w:t>。</w:t>
            </w:r>
          </w:p>
          <w:p w14:paraId="779E44AB">
            <w:pPr>
              <w:spacing w:line="360" w:lineRule="auto"/>
              <w:ind w:firstLine="422" w:firstLineChars="200"/>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注：以上标明“必须提供”的材料属于复印件的扫描件的，必须加盖供应商公章，否则响应文件按无效响应处理。</w:t>
            </w:r>
          </w:p>
        </w:tc>
      </w:tr>
      <w:tr w14:paraId="5BD72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39C88C5F">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12.1.</w:t>
            </w:r>
            <w:r>
              <w:rPr>
                <w:rFonts w:hint="eastAsia" w:ascii="宋体" w:hAnsi="宋体" w:eastAsia="宋体" w:cs="宋体"/>
                <w:color w:val="auto"/>
                <w:szCs w:val="21"/>
                <w:highlight w:val="none"/>
                <w:lang w:val="en-US" w:eastAsia="zh-CN"/>
              </w:rPr>
              <w:t>3</w:t>
            </w:r>
          </w:p>
        </w:tc>
        <w:tc>
          <w:tcPr>
            <w:tcW w:w="2135" w:type="dxa"/>
            <w:noWrap w:val="0"/>
            <w:vAlign w:val="center"/>
          </w:tcPr>
          <w:p w14:paraId="31CE7B9B">
            <w:pPr>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报价文件组成</w:t>
            </w:r>
          </w:p>
        </w:tc>
        <w:tc>
          <w:tcPr>
            <w:tcW w:w="6553" w:type="dxa"/>
            <w:noWrap w:val="0"/>
            <w:vAlign w:val="center"/>
          </w:tcPr>
          <w:p w14:paraId="7EE6CD49">
            <w:pPr>
              <w:snapToGrid/>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1.响应函</w:t>
            </w:r>
            <w:r>
              <w:rPr>
                <w:rFonts w:hint="eastAsia" w:ascii="宋体" w:hAnsi="宋体" w:eastAsia="宋体" w:cs="宋体"/>
                <w:color w:val="auto"/>
                <w:sz w:val="21"/>
                <w:szCs w:val="21"/>
                <w:highlight w:val="none"/>
              </w:rPr>
              <w:t>（格式后附）</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w:t>
            </w:r>
            <w:r>
              <w:rPr>
                <w:rFonts w:hint="eastAsia" w:ascii="宋体" w:hAnsi="宋体" w:eastAsia="宋体" w:cs="宋体"/>
                <w:b/>
                <w:color w:val="auto"/>
                <w:szCs w:val="21"/>
                <w:highlight w:val="none"/>
                <w:lang w:eastAsia="zh-CN"/>
              </w:rPr>
              <w:t>响应文件按</w:t>
            </w:r>
            <w:r>
              <w:rPr>
                <w:rFonts w:hint="eastAsia" w:ascii="宋体" w:hAnsi="宋体" w:eastAsia="宋体" w:cs="宋体"/>
                <w:b/>
                <w:color w:val="auto"/>
                <w:szCs w:val="21"/>
                <w:highlight w:val="none"/>
              </w:rPr>
              <w:t>无效响应处理）</w:t>
            </w:r>
          </w:p>
          <w:p w14:paraId="20DBC63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default" w:ascii="宋体" w:hAnsi="宋体" w:eastAsia="宋体" w:cs="宋体"/>
                <w:color w:val="auto"/>
                <w:szCs w:val="21"/>
                <w:highlight w:val="none"/>
                <w:lang w:val="en-US"/>
              </w:rPr>
              <w:t>响应</w:t>
            </w:r>
            <w:r>
              <w:rPr>
                <w:rFonts w:hint="eastAsia" w:ascii="宋体" w:hAnsi="宋体" w:eastAsia="宋体" w:cs="宋体"/>
                <w:color w:val="auto"/>
                <w:szCs w:val="21"/>
                <w:highlight w:val="none"/>
              </w:rPr>
              <w:t>报价表</w:t>
            </w:r>
            <w:r>
              <w:rPr>
                <w:rFonts w:hint="eastAsia" w:ascii="宋体" w:hAnsi="宋体" w:eastAsia="宋体" w:cs="宋体"/>
                <w:color w:val="auto"/>
                <w:sz w:val="21"/>
                <w:szCs w:val="21"/>
                <w:highlight w:val="none"/>
              </w:rPr>
              <w:t>（格式后附）</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（必须提供，否则响应文件按无效响应处理）</w:t>
            </w:r>
          </w:p>
          <w:p w14:paraId="28B1955C">
            <w:pPr>
              <w:snapToGrid/>
              <w:spacing w:line="360" w:lineRule="auto"/>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针对报价需要说明的其他文件和说明（格式自拟）。</w:t>
            </w:r>
          </w:p>
        </w:tc>
      </w:tr>
      <w:tr w14:paraId="6A048B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7ECAA98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p>
        </w:tc>
        <w:tc>
          <w:tcPr>
            <w:tcW w:w="2135" w:type="dxa"/>
            <w:noWrap w:val="0"/>
            <w:vAlign w:val="center"/>
          </w:tcPr>
          <w:p w14:paraId="3072261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响应文件电子版要求</w:t>
            </w:r>
          </w:p>
        </w:tc>
        <w:tc>
          <w:tcPr>
            <w:tcW w:w="6553" w:type="dxa"/>
            <w:noWrap w:val="0"/>
            <w:vAlign w:val="center"/>
          </w:tcPr>
          <w:p w14:paraId="2820CD55">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1.响应文件电子版要求：按照本</w:t>
            </w:r>
            <w:r>
              <w:rPr>
                <w:rFonts w:hint="eastAsia" w:ascii="宋体" w:hAnsi="宋体" w:eastAsia="宋体" w:cs="宋体"/>
                <w:color w:val="auto"/>
                <w:szCs w:val="21"/>
                <w:highlight w:val="none"/>
                <w:lang w:val="en-US" w:eastAsia="zh-CN"/>
              </w:rPr>
              <w:t>竞争性磋商</w:t>
            </w:r>
            <w:r>
              <w:rPr>
                <w:rFonts w:hint="eastAsia" w:ascii="宋体" w:hAnsi="宋体" w:eastAsia="宋体" w:cs="宋体"/>
                <w:color w:val="auto"/>
                <w:szCs w:val="21"/>
                <w:highlight w:val="none"/>
              </w:rPr>
              <w:t>文件“第五章 响应文件格式”编写</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第五章未附格式的，由供应商自行拟定。</w:t>
            </w:r>
          </w:p>
          <w:p w14:paraId="78AC4310">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2.响应文件电子版</w:t>
            </w:r>
            <w:r>
              <w:rPr>
                <w:rFonts w:hint="eastAsia" w:ascii="宋体" w:hAnsi="宋体" w:eastAsia="宋体" w:cs="宋体"/>
                <w:color w:val="auto"/>
                <w:szCs w:val="21"/>
                <w:highlight w:val="none"/>
                <w:lang w:eastAsia="zh-CN"/>
              </w:rPr>
              <w:t>加密提交</w:t>
            </w:r>
            <w:r>
              <w:rPr>
                <w:rFonts w:hint="eastAsia" w:ascii="宋体" w:hAnsi="宋体" w:eastAsia="宋体" w:cs="宋体"/>
                <w:color w:val="auto"/>
                <w:szCs w:val="21"/>
                <w:highlight w:val="none"/>
              </w:rPr>
              <w:t>方式：电子响应文件通过平台有效CA加密后在</w:t>
            </w:r>
            <w:r>
              <w:rPr>
                <w:rFonts w:hint="eastAsia" w:ascii="宋体" w:hAnsi="宋体" w:eastAsia="宋体" w:cs="宋体"/>
                <w:b w:val="0"/>
                <w:bCs w:val="0"/>
                <w:color w:val="auto"/>
                <w:sz w:val="21"/>
                <w:szCs w:val="21"/>
                <w:highlight w:val="none"/>
                <w:lang w:val="en-US" w:eastAsia="zh-CN"/>
              </w:rPr>
              <w:t>广西政府采购云平台</w:t>
            </w:r>
            <w:r>
              <w:rPr>
                <w:rFonts w:hint="eastAsia" w:ascii="宋体" w:hAnsi="宋体" w:eastAsia="宋体" w:cs="宋体"/>
                <w:color w:val="auto"/>
                <w:szCs w:val="21"/>
                <w:highlight w:val="none"/>
                <w:lang w:eastAsia="zh-CN"/>
              </w:rPr>
              <w:t>提交</w:t>
            </w:r>
            <w:r>
              <w:rPr>
                <w:rFonts w:hint="eastAsia" w:ascii="宋体" w:hAnsi="宋体" w:eastAsia="宋体" w:cs="宋体"/>
                <w:color w:val="auto"/>
                <w:szCs w:val="21"/>
                <w:highlight w:val="none"/>
              </w:rPr>
              <w:t>。</w:t>
            </w:r>
          </w:p>
        </w:tc>
      </w:tr>
      <w:tr w14:paraId="2DD9A7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1386429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w:t>
            </w:r>
          </w:p>
        </w:tc>
        <w:tc>
          <w:tcPr>
            <w:tcW w:w="2135" w:type="dxa"/>
            <w:noWrap w:val="0"/>
            <w:vAlign w:val="center"/>
          </w:tcPr>
          <w:p w14:paraId="73309480">
            <w:pPr>
              <w:spacing w:line="360" w:lineRule="auto"/>
              <w:jc w:val="center"/>
              <w:rPr>
                <w:rFonts w:hint="eastAsia" w:ascii="宋体" w:hAnsi="宋体" w:eastAsia="宋体" w:cs="宋体"/>
                <w:color w:val="auto"/>
                <w:szCs w:val="21"/>
                <w:highlight w:val="none"/>
              </w:rPr>
            </w:pPr>
            <w:r>
              <w:rPr>
                <w:rFonts w:hint="default" w:ascii="宋体" w:hAnsi="宋体" w:eastAsia="宋体" w:cs="宋体"/>
                <w:color w:val="auto"/>
                <w:szCs w:val="21"/>
                <w:highlight w:val="none"/>
                <w:lang w:val="en-US"/>
              </w:rPr>
              <w:t>响应</w:t>
            </w:r>
            <w:r>
              <w:rPr>
                <w:rFonts w:hint="eastAsia" w:ascii="宋体" w:hAnsi="宋体" w:eastAsia="宋体" w:cs="宋体"/>
                <w:color w:val="auto"/>
                <w:szCs w:val="21"/>
                <w:highlight w:val="none"/>
              </w:rPr>
              <w:t>报价要求</w:t>
            </w:r>
          </w:p>
        </w:tc>
        <w:tc>
          <w:tcPr>
            <w:tcW w:w="6553" w:type="dxa"/>
            <w:noWrap w:val="0"/>
            <w:vAlign w:val="center"/>
          </w:tcPr>
          <w:p w14:paraId="53E449E6">
            <w:pPr>
              <w:snapToGrid w:val="0"/>
              <w:spacing w:line="360" w:lineRule="auto"/>
              <w:jc w:val="left"/>
              <w:rPr>
                <w:rFonts w:hint="eastAsia" w:ascii="宋体" w:hAnsi="宋体" w:eastAsia="宋体" w:cs="宋体"/>
                <w:color w:val="auto"/>
                <w:highlight w:val="none"/>
              </w:rPr>
            </w:pPr>
            <w:r>
              <w:rPr>
                <w:rFonts w:hint="default" w:ascii="宋体" w:hAnsi="宋体" w:eastAsia="宋体" w:cs="宋体"/>
                <w:color w:val="auto"/>
                <w:highlight w:val="none"/>
                <w:lang w:val="en-US"/>
              </w:rPr>
              <w:t>响应</w:t>
            </w:r>
            <w:r>
              <w:rPr>
                <w:rFonts w:hint="eastAsia" w:ascii="宋体" w:hAnsi="宋体" w:eastAsia="宋体" w:cs="宋体"/>
                <w:color w:val="auto"/>
                <w:highlight w:val="none"/>
              </w:rPr>
              <w:t>报价必须</w:t>
            </w:r>
            <w:r>
              <w:rPr>
                <w:rFonts w:hint="eastAsia" w:ascii="宋体" w:hAnsi="宋体" w:eastAsia="宋体" w:cs="宋体"/>
                <w:color w:val="auto"/>
                <w:highlight w:val="none"/>
              </w:rPr>
              <w:t>包含满足本次竞标全部采购需求所应提供的服务，以及伴随的货物和工程（如有）的价格；包含但不限于服务、劳务、人工、会务、场地费、管理费、设备设施、宣传、物料、货物、运输（含保险）、安装、调试、检验、技术服务、培训、通讯、邮寄、交通、差旅、食宿、各项保险、税金等供应商为履行合同义务而发生的所有费用总和，供应商承诺不再向甲方收取其他任何费用（采购需求另有约定的，从其约定。）</w:t>
            </w:r>
          </w:p>
          <w:p w14:paraId="38F20AEE">
            <w:pPr>
              <w:snapToGrid w:val="0"/>
              <w:spacing w:line="360" w:lineRule="auto"/>
              <w:rPr>
                <w:rFonts w:hint="eastAsia" w:ascii="宋体" w:hAnsi="宋体" w:eastAsia="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eastAsia="宋体" w:cs="宋体"/>
                <w:b/>
                <w:color w:val="auto"/>
                <w:szCs w:val="21"/>
                <w:highlight w:val="none"/>
                <w:lang w:eastAsia="zh-CN"/>
              </w:rPr>
              <w:t>响应</w:t>
            </w:r>
            <w:r>
              <w:rPr>
                <w:rFonts w:hint="eastAsia" w:ascii="宋体" w:hAnsi="宋体" w:eastAsia="宋体" w:cs="宋体"/>
                <w:b/>
                <w:color w:val="auto"/>
                <w:szCs w:val="21"/>
                <w:highlight w:val="none"/>
              </w:rPr>
              <w:t>报价包含验收费用</w:t>
            </w:r>
          </w:p>
          <w:p w14:paraId="0D92AB8F">
            <w:pPr>
              <w:widowControl w:val="0"/>
              <w:spacing w:after="120"/>
              <w:jc w:val="both"/>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b/>
                <w:color w:val="auto"/>
                <w:kern w:val="2"/>
                <w:sz w:val="21"/>
                <w:szCs w:val="21"/>
                <w:highlight w:val="none"/>
                <w:lang w:val="en-US" w:eastAsia="zh-CN" w:bidi="ar-SA"/>
              </w:rPr>
              <w:t>□</w:t>
            </w:r>
            <w:r>
              <w:rPr>
                <w:rFonts w:hint="default" w:ascii="宋体" w:hAnsi="宋体" w:eastAsia="宋体" w:cs="宋体"/>
                <w:b/>
                <w:color w:val="auto"/>
                <w:kern w:val="2"/>
                <w:sz w:val="21"/>
                <w:szCs w:val="21"/>
                <w:highlight w:val="none"/>
                <w:lang w:val="en-US" w:eastAsia="zh-CN" w:bidi="ar-SA"/>
              </w:rPr>
              <w:t>响应</w:t>
            </w:r>
            <w:r>
              <w:rPr>
                <w:rFonts w:hint="eastAsia" w:ascii="宋体" w:hAnsi="宋体" w:eastAsia="宋体" w:cs="宋体"/>
                <w:b/>
                <w:color w:val="auto"/>
                <w:kern w:val="2"/>
                <w:sz w:val="21"/>
                <w:szCs w:val="21"/>
                <w:highlight w:val="none"/>
                <w:lang w:val="en-US" w:eastAsia="zh-CN" w:bidi="ar-SA"/>
              </w:rPr>
              <w:t>报价不包含验收费用</w:t>
            </w:r>
          </w:p>
        </w:tc>
      </w:tr>
      <w:tr w14:paraId="5414A0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5FB4432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w:t>
            </w:r>
          </w:p>
        </w:tc>
        <w:tc>
          <w:tcPr>
            <w:tcW w:w="2135" w:type="dxa"/>
            <w:noWrap w:val="0"/>
            <w:vAlign w:val="center"/>
          </w:tcPr>
          <w:p w14:paraId="1240099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竞标有效期</w:t>
            </w:r>
          </w:p>
        </w:tc>
        <w:tc>
          <w:tcPr>
            <w:tcW w:w="6553" w:type="dxa"/>
            <w:noWrap w:val="0"/>
            <w:vAlign w:val="center"/>
          </w:tcPr>
          <w:p w14:paraId="46552ABA">
            <w:pPr>
              <w:widowControl w:val="0"/>
              <w:snapToGrid w:val="0"/>
              <w:spacing w:after="50" w:afterLines="0" w:line="360" w:lineRule="auto"/>
              <w:ind w:left="283" w:hanging="283" w:hangingChars="135"/>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自首次响应文件提交截止之日起</w:t>
            </w:r>
            <w:r>
              <w:rPr>
                <w:rFonts w:hint="eastAsia" w:ascii="宋体" w:hAnsi="宋体" w:cs="宋体"/>
                <w:color w:val="auto"/>
                <w:kern w:val="2"/>
                <w:sz w:val="21"/>
                <w:szCs w:val="21"/>
                <w:highlight w:val="none"/>
                <w:u w:val="single"/>
                <w:lang w:val="en-US" w:eastAsia="zh-CN" w:bidi="ar-SA"/>
              </w:rPr>
              <w:t>90</w:t>
            </w:r>
            <w:r>
              <w:rPr>
                <w:rFonts w:hint="eastAsia" w:ascii="宋体" w:hAnsi="宋体" w:eastAsia="宋体" w:cs="宋体"/>
                <w:color w:val="auto"/>
                <w:kern w:val="2"/>
                <w:sz w:val="21"/>
                <w:szCs w:val="21"/>
                <w:highlight w:val="none"/>
                <w:lang w:val="en-US" w:eastAsia="zh-CN" w:bidi="ar-SA"/>
              </w:rPr>
              <w:t>日。</w:t>
            </w:r>
          </w:p>
        </w:tc>
      </w:tr>
      <w:tr w14:paraId="622312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1FE491D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2135" w:type="dxa"/>
            <w:noWrap w:val="0"/>
            <w:vAlign w:val="center"/>
          </w:tcPr>
          <w:p w14:paraId="7C0B5A2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磋商保证金</w:t>
            </w:r>
          </w:p>
        </w:tc>
        <w:tc>
          <w:tcPr>
            <w:tcW w:w="6553" w:type="dxa"/>
            <w:noWrap w:val="0"/>
            <w:vAlign w:val="center"/>
          </w:tcPr>
          <w:p w14:paraId="3454A58D">
            <w:pPr>
              <w:spacing w:line="360" w:lineRule="auto"/>
              <w:ind w:firstLine="0" w:firstLineChars="0"/>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szCs w:val="21"/>
                <w:highlight w:val="none"/>
                <w:lang w:eastAsia="zh-CN"/>
              </w:rPr>
              <w:t>本项目不需要缴</w:t>
            </w:r>
            <w:r>
              <w:rPr>
                <w:rFonts w:hint="eastAsia" w:ascii="宋体" w:hAnsi="宋体" w:eastAsia="宋体" w:cs="宋体"/>
                <w:b/>
                <w:bCs/>
                <w:color w:val="auto"/>
                <w:kern w:val="0"/>
                <w:szCs w:val="21"/>
                <w:highlight w:val="none"/>
              </w:rPr>
              <w:t>纳</w:t>
            </w:r>
            <w:r>
              <w:rPr>
                <w:rFonts w:hint="eastAsia" w:ascii="宋体" w:hAnsi="宋体" w:eastAsia="宋体" w:cs="宋体"/>
                <w:b/>
                <w:bCs/>
                <w:color w:val="auto"/>
                <w:szCs w:val="21"/>
                <w:highlight w:val="none"/>
                <w:lang w:eastAsia="zh-CN"/>
              </w:rPr>
              <w:t>磋商保证金。</w:t>
            </w:r>
          </w:p>
          <w:p w14:paraId="47FB0C49">
            <w:pPr>
              <w:snapToGrid w:val="0"/>
              <w:spacing w:line="360" w:lineRule="auto"/>
              <w:rPr>
                <w:rFonts w:hint="eastAsia" w:ascii="宋体" w:hAnsi="宋体" w:eastAsia="宋体" w:cs="宋体"/>
                <w:b/>
                <w:bCs/>
                <w:color w:val="auto"/>
                <w:szCs w:val="21"/>
                <w:highlight w:val="none"/>
              </w:rPr>
            </w:pPr>
            <w:r>
              <w:rPr>
                <w:rFonts w:hint="eastAsia" w:ascii="宋体" w:hAnsi="宋体" w:cs="宋体"/>
                <w:b/>
                <w:bCs/>
                <w:color w:val="auto"/>
                <w:szCs w:val="21"/>
                <w:highlight w:val="none"/>
                <w:lang w:eastAsia="zh-CN"/>
              </w:rPr>
              <w:t>☑</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szCs w:val="21"/>
                <w:highlight w:val="none"/>
                <w:lang w:eastAsia="zh-CN"/>
              </w:rPr>
              <w:t>本项目需要缴</w:t>
            </w:r>
            <w:r>
              <w:rPr>
                <w:rFonts w:hint="eastAsia" w:ascii="宋体" w:hAnsi="宋体" w:eastAsia="宋体" w:cs="宋体"/>
                <w:b/>
                <w:bCs/>
                <w:color w:val="auto"/>
                <w:kern w:val="0"/>
                <w:szCs w:val="21"/>
                <w:highlight w:val="none"/>
              </w:rPr>
              <w:t>纳</w:t>
            </w:r>
            <w:r>
              <w:rPr>
                <w:rFonts w:hint="eastAsia" w:ascii="宋体" w:hAnsi="宋体" w:eastAsia="宋体" w:cs="宋体"/>
                <w:b/>
                <w:bCs/>
                <w:color w:val="auto"/>
                <w:szCs w:val="21"/>
                <w:highlight w:val="none"/>
                <w:lang w:eastAsia="zh-CN"/>
              </w:rPr>
              <w:t>磋商保证金，</w:t>
            </w:r>
            <w:r>
              <w:rPr>
                <w:rFonts w:hint="eastAsia" w:ascii="宋体" w:hAnsi="宋体" w:eastAsia="宋体" w:cs="宋体"/>
                <w:b/>
                <w:bCs/>
                <w:color w:val="auto"/>
                <w:szCs w:val="21"/>
                <w:highlight w:val="none"/>
              </w:rPr>
              <w:t>相关要求</w:t>
            </w:r>
            <w:r>
              <w:rPr>
                <w:rFonts w:hint="eastAsia" w:ascii="宋体" w:hAnsi="宋体" w:eastAsia="宋体" w:cs="宋体"/>
                <w:b/>
                <w:bCs/>
                <w:color w:val="auto"/>
                <w:szCs w:val="21"/>
                <w:highlight w:val="none"/>
                <w:lang w:eastAsia="zh-CN"/>
              </w:rPr>
              <w:t>如下</w:t>
            </w:r>
            <w:r>
              <w:rPr>
                <w:rFonts w:hint="eastAsia" w:ascii="宋体" w:hAnsi="宋体" w:eastAsia="宋体" w:cs="宋体"/>
                <w:b/>
                <w:bCs/>
                <w:color w:val="auto"/>
                <w:szCs w:val="21"/>
                <w:highlight w:val="none"/>
              </w:rPr>
              <w:t>：</w:t>
            </w:r>
          </w:p>
          <w:p w14:paraId="2224D285">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磋商保证金的</w:t>
            </w:r>
            <w:r>
              <w:rPr>
                <w:rFonts w:hint="eastAsia" w:ascii="宋体" w:hAnsi="宋体" w:eastAsia="宋体" w:cs="宋体"/>
                <w:color w:val="auto"/>
                <w:szCs w:val="21"/>
                <w:highlight w:val="none"/>
                <w:lang w:eastAsia="zh-CN"/>
              </w:rPr>
              <w:t>缴</w:t>
            </w:r>
            <w:r>
              <w:rPr>
                <w:rFonts w:hint="eastAsia" w:ascii="宋体" w:hAnsi="宋体" w:eastAsia="宋体" w:cs="宋体"/>
                <w:color w:val="auto"/>
                <w:szCs w:val="21"/>
                <w:highlight w:val="none"/>
              </w:rPr>
              <w:t>纳方式：详见竞争性磋商公告。</w:t>
            </w:r>
          </w:p>
          <w:p w14:paraId="2DBAC8D8">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磋商保证金的金额：详见竞争性磋商公告。</w:t>
            </w:r>
          </w:p>
          <w:p w14:paraId="24D3C8BF">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.磋商保证金采用银行转账</w:t>
            </w:r>
            <w:r>
              <w:rPr>
                <w:rFonts w:hint="eastAsia" w:ascii="宋体" w:hAnsi="宋体" w:eastAsia="宋体" w:cs="宋体"/>
                <w:color w:val="auto"/>
                <w:szCs w:val="21"/>
                <w:highlight w:val="none"/>
                <w:lang w:eastAsia="zh-CN"/>
              </w:rPr>
              <w:t>缴</w:t>
            </w:r>
            <w:r>
              <w:rPr>
                <w:rFonts w:hint="eastAsia" w:ascii="宋体" w:hAnsi="宋体" w:eastAsia="宋体" w:cs="宋体"/>
                <w:color w:val="auto"/>
                <w:szCs w:val="21"/>
                <w:highlight w:val="none"/>
              </w:rPr>
              <w:t>纳方式的，在首次响应文件提交截止时间前交至采购代理机构指定账户并且到账，供应商应将银行转账底单的复印件作为磋商保证金提交凭证，放置于商务文件中，</w:t>
            </w:r>
            <w:r>
              <w:rPr>
                <w:rFonts w:hint="eastAsia" w:ascii="宋体" w:hAnsi="宋体" w:eastAsia="宋体" w:cs="宋体"/>
                <w:b/>
                <w:color w:val="auto"/>
                <w:szCs w:val="21"/>
                <w:highlight w:val="none"/>
              </w:rPr>
              <w:t>否则响应文件按无效响应处理</w:t>
            </w:r>
            <w:r>
              <w:rPr>
                <w:rFonts w:hint="eastAsia" w:ascii="宋体" w:hAnsi="宋体" w:eastAsia="宋体" w:cs="宋体"/>
                <w:color w:val="auto"/>
                <w:szCs w:val="21"/>
                <w:highlight w:val="none"/>
              </w:rPr>
              <w:t>。</w:t>
            </w:r>
          </w:p>
          <w:p w14:paraId="724B30B8">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.磋商保证金采用支票、汇票、本票或者金融机构、担保机构出具的保函</w:t>
            </w:r>
            <w:r>
              <w:rPr>
                <w:rFonts w:hint="eastAsia" w:ascii="宋体" w:hAnsi="宋体" w:eastAsia="宋体" w:cs="宋体"/>
                <w:color w:val="auto"/>
                <w:szCs w:val="21"/>
                <w:highlight w:val="none"/>
                <w:lang w:eastAsia="zh-CN"/>
              </w:rPr>
              <w:t>等缴</w:t>
            </w:r>
            <w:r>
              <w:rPr>
                <w:rFonts w:hint="eastAsia" w:ascii="宋体" w:hAnsi="宋体" w:eastAsia="宋体" w:cs="宋体"/>
                <w:color w:val="auto"/>
                <w:szCs w:val="21"/>
                <w:highlight w:val="none"/>
              </w:rPr>
              <w:t>纳方式的，供应商应将支票、汇票、本票或者金融</w:t>
            </w:r>
            <w:r>
              <w:rPr>
                <w:rFonts w:hint="eastAsia" w:ascii="宋体" w:hAnsi="宋体" w:eastAsia="宋体" w:cs="宋体"/>
                <w:color w:val="auto"/>
                <w:szCs w:val="21"/>
                <w:highlight w:val="none"/>
                <w:lang w:eastAsia="zh-CN"/>
              </w:rPr>
              <w:t>机构</w:t>
            </w:r>
            <w:r>
              <w:rPr>
                <w:rFonts w:hint="eastAsia" w:ascii="宋体" w:hAnsi="宋体" w:eastAsia="宋体" w:cs="宋体"/>
                <w:color w:val="auto"/>
                <w:szCs w:val="21"/>
                <w:highlight w:val="none"/>
              </w:rPr>
              <w:t>、担保机构出具的保函</w:t>
            </w:r>
            <w:r>
              <w:rPr>
                <w:rFonts w:hint="eastAsia" w:ascii="宋体" w:hAnsi="宋体" w:eastAsia="宋体" w:cs="宋体"/>
                <w:color w:val="auto"/>
                <w:szCs w:val="21"/>
                <w:highlight w:val="none"/>
                <w:lang w:eastAsia="zh-CN"/>
              </w:rPr>
              <w:t>等</w:t>
            </w:r>
            <w:r>
              <w:rPr>
                <w:rFonts w:hint="eastAsia" w:ascii="宋体" w:hAnsi="宋体" w:eastAsia="宋体" w:cs="宋体"/>
                <w:color w:val="auto"/>
                <w:szCs w:val="21"/>
                <w:highlight w:val="none"/>
              </w:rPr>
              <w:t>的复印件或者金融</w:t>
            </w:r>
            <w:r>
              <w:rPr>
                <w:rFonts w:hint="eastAsia" w:ascii="宋体" w:hAnsi="宋体" w:eastAsia="宋体" w:cs="宋体"/>
                <w:color w:val="auto"/>
                <w:szCs w:val="21"/>
                <w:highlight w:val="none"/>
                <w:lang w:eastAsia="zh-CN"/>
              </w:rPr>
              <w:t>机构</w:t>
            </w:r>
            <w:r>
              <w:rPr>
                <w:rFonts w:hint="eastAsia" w:ascii="宋体" w:hAnsi="宋体" w:eastAsia="宋体" w:cs="宋体"/>
                <w:color w:val="auto"/>
                <w:szCs w:val="21"/>
                <w:highlight w:val="none"/>
              </w:rPr>
              <w:t>、担保机构出具的</w:t>
            </w:r>
            <w:r>
              <w:rPr>
                <w:rFonts w:hint="eastAsia" w:ascii="宋体" w:hAnsi="宋体" w:eastAsia="宋体" w:cs="宋体"/>
                <w:color w:val="auto"/>
                <w:kern w:val="0"/>
                <w:szCs w:val="21"/>
                <w:highlight w:val="none"/>
                <w:lang w:val="en-US" w:eastAsia="zh-CN"/>
              </w:rPr>
              <w:t>电子保函</w:t>
            </w:r>
            <w:r>
              <w:rPr>
                <w:rFonts w:hint="eastAsia" w:ascii="宋体" w:hAnsi="宋体" w:eastAsia="宋体" w:cs="宋体"/>
                <w:color w:val="auto"/>
                <w:szCs w:val="21"/>
                <w:highlight w:val="none"/>
              </w:rPr>
              <w:t>作为磋商保证金提交凭证，放置于商务文件中，</w:t>
            </w:r>
            <w:r>
              <w:rPr>
                <w:rFonts w:hint="eastAsia" w:ascii="宋体" w:hAnsi="宋体" w:eastAsia="宋体" w:cs="宋体"/>
                <w:b/>
                <w:color w:val="auto"/>
                <w:szCs w:val="21"/>
                <w:highlight w:val="none"/>
              </w:rPr>
              <w:t>否则响应文件按无效响应处理</w:t>
            </w:r>
            <w:r>
              <w:rPr>
                <w:rFonts w:hint="eastAsia" w:ascii="宋体" w:hAnsi="宋体" w:eastAsia="宋体" w:cs="宋体"/>
                <w:color w:val="auto"/>
                <w:szCs w:val="21"/>
                <w:highlight w:val="none"/>
              </w:rPr>
              <w:t>。供应商必须</w:t>
            </w:r>
            <w:r>
              <w:rPr>
                <w:rFonts w:hint="eastAsia" w:ascii="宋体" w:hAnsi="宋体" w:eastAsia="宋体" w:cs="宋体"/>
                <w:color w:val="auto"/>
                <w:szCs w:val="21"/>
                <w:highlight w:val="none"/>
                <w:lang w:eastAsia="zh-CN"/>
              </w:rPr>
              <w:t>在</w:t>
            </w:r>
            <w:r>
              <w:rPr>
                <w:rFonts w:hint="eastAsia" w:ascii="宋体" w:hAnsi="宋体" w:eastAsia="宋体" w:cs="宋体"/>
                <w:color w:val="auto"/>
                <w:kern w:val="0"/>
                <w:szCs w:val="21"/>
                <w:highlight w:val="none"/>
              </w:rPr>
              <w:t>首次响应文件提交截止时间前</w:t>
            </w:r>
            <w:r>
              <w:rPr>
                <w:rFonts w:hint="eastAsia" w:ascii="宋体" w:hAnsi="宋体" w:eastAsia="宋体" w:cs="宋体"/>
                <w:color w:val="auto"/>
                <w:szCs w:val="21"/>
                <w:highlight w:val="none"/>
              </w:rPr>
              <w:t>将支票、汇票、本票或者金融</w:t>
            </w:r>
            <w:r>
              <w:rPr>
                <w:rFonts w:hint="eastAsia" w:ascii="宋体" w:hAnsi="宋体" w:eastAsia="宋体" w:cs="宋体"/>
                <w:color w:val="auto"/>
                <w:szCs w:val="21"/>
                <w:highlight w:val="none"/>
                <w:lang w:eastAsia="zh-CN"/>
              </w:rPr>
              <w:t>机构</w:t>
            </w:r>
            <w:r>
              <w:rPr>
                <w:rFonts w:hint="eastAsia" w:ascii="宋体" w:hAnsi="宋体" w:eastAsia="宋体" w:cs="宋体"/>
                <w:color w:val="auto"/>
                <w:szCs w:val="21"/>
                <w:highlight w:val="none"/>
              </w:rPr>
              <w:t>、担保机构出具的保函</w:t>
            </w:r>
            <w:r>
              <w:rPr>
                <w:rFonts w:hint="eastAsia" w:ascii="宋体" w:hAnsi="宋体" w:eastAsia="宋体" w:cs="宋体"/>
                <w:color w:val="auto"/>
                <w:szCs w:val="21"/>
                <w:highlight w:val="none"/>
                <w:lang w:eastAsia="zh-CN"/>
              </w:rPr>
              <w:t>（</w:t>
            </w:r>
            <w:r>
              <w:rPr>
                <w:rFonts w:hint="eastAsia" w:ascii="宋体" w:hAnsi="宋体" w:eastAsia="宋体" w:cs="宋体"/>
                <w:color w:val="auto"/>
                <w:kern w:val="0"/>
                <w:szCs w:val="21"/>
                <w:highlight w:val="none"/>
                <w:lang w:val="en-US" w:eastAsia="zh-CN"/>
              </w:rPr>
              <w:t>电子保函除外</w:t>
            </w:r>
            <w:r>
              <w:rPr>
                <w:rFonts w:hint="eastAsia" w:ascii="宋体" w:hAnsi="宋体" w:eastAsia="宋体" w:cs="宋体"/>
                <w:color w:val="auto"/>
                <w:szCs w:val="21"/>
                <w:highlight w:val="none"/>
                <w:lang w:eastAsia="zh-CN"/>
              </w:rPr>
              <w:t>）等</w:t>
            </w:r>
            <w:r>
              <w:rPr>
                <w:rFonts w:hint="eastAsia" w:ascii="宋体" w:hAnsi="宋体" w:eastAsia="宋体" w:cs="宋体"/>
                <w:color w:val="auto"/>
                <w:szCs w:val="21"/>
                <w:highlight w:val="none"/>
              </w:rPr>
              <w:t>原件提交给采购代理机构，由采购代理机构向供应商出具回执，并妥善保管。</w:t>
            </w:r>
          </w:p>
          <w:p w14:paraId="2B26A84A">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.磋商保证金指定</w:t>
            </w:r>
            <w:r>
              <w:rPr>
                <w:rFonts w:hint="eastAsia" w:ascii="宋体" w:hAnsi="宋体" w:eastAsia="宋体" w:cs="宋体"/>
                <w:color w:val="auto"/>
                <w:szCs w:val="21"/>
                <w:highlight w:val="none"/>
                <w:lang w:eastAsia="zh-CN"/>
              </w:rPr>
              <w:t>账</w:t>
            </w:r>
            <w:r>
              <w:rPr>
                <w:rFonts w:hint="eastAsia" w:ascii="宋体" w:hAnsi="宋体" w:eastAsia="宋体" w:cs="宋体"/>
                <w:color w:val="auto"/>
                <w:szCs w:val="21"/>
                <w:highlight w:val="none"/>
              </w:rPr>
              <w:t>户：详见竞争性磋商公告。</w:t>
            </w:r>
          </w:p>
          <w:p w14:paraId="3F6A2B15">
            <w:pPr>
              <w:snapToGrid w:val="0"/>
              <w:spacing w:line="360" w:lineRule="auto"/>
              <w:rPr>
                <w:rFonts w:hint="eastAsia" w:ascii="宋体" w:hAnsi="宋体" w:eastAsia="宋体" w:cs="宋体"/>
                <w:b/>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.供应商为联合体的，可以由联合体中的一方或者多方共同</w:t>
            </w:r>
            <w:r>
              <w:rPr>
                <w:rFonts w:hint="eastAsia" w:ascii="宋体" w:hAnsi="宋体" w:eastAsia="宋体" w:cs="宋体"/>
                <w:color w:val="auto"/>
                <w:szCs w:val="21"/>
                <w:highlight w:val="none"/>
                <w:lang w:eastAsia="zh-CN"/>
              </w:rPr>
              <w:t>缴</w:t>
            </w:r>
            <w:r>
              <w:rPr>
                <w:rFonts w:hint="eastAsia" w:ascii="宋体" w:hAnsi="宋体" w:eastAsia="宋体" w:cs="宋体"/>
                <w:color w:val="auto"/>
                <w:szCs w:val="21"/>
                <w:highlight w:val="none"/>
              </w:rPr>
              <w:t>纳磋商保证金，其</w:t>
            </w:r>
            <w:r>
              <w:rPr>
                <w:rFonts w:hint="eastAsia" w:ascii="宋体" w:hAnsi="宋体" w:eastAsia="宋体" w:cs="宋体"/>
                <w:color w:val="auto"/>
                <w:szCs w:val="21"/>
                <w:highlight w:val="none"/>
                <w:lang w:eastAsia="zh-CN"/>
              </w:rPr>
              <w:t>缴</w:t>
            </w:r>
            <w:r>
              <w:rPr>
                <w:rFonts w:hint="eastAsia" w:ascii="宋体" w:hAnsi="宋体" w:eastAsia="宋体" w:cs="宋体"/>
                <w:color w:val="auto"/>
                <w:szCs w:val="21"/>
                <w:highlight w:val="none"/>
              </w:rPr>
              <w:t>纳的磋商保证金对联合体各方均具有约束力。</w:t>
            </w:r>
          </w:p>
          <w:p w14:paraId="3A33E91C">
            <w:pPr>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备注： </w:t>
            </w:r>
          </w:p>
          <w:p w14:paraId="2D71778A">
            <w:pPr>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1.磋商保证金在首次响应文件提交截止时间后提交的，或者不按规定</w:t>
            </w:r>
            <w:r>
              <w:rPr>
                <w:rFonts w:hint="eastAsia" w:ascii="宋体" w:hAnsi="宋体" w:eastAsia="宋体" w:cs="宋体"/>
                <w:b/>
                <w:color w:val="auto"/>
                <w:szCs w:val="21"/>
                <w:highlight w:val="none"/>
                <w:lang w:eastAsia="zh-CN"/>
              </w:rPr>
              <w:t>缴</w:t>
            </w:r>
            <w:r>
              <w:rPr>
                <w:rFonts w:hint="eastAsia" w:ascii="宋体" w:hAnsi="宋体" w:eastAsia="宋体" w:cs="宋体"/>
                <w:b/>
                <w:color w:val="auto"/>
                <w:szCs w:val="21"/>
                <w:highlight w:val="none"/>
              </w:rPr>
              <w:t>纳方式</w:t>
            </w:r>
            <w:r>
              <w:rPr>
                <w:rFonts w:hint="eastAsia" w:ascii="宋体" w:hAnsi="宋体" w:eastAsia="宋体" w:cs="宋体"/>
                <w:b/>
                <w:color w:val="auto"/>
                <w:szCs w:val="21"/>
                <w:highlight w:val="none"/>
                <w:lang w:eastAsia="zh-CN"/>
              </w:rPr>
              <w:t>缴</w:t>
            </w:r>
            <w:r>
              <w:rPr>
                <w:rFonts w:hint="eastAsia" w:ascii="宋体" w:hAnsi="宋体" w:eastAsia="宋体" w:cs="宋体"/>
                <w:b/>
                <w:color w:val="auto"/>
                <w:szCs w:val="21"/>
                <w:highlight w:val="none"/>
              </w:rPr>
              <w:t>纳的，或者未足额</w:t>
            </w:r>
            <w:r>
              <w:rPr>
                <w:rFonts w:hint="eastAsia" w:ascii="宋体" w:hAnsi="宋体" w:eastAsia="宋体" w:cs="宋体"/>
                <w:b/>
                <w:color w:val="auto"/>
                <w:szCs w:val="21"/>
                <w:highlight w:val="none"/>
                <w:lang w:eastAsia="zh-CN"/>
              </w:rPr>
              <w:t>缴</w:t>
            </w:r>
            <w:r>
              <w:rPr>
                <w:rFonts w:hint="eastAsia" w:ascii="宋体" w:hAnsi="宋体" w:eastAsia="宋体" w:cs="宋体"/>
                <w:b/>
                <w:color w:val="auto"/>
                <w:szCs w:val="21"/>
                <w:highlight w:val="none"/>
              </w:rPr>
              <w:t>纳的（包含保函额度不足的），视为无效磋商保证金。</w:t>
            </w:r>
          </w:p>
          <w:p w14:paraId="72DE3EA8">
            <w:pPr>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2.供应商采用现</w:t>
            </w:r>
            <w:r>
              <w:rPr>
                <w:rFonts w:hint="eastAsia" w:ascii="宋体" w:hAnsi="宋体" w:eastAsia="宋体" w:cs="宋体"/>
                <w:b/>
                <w:color w:val="auto"/>
                <w:szCs w:val="21"/>
                <w:highlight w:val="none"/>
                <w:lang w:eastAsia="zh-CN"/>
              </w:rPr>
              <w:t>金</w:t>
            </w:r>
            <w:r>
              <w:rPr>
                <w:rFonts w:hint="eastAsia" w:ascii="宋体" w:hAnsi="宋体" w:eastAsia="宋体" w:cs="宋体"/>
                <w:b/>
                <w:color w:val="auto"/>
                <w:szCs w:val="21"/>
                <w:highlight w:val="none"/>
              </w:rPr>
              <w:t>方式或者从个人账户（自然人竞标除外）转出的磋商保证金，视为无效磋商保证金。</w:t>
            </w:r>
          </w:p>
          <w:p w14:paraId="5395A79C">
            <w:pPr>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3.支票、汇票或者本票出现无效或者背书情形的，视为无效磋商保证金。</w:t>
            </w:r>
          </w:p>
          <w:p w14:paraId="1A97BAA8">
            <w:pPr>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4.保函有效期低于竞标有效期的，视为无效磋商保证金。</w:t>
            </w:r>
          </w:p>
          <w:p w14:paraId="7DF1FAB9">
            <w:pPr>
              <w:autoSpaceDE w:val="0"/>
              <w:autoSpaceDN w:val="0"/>
              <w:snapToGrid w:val="0"/>
              <w:spacing w:line="360" w:lineRule="auto"/>
              <w:textAlignment w:val="bottom"/>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5.采用金融、担保机构出具保函的，必须为无条件保函，否则视为无效磋商保证金。</w:t>
            </w:r>
          </w:p>
        </w:tc>
      </w:tr>
      <w:tr w14:paraId="233F46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963" w:type="dxa"/>
            <w:vMerge w:val="restart"/>
            <w:noWrap w:val="0"/>
            <w:vAlign w:val="center"/>
          </w:tcPr>
          <w:p w14:paraId="29321A0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2135" w:type="dxa"/>
            <w:noWrap w:val="0"/>
            <w:vAlign w:val="center"/>
          </w:tcPr>
          <w:p w14:paraId="06630F6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首次响应文件提交</w:t>
            </w:r>
            <w:r>
              <w:rPr>
                <w:rFonts w:hint="eastAsia" w:ascii="宋体" w:hAnsi="宋体" w:eastAsia="宋体" w:cs="宋体"/>
                <w:color w:val="auto"/>
                <w:szCs w:val="21"/>
                <w:highlight w:val="none"/>
                <w:lang w:eastAsia="zh-CN"/>
              </w:rPr>
              <w:t>截</w:t>
            </w:r>
            <w:r>
              <w:rPr>
                <w:rFonts w:hint="eastAsia" w:ascii="宋体" w:hAnsi="宋体" w:eastAsia="宋体" w:cs="宋体"/>
                <w:color w:val="auto"/>
                <w:szCs w:val="21"/>
                <w:highlight w:val="none"/>
              </w:rPr>
              <w:t>止时间</w:t>
            </w:r>
          </w:p>
        </w:tc>
        <w:tc>
          <w:tcPr>
            <w:tcW w:w="6553" w:type="dxa"/>
            <w:noWrap w:val="0"/>
            <w:vAlign w:val="center"/>
          </w:tcPr>
          <w:p w14:paraId="5BD34023">
            <w:pPr>
              <w:snapToGrid w:val="0"/>
              <w:spacing w:line="360" w:lineRule="auto"/>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28A0AA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963" w:type="dxa"/>
            <w:vMerge w:val="continue"/>
            <w:noWrap w:val="0"/>
            <w:vAlign w:val="center"/>
          </w:tcPr>
          <w:p w14:paraId="0B2CCC87">
            <w:pPr>
              <w:spacing w:line="360" w:lineRule="auto"/>
              <w:jc w:val="center"/>
              <w:rPr>
                <w:rFonts w:hint="eastAsia" w:ascii="宋体" w:hAnsi="宋体" w:eastAsia="宋体" w:cs="宋体"/>
                <w:color w:val="auto"/>
                <w:szCs w:val="21"/>
                <w:highlight w:val="none"/>
              </w:rPr>
            </w:pPr>
          </w:p>
        </w:tc>
        <w:tc>
          <w:tcPr>
            <w:tcW w:w="2135" w:type="dxa"/>
            <w:noWrap w:val="0"/>
            <w:vAlign w:val="center"/>
          </w:tcPr>
          <w:p w14:paraId="65F441F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r>
              <w:rPr>
                <w:rFonts w:hint="eastAsia" w:ascii="宋体" w:hAnsi="宋体" w:eastAsia="宋体" w:cs="宋体"/>
                <w:color w:val="auto"/>
                <w:szCs w:val="21"/>
                <w:highlight w:val="none"/>
                <w:lang w:eastAsia="zh-CN"/>
              </w:rPr>
              <w:t>开启</w:t>
            </w:r>
            <w:r>
              <w:rPr>
                <w:rFonts w:hint="eastAsia" w:ascii="宋体" w:hAnsi="宋体" w:eastAsia="宋体" w:cs="宋体"/>
                <w:color w:val="auto"/>
                <w:szCs w:val="21"/>
                <w:highlight w:val="none"/>
              </w:rPr>
              <w:t>时间</w:t>
            </w:r>
          </w:p>
        </w:tc>
        <w:tc>
          <w:tcPr>
            <w:tcW w:w="6553" w:type="dxa"/>
            <w:noWrap w:val="0"/>
            <w:vAlign w:val="center"/>
          </w:tcPr>
          <w:p w14:paraId="1E212D81">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详见竞争性磋商公告。</w:t>
            </w:r>
          </w:p>
        </w:tc>
      </w:tr>
      <w:tr w14:paraId="15224D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63" w:type="dxa"/>
            <w:vMerge w:val="continue"/>
            <w:noWrap w:val="0"/>
            <w:vAlign w:val="center"/>
          </w:tcPr>
          <w:p w14:paraId="2BF675BD">
            <w:pPr>
              <w:spacing w:line="360" w:lineRule="auto"/>
              <w:jc w:val="center"/>
              <w:rPr>
                <w:rFonts w:hint="eastAsia" w:ascii="宋体" w:hAnsi="宋体" w:eastAsia="宋体" w:cs="宋体"/>
                <w:color w:val="auto"/>
                <w:szCs w:val="21"/>
                <w:highlight w:val="none"/>
              </w:rPr>
            </w:pPr>
          </w:p>
        </w:tc>
        <w:tc>
          <w:tcPr>
            <w:tcW w:w="2135" w:type="dxa"/>
            <w:noWrap w:val="0"/>
            <w:vAlign w:val="center"/>
          </w:tcPr>
          <w:p w14:paraId="4748150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首次响应文件提交地点</w:t>
            </w:r>
          </w:p>
        </w:tc>
        <w:tc>
          <w:tcPr>
            <w:tcW w:w="6553" w:type="dxa"/>
            <w:noWrap w:val="0"/>
            <w:vAlign w:val="center"/>
          </w:tcPr>
          <w:p w14:paraId="3DF6E1D1">
            <w:pPr>
              <w:snapToGrid w:val="0"/>
              <w:spacing w:line="360" w:lineRule="auto"/>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53D74B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63" w:type="dxa"/>
            <w:noWrap w:val="0"/>
            <w:vAlign w:val="center"/>
          </w:tcPr>
          <w:p w14:paraId="69B3AC5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20.6</w:t>
            </w:r>
          </w:p>
        </w:tc>
        <w:tc>
          <w:tcPr>
            <w:tcW w:w="2135" w:type="dxa"/>
            <w:noWrap w:val="0"/>
            <w:vAlign w:val="center"/>
          </w:tcPr>
          <w:p w14:paraId="52D9B0F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备份响应文件</w:t>
            </w:r>
          </w:p>
        </w:tc>
        <w:tc>
          <w:tcPr>
            <w:tcW w:w="6553" w:type="dxa"/>
            <w:noWrap w:val="0"/>
            <w:vAlign w:val="center"/>
          </w:tcPr>
          <w:p w14:paraId="4A898C48">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本项目不接受备份响应文件。</w:t>
            </w:r>
          </w:p>
        </w:tc>
      </w:tr>
      <w:tr w14:paraId="21B0EB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63" w:type="dxa"/>
            <w:noWrap w:val="0"/>
            <w:vAlign w:val="center"/>
          </w:tcPr>
          <w:p w14:paraId="6C1272C0">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w:t>
            </w:r>
            <w:r>
              <w:rPr>
                <w:rFonts w:hint="default" w:ascii="宋体" w:hAnsi="宋体" w:eastAsia="宋体" w:cs="宋体"/>
                <w:color w:val="auto"/>
                <w:szCs w:val="21"/>
                <w:highlight w:val="none"/>
                <w:lang w:val="en-US"/>
              </w:rPr>
              <w:t>1</w:t>
            </w:r>
          </w:p>
        </w:tc>
        <w:tc>
          <w:tcPr>
            <w:tcW w:w="2135" w:type="dxa"/>
            <w:noWrap w:val="0"/>
            <w:vAlign w:val="center"/>
          </w:tcPr>
          <w:p w14:paraId="7648671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首次响应文件的</w:t>
            </w:r>
            <w:r>
              <w:rPr>
                <w:rFonts w:hint="eastAsia" w:ascii="宋体" w:hAnsi="宋体" w:eastAsia="宋体" w:cs="宋体"/>
                <w:b w:val="0"/>
                <w:bCs w:val="0"/>
                <w:color w:val="auto"/>
                <w:sz w:val="21"/>
                <w:szCs w:val="21"/>
                <w:highlight w:val="none"/>
              </w:rPr>
              <w:t>补充、修改与撤回</w:t>
            </w:r>
          </w:p>
        </w:tc>
        <w:tc>
          <w:tcPr>
            <w:tcW w:w="6553" w:type="dxa"/>
            <w:noWrap w:val="0"/>
            <w:vAlign w:val="center"/>
          </w:tcPr>
          <w:p w14:paraId="21552895">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w:t>
            </w:r>
            <w:r>
              <w:rPr>
                <w:rFonts w:hint="eastAsia" w:ascii="宋体" w:hAnsi="宋体" w:eastAsia="宋体"/>
                <w:b w:val="0"/>
                <w:bCs/>
                <w:color w:val="auto"/>
                <w:highlight w:val="none"/>
              </w:rPr>
              <w:t>供应商须知正文</w:t>
            </w:r>
            <w:r>
              <w:rPr>
                <w:rFonts w:hint="eastAsia" w:ascii="宋体" w:hAnsi="宋体" w:eastAsia="宋体" w:cs="宋体"/>
                <w:color w:val="auto"/>
                <w:szCs w:val="21"/>
                <w:highlight w:val="none"/>
              </w:rPr>
              <w:t>。</w:t>
            </w:r>
          </w:p>
        </w:tc>
      </w:tr>
      <w:tr w14:paraId="7FCD63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restart"/>
            <w:noWrap w:val="0"/>
            <w:vAlign w:val="center"/>
          </w:tcPr>
          <w:p w14:paraId="425FBC73">
            <w:pPr>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25</w:t>
            </w:r>
          </w:p>
        </w:tc>
        <w:tc>
          <w:tcPr>
            <w:tcW w:w="2135" w:type="dxa"/>
            <w:noWrap w:val="0"/>
            <w:vAlign w:val="center"/>
          </w:tcPr>
          <w:p w14:paraId="0C81BEBF">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方法</w:t>
            </w:r>
          </w:p>
        </w:tc>
        <w:tc>
          <w:tcPr>
            <w:tcW w:w="6553" w:type="dxa"/>
            <w:noWrap w:val="0"/>
            <w:vAlign w:val="center"/>
          </w:tcPr>
          <w:p w14:paraId="6DC5C256">
            <w:pPr>
              <w:widowControl w:val="0"/>
              <w:spacing w:line="360" w:lineRule="auto"/>
              <w:jc w:val="left"/>
              <w:rPr>
                <w:rFonts w:hint="eastAsia" w:ascii="宋体" w:hAnsi="宋体" w:eastAsia="宋体" w:cs="宋体"/>
                <w:b/>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本项目采用综合评分法。综合评分法是指响应文件满足竞争性磋商文件全部实质性要求且按评审因素的量化指标评审得分最高的供应商为成交候选供应商的评审方法。</w:t>
            </w:r>
          </w:p>
        </w:tc>
      </w:tr>
      <w:tr w14:paraId="57143E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continue"/>
            <w:noWrap w:val="0"/>
            <w:vAlign w:val="center"/>
          </w:tcPr>
          <w:p w14:paraId="032720F2">
            <w:pPr>
              <w:spacing w:line="360" w:lineRule="auto"/>
              <w:jc w:val="center"/>
              <w:rPr>
                <w:rFonts w:hint="default" w:ascii="宋体" w:hAnsi="宋体" w:eastAsia="宋体" w:cs="宋体"/>
                <w:color w:val="auto"/>
                <w:szCs w:val="21"/>
                <w:highlight w:val="none"/>
                <w:lang w:val="en-US" w:eastAsia="zh-CN"/>
              </w:rPr>
            </w:pPr>
          </w:p>
        </w:tc>
        <w:tc>
          <w:tcPr>
            <w:tcW w:w="2135" w:type="dxa"/>
            <w:noWrap w:val="0"/>
            <w:vAlign w:val="center"/>
          </w:tcPr>
          <w:p w14:paraId="5D0BA847">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磋商的顺序</w:t>
            </w:r>
          </w:p>
        </w:tc>
        <w:tc>
          <w:tcPr>
            <w:tcW w:w="6553" w:type="dxa"/>
            <w:noWrap w:val="0"/>
            <w:vAlign w:val="center"/>
          </w:tcPr>
          <w:p w14:paraId="4FCFF7B3">
            <w:pPr>
              <w:widowControl w:val="0"/>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按照提交首次响应文件的顺序，通知磋商时，若某供应商不在通知现场时，该供应商排序到最后磋商，按照签到的顺序由其下一位供应商先参与磋商。</w:t>
            </w:r>
          </w:p>
          <w:p w14:paraId="791E21AB">
            <w:pPr>
              <w:snapToGrid w:val="0"/>
              <w:spacing w:line="360" w:lineRule="auto"/>
              <w:rPr>
                <w:rFonts w:hint="eastAsia" w:ascii="宋体" w:hAnsi="宋体" w:eastAsia="宋体" w:cs="宋体"/>
                <w:b/>
                <w:color w:val="auto"/>
                <w:kern w:val="2"/>
                <w:sz w:val="21"/>
                <w:szCs w:val="21"/>
                <w:highlight w:val="none"/>
                <w:lang w:val="en-US" w:eastAsia="zh-CN" w:bidi="ar-SA"/>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随机排序。</w:t>
            </w:r>
          </w:p>
        </w:tc>
      </w:tr>
      <w:tr w14:paraId="0E8050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0D0E1D66">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7</w:t>
            </w:r>
          </w:p>
        </w:tc>
        <w:tc>
          <w:tcPr>
            <w:tcW w:w="2135" w:type="dxa"/>
            <w:noWrap w:val="0"/>
            <w:vAlign w:val="center"/>
          </w:tcPr>
          <w:p w14:paraId="6EC8850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6553" w:type="dxa"/>
            <w:noWrap w:val="0"/>
            <w:vAlign w:val="center"/>
          </w:tcPr>
          <w:p w14:paraId="1E8841C0">
            <w:pPr>
              <w:snapToGrid/>
              <w:spacing w:line="360" w:lineRule="auto"/>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eastAsia="zh-CN"/>
              </w:rPr>
              <w:t>履约保证金金额：按项目成交总金额的2%收取。</w:t>
            </w:r>
          </w:p>
          <w:p w14:paraId="27E7066E">
            <w:pPr>
              <w:snapToGrid/>
              <w:spacing w:line="360" w:lineRule="auto"/>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eastAsia="zh-CN"/>
              </w:rPr>
              <w:t>2.履约保证金递交方式：成交人在签订合同前以银行转账、支票、汇票、本票或者金融机构、担保机构出具的保函等非现金方式向采购人提交。</w:t>
            </w:r>
          </w:p>
          <w:p w14:paraId="4EC806A9">
            <w:pPr>
              <w:snapToGrid/>
              <w:spacing w:line="360" w:lineRule="auto"/>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eastAsia="zh-CN"/>
              </w:rPr>
              <w:t>3.履约保证金退付方式、时间及条件：成交人按磋商文件、响应文件、本合同约定或采购人要求完成全部服务内容，服务期限届满，服务成果经采购人全部验收合格且成交人无违约情形的，由成交人向采购人提供审签完成的《广西壮族自治区政府采购项目合同验收书》（格式见详见第五章，规定详见桂财采〔2015〕22号）及《政府采购项目履约保证金退付意见书》（格式见详见第五章），采购人在收到成交人的申请材料，并审核材料合格后5个工作日内办理退还手续（不计利息）。</w:t>
            </w:r>
          </w:p>
          <w:p w14:paraId="453829FA">
            <w:pPr>
              <w:snapToGrid/>
              <w:spacing w:line="360" w:lineRule="auto"/>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eastAsia="zh-CN"/>
              </w:rPr>
              <w:t>4.缴纳履约保证金的指定账户：</w:t>
            </w:r>
          </w:p>
          <w:p w14:paraId="0E8E495F">
            <w:pPr>
              <w:snapToGrid/>
              <w:spacing w:line="360" w:lineRule="auto"/>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eastAsia="zh-CN"/>
              </w:rPr>
              <w:t>开户名称：广西信访信息中心</w:t>
            </w:r>
          </w:p>
          <w:p w14:paraId="46E07DA2">
            <w:pPr>
              <w:snapToGrid/>
              <w:spacing w:line="360" w:lineRule="auto"/>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eastAsia="zh-CN"/>
              </w:rPr>
              <w:t xml:space="preserve">开户银行：建行南宁新城支行 </w:t>
            </w:r>
          </w:p>
          <w:p w14:paraId="78A4419B">
            <w:pPr>
              <w:snapToGrid/>
              <w:spacing w:line="360" w:lineRule="auto"/>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eastAsia="zh-CN"/>
              </w:rPr>
              <w:t>银行账号：45050160425500000535</w:t>
            </w:r>
          </w:p>
          <w:p w14:paraId="063EC140">
            <w:pPr>
              <w:snapToGrid/>
              <w:spacing w:line="360" w:lineRule="auto"/>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eastAsia="zh-CN"/>
              </w:rPr>
              <w:t>备注：</w:t>
            </w:r>
          </w:p>
          <w:p w14:paraId="4EC3D5FA">
            <w:pPr>
              <w:snapToGrid/>
              <w:spacing w:line="360" w:lineRule="auto"/>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eastAsia="zh-CN"/>
              </w:rPr>
              <w:t>1. 根据《广西壮族自治区财政厅关于贯彻落实政府采购优化营商环境百日攻坚行动方案的通知》（桂财采〔2020〕49号）和《广西壮族自治区财政厅关于规范政府采购货物和服务项目保证金管理的通知》（桂财规〔2022〕8号）规定，鼓励采购人在与中小微企业签订政府采购合同时，减少或免于收取履约保证金，有必要收取履约保证金的，收取的履约保证金不得超过政府采购合同金额的5%，对中小企业收取的履约保证金数额不得超过政府采购合同金额的2%。</w:t>
            </w:r>
          </w:p>
          <w:p w14:paraId="556D62A8">
            <w:pPr>
              <w:snapToGrid/>
              <w:spacing w:line="360" w:lineRule="auto"/>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eastAsia="zh-CN"/>
              </w:rPr>
              <w:t>2.履约保证金不足额缴纳的（包含保函额度不足的），或者不按规定提交方式提交的，或者保函有效期低于合同履行期限的（即合同中规定的当事人履行自己的义务，如交付标的物、价款或者报酬，履行劳务、完成工作的时间界限）的，视为未按规定提交履约保证金。</w:t>
            </w:r>
          </w:p>
          <w:p w14:paraId="78340721">
            <w:pPr>
              <w:snapToGrid/>
              <w:spacing w:line="360" w:lineRule="auto"/>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eastAsia="zh-CN"/>
              </w:rPr>
              <w:t>3.采用金融、担保机构出具保函的，必须为无条件保函，否则视为未按规定提交履约保证金。</w:t>
            </w:r>
          </w:p>
          <w:p w14:paraId="454D1D84">
            <w:pPr>
              <w:snapToGrid/>
              <w:spacing w:line="360" w:lineRule="auto"/>
              <w:rPr>
                <w:rFonts w:hint="eastAsia" w:ascii="宋体" w:hAnsi="宋体" w:eastAsia="宋体" w:cs="宋体"/>
                <w:color w:val="auto"/>
                <w:szCs w:val="21"/>
                <w:highlight w:val="none"/>
              </w:rPr>
            </w:pPr>
            <w:r>
              <w:rPr>
                <w:rFonts w:hint="eastAsia" w:ascii="宋体" w:hAnsi="宋体" w:cs="宋体"/>
                <w:b/>
                <w:bCs/>
                <w:color w:val="auto"/>
                <w:szCs w:val="21"/>
                <w:highlight w:val="none"/>
                <w:lang w:eastAsia="zh-CN"/>
              </w:rPr>
              <w:t>4.供应商为联合体的，可由联合体任意一方或者联合体各方共同提交的履约保证金，视为有效履约保证金。</w:t>
            </w:r>
          </w:p>
        </w:tc>
      </w:tr>
      <w:tr w14:paraId="1E2E92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0DD5605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.5</w:t>
            </w:r>
          </w:p>
        </w:tc>
        <w:tc>
          <w:tcPr>
            <w:tcW w:w="2135" w:type="dxa"/>
            <w:noWrap w:val="0"/>
            <w:vAlign w:val="center"/>
          </w:tcPr>
          <w:p w14:paraId="2757244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签订合同携带的材料</w:t>
            </w:r>
          </w:p>
        </w:tc>
        <w:tc>
          <w:tcPr>
            <w:tcW w:w="6553" w:type="dxa"/>
            <w:noWrap w:val="0"/>
            <w:vAlign w:val="center"/>
          </w:tcPr>
          <w:p w14:paraId="32F9683A">
            <w:pPr>
              <w:autoSpaceDE w:val="0"/>
              <w:autoSpaceDN w:val="0"/>
              <w:snapToGrid w:val="0"/>
              <w:spacing w:line="360" w:lineRule="auto"/>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委托代理人负责签订合同的，须携带</w:t>
            </w:r>
            <w:r>
              <w:rPr>
                <w:rFonts w:hint="eastAsia" w:ascii="宋体" w:hAnsi="宋体" w:eastAsia="宋体" w:cs="宋体"/>
                <w:color w:val="auto"/>
                <w:szCs w:val="21"/>
                <w:highlight w:val="none"/>
                <w:lang w:eastAsia="zh-CN"/>
              </w:rPr>
              <w:t>有效的法定代表人</w:t>
            </w:r>
            <w:r>
              <w:rPr>
                <w:rFonts w:hint="eastAsia" w:ascii="宋体" w:hAnsi="宋体" w:eastAsia="宋体" w:cs="宋体"/>
                <w:color w:val="auto"/>
                <w:szCs w:val="21"/>
                <w:highlight w:val="none"/>
              </w:rPr>
              <w:t>授权委托书及</w:t>
            </w:r>
            <w:r>
              <w:rPr>
                <w:rFonts w:hint="eastAsia" w:ascii="宋体" w:hAnsi="宋体" w:eastAsia="宋体" w:cs="宋体"/>
                <w:color w:val="auto"/>
                <w:szCs w:val="21"/>
                <w:highlight w:val="none"/>
                <w:lang w:eastAsia="zh-CN"/>
              </w:rPr>
              <w:t>其</w:t>
            </w:r>
            <w:r>
              <w:rPr>
                <w:rFonts w:hint="eastAsia" w:ascii="宋体" w:hAnsi="宋体" w:eastAsia="宋体" w:cs="宋体"/>
                <w:color w:val="auto"/>
                <w:szCs w:val="21"/>
                <w:highlight w:val="none"/>
              </w:rPr>
              <w:t>委托代理人身份证原件等</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资格证件。</w:t>
            </w:r>
          </w:p>
          <w:p w14:paraId="2DFD851B">
            <w:pPr>
              <w:snapToGrid w:val="0"/>
              <w:spacing w:line="360" w:lineRule="auto"/>
              <w:rPr>
                <w:rFonts w:hint="eastAsia" w:ascii="宋体" w:hAnsi="宋体" w:eastAsia="宋体" w:cs="宋体"/>
                <w:b/>
                <w:bCs/>
                <w:i/>
                <w:iCs/>
                <w:color w:val="auto"/>
                <w:szCs w:val="21"/>
                <w:highlight w:val="none"/>
                <w:lang w:eastAsia="zh-CN"/>
              </w:rPr>
            </w:pPr>
            <w:r>
              <w:rPr>
                <w:rFonts w:hint="eastAsia" w:ascii="宋体" w:hAnsi="宋体" w:eastAsia="宋体" w:cs="宋体"/>
                <w:color w:val="auto"/>
                <w:szCs w:val="21"/>
                <w:highlight w:val="none"/>
              </w:rPr>
              <w:t>法定代表人负责签订合同的，须携带法定代表人身份证明原件及身份证原件等</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证明材料。</w:t>
            </w:r>
          </w:p>
        </w:tc>
      </w:tr>
      <w:tr w14:paraId="54979B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restart"/>
            <w:noWrap w:val="0"/>
            <w:vAlign w:val="center"/>
          </w:tcPr>
          <w:p w14:paraId="5FF0BF1B">
            <w:pPr>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.2</w:t>
            </w:r>
          </w:p>
        </w:tc>
        <w:tc>
          <w:tcPr>
            <w:tcW w:w="2135" w:type="dxa"/>
            <w:noWrap w:val="0"/>
            <w:vAlign w:val="center"/>
          </w:tcPr>
          <w:p w14:paraId="353FEC72">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接收质疑函方式</w:t>
            </w:r>
          </w:p>
        </w:tc>
        <w:tc>
          <w:tcPr>
            <w:tcW w:w="6553" w:type="dxa"/>
            <w:noWrap w:val="0"/>
            <w:vAlign w:val="center"/>
          </w:tcPr>
          <w:p w14:paraId="0FE45587">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以书面形式</w:t>
            </w:r>
          </w:p>
        </w:tc>
      </w:tr>
      <w:tr w14:paraId="688176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continue"/>
            <w:noWrap w:val="0"/>
            <w:vAlign w:val="center"/>
          </w:tcPr>
          <w:p w14:paraId="3ADC0061">
            <w:pPr>
              <w:spacing w:line="360" w:lineRule="auto"/>
              <w:jc w:val="center"/>
              <w:rPr>
                <w:rFonts w:hint="eastAsia" w:ascii="宋体" w:hAnsi="宋体" w:eastAsia="宋体" w:cs="宋体"/>
                <w:color w:val="auto"/>
                <w:szCs w:val="21"/>
                <w:highlight w:val="none"/>
              </w:rPr>
            </w:pPr>
          </w:p>
        </w:tc>
        <w:tc>
          <w:tcPr>
            <w:tcW w:w="2135" w:type="dxa"/>
            <w:noWrap w:val="0"/>
            <w:vAlign w:val="center"/>
          </w:tcPr>
          <w:p w14:paraId="672F2EC8">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质疑联系部门及联系</w:t>
            </w:r>
          </w:p>
          <w:p w14:paraId="2E9EFD6A">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方式</w:t>
            </w:r>
          </w:p>
        </w:tc>
        <w:tc>
          <w:tcPr>
            <w:tcW w:w="6553" w:type="dxa"/>
            <w:noWrap w:val="0"/>
            <w:vAlign w:val="center"/>
          </w:tcPr>
          <w:p w14:paraId="2768B36C">
            <w:pPr>
              <w:snapToGrid w:val="0"/>
              <w:spacing w:line="38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bookmarkStart w:id="76" w:name="PO_3000001868_PM031_3"/>
            <w:r>
              <w:rPr>
                <w:rFonts w:hint="eastAsia" w:ascii="宋体" w:hAnsi="宋体" w:eastAsia="宋体" w:cs="宋体"/>
                <w:color w:val="auto"/>
                <w:szCs w:val="21"/>
                <w:highlight w:val="none"/>
                <w:lang w:eastAsia="zh-CN"/>
              </w:rPr>
              <w:t>名称：</w:t>
            </w:r>
            <w:bookmarkEnd w:id="76"/>
            <w:r>
              <w:rPr>
                <w:rFonts w:hint="eastAsia" w:ascii="宋体" w:hAnsi="宋体" w:cs="宋体"/>
                <w:i w:val="0"/>
                <w:iCs w:val="0"/>
                <w:color w:val="auto"/>
                <w:szCs w:val="21"/>
                <w:highlight w:val="none"/>
                <w:lang w:eastAsia="zh-CN"/>
              </w:rPr>
              <w:t xml:space="preserve">广西信访信息中心 </w:t>
            </w:r>
          </w:p>
          <w:p w14:paraId="5122F30D">
            <w:pPr>
              <w:snapToGrid w:val="0"/>
              <w:spacing w:line="380" w:lineRule="exact"/>
              <w:rPr>
                <w:rFonts w:hint="default" w:ascii="宋体" w:hAnsi="宋体" w:cs="宋体"/>
                <w:i w:val="0"/>
                <w:iCs w:val="0"/>
                <w:color w:val="auto"/>
                <w:szCs w:val="21"/>
                <w:highlight w:val="none"/>
                <w:lang w:val="en-US" w:eastAsia="zh-CN"/>
              </w:rPr>
            </w:pPr>
            <w:r>
              <w:rPr>
                <w:rFonts w:hint="eastAsia" w:ascii="宋体" w:hAnsi="宋体" w:cs="宋体"/>
                <w:i w:val="0"/>
                <w:iCs w:val="0"/>
                <w:color w:val="auto"/>
                <w:szCs w:val="21"/>
                <w:highlight w:val="none"/>
                <w:lang w:eastAsia="zh-CN"/>
              </w:rPr>
              <w:t xml:space="preserve">联系电话：0771-5896192   </w:t>
            </w:r>
          </w:p>
          <w:p w14:paraId="7BACCDB5">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通讯地址：南宁市青秀区七星路133号</w:t>
            </w:r>
          </w:p>
          <w:p w14:paraId="35742DC4">
            <w:pPr>
              <w:snapToGrid w:val="0"/>
              <w:spacing w:line="38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名称：</w:t>
            </w:r>
            <w:r>
              <w:rPr>
                <w:rFonts w:hint="eastAsia" w:ascii="宋体" w:hAnsi="宋体" w:eastAsia="宋体" w:cs="宋体"/>
                <w:i w:val="0"/>
                <w:iCs w:val="0"/>
                <w:color w:val="auto"/>
                <w:szCs w:val="21"/>
                <w:highlight w:val="none"/>
                <w:lang w:eastAsia="zh-CN"/>
              </w:rPr>
              <w:t>广西科联招标中心有限公司</w:t>
            </w:r>
          </w:p>
          <w:p w14:paraId="5A3E030C">
            <w:pPr>
              <w:snapToGrid w:val="0"/>
              <w:spacing w:line="38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联系电话：0771-3486228</w:t>
            </w:r>
          </w:p>
          <w:p w14:paraId="3CAD6711">
            <w:pPr>
              <w:snapToGrid w:val="0"/>
              <w:spacing w:line="38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通讯地址：广西南宁市大学东路170号广西科联招标中心有限公司102室</w:t>
            </w:r>
          </w:p>
        </w:tc>
      </w:tr>
      <w:tr w14:paraId="56B81E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continue"/>
            <w:noWrap w:val="0"/>
            <w:vAlign w:val="center"/>
          </w:tcPr>
          <w:p w14:paraId="32AB72AB">
            <w:pPr>
              <w:spacing w:line="360" w:lineRule="auto"/>
              <w:jc w:val="center"/>
              <w:rPr>
                <w:rFonts w:hint="eastAsia" w:ascii="宋体" w:hAnsi="宋体" w:eastAsia="宋体" w:cs="宋体"/>
                <w:color w:val="auto"/>
                <w:szCs w:val="21"/>
                <w:highlight w:val="none"/>
              </w:rPr>
            </w:pPr>
          </w:p>
        </w:tc>
        <w:tc>
          <w:tcPr>
            <w:tcW w:w="2135" w:type="dxa"/>
            <w:noWrap w:val="0"/>
            <w:vAlign w:val="center"/>
          </w:tcPr>
          <w:p w14:paraId="7B996B81">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highlight w:val="none"/>
              </w:rPr>
              <w:t>现场提交质疑办理业务时间</w:t>
            </w:r>
          </w:p>
        </w:tc>
        <w:tc>
          <w:tcPr>
            <w:tcW w:w="6553" w:type="dxa"/>
            <w:noWrap w:val="0"/>
            <w:vAlign w:val="center"/>
          </w:tcPr>
          <w:p w14:paraId="2BD35FAF">
            <w:pPr>
              <w:snapToGrid w:val="0"/>
              <w:spacing w:line="380" w:lineRule="exact"/>
              <w:rPr>
                <w:rFonts w:hint="eastAsia" w:ascii="宋体" w:hAnsi="宋体" w:eastAsia="宋体" w:cs="宋体"/>
                <w:color w:val="auto"/>
                <w:szCs w:val="21"/>
                <w:highlight w:val="none"/>
                <w:lang w:eastAsia="zh-CN"/>
              </w:rPr>
            </w:pPr>
            <w:r>
              <w:rPr>
                <w:rFonts w:hint="eastAsia" w:ascii="宋体" w:hAnsi="宋体" w:eastAsia="宋体" w:cs="宋体"/>
                <w:color w:val="auto"/>
                <w:highlight w:val="none"/>
              </w:rPr>
              <w:t>质疑期内每个工作日</w:t>
            </w:r>
            <w:r>
              <w:rPr>
                <w:rFonts w:hint="eastAsia" w:ascii="宋体" w:hAnsi="宋体" w:eastAsia="宋体" w:cs="宋体"/>
                <w:color w:val="auto"/>
                <w:sz w:val="21"/>
                <w:highlight w:val="none"/>
                <w:lang w:val="en-US" w:eastAsia="zh-CN"/>
              </w:rPr>
              <w:t>（北京时间）</w:t>
            </w:r>
            <w:r>
              <w:rPr>
                <w:rFonts w:hint="eastAsia" w:ascii="宋体" w:hAnsi="宋体" w:eastAsia="宋体" w:cs="宋体"/>
                <w:color w:val="auto"/>
                <w:highlight w:val="none"/>
              </w:rPr>
              <w:t>上午</w:t>
            </w:r>
            <w:r>
              <w:rPr>
                <w:rFonts w:hint="eastAsia" w:ascii="宋体" w:hAnsi="宋体" w:eastAsia="宋体" w:cs="宋体"/>
                <w:color w:val="auto"/>
                <w:highlight w:val="none"/>
                <w:u w:val="single"/>
                <w:lang w:val="en-US"/>
              </w:rPr>
              <w:t>8</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lang w:val="en-US"/>
              </w:rPr>
              <w:t>12</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rPr>
              <w:t>00</w:t>
            </w:r>
            <w:r>
              <w:rPr>
                <w:rFonts w:hint="eastAsia" w:ascii="宋体" w:hAnsi="宋体" w:eastAsia="宋体" w:cs="宋体"/>
                <w:color w:val="auto"/>
                <w:highlight w:val="none"/>
              </w:rPr>
              <w:t>分，</w:t>
            </w:r>
            <w:r>
              <w:rPr>
                <w:rFonts w:hint="eastAsia" w:ascii="宋体" w:hAnsi="宋体" w:eastAsia="宋体" w:cs="宋体"/>
                <w:color w:val="auto"/>
                <w:highlight w:val="none"/>
                <w:lang w:eastAsia="zh-CN"/>
              </w:rPr>
              <w:t>下午</w:t>
            </w:r>
            <w:r>
              <w:rPr>
                <w:rFonts w:hint="eastAsia" w:ascii="宋体" w:hAnsi="宋体" w:eastAsia="宋体" w:cs="宋体"/>
                <w:color w:val="auto"/>
                <w:highlight w:val="none"/>
                <w:u w:val="single"/>
                <w:lang w:val="en-US"/>
              </w:rPr>
              <w:t>15</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18</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w:t>
            </w:r>
            <w:r>
              <w:rPr>
                <w:rFonts w:hint="eastAsia" w:ascii="宋体" w:hAnsi="宋体" w:eastAsia="宋体" w:cs="宋体"/>
                <w:color w:val="auto"/>
                <w:highlight w:val="none"/>
                <w:lang w:eastAsia="zh-CN"/>
              </w:rPr>
              <w:t>。</w:t>
            </w:r>
          </w:p>
        </w:tc>
      </w:tr>
      <w:tr w14:paraId="40374C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74E945D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.6</w:t>
            </w:r>
          </w:p>
        </w:tc>
        <w:tc>
          <w:tcPr>
            <w:tcW w:w="2135" w:type="dxa"/>
            <w:noWrap w:val="0"/>
            <w:vAlign w:val="center"/>
          </w:tcPr>
          <w:p w14:paraId="375D577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受理投诉方式</w:t>
            </w:r>
          </w:p>
        </w:tc>
        <w:tc>
          <w:tcPr>
            <w:tcW w:w="6553" w:type="dxa"/>
            <w:noWrap w:val="0"/>
            <w:vAlign w:val="center"/>
          </w:tcPr>
          <w:p w14:paraId="7ADCA1DD">
            <w:pPr>
              <w:snapToGrid w:val="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1、受理方式：纸质方式受理，投诉书正、副本（经过质疑的事项才可投诉）。</w:t>
            </w:r>
          </w:p>
          <w:p w14:paraId="4953D083">
            <w:pPr>
              <w:snapToGrid w:val="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eastAsia="zh-CN"/>
              </w:rPr>
              <w:t>通讯方式</w:t>
            </w:r>
          </w:p>
          <w:p w14:paraId="76A7AC50">
            <w:pPr>
              <w:snapToGrid w:val="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名称：广西壮族自治区财政厅 </w:t>
            </w:r>
          </w:p>
          <w:p w14:paraId="6B3E092B">
            <w:pPr>
              <w:snapToGrid w:val="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地址：南宁市青秀区桃源路69号 </w:t>
            </w:r>
          </w:p>
          <w:p w14:paraId="701F4033">
            <w:pPr>
              <w:snapToGrid w:val="0"/>
              <w:spacing w:line="38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rPr>
              <w:t>联系电话：0771-5331544</w:t>
            </w:r>
          </w:p>
        </w:tc>
      </w:tr>
      <w:tr w14:paraId="0079E5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3AA8FAA2">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2</w:t>
            </w:r>
          </w:p>
        </w:tc>
        <w:tc>
          <w:tcPr>
            <w:tcW w:w="2135" w:type="dxa"/>
            <w:noWrap w:val="0"/>
            <w:vAlign w:val="center"/>
          </w:tcPr>
          <w:p w14:paraId="6DDA62D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w:t>
            </w:r>
            <w:r>
              <w:rPr>
                <w:rFonts w:hint="eastAsia" w:ascii="宋体" w:hAnsi="宋体" w:eastAsia="宋体" w:cs="宋体"/>
                <w:color w:val="auto"/>
                <w:szCs w:val="21"/>
                <w:highlight w:val="none"/>
                <w:lang w:eastAsia="zh-CN"/>
              </w:rPr>
              <w:t>服务</w:t>
            </w:r>
            <w:r>
              <w:rPr>
                <w:rFonts w:hint="eastAsia" w:ascii="宋体" w:hAnsi="宋体" w:eastAsia="宋体" w:cs="宋体"/>
                <w:color w:val="auto"/>
                <w:szCs w:val="21"/>
                <w:highlight w:val="none"/>
              </w:rPr>
              <w:t>费</w:t>
            </w:r>
          </w:p>
        </w:tc>
        <w:tc>
          <w:tcPr>
            <w:tcW w:w="6553" w:type="dxa"/>
            <w:noWrap w:val="0"/>
            <w:vAlign w:val="center"/>
          </w:tcPr>
          <w:p w14:paraId="6FB12420">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 是否收取采购代理</w:t>
            </w:r>
            <w:r>
              <w:rPr>
                <w:rFonts w:hint="eastAsia" w:ascii="宋体" w:hAnsi="宋体" w:eastAsia="宋体" w:cs="宋体"/>
                <w:color w:val="auto"/>
                <w:kern w:val="0"/>
                <w:szCs w:val="21"/>
                <w:highlight w:val="none"/>
                <w:lang w:eastAsia="zh-CN"/>
              </w:rPr>
              <w:t>服务</w:t>
            </w:r>
            <w:r>
              <w:rPr>
                <w:rFonts w:hint="eastAsia" w:ascii="宋体" w:hAnsi="宋体" w:eastAsia="宋体" w:cs="宋体"/>
                <w:color w:val="auto"/>
                <w:kern w:val="0"/>
                <w:szCs w:val="21"/>
                <w:highlight w:val="none"/>
              </w:rPr>
              <w:t>费：</w:t>
            </w:r>
          </w:p>
          <w:p w14:paraId="491B17BA">
            <w:pPr>
              <w:snapToGrid w:val="0"/>
              <w:spacing w:line="360" w:lineRule="auto"/>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是    □ 否</w:t>
            </w:r>
          </w:p>
          <w:p w14:paraId="66E5C9B8">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2.采购代理</w:t>
            </w:r>
            <w:r>
              <w:rPr>
                <w:rFonts w:hint="eastAsia" w:ascii="宋体" w:hAnsi="宋体" w:eastAsia="宋体" w:cs="宋体"/>
                <w:color w:val="auto"/>
                <w:kern w:val="0"/>
                <w:szCs w:val="21"/>
                <w:highlight w:val="none"/>
                <w:lang w:eastAsia="zh-CN"/>
              </w:rPr>
              <w:t>服务</w:t>
            </w:r>
            <w:r>
              <w:rPr>
                <w:rFonts w:hint="eastAsia" w:ascii="宋体" w:hAnsi="宋体" w:eastAsia="宋体" w:cs="宋体"/>
                <w:color w:val="auto"/>
                <w:kern w:val="0"/>
                <w:szCs w:val="21"/>
                <w:highlight w:val="none"/>
              </w:rPr>
              <w:t>费支付方式：</w:t>
            </w:r>
          </w:p>
          <w:p w14:paraId="1EAF1D44">
            <w:pPr>
              <w:snapToGrid w:val="0"/>
              <w:spacing w:line="360" w:lineRule="auto"/>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本项目</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代理服务费由</w:t>
            </w:r>
            <w:r>
              <w:rPr>
                <w:rFonts w:hint="eastAsia" w:ascii="宋体" w:hAnsi="宋体" w:eastAsia="宋体" w:cs="宋体"/>
                <w:color w:val="auto"/>
                <w:kern w:val="0"/>
                <w:szCs w:val="21"/>
                <w:highlight w:val="none"/>
                <w:u w:val="single"/>
              </w:rPr>
              <w:t>成交供应商</w:t>
            </w:r>
            <w:r>
              <w:rPr>
                <w:rFonts w:hint="eastAsia" w:ascii="宋体" w:hAnsi="宋体" w:eastAsia="宋体" w:cs="宋体"/>
                <w:color w:val="auto"/>
                <w:kern w:val="0"/>
                <w:szCs w:val="21"/>
                <w:highlight w:val="none"/>
                <w:u w:val="none"/>
              </w:rPr>
              <w:t>在签订合同前</w:t>
            </w:r>
            <w:r>
              <w:rPr>
                <w:rFonts w:hint="eastAsia" w:ascii="宋体" w:hAnsi="宋体" w:eastAsia="宋体" w:cs="宋体"/>
                <w:color w:val="auto"/>
                <w:kern w:val="0"/>
                <w:szCs w:val="21"/>
                <w:highlight w:val="none"/>
                <w:u w:val="none"/>
                <w:lang w:eastAsia="zh-CN"/>
              </w:rPr>
              <w:t>，</w:t>
            </w:r>
            <w:r>
              <w:rPr>
                <w:rFonts w:hint="eastAsia" w:ascii="宋体" w:hAnsi="宋体" w:eastAsia="宋体" w:cs="宋体"/>
                <w:color w:val="auto"/>
                <w:sz w:val="21"/>
                <w:highlight w:val="none"/>
                <w:lang w:val="en-US" w:eastAsia="zh-CN"/>
              </w:rPr>
              <w:t>以银行转账、电汇等方式</w:t>
            </w:r>
            <w:r>
              <w:rPr>
                <w:rFonts w:hint="eastAsia" w:ascii="宋体" w:hAnsi="宋体" w:eastAsia="宋体" w:cs="宋体"/>
                <w:color w:val="auto"/>
                <w:kern w:val="0"/>
                <w:szCs w:val="21"/>
                <w:highlight w:val="none"/>
              </w:rPr>
              <w:t>一次性向采购代理机构支付。</w:t>
            </w:r>
          </w:p>
          <w:p w14:paraId="04A0DC2D">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□采购人支付</w:t>
            </w:r>
            <w:r>
              <w:rPr>
                <w:rFonts w:hint="eastAsia" w:ascii="宋体" w:hAnsi="宋体" w:eastAsia="宋体" w:cs="宋体"/>
                <w:color w:val="auto"/>
                <w:kern w:val="0"/>
                <w:szCs w:val="21"/>
                <w:highlight w:val="none"/>
                <w:lang w:eastAsia="zh-CN"/>
              </w:rPr>
              <w:t>：</w:t>
            </w:r>
          </w:p>
          <w:p w14:paraId="39CC6721">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3.采购代理</w:t>
            </w:r>
            <w:r>
              <w:rPr>
                <w:rFonts w:hint="eastAsia" w:ascii="宋体" w:hAnsi="宋体" w:eastAsia="宋体" w:cs="宋体"/>
                <w:color w:val="auto"/>
                <w:kern w:val="0"/>
                <w:szCs w:val="21"/>
                <w:highlight w:val="none"/>
                <w:lang w:eastAsia="zh-CN"/>
              </w:rPr>
              <w:t>服务</w:t>
            </w:r>
            <w:r>
              <w:rPr>
                <w:rFonts w:hint="eastAsia" w:ascii="宋体" w:hAnsi="宋体" w:eastAsia="宋体" w:cs="宋体"/>
                <w:color w:val="auto"/>
                <w:kern w:val="0"/>
                <w:szCs w:val="21"/>
                <w:highlight w:val="none"/>
              </w:rPr>
              <w:t>费收取标准：</w:t>
            </w:r>
          </w:p>
          <w:p w14:paraId="6C73B82B">
            <w:pPr>
              <w:snapToGrid w:val="0"/>
              <w:spacing w:line="360" w:lineRule="auto"/>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以</w:t>
            </w:r>
            <w:r>
              <w:rPr>
                <w:rFonts w:hint="eastAsia" w:ascii="宋体" w:hAnsi="宋体" w:eastAsia="宋体" w:cs="宋体"/>
                <w:color w:val="auto"/>
                <w:kern w:val="0"/>
                <w:szCs w:val="21"/>
                <w:highlight w:val="none"/>
                <w:lang w:eastAsia="zh-CN"/>
              </w:rPr>
              <w:t>项目</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成交</w:t>
            </w:r>
            <w:r>
              <w:rPr>
                <w:rFonts w:hint="eastAsia" w:ascii="宋体" w:hAnsi="宋体" w:eastAsia="宋体" w:cs="宋体"/>
                <w:color w:val="auto"/>
                <w:kern w:val="0"/>
                <w:szCs w:val="21"/>
                <w:highlight w:val="none"/>
                <w:lang w:eastAsia="zh-CN"/>
              </w:rPr>
              <w:t>总</w:t>
            </w:r>
            <w:r>
              <w:rPr>
                <w:rFonts w:hint="eastAsia" w:ascii="宋体" w:hAnsi="宋体" w:eastAsia="宋体" w:cs="宋体"/>
                <w:color w:val="auto"/>
                <w:kern w:val="0"/>
                <w:szCs w:val="21"/>
                <w:highlight w:val="none"/>
              </w:rPr>
              <w:t>金额/□采购预算/</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暂定成交金额/□其他</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）为计费额，按</w:t>
            </w:r>
            <w:r>
              <w:rPr>
                <w:rFonts w:hint="eastAsia" w:ascii="宋体" w:hAnsi="宋体" w:eastAsia="宋体" w:cs="宋体"/>
                <w:color w:val="auto"/>
                <w:sz w:val="21"/>
                <w:highlight w:val="none"/>
                <w:lang w:val="en-US" w:eastAsia="zh-CN"/>
              </w:rPr>
              <w:t>本须知正文第32.2条规定的收费计算标准（</w:t>
            </w:r>
            <w:r>
              <w:rPr>
                <w:rFonts w:hint="eastAsia" w:ascii="宋体" w:hAnsi="宋体" w:eastAsia="宋体" w:cs="宋体"/>
                <w:b/>
                <w:bCs/>
                <w:color w:val="auto"/>
                <w:kern w:val="0"/>
                <w:szCs w:val="21"/>
                <w:highlight w:val="none"/>
                <w:u w:val="single"/>
              </w:rPr>
              <w:t>服务类</w:t>
            </w:r>
            <w:r>
              <w:rPr>
                <w:rFonts w:hint="eastAsia" w:ascii="宋体" w:hAnsi="宋体" w:eastAsia="宋体" w:cs="宋体"/>
                <w:color w:val="auto"/>
                <w:sz w:val="21"/>
                <w:highlight w:val="none"/>
                <w:lang w:val="en-US" w:eastAsia="zh-CN"/>
              </w:rPr>
              <w:t>）</w:t>
            </w:r>
            <w:r>
              <w:rPr>
                <w:rFonts w:hint="eastAsia" w:ascii="宋体" w:hAnsi="宋体" w:eastAsia="宋体" w:cs="宋体"/>
                <w:color w:val="auto"/>
                <w:kern w:val="0"/>
                <w:szCs w:val="21"/>
                <w:highlight w:val="none"/>
              </w:rPr>
              <w:t>采用差额定率累进法计算出收费基准价格，采购代理</w:t>
            </w:r>
            <w:r>
              <w:rPr>
                <w:rFonts w:hint="eastAsia" w:ascii="宋体" w:hAnsi="宋体" w:eastAsia="宋体" w:cs="宋体"/>
                <w:color w:val="auto"/>
                <w:kern w:val="0"/>
                <w:szCs w:val="21"/>
                <w:highlight w:val="none"/>
                <w:lang w:eastAsia="zh-CN"/>
              </w:rPr>
              <w:t>机构</w:t>
            </w:r>
            <w:r>
              <w:rPr>
                <w:rFonts w:hint="eastAsia" w:ascii="宋体" w:hAnsi="宋体" w:eastAsia="宋体" w:cs="宋体"/>
                <w:color w:val="auto"/>
                <w:kern w:val="0"/>
                <w:szCs w:val="21"/>
                <w:highlight w:val="none"/>
              </w:rPr>
              <w:t>收费以（</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收费基准价格/</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收费基准价格下浮</w:t>
            </w:r>
            <w:r>
              <w:rPr>
                <w:rFonts w:hint="eastAsia" w:ascii="宋体" w:hAnsi="宋体" w:cs="宋体"/>
                <w:color w:val="auto"/>
                <w:kern w:val="0"/>
                <w:szCs w:val="21"/>
                <w:highlight w:val="none"/>
                <w:u w:val="single"/>
                <w:lang w:val="en-US" w:eastAsia="zh-CN"/>
              </w:rPr>
              <w:t>30</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rPr>
              <w:t>/□收费基准价格上浮</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）收取。</w:t>
            </w:r>
          </w:p>
          <w:p w14:paraId="7D9E0D25">
            <w:pPr>
              <w:snapToGrid w:val="0"/>
              <w:spacing w:line="360" w:lineRule="auto"/>
              <w:rPr>
                <w:rFonts w:hint="eastAsia" w:ascii="宋体" w:hAnsi="宋体" w:eastAsia="宋体" w:cs="宋体"/>
                <w:color w:val="auto"/>
                <w:kern w:val="0"/>
                <w:szCs w:val="21"/>
                <w:highlight w:val="none"/>
                <w:u w:val="single"/>
                <w:lang w:val="en-US"/>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固定采购代理收费：</w:t>
            </w:r>
          </w:p>
          <w:p w14:paraId="1B3191B2">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 采购代理</w:t>
            </w:r>
            <w:r>
              <w:rPr>
                <w:rFonts w:hint="eastAsia" w:ascii="宋体" w:hAnsi="宋体" w:eastAsia="宋体" w:cs="宋体"/>
                <w:color w:val="auto"/>
                <w:kern w:val="0"/>
                <w:szCs w:val="21"/>
                <w:highlight w:val="none"/>
                <w:lang w:eastAsia="zh-CN"/>
              </w:rPr>
              <w:t>服务</w:t>
            </w:r>
            <w:r>
              <w:rPr>
                <w:rFonts w:hint="eastAsia" w:ascii="宋体" w:hAnsi="宋体" w:eastAsia="宋体" w:cs="宋体"/>
                <w:color w:val="auto"/>
                <w:kern w:val="0"/>
                <w:szCs w:val="21"/>
                <w:highlight w:val="none"/>
              </w:rPr>
              <w:t>费收取银行账户</w:t>
            </w:r>
            <w:r>
              <w:rPr>
                <w:rFonts w:hint="eastAsia" w:ascii="宋体" w:hAnsi="宋体" w:eastAsia="宋体" w:cs="宋体"/>
                <w:color w:val="auto"/>
                <w:kern w:val="0"/>
                <w:szCs w:val="21"/>
                <w:highlight w:val="none"/>
                <w:lang w:eastAsia="zh-CN"/>
              </w:rPr>
              <w:t>的信息</w:t>
            </w:r>
          </w:p>
          <w:p w14:paraId="1BDCE60C">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开户名称：广西科联招标中心有限公司</w:t>
            </w:r>
          </w:p>
          <w:p w14:paraId="08E83DEA">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开户银行：中国工商银行南宁市高新科技支行</w:t>
            </w:r>
          </w:p>
          <w:p w14:paraId="54F1E003">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银行账号：2102111229300032105</w:t>
            </w:r>
          </w:p>
          <w:p w14:paraId="4B42C348">
            <w:pPr>
              <w:snapToGrid w:val="0"/>
              <w:spacing w:line="360" w:lineRule="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开户行行号：102611011101</w:t>
            </w:r>
          </w:p>
        </w:tc>
      </w:tr>
      <w:tr w14:paraId="24E673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3C3BABC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.1</w:t>
            </w:r>
          </w:p>
        </w:tc>
        <w:tc>
          <w:tcPr>
            <w:tcW w:w="2135" w:type="dxa"/>
            <w:noWrap w:val="0"/>
            <w:vAlign w:val="center"/>
          </w:tcPr>
          <w:p w14:paraId="7FC512D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highlight w:val="none"/>
              </w:rPr>
              <w:t>解释</w:t>
            </w:r>
          </w:p>
        </w:tc>
        <w:tc>
          <w:tcPr>
            <w:tcW w:w="6553" w:type="dxa"/>
            <w:noWrap w:val="0"/>
            <w:vAlign w:val="center"/>
          </w:tcPr>
          <w:p w14:paraId="281FCFDA">
            <w:pPr>
              <w:snapToGrid w:val="0"/>
              <w:spacing w:line="360" w:lineRule="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解释：</w:t>
            </w:r>
            <w:r>
              <w:rPr>
                <w:rFonts w:hint="eastAsia" w:ascii="宋体" w:hAnsi="宋体" w:eastAsia="宋体" w:cs="宋体"/>
                <w:color w:val="auto"/>
                <w:kern w:val="0"/>
                <w:szCs w:val="21"/>
                <w:highlight w:val="none"/>
              </w:rPr>
              <w:t>构成本</w:t>
            </w:r>
            <w:r>
              <w:rPr>
                <w:rFonts w:hint="eastAsia" w:ascii="宋体" w:hAnsi="宋体" w:eastAsia="宋体" w:cs="宋体"/>
                <w:color w:val="auto"/>
                <w:kern w:val="0"/>
                <w:szCs w:val="21"/>
                <w:highlight w:val="none"/>
                <w:lang w:eastAsia="zh-CN"/>
              </w:rPr>
              <w:t>竞争性</w:t>
            </w:r>
            <w:r>
              <w:rPr>
                <w:rFonts w:hint="eastAsia" w:ascii="宋体" w:hAnsi="宋体" w:eastAsia="宋体" w:cs="宋体"/>
                <w:color w:val="auto"/>
                <w:kern w:val="0"/>
                <w:szCs w:val="21"/>
                <w:highlight w:val="none"/>
              </w:rPr>
              <w:t>磋商文件的各个组成文件应互为解释，互为说明；除</w:t>
            </w:r>
            <w:r>
              <w:rPr>
                <w:rFonts w:hint="eastAsia" w:ascii="宋体" w:hAnsi="宋体" w:eastAsia="宋体" w:cs="宋体"/>
                <w:color w:val="auto"/>
                <w:kern w:val="0"/>
                <w:szCs w:val="21"/>
                <w:highlight w:val="none"/>
                <w:lang w:eastAsia="zh-CN"/>
              </w:rPr>
              <w:t>竞争性</w:t>
            </w:r>
            <w:r>
              <w:rPr>
                <w:rFonts w:hint="eastAsia" w:ascii="宋体" w:hAnsi="宋体" w:eastAsia="宋体" w:cs="宋体"/>
                <w:color w:val="auto"/>
                <w:kern w:val="0"/>
                <w:szCs w:val="21"/>
                <w:highlight w:val="none"/>
              </w:rPr>
              <w:t>磋商文件中有特别规定外，仅适用于竞标阶段的规定，按更正公告（澄清公告）、竞争性磋商公告、采购需求、供应商须知、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ascii="宋体" w:hAnsi="宋体" w:eastAsia="宋体" w:cs="宋体"/>
                <w:b/>
                <w:color w:val="auto"/>
                <w:kern w:val="0"/>
                <w:szCs w:val="21"/>
                <w:highlight w:val="none"/>
              </w:rPr>
              <w:t>由采购人或者采购代理机构负责解释。</w:t>
            </w:r>
          </w:p>
          <w:p w14:paraId="414B997D">
            <w:pPr>
              <w:snapToGrid w:val="0"/>
              <w:spacing w:line="360" w:lineRule="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法律责任：</w:t>
            </w:r>
          </w:p>
          <w:p w14:paraId="1E726C45">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本采购文件根据《中华人民共和国政府采购法》、《中华人民共和国民法典》</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《中华人民共和国政府采购法实施条例》、《政府采购竞争性磋商采购方式管理暂行办法》等有关法律、法规编制，参与本项目的各政府采购当事人依法享有上述法律法规所赋予的权利与义务。</w:t>
            </w:r>
          </w:p>
        </w:tc>
      </w:tr>
      <w:tr w14:paraId="364E8D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16C69B3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.2</w:t>
            </w:r>
          </w:p>
        </w:tc>
        <w:tc>
          <w:tcPr>
            <w:tcW w:w="2135" w:type="dxa"/>
            <w:noWrap w:val="0"/>
            <w:vAlign w:val="center"/>
          </w:tcPr>
          <w:p w14:paraId="66886BC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6553" w:type="dxa"/>
            <w:noWrap w:val="0"/>
            <w:vAlign w:val="center"/>
          </w:tcPr>
          <w:p w14:paraId="40D86EF4">
            <w:pPr>
              <w:widowControl w:val="0"/>
              <w:spacing w:line="360" w:lineRule="auto"/>
              <w:ind w:firstLine="420" w:firstLineChars="2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本竞争性磋商文件中描述供应商的“公章”是指根据我国对公章的管理规定，用供应商法定主体行为名称制作的实物印章或供应商通过指定电子化政府采购平台办理数字证书（CA认证）获得的以法定主体行为名称制作的电子印章。除本竞争性磋商文件有特殊规定外，供应商的财务章、部门章、分公司章、工会章、合同章、竞标专用章、业务专用章及银行的转账章、现金收讫章、现金付讫章等其他形式印章均不能代替公章。</w:t>
            </w:r>
          </w:p>
          <w:p w14:paraId="07BB08B2">
            <w:pPr>
              <w:widowControl w:val="0"/>
              <w:spacing w:line="360" w:lineRule="auto"/>
              <w:ind w:firstLine="420" w:firstLineChars="2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2.本竞争性磋商文件中描述供应商的“签字”是指供应商通过指定电子化政府采购平台办理数字证书（CA认证）获得的以供应商法定代表人或者委托代理人姓名制作的电子印章或手写签字。</w:t>
            </w:r>
          </w:p>
          <w:p w14:paraId="2B7EC842">
            <w:pPr>
              <w:widowControl w:val="0"/>
              <w:tabs>
                <w:tab w:val="center" w:pos="4153"/>
                <w:tab w:val="right" w:pos="8306"/>
              </w:tabs>
              <w:spacing w:line="360" w:lineRule="auto"/>
              <w:ind w:firstLine="420" w:firstLineChars="2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3.本竞争性磋商文件所称的“电子签章”“电子签名”，是指经</w:t>
            </w:r>
            <w:r>
              <w:rPr>
                <w:rFonts w:hint="eastAsia" w:ascii="宋体" w:hAnsi="宋体" w:eastAsia="宋体" w:cs="宋体"/>
                <w:b w:val="0"/>
                <w:bCs w:val="0"/>
                <w:color w:val="auto"/>
                <w:kern w:val="2"/>
                <w:sz w:val="21"/>
                <w:szCs w:val="21"/>
                <w:highlight w:val="none"/>
                <w:lang w:val="en-US" w:eastAsia="zh-CN" w:bidi="ar-SA"/>
              </w:rPr>
              <w:t>广西政府采购云平台</w:t>
            </w:r>
            <w:r>
              <w:rPr>
                <w:rFonts w:hint="eastAsia" w:ascii="宋体" w:hAnsi="宋体" w:eastAsia="宋体" w:cs="宋体"/>
                <w:color w:val="auto"/>
                <w:kern w:val="2"/>
                <w:sz w:val="21"/>
                <w:szCs w:val="21"/>
                <w:highlight w:val="none"/>
                <w:lang w:val="en-US" w:eastAsia="zh-CN" w:bidi="ar-SA"/>
              </w:rPr>
              <w:t>认可的CA认证的电子签名数据为表现形式的印章，可用于签署电子响应文件，电子印章与实物印章具有同等法律效力，不因其采用电子化表现形式而否定其法律效力。</w:t>
            </w:r>
          </w:p>
          <w:p w14:paraId="272943A4">
            <w:pPr>
              <w:widowControl w:val="0"/>
              <w:spacing w:line="360" w:lineRule="auto"/>
              <w:ind w:firstLine="420" w:firstLineChars="2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供应商为其他组织或者自然人时，本竞争性磋商文件规定的法定代表人指负责人或者自然人。本竞争性磋商文件所称负责人是指参加竞标的其他组织营业执照上的负责人，本竞争性磋商文件所称自然人指参与竞标的自然人本人。</w:t>
            </w:r>
          </w:p>
          <w:p w14:paraId="695B995C">
            <w:pPr>
              <w:widowControl w:val="0"/>
              <w:spacing w:line="360" w:lineRule="auto"/>
              <w:ind w:firstLine="420" w:firstLineChars="2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5.自然人竞标的，竞争性磋商文件规定盖公章处由自然人摁手指指印。</w:t>
            </w:r>
          </w:p>
          <w:p w14:paraId="0D30856D">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2"/>
                <w:szCs w:val="21"/>
                <w:highlight w:val="none"/>
                <w:lang w:val="en-US" w:eastAsia="zh-CN"/>
              </w:rPr>
              <w:t xml:space="preserve">    6.</w:t>
            </w:r>
            <w:r>
              <w:rPr>
                <w:rFonts w:hint="eastAsia" w:ascii="宋体" w:hAnsi="宋体" w:eastAsia="宋体" w:cs="宋体"/>
                <w:color w:val="auto"/>
                <w:kern w:val="2"/>
                <w:szCs w:val="21"/>
                <w:highlight w:val="none"/>
              </w:rPr>
              <w:t>本</w:t>
            </w:r>
            <w:r>
              <w:rPr>
                <w:rFonts w:hint="eastAsia" w:ascii="宋体" w:hAnsi="宋体" w:eastAsia="宋体" w:cs="宋体"/>
                <w:color w:val="auto"/>
                <w:kern w:val="2"/>
                <w:szCs w:val="21"/>
                <w:highlight w:val="none"/>
                <w:lang w:eastAsia="zh-CN"/>
              </w:rPr>
              <w:t>竞争性磋商文件</w:t>
            </w:r>
            <w:r>
              <w:rPr>
                <w:rFonts w:hint="eastAsia" w:ascii="宋体" w:hAnsi="宋体" w:eastAsia="宋体" w:cs="宋体"/>
                <w:color w:val="auto"/>
                <w:kern w:val="2"/>
                <w:szCs w:val="21"/>
                <w:highlight w:val="none"/>
              </w:rPr>
              <w:t>所称的“以上”“以下”“以内”“届满”，包括本数；所称的“不满”“超过”“以外”，不包括本数。</w:t>
            </w:r>
          </w:p>
        </w:tc>
      </w:tr>
    </w:tbl>
    <w:p w14:paraId="260968F4">
      <w:pPr>
        <w:pStyle w:val="3"/>
        <w:spacing w:line="420" w:lineRule="exact"/>
        <w:jc w:val="center"/>
        <w:rPr>
          <w:rFonts w:ascii="宋体" w:hAnsi="宋体"/>
          <w:b w:val="0"/>
          <w:color w:val="auto"/>
          <w:highlight w:val="none"/>
        </w:rPr>
      </w:pPr>
      <w:r>
        <w:rPr>
          <w:rFonts w:ascii="宋体" w:hAnsi="宋体"/>
          <w:b w:val="0"/>
          <w:color w:val="auto"/>
          <w:highlight w:val="none"/>
        </w:rPr>
        <w:br w:type="page"/>
      </w:r>
      <w:bookmarkStart w:id="77" w:name="_Toc30957"/>
      <w:bookmarkStart w:id="78" w:name="_Toc27094"/>
      <w:bookmarkStart w:id="79" w:name="_Toc80886929"/>
      <w:r>
        <w:rPr>
          <w:rFonts w:hint="eastAsia" w:ascii="宋体" w:hAnsi="宋体"/>
          <w:b w:val="0"/>
          <w:color w:val="auto"/>
          <w:highlight w:val="none"/>
        </w:rPr>
        <w:t>第二节 供应商须知正文</w:t>
      </w:r>
      <w:bookmarkEnd w:id="77"/>
      <w:bookmarkEnd w:id="78"/>
      <w:bookmarkEnd w:id="79"/>
    </w:p>
    <w:p w14:paraId="5081CEF7">
      <w:pPr>
        <w:keepNext/>
        <w:keepLines/>
        <w:widowControl w:val="0"/>
        <w:spacing w:before="0" w:after="0" w:line="360" w:lineRule="auto"/>
        <w:ind w:firstLine="640" w:firstLineChars="200"/>
        <w:jc w:val="both"/>
        <w:outlineLvl w:val="2"/>
        <w:rPr>
          <w:rFonts w:hint="eastAsia" w:ascii="Times New Roman" w:hAnsi="Times New Roman" w:eastAsia="宋体" w:cs="Times New Roman"/>
          <w:b w:val="0"/>
          <w:bCs/>
          <w:color w:val="auto"/>
          <w:kern w:val="2"/>
          <w:sz w:val="32"/>
          <w:szCs w:val="32"/>
          <w:highlight w:val="none"/>
          <w:lang w:val="en-US" w:eastAsia="zh-CN" w:bidi="ar-SA"/>
        </w:rPr>
      </w:pPr>
      <w:bookmarkStart w:id="80" w:name="_Toc26166"/>
      <w:bookmarkStart w:id="81" w:name="_Toc80886930"/>
      <w:bookmarkStart w:id="82" w:name="_Toc6457"/>
      <w:r>
        <w:rPr>
          <w:rFonts w:hint="eastAsia" w:ascii="Times New Roman" w:hAnsi="Times New Roman" w:eastAsia="宋体" w:cs="Times New Roman"/>
          <w:b w:val="0"/>
          <w:bCs/>
          <w:color w:val="auto"/>
          <w:kern w:val="2"/>
          <w:sz w:val="32"/>
          <w:szCs w:val="32"/>
          <w:highlight w:val="none"/>
          <w:lang w:val="en-US" w:eastAsia="zh-CN" w:bidi="ar-SA"/>
        </w:rPr>
        <w:t>一、总则</w:t>
      </w:r>
      <w:bookmarkEnd w:id="80"/>
      <w:bookmarkEnd w:id="81"/>
      <w:bookmarkEnd w:id="82"/>
    </w:p>
    <w:p w14:paraId="2AA083BF">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1.适用范围</w:t>
      </w:r>
    </w:p>
    <w:p w14:paraId="3317232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15F6C83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本竞争性磋商文件（以下简称磋商文件）适用于本项目的所有采购程序和环节（法律、法规另有规定的，从其规定）。</w:t>
      </w:r>
    </w:p>
    <w:p w14:paraId="3047AB9A">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2.定义</w:t>
      </w:r>
    </w:p>
    <w:p w14:paraId="1AC24F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2.1“采购人”是指依法进行政府采购的国家机关、事业单位、团体组织。</w:t>
      </w:r>
    </w:p>
    <w:p w14:paraId="68C0AC9E">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2.2“采购代理机构”是指政府采购集中采购机构和集中采购机构以外的采购代理机构。</w:t>
      </w:r>
    </w:p>
    <w:p w14:paraId="7DE5E12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14:paraId="61D2F52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2.4“服务”是指除货物和工程以外的其他政府采购对象。</w:t>
      </w:r>
    </w:p>
    <w:p w14:paraId="14E8A3D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2.5“竞标”是指供应商按照本项目竞争性磋商公告规定的方式获取磋商文件、提交响应文件并希望获得标的的行为。</w:t>
      </w:r>
    </w:p>
    <w:p w14:paraId="3F5AE45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2.6“响应文件”</w:t>
      </w:r>
      <w:r>
        <w:rPr>
          <w:rFonts w:hint="eastAsia" w:ascii="宋体" w:hAnsi="宋体" w:eastAsia="宋体" w:cs="宋体"/>
          <w:color w:val="auto"/>
          <w:spacing w:val="-6"/>
          <w:szCs w:val="21"/>
          <w:highlight w:val="none"/>
        </w:rPr>
        <w:t>是指：供应商根据本磋商文件要求，编制包含资格</w:t>
      </w:r>
      <w:r>
        <w:rPr>
          <w:rFonts w:hint="eastAsia" w:ascii="宋体" w:hAnsi="宋体" w:eastAsia="宋体" w:cs="宋体"/>
          <w:color w:val="auto"/>
          <w:spacing w:val="-6"/>
          <w:szCs w:val="21"/>
          <w:highlight w:val="none"/>
          <w:lang w:val="en-US" w:eastAsia="zh-CN"/>
        </w:rPr>
        <w:t>文件</w:t>
      </w:r>
      <w:r>
        <w:rPr>
          <w:rFonts w:hint="eastAsia" w:ascii="宋体" w:hAnsi="宋体" w:eastAsia="宋体" w:cs="宋体"/>
          <w:color w:val="auto"/>
          <w:spacing w:val="-6"/>
          <w:szCs w:val="21"/>
          <w:highlight w:val="none"/>
        </w:rPr>
        <w:t>、</w:t>
      </w:r>
      <w:r>
        <w:rPr>
          <w:rFonts w:hint="eastAsia" w:ascii="宋体" w:hAnsi="宋体" w:eastAsia="宋体" w:cs="宋体"/>
          <w:color w:val="auto"/>
          <w:szCs w:val="21"/>
          <w:highlight w:val="none"/>
        </w:rPr>
        <w:t>报价文件、商务和技术文件</w:t>
      </w:r>
      <w:r>
        <w:rPr>
          <w:rFonts w:hint="eastAsia" w:ascii="宋体" w:hAnsi="宋体" w:eastAsia="宋体" w:cs="宋体"/>
          <w:color w:val="auto"/>
          <w:spacing w:val="-6"/>
          <w:szCs w:val="21"/>
          <w:highlight w:val="none"/>
        </w:rPr>
        <w:t>等所有内容的文件。</w:t>
      </w:r>
    </w:p>
    <w:p w14:paraId="505029C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2.7“实质性要求”</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详见</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须知前附表</w:t>
      </w:r>
      <w:r>
        <w:rPr>
          <w:rFonts w:hint="eastAsia" w:ascii="宋体" w:hAnsi="宋体" w:eastAsia="宋体" w:cs="宋体"/>
          <w:color w:val="auto"/>
          <w:szCs w:val="21"/>
          <w:highlight w:val="none"/>
        </w:rPr>
        <w:t>。</w:t>
      </w:r>
    </w:p>
    <w:p w14:paraId="1C403B6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2.8“正偏离”是指响应文件对磋商文件“采购需求”中有关条款作出的响应优于条款要求并有利于采购人的情形。</w:t>
      </w:r>
    </w:p>
    <w:p w14:paraId="59CD441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2.9“负偏离”是指响应文件对磋商文件“采购需求”中有关条款作出的响应不满足条款要求，导致采购人要求不能得到满足的情形。</w:t>
      </w:r>
    </w:p>
    <w:p w14:paraId="65252B1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“书面形式”是指合同书、信件和数据电文（包括电报、电传、传真、电子数据交换和电子邮件）等可以有形地表现所载内容的形式。</w:t>
      </w:r>
    </w:p>
    <w:p w14:paraId="50F7F2A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“首次报价”是指供应商提交的首次响应文件中的报价。</w:t>
      </w:r>
    </w:p>
    <w:p w14:paraId="51810518">
      <w:pPr>
        <w:spacing w:line="360" w:lineRule="auto"/>
        <w:ind w:firstLine="420" w:firstLineChars="200"/>
        <w:rPr>
          <w:rFonts w:hint="eastAsia" w:eastAsia="宋体" w:cs="宋体"/>
          <w:color w:val="auto"/>
          <w:szCs w:val="21"/>
          <w:highlight w:val="none"/>
        </w:rPr>
      </w:pPr>
      <w:r>
        <w:rPr>
          <w:rFonts w:hint="eastAsia" w:ascii="宋体" w:hAnsi="宋体" w:eastAsia="宋体" w:cs="宋体"/>
          <w:color w:val="auto"/>
          <w:szCs w:val="21"/>
          <w:highlight w:val="none"/>
        </w:rPr>
        <w:t>2.1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评审价</w:t>
      </w:r>
      <w:r>
        <w:rPr>
          <w:rFonts w:hint="eastAsia" w:ascii="宋体" w:hAnsi="宋体" w:eastAsia="宋体" w:cs="宋体"/>
          <w:color w:val="auto"/>
          <w:szCs w:val="21"/>
          <w:highlight w:val="none"/>
        </w:rPr>
        <w:t>”是指供应商提</w:t>
      </w:r>
      <w:r>
        <w:rPr>
          <w:rFonts w:hint="eastAsia" w:eastAsia="宋体" w:cs="宋体"/>
          <w:color w:val="auto"/>
          <w:szCs w:val="21"/>
          <w:highlight w:val="none"/>
        </w:rPr>
        <w:t>交的最后报价并经修正（如有）和政策功能价格扣除（如有）后的价格。</w:t>
      </w:r>
    </w:p>
    <w:p w14:paraId="1ECE795B">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3.供应商的资格条件</w:t>
      </w:r>
    </w:p>
    <w:p w14:paraId="15CD2E36">
      <w:pPr>
        <w:spacing w:line="360" w:lineRule="auto"/>
        <w:ind w:firstLine="420" w:firstLineChars="200"/>
        <w:rPr>
          <w:rFonts w:hint="eastAsia" w:eastAsia="宋体" w:cs="宋体"/>
          <w:color w:val="auto"/>
          <w:szCs w:val="21"/>
          <w:highlight w:val="none"/>
        </w:rPr>
      </w:pPr>
      <w:r>
        <w:rPr>
          <w:rFonts w:hint="eastAsia" w:eastAsia="宋体" w:cs="宋体"/>
          <w:color w:val="auto"/>
          <w:szCs w:val="21"/>
          <w:highlight w:val="none"/>
        </w:rPr>
        <w:t>供应商的资格条件详见“供应商须知前附表”。</w:t>
      </w:r>
    </w:p>
    <w:p w14:paraId="362A4D11">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4.磋商费用</w:t>
      </w:r>
    </w:p>
    <w:p w14:paraId="383EA302">
      <w:pPr>
        <w:spacing w:line="360" w:lineRule="auto"/>
        <w:ind w:firstLine="420" w:firstLineChars="200"/>
        <w:rPr>
          <w:rFonts w:hint="eastAsia" w:eastAsia="宋体" w:cs="宋体"/>
          <w:color w:val="auto"/>
          <w:szCs w:val="21"/>
          <w:highlight w:val="none"/>
        </w:rPr>
      </w:pPr>
      <w:r>
        <w:rPr>
          <w:rFonts w:hint="eastAsia" w:eastAsia="宋体" w:cs="宋体"/>
          <w:color w:val="auto"/>
          <w:szCs w:val="21"/>
          <w:highlight w:val="none"/>
        </w:rPr>
        <w:t>供应商应承担参与本次采购活动有关的所有费用，包括但不限于勘查现场、编制和提交响应文件、参加磋商与应答、签订合同等，不论竞标结果如何，均应自行承担。</w:t>
      </w:r>
    </w:p>
    <w:p w14:paraId="35DD52EA">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5.联合体竞标</w:t>
      </w:r>
    </w:p>
    <w:p w14:paraId="71E2719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5.1本项目是否接受联合体竞标，详见“供应商须知前附表”。</w:t>
      </w:r>
    </w:p>
    <w:p w14:paraId="39E1859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eastAsia="宋体" w:cs="宋体"/>
          <w:color w:val="auto"/>
          <w:highlight w:val="none"/>
        </w:rPr>
        <w:t>如接受联合体竞标，</w:t>
      </w:r>
      <w:r>
        <w:rPr>
          <w:rFonts w:hint="eastAsia" w:ascii="宋体" w:hAnsi="宋体" w:eastAsia="宋体" w:cs="宋体"/>
          <w:color w:val="auto"/>
          <w:szCs w:val="21"/>
          <w:highlight w:val="none"/>
        </w:rPr>
        <w:t>联合体竞标要求详见“供应商须知前附表”。</w:t>
      </w:r>
    </w:p>
    <w:p w14:paraId="05D548BF">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 xml:space="preserve">6.转包与分包             </w:t>
      </w:r>
    </w:p>
    <w:p w14:paraId="0E03117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6.1本项目不允许转包。</w:t>
      </w:r>
    </w:p>
    <w:p w14:paraId="0CB0061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本项目是否允许分包详见“供应商须知前附表”，本项目不允许违法分包。</w:t>
      </w:r>
    </w:p>
    <w:p w14:paraId="3F686968">
      <w:pPr>
        <w:spacing w:line="360" w:lineRule="auto"/>
        <w:ind w:firstLine="482" w:firstLineChars="200"/>
        <w:rPr>
          <w:rFonts w:hint="eastAsia" w:ascii="黑体" w:hAnsi="黑体" w:eastAsia="黑体" w:cs="宋体"/>
          <w:b/>
          <w:bCs/>
          <w:color w:val="auto"/>
          <w:sz w:val="24"/>
          <w:highlight w:val="none"/>
        </w:rPr>
      </w:pPr>
      <w:bookmarkStart w:id="83" w:name="_Toc254970532"/>
      <w:bookmarkStart w:id="84" w:name="_Toc254970673"/>
      <w:r>
        <w:rPr>
          <w:rFonts w:hint="eastAsia" w:ascii="黑体" w:hAnsi="黑体" w:eastAsia="黑体" w:cs="宋体"/>
          <w:b/>
          <w:bCs/>
          <w:color w:val="auto"/>
          <w:sz w:val="24"/>
          <w:highlight w:val="none"/>
        </w:rPr>
        <w:t>7.特别说明</w:t>
      </w:r>
      <w:bookmarkEnd w:id="83"/>
      <w:bookmarkEnd w:id="84"/>
    </w:p>
    <w:p w14:paraId="34DE6021">
      <w:pPr>
        <w:spacing w:line="360" w:lineRule="auto"/>
        <w:ind w:firstLine="420" w:firstLineChars="200"/>
        <w:rPr>
          <w:rFonts w:hint="eastAsia" w:ascii="宋体" w:hAnsi="宋体" w:eastAsia="宋体" w:cs="宋体"/>
          <w:color w:val="auto"/>
          <w:szCs w:val="21"/>
          <w:highlight w:val="none"/>
        </w:rPr>
      </w:pPr>
      <w:bookmarkStart w:id="85" w:name="_8.1提供相同品牌产品且通过资格审查、符合性审查的不同投标人参加同一合"/>
      <w:bookmarkEnd w:id="85"/>
      <w:r>
        <w:rPr>
          <w:rFonts w:hint="eastAsia" w:ascii="宋体" w:hAnsi="宋体" w:eastAsia="宋体" w:cs="宋体"/>
          <w:color w:val="auto"/>
          <w:szCs w:val="21"/>
          <w:highlight w:val="none"/>
        </w:rPr>
        <w:t>7.1</w:t>
      </w:r>
      <w:bookmarkStart w:id="86" w:name="_Hlk65832145"/>
      <w:r>
        <w:rPr>
          <w:rFonts w:hint="eastAsia" w:ascii="宋体" w:hAnsi="宋体" w:eastAsia="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86"/>
    <w:p w14:paraId="669844B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7.2供应商应仔细阅读磋商文件的所有内容，按照磋商文件的要求提交响应文件，并对所提供的全部资料的真实性承担法律责任。</w:t>
      </w:r>
    </w:p>
    <w:p w14:paraId="2C4C367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7.3供应商在竞标活动中提供任何疑似虚假材料，</w:t>
      </w:r>
      <w:r>
        <w:rPr>
          <w:rFonts w:hint="eastAsia" w:ascii="宋体" w:hAnsi="宋体" w:eastAsia="宋体" w:cs="宋体"/>
          <w:b w:val="0"/>
          <w:bCs w:val="0"/>
          <w:color w:val="auto"/>
          <w:szCs w:val="21"/>
          <w:highlight w:val="none"/>
        </w:rPr>
        <w:t>其响应文件作无效处理</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rPr>
        <w:t>将报监管部门查处；签订合同后发现的，成交供应商须依照《</w:t>
      </w:r>
      <w:r>
        <w:rPr>
          <w:rFonts w:hint="eastAsia" w:ascii="宋体" w:hAnsi="宋体" w:eastAsia="宋体" w:cs="宋体"/>
          <w:color w:val="auto"/>
          <w:szCs w:val="21"/>
          <w:highlight w:val="none"/>
          <w:lang w:val="en-US" w:eastAsia="zh-CN"/>
        </w:rPr>
        <w:t>中华人民共和国民法典</w:t>
      </w:r>
      <w:r>
        <w:rPr>
          <w:rFonts w:hint="eastAsia" w:ascii="宋体" w:hAnsi="宋体" w:eastAsia="宋体" w:cs="宋体"/>
          <w:color w:val="auto"/>
          <w:szCs w:val="21"/>
          <w:highlight w:val="none"/>
        </w:rPr>
        <w:t>》规定赔偿采购人，且民事赔偿并不免除违法供应商的行政与刑事责任。</w:t>
      </w:r>
    </w:p>
    <w:p w14:paraId="58D660DE">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7.4在政府采购活动中，采购人员及相关人员与供应商有下列利害关系之一的，应当回避：</w:t>
      </w:r>
    </w:p>
    <w:p w14:paraId="34387D4B">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（1）参加采购活动前3年内与供应商存在劳动关系；</w:t>
      </w:r>
    </w:p>
    <w:p w14:paraId="764BBDAF">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（2）参加采购活动前3年内担任供应商的董事、监事；</w:t>
      </w:r>
    </w:p>
    <w:p w14:paraId="3784387E">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（3）参加采购活动前3年内是供应商的控股股东或者实际控制人；</w:t>
      </w:r>
    </w:p>
    <w:p w14:paraId="22A45910">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（4）与供应商的法定代表人或者负责人有夫妻、直系血亲、三代以内旁系血亲或者近姻亲关系；</w:t>
      </w:r>
    </w:p>
    <w:p w14:paraId="6D61E248">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（5）与供应商有其他可能影响政府采购活动公平、公正进行的关系。</w:t>
      </w:r>
    </w:p>
    <w:p w14:paraId="0A8E030C">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5DA26D02">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7.5有下列情形之一的视为供应商相互串通竞标，响应文件将被视为无效：</w:t>
      </w:r>
    </w:p>
    <w:p w14:paraId="1CF27467">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（1）不同供应商的响应文件由同一单位或者个人编制；或不同</w:t>
      </w:r>
      <w:r>
        <w:rPr>
          <w:rFonts w:hint="eastAsia" w:ascii="宋体" w:hAnsi="宋体" w:eastAsia="宋体" w:cs="宋体"/>
          <w:b/>
          <w:bCs/>
          <w:color w:val="auto"/>
          <w:szCs w:val="21"/>
          <w:highlight w:val="none"/>
          <w:lang w:val="en-US" w:eastAsia="zh-CN"/>
        </w:rPr>
        <w:t>供应商</w:t>
      </w:r>
      <w:r>
        <w:rPr>
          <w:rFonts w:hint="eastAsia" w:ascii="宋体" w:hAnsi="宋体" w:eastAsia="宋体" w:cs="宋体"/>
          <w:b/>
          <w:bCs/>
          <w:color w:val="auto"/>
          <w:szCs w:val="21"/>
          <w:highlight w:val="none"/>
        </w:rPr>
        <w:t xml:space="preserve">报名的IP地址一致的； </w:t>
      </w:r>
    </w:p>
    <w:p w14:paraId="2B6D24C2">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（2）不同供应商委托同一单位或者个人办理竞标事宜；</w:t>
      </w:r>
    </w:p>
    <w:p w14:paraId="7F02AB01">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（3）不同的供应商的响应文件载明的项目管理员为同一个人；</w:t>
      </w:r>
    </w:p>
    <w:p w14:paraId="7496C814">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（4）不同供应商的响应文件异常一致或者报价呈规律性差异；</w:t>
      </w:r>
    </w:p>
    <w:p w14:paraId="741B48D3">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（5）不同供应商的响应文件相互混装；</w:t>
      </w:r>
    </w:p>
    <w:p w14:paraId="36095B42">
      <w:pPr>
        <w:tabs>
          <w:tab w:val="left" w:pos="6931"/>
        </w:tabs>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（6）不同供应商的磋商保证金从同一单位或者个人账户转出。</w:t>
      </w:r>
      <w:r>
        <w:rPr>
          <w:rFonts w:hint="eastAsia" w:ascii="宋体" w:hAnsi="宋体" w:eastAsia="宋体" w:cs="宋体"/>
          <w:b/>
          <w:bCs/>
          <w:color w:val="auto"/>
          <w:szCs w:val="21"/>
          <w:highlight w:val="none"/>
        </w:rPr>
        <w:tab/>
      </w:r>
    </w:p>
    <w:p w14:paraId="68B0DF94">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7.6供应商有下列情形之一的，属于恶意串通行为，将报同级监督管理部门：</w:t>
      </w:r>
    </w:p>
    <w:p w14:paraId="3A395D86">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（1）供应商直接或者间接从采购人或者采购代理机构处获得其他供应商的相关信息并修改其响应文件；</w:t>
      </w:r>
    </w:p>
    <w:p w14:paraId="65D496E3">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（2）供应商按照采购人或者采购代理机构的授意撤换、修改响应文件；</w:t>
      </w:r>
    </w:p>
    <w:p w14:paraId="4FDE0028">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（3）供应商之间协商报价、技术方案等响应文件的实质性内容；</w:t>
      </w:r>
    </w:p>
    <w:p w14:paraId="79F9C88D">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（4）属于同一集团、协会、商会等组织成员的供应商按照该组织要求协同参加政府采购活动；</w:t>
      </w:r>
    </w:p>
    <w:p w14:paraId="2D08A1B6">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43D56DCF">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（6）供应商之间商定部分供应商放弃参加政府采购活动或者放弃成交；</w:t>
      </w:r>
    </w:p>
    <w:p w14:paraId="59AB59FC">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（7）供应商与采购人或者采购代理机构之间、供应商相互之间，为谋求特定供应商成交或者排斥其他供应商的其他串通行为。</w:t>
      </w:r>
    </w:p>
    <w:p w14:paraId="4961FC96">
      <w:pPr>
        <w:keepNext/>
        <w:keepLines/>
        <w:widowControl w:val="0"/>
        <w:spacing w:before="0" w:after="0" w:line="360" w:lineRule="auto"/>
        <w:ind w:firstLine="640" w:firstLineChars="200"/>
        <w:jc w:val="both"/>
        <w:outlineLvl w:val="2"/>
        <w:rPr>
          <w:rFonts w:hint="eastAsia" w:ascii="Times New Roman" w:hAnsi="Times New Roman" w:eastAsia="宋体" w:cs="Times New Roman"/>
          <w:b w:val="0"/>
          <w:bCs w:val="0"/>
          <w:color w:val="auto"/>
          <w:kern w:val="2"/>
          <w:sz w:val="32"/>
          <w:szCs w:val="32"/>
          <w:highlight w:val="none"/>
          <w:lang w:val="en-US" w:eastAsia="zh-CN" w:bidi="ar-SA"/>
        </w:rPr>
      </w:pPr>
      <w:bookmarkStart w:id="87" w:name="_Toc27583"/>
      <w:bookmarkStart w:id="88" w:name="_Toc254970534"/>
      <w:bookmarkStart w:id="89" w:name="_Toc254970675"/>
      <w:bookmarkStart w:id="90" w:name="_Toc12713"/>
      <w:bookmarkStart w:id="91" w:name="_Toc80886931"/>
      <w:r>
        <w:rPr>
          <w:rFonts w:hint="eastAsia" w:ascii="Times New Roman" w:hAnsi="Times New Roman" w:eastAsia="宋体" w:cs="Times New Roman"/>
          <w:b w:val="0"/>
          <w:bCs w:val="0"/>
          <w:color w:val="auto"/>
          <w:kern w:val="2"/>
          <w:sz w:val="32"/>
          <w:szCs w:val="32"/>
          <w:highlight w:val="none"/>
          <w:lang w:val="en-US" w:eastAsia="zh-CN" w:bidi="ar-SA"/>
        </w:rPr>
        <w:t>二、磋商文件</w:t>
      </w:r>
      <w:bookmarkEnd w:id="87"/>
      <w:bookmarkEnd w:id="88"/>
      <w:bookmarkEnd w:id="89"/>
      <w:bookmarkEnd w:id="90"/>
      <w:bookmarkEnd w:id="91"/>
    </w:p>
    <w:p w14:paraId="05DD8293">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8.磋商文件的构成</w:t>
      </w:r>
    </w:p>
    <w:p w14:paraId="30D6CD1A">
      <w:pPr>
        <w:spacing w:line="360" w:lineRule="auto"/>
        <w:ind w:firstLine="420" w:firstLineChars="200"/>
        <w:jc w:val="left"/>
        <w:rPr>
          <w:rFonts w:hint="eastAsia" w:eastAsia="宋体"/>
          <w:color w:val="auto"/>
          <w:szCs w:val="21"/>
          <w:highlight w:val="none"/>
        </w:rPr>
      </w:pPr>
      <w:r>
        <w:rPr>
          <w:rFonts w:hint="eastAsia" w:eastAsia="宋体"/>
          <w:color w:val="auto"/>
          <w:szCs w:val="21"/>
          <w:highlight w:val="none"/>
        </w:rPr>
        <w:t>第一章 竞争性磋商公告；</w:t>
      </w:r>
    </w:p>
    <w:p w14:paraId="32930328">
      <w:pPr>
        <w:spacing w:line="360" w:lineRule="auto"/>
        <w:ind w:firstLine="420" w:firstLineChars="200"/>
        <w:jc w:val="left"/>
        <w:rPr>
          <w:rFonts w:hint="eastAsia" w:eastAsia="宋体"/>
          <w:color w:val="auto"/>
          <w:szCs w:val="21"/>
          <w:highlight w:val="none"/>
        </w:rPr>
      </w:pPr>
      <w:r>
        <w:rPr>
          <w:rFonts w:hint="eastAsia" w:eastAsia="宋体"/>
          <w:color w:val="auto"/>
          <w:szCs w:val="21"/>
          <w:highlight w:val="none"/>
        </w:rPr>
        <w:t>第二章 采购需求；</w:t>
      </w:r>
    </w:p>
    <w:p w14:paraId="021380E9">
      <w:pPr>
        <w:spacing w:line="360" w:lineRule="auto"/>
        <w:ind w:firstLine="420" w:firstLineChars="200"/>
        <w:jc w:val="left"/>
        <w:rPr>
          <w:rFonts w:hint="eastAsia" w:eastAsia="宋体"/>
          <w:color w:val="auto"/>
          <w:szCs w:val="21"/>
          <w:highlight w:val="none"/>
        </w:rPr>
      </w:pPr>
      <w:r>
        <w:rPr>
          <w:rFonts w:hint="eastAsia" w:eastAsia="宋体"/>
          <w:color w:val="auto"/>
          <w:szCs w:val="21"/>
          <w:highlight w:val="none"/>
        </w:rPr>
        <w:t xml:space="preserve">第三章 供应商须知； </w:t>
      </w:r>
    </w:p>
    <w:p w14:paraId="10F60F8B">
      <w:pPr>
        <w:spacing w:line="360" w:lineRule="auto"/>
        <w:ind w:firstLine="420" w:firstLineChars="200"/>
        <w:jc w:val="left"/>
        <w:rPr>
          <w:rFonts w:hint="eastAsia" w:eastAsia="宋体"/>
          <w:color w:val="auto"/>
          <w:szCs w:val="21"/>
          <w:highlight w:val="none"/>
        </w:rPr>
      </w:pPr>
      <w:r>
        <w:rPr>
          <w:rFonts w:hint="eastAsia" w:eastAsia="宋体"/>
          <w:color w:val="auto"/>
          <w:szCs w:val="21"/>
          <w:highlight w:val="none"/>
        </w:rPr>
        <w:t>第四章 评审程序、评审方法和评审标准；</w:t>
      </w:r>
    </w:p>
    <w:p w14:paraId="2E209000">
      <w:pPr>
        <w:spacing w:line="360" w:lineRule="auto"/>
        <w:ind w:firstLine="420" w:firstLineChars="200"/>
        <w:jc w:val="left"/>
        <w:rPr>
          <w:rFonts w:hint="eastAsia" w:eastAsia="宋体"/>
          <w:color w:val="auto"/>
          <w:szCs w:val="21"/>
          <w:highlight w:val="none"/>
        </w:rPr>
      </w:pPr>
      <w:r>
        <w:rPr>
          <w:rFonts w:hint="eastAsia" w:eastAsia="宋体"/>
          <w:color w:val="auto"/>
          <w:szCs w:val="21"/>
          <w:highlight w:val="none"/>
        </w:rPr>
        <w:t>第五章 响应文件格式；</w:t>
      </w:r>
    </w:p>
    <w:p w14:paraId="76C3F57A">
      <w:pPr>
        <w:spacing w:line="360" w:lineRule="auto"/>
        <w:ind w:firstLine="420" w:firstLineChars="200"/>
        <w:jc w:val="left"/>
        <w:rPr>
          <w:rFonts w:hint="eastAsia" w:eastAsia="宋体"/>
          <w:color w:val="auto"/>
          <w:szCs w:val="21"/>
          <w:highlight w:val="none"/>
        </w:rPr>
      </w:pPr>
      <w:r>
        <w:rPr>
          <w:rFonts w:hint="eastAsia" w:eastAsia="宋体"/>
          <w:color w:val="auto"/>
          <w:szCs w:val="21"/>
          <w:highlight w:val="none"/>
        </w:rPr>
        <w:t>第六章 合同文本；</w:t>
      </w:r>
    </w:p>
    <w:p w14:paraId="3FC86935">
      <w:pPr>
        <w:spacing w:line="360" w:lineRule="auto"/>
        <w:ind w:firstLine="420" w:firstLineChars="200"/>
        <w:jc w:val="left"/>
        <w:rPr>
          <w:rFonts w:hint="eastAsia" w:eastAsia="宋体"/>
          <w:color w:val="auto"/>
          <w:szCs w:val="21"/>
          <w:highlight w:val="none"/>
        </w:rPr>
      </w:pPr>
      <w:r>
        <w:rPr>
          <w:rFonts w:hint="eastAsia" w:eastAsia="宋体"/>
          <w:color w:val="auto"/>
          <w:szCs w:val="21"/>
          <w:highlight w:val="none"/>
        </w:rPr>
        <w:t>第七章 质疑、投诉材料格式。</w:t>
      </w:r>
    </w:p>
    <w:p w14:paraId="0B24886A">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9.供应商的询问</w:t>
      </w:r>
    </w:p>
    <w:p w14:paraId="3A1DEB8D">
      <w:pPr>
        <w:spacing w:line="360" w:lineRule="auto"/>
        <w:ind w:firstLine="420" w:firstLineChars="200"/>
        <w:rPr>
          <w:rFonts w:hint="eastAsia" w:eastAsia="宋体"/>
          <w:color w:val="auto"/>
          <w:szCs w:val="21"/>
          <w:highlight w:val="none"/>
        </w:rPr>
      </w:pPr>
      <w:r>
        <w:rPr>
          <w:rFonts w:hint="eastAsia" w:eastAsia="宋体"/>
          <w:color w:val="auto"/>
          <w:szCs w:val="21"/>
          <w:highlight w:val="none"/>
        </w:rPr>
        <w:t>供应商应认真阅读磋商文件的采购需求，如供应商对磋商文件有疑问的，如要求采购人作出澄清或者修改的，供应商应在</w:t>
      </w:r>
      <w:r>
        <w:rPr>
          <w:rFonts w:eastAsia="宋体"/>
          <w:color w:val="auto"/>
          <w:szCs w:val="21"/>
          <w:highlight w:val="none"/>
        </w:rPr>
        <w:t>提交首次响应文件截止之日前</w:t>
      </w:r>
      <w:r>
        <w:rPr>
          <w:rFonts w:hint="eastAsia" w:eastAsia="宋体"/>
          <w:color w:val="auto"/>
          <w:szCs w:val="21"/>
          <w:highlight w:val="none"/>
        </w:rPr>
        <w:t>，以书面形式向</w:t>
      </w:r>
      <w:r>
        <w:rPr>
          <w:rFonts w:eastAsia="宋体"/>
          <w:color w:val="auto"/>
          <w:szCs w:val="21"/>
          <w:highlight w:val="none"/>
        </w:rPr>
        <w:t>采购人、采购代理机构</w:t>
      </w:r>
      <w:r>
        <w:rPr>
          <w:rFonts w:hint="eastAsia" w:eastAsia="宋体"/>
          <w:color w:val="auto"/>
          <w:szCs w:val="21"/>
          <w:highlight w:val="none"/>
        </w:rPr>
        <w:t>提出。</w:t>
      </w:r>
    </w:p>
    <w:p w14:paraId="5922E620">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10.磋商文件的澄清和修改</w:t>
      </w:r>
    </w:p>
    <w:p w14:paraId="45A9D75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0935C53F">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5E960C7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5日前，以书面形式（目前为网上公告和系统短信等形式）通知所有获取磋商文件的供应商，不足5日的，应当顺延提交首次响应文件截止</w:t>
      </w:r>
      <w:r>
        <w:rPr>
          <w:rFonts w:hint="eastAsia" w:ascii="宋体" w:hAnsi="宋体" w:eastAsia="宋体" w:cs="宋体"/>
          <w:color w:val="auto"/>
          <w:szCs w:val="21"/>
          <w:highlight w:val="none"/>
          <w:lang w:eastAsia="zh-CN"/>
        </w:rPr>
        <w:t>时间</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澄清或者</w:t>
      </w:r>
      <w:r>
        <w:rPr>
          <w:rFonts w:hint="eastAsia" w:ascii="宋体" w:hAnsi="宋体" w:eastAsia="宋体" w:cs="宋体"/>
          <w:color w:val="auto"/>
          <w:szCs w:val="21"/>
          <w:highlight w:val="none"/>
          <w:lang w:val="en-US" w:eastAsia="zh-CN"/>
        </w:rPr>
        <w:t>更正公告</w:t>
      </w:r>
      <w:r>
        <w:rPr>
          <w:rFonts w:hint="eastAsia" w:ascii="宋体" w:hAnsi="宋体" w:eastAsia="宋体" w:cs="宋体"/>
          <w:color w:val="auto"/>
          <w:szCs w:val="21"/>
          <w:highlight w:val="none"/>
          <w:lang w:eastAsia="zh-CN"/>
        </w:rPr>
        <w:t>在竞争性磋商公告发布媒体上发布</w:t>
      </w:r>
      <w:r>
        <w:rPr>
          <w:rFonts w:hint="eastAsia" w:ascii="宋体" w:hAnsi="宋体" w:eastAsia="宋体" w:cs="宋体"/>
          <w:color w:val="auto"/>
          <w:szCs w:val="21"/>
          <w:highlight w:val="none"/>
        </w:rPr>
        <w:t>，一经发布，视作已以书面形式通知所有获取竞争性磋商文件的潜在供应商，不再另行通知，所有潜在供应商应密切关注竞争性磋商公告发布媒体，因未能及时获知，由此产生的后果均应自行承担。</w:t>
      </w:r>
    </w:p>
    <w:p w14:paraId="012D46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w:t>
      </w:r>
      <w:r>
        <w:rPr>
          <w:rFonts w:hint="eastAsia" w:ascii="宋体" w:hAnsi="宋体" w:eastAsia="宋体" w:cs="宋体"/>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30E147B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10.5  采购人和采购代理机构可以视采购具体情况，变更提交首次响应文件截止时间和</w:t>
      </w:r>
      <w:r>
        <w:rPr>
          <w:rFonts w:hint="eastAsia" w:ascii="宋体" w:hAnsi="宋体" w:cs="宋体"/>
          <w:color w:val="auto"/>
          <w:highlight w:val="none"/>
          <w:lang w:val="en-US" w:eastAsia="zh-CN"/>
        </w:rPr>
        <w:t>磋商</w:t>
      </w:r>
      <w:r>
        <w:rPr>
          <w:rFonts w:hint="eastAsia" w:ascii="宋体" w:hAnsi="宋体" w:eastAsia="宋体" w:cs="宋体"/>
          <w:color w:val="auto"/>
          <w:highlight w:val="none"/>
        </w:rPr>
        <w:t>时间，将变更时间将在</w:t>
      </w:r>
      <w:r>
        <w:rPr>
          <w:rFonts w:hint="eastAsia" w:ascii="宋体" w:hAnsi="宋体" w:eastAsia="宋体" w:cs="宋体"/>
          <w:color w:val="auto"/>
          <w:highlight w:val="none"/>
          <w:lang w:eastAsia="zh-CN"/>
        </w:rPr>
        <w:t>竞争性磋商</w:t>
      </w:r>
      <w:r>
        <w:rPr>
          <w:rFonts w:hint="eastAsia" w:ascii="宋体" w:hAnsi="宋体" w:eastAsia="宋体" w:cs="宋体"/>
          <w:color w:val="auto"/>
          <w:highlight w:val="none"/>
        </w:rPr>
        <w:t>公告中“七、其他补充事宜</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.网上查询地址”规定的政府采购信息发布媒体上发布更正公告。</w:t>
      </w:r>
    </w:p>
    <w:p w14:paraId="5AE4692F">
      <w:pPr>
        <w:spacing w:line="360" w:lineRule="auto"/>
        <w:ind w:firstLine="400" w:firstLineChars="200"/>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w:t>
      </w:r>
      <w:r>
        <w:rPr>
          <w:rFonts w:hint="eastAsia" w:ascii="宋体" w:hAnsi="宋体" w:eastAsia="宋体" w:cs="宋体"/>
          <w:b/>
          <w:color w:val="auto"/>
          <w:kern w:val="0"/>
          <w:sz w:val="20"/>
          <w:szCs w:val="21"/>
          <w:highlight w:val="none"/>
        </w:rPr>
        <w:t>响应文件未按磋商文件的澄清、修改的内容编制，又不符合实质性要求的，其响应文件</w:t>
      </w:r>
      <w:r>
        <w:rPr>
          <w:rFonts w:hint="eastAsia" w:ascii="宋体" w:hAnsi="宋体" w:eastAsia="宋体" w:cs="宋体"/>
          <w:b/>
          <w:color w:val="auto"/>
          <w:kern w:val="0"/>
          <w:sz w:val="20"/>
          <w:szCs w:val="21"/>
          <w:highlight w:val="none"/>
          <w:lang w:eastAsia="zh-CN"/>
        </w:rPr>
        <w:t>按无效</w:t>
      </w:r>
      <w:r>
        <w:rPr>
          <w:rFonts w:hint="eastAsia" w:ascii="宋体" w:hAnsi="宋体" w:eastAsia="宋体" w:cs="宋体"/>
          <w:b/>
          <w:color w:val="auto"/>
          <w:kern w:val="0"/>
          <w:sz w:val="20"/>
          <w:szCs w:val="21"/>
          <w:highlight w:val="none"/>
        </w:rPr>
        <w:t>处理。</w:t>
      </w:r>
    </w:p>
    <w:p w14:paraId="4705BEA2">
      <w:pPr>
        <w:keepNext/>
        <w:keepLines/>
        <w:widowControl w:val="0"/>
        <w:spacing w:before="0" w:after="0" w:line="360" w:lineRule="auto"/>
        <w:ind w:firstLine="320" w:firstLineChars="100"/>
        <w:jc w:val="both"/>
        <w:outlineLvl w:val="2"/>
        <w:rPr>
          <w:rFonts w:hint="eastAsia" w:ascii="Times New Roman" w:hAnsi="Times New Roman" w:eastAsia="宋体" w:cs="Times New Roman"/>
          <w:b w:val="0"/>
          <w:bCs w:val="0"/>
          <w:color w:val="auto"/>
          <w:kern w:val="2"/>
          <w:sz w:val="32"/>
          <w:szCs w:val="32"/>
          <w:highlight w:val="none"/>
          <w:lang w:val="en-US" w:eastAsia="zh-CN" w:bidi="ar-SA"/>
        </w:rPr>
      </w:pPr>
      <w:r>
        <w:rPr>
          <w:rFonts w:hint="eastAsia" w:ascii="Times New Roman" w:hAnsi="Times New Roman" w:eastAsia="宋体" w:cs="Times New Roman"/>
          <w:b w:val="0"/>
          <w:bCs w:val="0"/>
          <w:color w:val="auto"/>
          <w:kern w:val="2"/>
          <w:sz w:val="32"/>
          <w:szCs w:val="32"/>
          <w:highlight w:val="none"/>
          <w:lang w:val="en-US" w:eastAsia="zh-CN" w:bidi="ar-SA"/>
        </w:rPr>
        <w:t xml:space="preserve">  </w:t>
      </w:r>
      <w:bookmarkStart w:id="92" w:name="_Toc80886932"/>
      <w:bookmarkStart w:id="93" w:name="_Toc21690"/>
      <w:bookmarkStart w:id="94" w:name="_Toc21480"/>
      <w:r>
        <w:rPr>
          <w:rFonts w:hint="eastAsia" w:ascii="Times New Roman" w:hAnsi="Times New Roman" w:eastAsia="宋体" w:cs="Times New Roman"/>
          <w:b w:val="0"/>
          <w:bCs w:val="0"/>
          <w:color w:val="auto"/>
          <w:kern w:val="2"/>
          <w:sz w:val="32"/>
          <w:szCs w:val="32"/>
          <w:highlight w:val="none"/>
          <w:lang w:val="en-US" w:eastAsia="zh-CN" w:bidi="ar-SA"/>
        </w:rPr>
        <w:t>三、响应文件的编制</w:t>
      </w:r>
      <w:bookmarkEnd w:id="92"/>
      <w:bookmarkEnd w:id="93"/>
      <w:bookmarkEnd w:id="94"/>
    </w:p>
    <w:p w14:paraId="091A1679">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11.响应文件的编制原则</w:t>
      </w:r>
    </w:p>
    <w:p w14:paraId="39B9B4B5">
      <w:pPr>
        <w:spacing w:line="360" w:lineRule="auto"/>
        <w:ind w:firstLine="420" w:firstLineChars="200"/>
        <w:rPr>
          <w:rFonts w:hint="eastAsia" w:eastAsia="宋体" w:cs="宋体"/>
          <w:color w:val="auto"/>
          <w:szCs w:val="21"/>
          <w:highlight w:val="none"/>
        </w:rPr>
      </w:pPr>
      <w:r>
        <w:rPr>
          <w:rFonts w:hint="eastAsia" w:eastAsia="宋体" w:cs="宋体"/>
          <w:color w:val="auto"/>
          <w:szCs w:val="21"/>
          <w:highlight w:val="none"/>
        </w:rPr>
        <w:t>供应商必须按照磋商文件的要求编制响应文件，并对其提交的响应文件的真实性、合法性承担法律责任。响应文件必须对磋商文件作出实质性响应。</w:t>
      </w:r>
    </w:p>
    <w:p w14:paraId="17C5A79C">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12.响应文件的组成</w:t>
      </w:r>
    </w:p>
    <w:p w14:paraId="3C3C9D1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12.1响应文件由资格文件、报价文件、商务技术文件三部分组成。</w:t>
      </w:r>
    </w:p>
    <w:p w14:paraId="3CD14513">
      <w:pPr>
        <w:spacing w:line="360" w:lineRule="auto"/>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12.1.1资格文件：详见供应商须知前附表</w:t>
      </w:r>
    </w:p>
    <w:p w14:paraId="21C9CBF1">
      <w:pPr>
        <w:spacing w:line="360" w:lineRule="auto"/>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12.1.2商务技术文件：详见供应商须知前附表</w:t>
      </w:r>
    </w:p>
    <w:p w14:paraId="4BAD87D8">
      <w:pPr>
        <w:spacing w:line="360" w:lineRule="auto"/>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12.1.3报价文件：详见供应商须知前附表</w:t>
      </w:r>
    </w:p>
    <w:p w14:paraId="62BAA57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12.2响应文件电子版：详见供应商须知前附表</w:t>
      </w:r>
    </w:p>
    <w:p w14:paraId="7CC94059">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13.计量单位</w:t>
      </w:r>
    </w:p>
    <w:p w14:paraId="295360C9">
      <w:pPr>
        <w:spacing w:line="360" w:lineRule="auto"/>
        <w:ind w:firstLine="420" w:firstLineChars="200"/>
        <w:rPr>
          <w:rFonts w:hint="eastAsia" w:eastAsia="宋体" w:cs="宋体"/>
          <w:color w:val="auto"/>
          <w:szCs w:val="21"/>
          <w:highlight w:val="none"/>
        </w:rPr>
      </w:pPr>
      <w:r>
        <w:rPr>
          <w:rFonts w:hint="eastAsia" w:eastAsia="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265BC70C">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14.竞标的风险</w:t>
      </w:r>
    </w:p>
    <w:p w14:paraId="4031256C">
      <w:pPr>
        <w:spacing w:line="360" w:lineRule="auto"/>
        <w:ind w:firstLine="420" w:firstLineChars="200"/>
        <w:rPr>
          <w:rFonts w:hint="eastAsia" w:eastAsia="宋体" w:cs="宋体"/>
          <w:color w:val="auto"/>
          <w:szCs w:val="21"/>
          <w:highlight w:val="none"/>
        </w:rPr>
      </w:pPr>
      <w:r>
        <w:rPr>
          <w:rFonts w:hint="eastAsia" w:eastAsia="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54EBDC55">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15.</w:t>
      </w:r>
      <w:r>
        <w:rPr>
          <w:rFonts w:hint="default" w:ascii="黑体" w:hAnsi="黑体" w:eastAsia="黑体" w:cs="宋体"/>
          <w:b/>
          <w:bCs/>
          <w:color w:val="auto"/>
          <w:sz w:val="24"/>
          <w:highlight w:val="none"/>
          <w:lang w:val="en-US"/>
        </w:rPr>
        <w:t>响应</w:t>
      </w:r>
      <w:r>
        <w:rPr>
          <w:rFonts w:hint="eastAsia" w:ascii="黑体" w:hAnsi="黑体" w:eastAsia="黑体" w:cs="宋体"/>
          <w:b/>
          <w:bCs/>
          <w:color w:val="auto"/>
          <w:sz w:val="24"/>
          <w:highlight w:val="none"/>
        </w:rPr>
        <w:t>报价要求和构成</w:t>
      </w:r>
    </w:p>
    <w:p w14:paraId="6712A656">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w:t>
      </w:r>
      <w:r>
        <w:rPr>
          <w:rFonts w:hint="default" w:ascii="宋体" w:hAnsi="宋体" w:eastAsia="宋体" w:cs="宋体"/>
          <w:color w:val="auto"/>
          <w:szCs w:val="21"/>
          <w:highlight w:val="none"/>
          <w:lang w:val="en-US"/>
        </w:rPr>
        <w:t>响应</w:t>
      </w:r>
      <w:r>
        <w:rPr>
          <w:rFonts w:hint="eastAsia" w:ascii="宋体" w:hAnsi="宋体" w:eastAsia="宋体" w:cs="宋体"/>
          <w:color w:val="auto"/>
          <w:szCs w:val="21"/>
          <w:highlight w:val="none"/>
        </w:rPr>
        <w:t>报价应按“第五章 响应文件格式”中“响应报价表”格式填写。</w:t>
      </w:r>
    </w:p>
    <w:p w14:paraId="5C720629">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15.2响应报价的价格构成见“供应商须知前附表”。</w:t>
      </w:r>
    </w:p>
    <w:p w14:paraId="129F38E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15.3响应报价要求</w:t>
      </w:r>
    </w:p>
    <w:p w14:paraId="2B93E2E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15.3.1供应商的响应报价应符合以下要求，否则响应文件按无效响应处理：</w:t>
      </w:r>
    </w:p>
    <w:p w14:paraId="65B1B13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（1）供应商必须就“采购需求”中所竞标的</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每个分标的全部内容分别作完整唯一总价报价，不得存在漏项报价；</w:t>
      </w:r>
    </w:p>
    <w:p w14:paraId="63DCA67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（2）供应商必须就所竞标的</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分标的单项内容作唯一报价。</w:t>
      </w:r>
    </w:p>
    <w:p w14:paraId="023131D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15.3.2响应报价（包含首次报价、最后报价）超过所竞标</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分标规定的采购预算金额或者最高限价的（如本项目公布了最高限价），其响应文件将</w:t>
      </w:r>
      <w:r>
        <w:rPr>
          <w:rFonts w:hint="eastAsia" w:ascii="宋体" w:hAnsi="宋体" w:eastAsia="宋体" w:cs="宋体"/>
          <w:color w:val="auto"/>
          <w:szCs w:val="21"/>
          <w:highlight w:val="none"/>
          <w:lang w:eastAsia="zh-CN"/>
        </w:rPr>
        <w:t>按无效</w:t>
      </w:r>
      <w:r>
        <w:rPr>
          <w:rFonts w:hint="eastAsia" w:ascii="宋体" w:hAnsi="宋体" w:eastAsia="宋体" w:cs="宋体"/>
          <w:color w:val="auto"/>
          <w:szCs w:val="21"/>
          <w:highlight w:val="none"/>
        </w:rPr>
        <w:t>处理。</w:t>
      </w:r>
    </w:p>
    <w:p w14:paraId="4EE7DD9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15.3.3</w:t>
      </w:r>
      <w:bookmarkStart w:id="95" w:name="_Hlk42592874"/>
      <w:r>
        <w:rPr>
          <w:rFonts w:hint="eastAsia" w:ascii="宋体" w:hAnsi="宋体" w:eastAsia="宋体" w:cs="宋体"/>
          <w:color w:val="auto"/>
          <w:szCs w:val="21"/>
          <w:highlight w:val="none"/>
        </w:rPr>
        <w:t>响应报价（包含首次报价、最后报价）超过分项采购预算金额或者最高限价的（如本项目公布了最高限价），其响应文件将</w:t>
      </w:r>
      <w:r>
        <w:rPr>
          <w:rFonts w:hint="eastAsia" w:ascii="宋体" w:hAnsi="宋体" w:eastAsia="宋体" w:cs="宋体"/>
          <w:color w:val="auto"/>
          <w:szCs w:val="21"/>
          <w:highlight w:val="none"/>
          <w:lang w:eastAsia="zh-CN"/>
        </w:rPr>
        <w:t>按无效</w:t>
      </w:r>
      <w:r>
        <w:rPr>
          <w:rFonts w:hint="eastAsia" w:ascii="宋体" w:hAnsi="宋体" w:eastAsia="宋体" w:cs="宋体"/>
          <w:color w:val="auto"/>
          <w:szCs w:val="21"/>
          <w:highlight w:val="none"/>
        </w:rPr>
        <w:t>处理。</w:t>
      </w:r>
    </w:p>
    <w:bookmarkEnd w:id="95"/>
    <w:p w14:paraId="6C290A59">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16.竞标有效期</w:t>
      </w:r>
    </w:p>
    <w:p w14:paraId="4404BD0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0E0EDA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竞标有效期应由供应商按“供应商须知前附表”规定的期限作出响应。</w:t>
      </w:r>
    </w:p>
    <w:p w14:paraId="79417E5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16.3供应商的响应文件在竞标有效期内均保持有效。</w:t>
      </w:r>
    </w:p>
    <w:p w14:paraId="6EF33434">
      <w:pPr>
        <w:spacing w:line="360" w:lineRule="auto"/>
        <w:ind w:firstLine="0" w:firstLineChars="0"/>
        <w:rPr>
          <w:rFonts w:hint="eastAsia" w:ascii="黑体" w:hAnsi="黑体" w:eastAsia="黑体" w:cs="宋体"/>
          <w:b/>
          <w:bCs/>
          <w:i/>
          <w:iCs/>
          <w:color w:val="auto"/>
          <w:sz w:val="24"/>
          <w:highlight w:val="none"/>
          <w:lang w:eastAsia="zh-CN"/>
        </w:rPr>
      </w:pPr>
      <w:r>
        <w:rPr>
          <w:rFonts w:hint="eastAsia" w:ascii="黑体" w:hAnsi="黑体" w:eastAsia="黑体" w:cs="宋体"/>
          <w:b/>
          <w:bCs/>
          <w:color w:val="auto"/>
          <w:sz w:val="24"/>
          <w:highlight w:val="none"/>
        </w:rPr>
        <w:t>17.磋商保证金</w:t>
      </w:r>
    </w:p>
    <w:p w14:paraId="297C938A">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17.1供应商须按“供应商须知前附表”的规定提交磋商保证金。</w:t>
      </w:r>
    </w:p>
    <w:p w14:paraId="31E8DB4E">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17.2磋商保证金的退还</w:t>
      </w:r>
    </w:p>
    <w:p w14:paraId="4045070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17.2.1未</w:t>
      </w:r>
      <w:r>
        <w:rPr>
          <w:rFonts w:hint="eastAsia" w:ascii="宋体" w:hAnsi="宋体" w:eastAsia="宋体" w:cs="宋体"/>
          <w:color w:val="auto"/>
          <w:spacing w:val="-6"/>
          <w:szCs w:val="21"/>
          <w:highlight w:val="none"/>
        </w:rPr>
        <w:t>成交供应商的磋商保证金自成交通知书发出之日起</w:t>
      </w:r>
      <w:r>
        <w:rPr>
          <w:rFonts w:hint="eastAsia" w:ascii="宋体" w:hAnsi="宋体" w:eastAsia="宋体" w:cs="宋体"/>
          <w:color w:val="auto"/>
          <w:spacing w:val="-6"/>
          <w:szCs w:val="21"/>
          <w:highlight w:val="none"/>
          <w:lang w:val="en-US" w:eastAsia="zh-CN"/>
        </w:rPr>
        <w:t>5</w:t>
      </w:r>
      <w:r>
        <w:rPr>
          <w:rFonts w:hint="eastAsia" w:ascii="宋体" w:hAnsi="宋体" w:eastAsia="宋体" w:cs="宋体"/>
          <w:color w:val="auto"/>
          <w:spacing w:val="-6"/>
          <w:szCs w:val="21"/>
          <w:highlight w:val="none"/>
        </w:rPr>
        <w:t>个工作日内退还，退还方式如下：</w:t>
      </w:r>
    </w:p>
    <w:p w14:paraId="2FF7E2F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（1）采用银行转账方式的，以转账方式退回到供应商银行账户。</w:t>
      </w:r>
    </w:p>
    <w:p w14:paraId="024FC07D">
      <w:pPr>
        <w:widowControl w:val="0"/>
        <w:spacing w:line="360" w:lineRule="auto"/>
        <w:ind w:firstLine="315" w:firstLineChars="150"/>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Times New Roman"/>
          <w:color w:val="auto"/>
          <w:kern w:val="2"/>
          <w:sz w:val="21"/>
          <w:szCs w:val="21"/>
          <w:highlight w:val="none"/>
          <w:lang w:val="en-US" w:eastAsia="zh-CN" w:bidi="ar-SA"/>
        </w:rPr>
        <w:t>采用支票、汇票、本票或者金融机构、担保机构出具的保函等方式的，由供应商代表持相关授权证明材料至采购代理机构办理支票、汇票、本票或者金融机构、担保机构出具的保函等原件退还手续。</w:t>
      </w:r>
    </w:p>
    <w:p w14:paraId="4C20CDE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17.2.2成交供应商的磋商保证金自签订合同之日起</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 xml:space="preserve">个工作日内退还，退还方式同未成交供应商的磋商保证金的退还方式。 </w:t>
      </w:r>
    </w:p>
    <w:p w14:paraId="1D177245">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17.3磋商保证金不计息。</w:t>
      </w:r>
    </w:p>
    <w:p w14:paraId="70D08F65">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17.4供应商有下列情形之一的，磋商保证金将不予退还： </w:t>
      </w:r>
    </w:p>
    <w:p w14:paraId="3E242E25">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（1）供应商在提交响应文件截止时间后撤回响应文件的；</w:t>
      </w:r>
    </w:p>
    <w:p w14:paraId="7BBA2196">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（2）供应商在响应文件中提供虚假材料的；</w:t>
      </w:r>
    </w:p>
    <w:p w14:paraId="0D939AD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（3）除因不可抗力或者磋商文件认可的情形以外，成交供应商不与采购人签订合同的；</w:t>
      </w:r>
    </w:p>
    <w:p w14:paraId="7F1E8BCA">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（4）供应商与采购人、</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供应商或者采购代理机构恶意串通的；</w:t>
      </w:r>
    </w:p>
    <w:p w14:paraId="5975874D">
      <w:pPr>
        <w:spacing w:line="360" w:lineRule="auto"/>
        <w:ind w:left="420" w:leftChars="200" w:firstLine="0" w:firstLineChars="0"/>
        <w:rPr>
          <w:rFonts w:eastAsia="宋体" w:cs="宋体"/>
          <w:color w:val="auto"/>
          <w:szCs w:val="21"/>
          <w:highlight w:val="none"/>
        </w:rPr>
      </w:pPr>
      <w:r>
        <w:rPr>
          <w:rFonts w:hint="eastAsia" w:ascii="宋体" w:hAnsi="宋体" w:eastAsia="宋体" w:cs="宋体"/>
          <w:color w:val="auto"/>
          <w:szCs w:val="21"/>
          <w:highlight w:val="none"/>
        </w:rPr>
        <w:t>（5）磋商文件规定的</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情形。</w:t>
      </w:r>
    </w:p>
    <w:p w14:paraId="56C35741">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18.响应文件编制的要求</w:t>
      </w:r>
    </w:p>
    <w:p w14:paraId="188D90D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eastAsia="宋体" w:cs="宋体"/>
          <w:color w:val="auto"/>
          <w:highlight w:val="none"/>
        </w:rPr>
        <w:t>由此引发的</w:t>
      </w:r>
      <w:r>
        <w:rPr>
          <w:rFonts w:hint="eastAsia" w:ascii="宋体" w:hAnsi="宋体" w:eastAsia="宋体" w:cs="宋体"/>
          <w:color w:val="auto"/>
          <w:szCs w:val="21"/>
          <w:highlight w:val="none"/>
        </w:rPr>
        <w:t>后果由供应商承担。</w:t>
      </w:r>
    </w:p>
    <w:p w14:paraId="65B57C1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18.2响应文件应按资格文件、报价</w:t>
      </w:r>
      <w:r>
        <w:rPr>
          <w:rFonts w:hint="eastAsia" w:ascii="宋体" w:hAnsi="宋体" w:eastAsia="宋体" w:cs="宋体"/>
          <w:color w:val="auto"/>
          <w:szCs w:val="21"/>
          <w:highlight w:val="none"/>
          <w:lang w:eastAsia="zh-CN"/>
        </w:rPr>
        <w:t>文件</w:t>
      </w:r>
      <w:r>
        <w:rPr>
          <w:rFonts w:hint="eastAsia" w:ascii="宋体" w:hAnsi="宋体" w:eastAsia="宋体" w:cs="宋体"/>
          <w:color w:val="auto"/>
          <w:szCs w:val="21"/>
          <w:highlight w:val="none"/>
        </w:rPr>
        <w:t>分别编制，商务</w:t>
      </w:r>
      <w:r>
        <w:rPr>
          <w:rFonts w:hint="eastAsia" w:ascii="宋体" w:hAnsi="宋体" w:eastAsia="宋体" w:cs="宋体"/>
          <w:color w:val="auto"/>
          <w:szCs w:val="21"/>
          <w:highlight w:val="none"/>
          <w:lang w:eastAsia="zh-CN"/>
        </w:rPr>
        <w:t>文件与</w:t>
      </w:r>
      <w:r>
        <w:rPr>
          <w:rFonts w:hint="eastAsia" w:ascii="宋体" w:hAnsi="宋体" w:eastAsia="宋体" w:cs="宋体"/>
          <w:color w:val="auto"/>
          <w:szCs w:val="21"/>
          <w:highlight w:val="none"/>
        </w:rPr>
        <w:t>技术文件合并编制，本磋商只接受电子版响应文件，要求见本章“12.2响应文件电子版要求”。</w:t>
      </w:r>
    </w:p>
    <w:p w14:paraId="1ABF694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bookmarkStart w:id="96" w:name="_Hlk65832699"/>
      <w:r>
        <w:rPr>
          <w:rFonts w:hint="eastAsia" w:ascii="宋体" w:hAnsi="宋体" w:eastAsia="宋体" w:cs="宋体"/>
          <w:color w:val="auto"/>
          <w:szCs w:val="21"/>
          <w:highlight w:val="none"/>
        </w:rPr>
        <w:t>3响应文件须由供应商</w:t>
      </w:r>
      <w:r>
        <w:rPr>
          <w:rFonts w:hint="eastAsia" w:ascii="宋体" w:hAnsi="宋体" w:eastAsia="宋体" w:cs="宋体"/>
          <w:color w:val="auto"/>
          <w:szCs w:val="21"/>
          <w:highlight w:val="none"/>
          <w:lang w:eastAsia="zh-CN"/>
        </w:rPr>
        <w:t>按</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第五章 响应文件格式</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lang w:eastAsia="zh-CN"/>
        </w:rPr>
        <w:t>要求</w:t>
      </w:r>
      <w:r>
        <w:rPr>
          <w:rFonts w:hint="eastAsia" w:ascii="宋体" w:hAnsi="宋体" w:eastAsia="宋体" w:cs="宋体"/>
          <w:color w:val="auto"/>
          <w:szCs w:val="21"/>
          <w:highlight w:val="none"/>
        </w:rPr>
        <w:t>进行签署、盖章</w:t>
      </w:r>
      <w:bookmarkEnd w:id="96"/>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否则其响应文件按无效响应处理</w:t>
      </w:r>
      <w:r>
        <w:rPr>
          <w:rFonts w:hint="eastAsia" w:ascii="宋体" w:hAnsi="宋体" w:eastAsia="宋体" w:cs="宋体"/>
          <w:color w:val="auto"/>
          <w:szCs w:val="21"/>
          <w:highlight w:val="none"/>
        </w:rPr>
        <w:t>。</w:t>
      </w:r>
    </w:p>
    <w:p w14:paraId="2C57860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18.4响应文件中标注的供应商名称应与营业执照（事业单位法人证书、执业许可证、自然人身份证）及</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公章一致，</w:t>
      </w:r>
      <w:r>
        <w:rPr>
          <w:rFonts w:hint="eastAsia" w:ascii="宋体" w:hAnsi="宋体" w:eastAsia="宋体" w:cs="宋体"/>
          <w:b/>
          <w:bCs/>
          <w:color w:val="auto"/>
          <w:szCs w:val="21"/>
          <w:highlight w:val="none"/>
        </w:rPr>
        <w:t>否则其响应文件按无效响应处理。</w:t>
      </w:r>
    </w:p>
    <w:p w14:paraId="1F859B2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18.5响应文件应避免涂改、行间插字或者删除。</w:t>
      </w:r>
    </w:p>
    <w:p w14:paraId="3F7EA3D0">
      <w:pPr>
        <w:spacing w:line="360" w:lineRule="auto"/>
        <w:ind w:firstLine="482" w:firstLineChars="200"/>
        <w:rPr>
          <w:rFonts w:hint="eastAsia" w:ascii="黑体" w:hAnsi="黑体" w:eastAsia="黑体" w:cs="宋体"/>
          <w:b/>
          <w:bCs/>
          <w:color w:val="auto"/>
          <w:sz w:val="24"/>
          <w:highlight w:val="none"/>
          <w:lang w:eastAsia="zh-CN"/>
        </w:rPr>
      </w:pPr>
      <w:r>
        <w:rPr>
          <w:rFonts w:hint="eastAsia" w:ascii="黑体" w:hAnsi="黑体" w:eastAsia="黑体" w:cs="宋体"/>
          <w:b/>
          <w:bCs/>
          <w:color w:val="auto"/>
          <w:sz w:val="24"/>
          <w:highlight w:val="none"/>
        </w:rPr>
        <w:t>19.响应文件的</w:t>
      </w:r>
      <w:r>
        <w:rPr>
          <w:rFonts w:hint="eastAsia" w:ascii="黑体" w:hAnsi="黑体" w:eastAsia="黑体" w:cs="宋体"/>
          <w:b/>
          <w:bCs/>
          <w:color w:val="auto"/>
          <w:sz w:val="24"/>
          <w:highlight w:val="none"/>
          <w:lang w:eastAsia="zh-CN"/>
        </w:rPr>
        <w:t>加密</w:t>
      </w:r>
    </w:p>
    <w:p w14:paraId="3B7CB95F">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19.1供应商进行电子交易应安装客户端软件—“</w:t>
      </w:r>
      <w:r>
        <w:rPr>
          <w:rFonts w:hint="eastAsia" w:ascii="宋体" w:hAnsi="宋体" w:eastAsia="宋体" w:cs="宋体"/>
          <w:b w:val="0"/>
          <w:bCs w:val="0"/>
          <w:color w:val="auto"/>
          <w:sz w:val="21"/>
          <w:szCs w:val="21"/>
          <w:highlight w:val="none"/>
          <w:lang w:val="en-US" w:eastAsia="zh-CN"/>
        </w:rPr>
        <w:t>广西政府采购云平台新版客户端</w:t>
      </w:r>
      <w:r>
        <w:rPr>
          <w:rFonts w:hint="eastAsia" w:ascii="宋体" w:hAnsi="宋体" w:eastAsia="宋体" w:cs="宋体"/>
          <w:color w:val="auto"/>
          <w:kern w:val="0"/>
          <w:szCs w:val="21"/>
          <w:highlight w:val="none"/>
          <w:lang w:val="zh-CN"/>
        </w:rPr>
        <w:t>”，并按照磋商文件和电子交易平台的要求编制并加密响应文件。供应商未按规定加密的响应文件，电子交易平台将拒收并提示。</w:t>
      </w:r>
    </w:p>
    <w:p w14:paraId="08A84C75">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19.2使用“</w:t>
      </w:r>
      <w:r>
        <w:rPr>
          <w:rFonts w:hint="eastAsia" w:ascii="宋体" w:hAnsi="宋体" w:eastAsia="宋体" w:cs="宋体"/>
          <w:color w:val="auto"/>
          <w:kern w:val="0"/>
          <w:szCs w:val="21"/>
          <w:highlight w:val="none"/>
          <w:lang w:val="en-US" w:eastAsia="zh-CN"/>
        </w:rPr>
        <w:t>广西政府采购云平台</w:t>
      </w:r>
      <w:r>
        <w:rPr>
          <w:rFonts w:hint="eastAsia" w:ascii="宋体" w:hAnsi="宋体" w:eastAsia="宋体" w:cs="宋体"/>
          <w:color w:val="auto"/>
          <w:kern w:val="0"/>
          <w:szCs w:val="21"/>
          <w:highlight w:val="none"/>
          <w:lang w:val="zh-CN"/>
        </w:rPr>
        <w:t>电子交易客户端”需要提前申领CA数字证书。</w:t>
      </w:r>
    </w:p>
    <w:p w14:paraId="66FA0A14">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19.3为确保网上操作合法、有效和安全，供应商应当在响应文件提交截止时间前完成在“</w:t>
      </w:r>
      <w:r>
        <w:rPr>
          <w:rFonts w:hint="eastAsia" w:ascii="宋体" w:hAnsi="宋体" w:eastAsia="宋体" w:cs="宋体"/>
          <w:b w:val="0"/>
          <w:bCs w:val="0"/>
          <w:color w:val="auto"/>
          <w:sz w:val="21"/>
          <w:szCs w:val="21"/>
          <w:highlight w:val="none"/>
          <w:lang w:val="en-US" w:eastAsia="zh-CN"/>
        </w:rPr>
        <w:t>广西政府采购云平台</w:t>
      </w:r>
      <w:r>
        <w:rPr>
          <w:rFonts w:hint="eastAsia" w:ascii="宋体" w:hAnsi="宋体" w:eastAsia="宋体" w:cs="宋体"/>
          <w:color w:val="auto"/>
          <w:kern w:val="0"/>
          <w:szCs w:val="21"/>
          <w:highlight w:val="none"/>
        </w:rPr>
        <w:t>”的身份认证，确保在电子交易过程中能够对相关数据电文进行加密和使用电子签名。</w:t>
      </w:r>
    </w:p>
    <w:p w14:paraId="1CDF70F7">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20.响应文件的提交</w:t>
      </w:r>
    </w:p>
    <w:p w14:paraId="026A9E0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20.1供应商必须在“供应商须知前附表”规定的时间和地点提交响应文件。</w:t>
      </w:r>
    </w:p>
    <w:p w14:paraId="59D579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 在响应文件提交截止时间以后，不能补充、修改响应文件。</w:t>
      </w:r>
    </w:p>
    <w:p w14:paraId="1F20D41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 在提交“最后报价”后，供应商不能退出</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w:t>
      </w:r>
    </w:p>
    <w:p w14:paraId="359ED7F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42A388C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20.5 采购机构不可视情况延长提交响应文件的截止时间。</w:t>
      </w:r>
    </w:p>
    <w:p w14:paraId="08A57EAE">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Cs w:val="21"/>
          <w:highlight w:val="none"/>
        </w:rPr>
        <w:t>20.6备份响应文件。</w:t>
      </w:r>
      <w:r>
        <w:rPr>
          <w:rFonts w:hint="eastAsia" w:ascii="宋体" w:hAnsi="宋体" w:eastAsia="宋体" w:cs="宋体"/>
          <w:bCs/>
          <w:color w:val="auto"/>
          <w:szCs w:val="21"/>
          <w:highlight w:val="none"/>
        </w:rPr>
        <w:t>详见“供应商须知前附表”。</w:t>
      </w:r>
    </w:p>
    <w:p w14:paraId="1AD57BC1">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21.首次响应文件的补充、修改与撤回</w:t>
      </w:r>
    </w:p>
    <w:p w14:paraId="4D1A7E80">
      <w:pPr>
        <w:adjustRightInd w:val="0"/>
        <w:spacing w:line="360" w:lineRule="auto"/>
        <w:ind w:firstLine="420" w:firstLineChars="200"/>
        <w:rPr>
          <w:rFonts w:hint="eastAsia" w:eastAsia="宋体" w:cs="宋体"/>
          <w:color w:val="auto"/>
          <w:szCs w:val="21"/>
          <w:highlight w:val="none"/>
        </w:rPr>
      </w:pPr>
      <w:r>
        <w:rPr>
          <w:rFonts w:hint="eastAsia" w:ascii="宋体" w:hAnsi="宋体" w:eastAsia="宋体" w:cs="仿宋_GB2312"/>
          <w:color w:val="auto"/>
          <w:kern w:val="0"/>
          <w:szCs w:val="21"/>
          <w:highlight w:val="none"/>
        </w:rPr>
        <w:t>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文件提交截止时间后提交的响应文件，电子交易平台将拒收</w:t>
      </w:r>
      <w:r>
        <w:rPr>
          <w:rFonts w:hint="eastAsia" w:eastAsia="宋体" w:cs="宋体"/>
          <w:color w:val="auto"/>
          <w:szCs w:val="21"/>
          <w:highlight w:val="none"/>
        </w:rPr>
        <w:t>。</w:t>
      </w:r>
      <w:bookmarkStart w:id="97" w:name="_Hlk45702405"/>
    </w:p>
    <w:p w14:paraId="39C61E00">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w:t>
      </w:r>
      <w:r>
        <w:rPr>
          <w:rFonts w:hint="eastAsia" w:ascii="黑体" w:hAnsi="黑体" w:eastAsia="黑体" w:cs="宋体"/>
          <w:b/>
          <w:bCs/>
          <w:color w:val="auto"/>
          <w:sz w:val="24"/>
          <w:highlight w:val="none"/>
          <w:lang w:val="en-US" w:eastAsia="zh-CN"/>
        </w:rPr>
        <w:t>2</w:t>
      </w:r>
      <w:r>
        <w:rPr>
          <w:rFonts w:hint="eastAsia" w:ascii="黑体" w:hAnsi="黑体" w:eastAsia="黑体" w:cs="宋体"/>
          <w:b/>
          <w:bCs/>
          <w:color w:val="auto"/>
          <w:sz w:val="24"/>
          <w:highlight w:val="none"/>
        </w:rPr>
        <w:t>. 截止时间后的撤回</w:t>
      </w:r>
    </w:p>
    <w:bookmarkEnd w:id="97"/>
    <w:p w14:paraId="6D366224">
      <w:pPr>
        <w:adjustRightInd w:val="0"/>
        <w:spacing w:line="360" w:lineRule="auto"/>
        <w:ind w:firstLine="420" w:firstLineChars="200"/>
        <w:rPr>
          <w:rFonts w:hint="eastAsia" w:ascii="宋体" w:hAnsi="宋体" w:eastAsia="宋体" w:cs="仿宋_GB2312"/>
          <w:color w:val="auto"/>
          <w:kern w:val="0"/>
          <w:szCs w:val="21"/>
          <w:highlight w:val="none"/>
          <w:lang w:val="en-US" w:eastAsia="zh-CN"/>
        </w:rPr>
      </w:pPr>
      <w:r>
        <w:rPr>
          <w:rFonts w:hint="eastAsia" w:ascii="宋体" w:hAnsi="宋体" w:eastAsia="宋体" w:cs="仿宋_GB2312"/>
          <w:color w:val="auto"/>
          <w:kern w:val="0"/>
          <w:szCs w:val="21"/>
          <w:highlight w:val="none"/>
          <w:lang w:val="en-US" w:eastAsia="zh-CN"/>
        </w:rPr>
        <w:t>供应商在首次响应文件提交截止时间后向采购人、采购代理机构书面申请撤回电子响应文件的，将根据本须知正文17.4的规定不予退还其磋商保证金（如有）。</w:t>
      </w:r>
    </w:p>
    <w:p w14:paraId="4D1BE016">
      <w:pPr>
        <w:keepNext/>
        <w:keepLines/>
        <w:widowControl w:val="0"/>
        <w:spacing w:before="0" w:after="0" w:line="360" w:lineRule="auto"/>
        <w:ind w:firstLine="640" w:firstLineChars="200"/>
        <w:jc w:val="both"/>
        <w:outlineLvl w:val="2"/>
        <w:rPr>
          <w:rFonts w:hint="eastAsia" w:ascii="Times New Roman" w:hAnsi="Times New Roman" w:eastAsia="宋体" w:cs="Times New Roman"/>
          <w:b w:val="0"/>
          <w:bCs w:val="0"/>
          <w:color w:val="auto"/>
          <w:kern w:val="2"/>
          <w:sz w:val="32"/>
          <w:szCs w:val="32"/>
          <w:highlight w:val="none"/>
          <w:lang w:val="en-US" w:eastAsia="zh-CN" w:bidi="ar-SA"/>
        </w:rPr>
      </w:pPr>
      <w:r>
        <w:rPr>
          <w:rFonts w:hint="eastAsia" w:ascii="Times New Roman" w:hAnsi="Times New Roman" w:eastAsia="宋体" w:cs="Times New Roman"/>
          <w:b w:val="0"/>
          <w:bCs w:val="0"/>
          <w:color w:val="auto"/>
          <w:kern w:val="2"/>
          <w:sz w:val="32"/>
          <w:szCs w:val="32"/>
          <w:highlight w:val="none"/>
          <w:lang w:val="en-US" w:eastAsia="zh-CN" w:bidi="ar-SA"/>
        </w:rPr>
        <w:t xml:space="preserve">  </w:t>
      </w:r>
      <w:bookmarkStart w:id="98" w:name="_Toc80886933"/>
      <w:bookmarkStart w:id="99" w:name="_Toc17876"/>
      <w:bookmarkStart w:id="100" w:name="_Toc20044"/>
      <w:r>
        <w:rPr>
          <w:rFonts w:hint="eastAsia" w:ascii="Times New Roman" w:hAnsi="Times New Roman" w:eastAsia="宋体" w:cs="Times New Roman"/>
          <w:b w:val="0"/>
          <w:bCs w:val="0"/>
          <w:color w:val="auto"/>
          <w:kern w:val="2"/>
          <w:sz w:val="32"/>
          <w:szCs w:val="32"/>
          <w:highlight w:val="none"/>
          <w:lang w:val="en-US" w:eastAsia="zh-CN" w:bidi="ar-SA"/>
        </w:rPr>
        <w:t>四、评审及磋商</w:t>
      </w:r>
      <w:bookmarkEnd w:id="98"/>
      <w:bookmarkEnd w:id="99"/>
      <w:bookmarkEnd w:id="100"/>
    </w:p>
    <w:p w14:paraId="439C8AA4">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w:t>
      </w:r>
      <w:r>
        <w:rPr>
          <w:rFonts w:hint="eastAsia" w:ascii="黑体" w:hAnsi="黑体" w:eastAsia="黑体" w:cs="宋体"/>
          <w:b/>
          <w:bCs/>
          <w:color w:val="auto"/>
          <w:sz w:val="24"/>
          <w:highlight w:val="none"/>
          <w:lang w:val="en-US" w:eastAsia="zh-CN"/>
        </w:rPr>
        <w:t>3</w:t>
      </w:r>
      <w:r>
        <w:rPr>
          <w:rFonts w:hint="eastAsia" w:ascii="黑体" w:hAnsi="黑体" w:eastAsia="黑体" w:cs="宋体"/>
          <w:b/>
          <w:bCs/>
          <w:color w:val="auto"/>
          <w:sz w:val="24"/>
          <w:highlight w:val="none"/>
        </w:rPr>
        <w:t>.磋商小组成立</w:t>
      </w:r>
    </w:p>
    <w:p w14:paraId="3ED0379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6048FDC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w:t>
      </w:r>
    </w:p>
    <w:p w14:paraId="4837BC4F">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lang w:val="en-US" w:eastAsia="zh-CN"/>
        </w:rPr>
        <w:t>4</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首次响应文件的开启</w:t>
      </w:r>
    </w:p>
    <w:p w14:paraId="09FAA0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.1首次响应文件由磋商小组或者采购代理机构在“供应商须知前附表”规定的时间开启。</w:t>
      </w:r>
    </w:p>
    <w:p w14:paraId="07E7F116">
      <w:pPr>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bCs/>
          <w:color w:val="auto"/>
          <w:kern w:val="0"/>
          <w:szCs w:val="21"/>
          <w:highlight w:val="none"/>
        </w:rPr>
        <w:t>响应文件解密</w:t>
      </w:r>
    </w:p>
    <w:p w14:paraId="21398CDD">
      <w:pPr>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采购代理机构将在“供应商须知前附表”规定的时</w:t>
      </w:r>
      <w:r>
        <w:rPr>
          <w:rFonts w:hint="eastAsia" w:ascii="宋体" w:hAnsi="宋体" w:eastAsia="宋体" w:cs="宋体"/>
          <w:color w:val="auto"/>
          <w:kern w:val="0"/>
          <w:szCs w:val="21"/>
          <w:highlight w:val="none"/>
        </w:rPr>
        <w:t>间通过电子交易平台组织响应文件开启，采购机构依托电子交易平台发起开始解密指令，供应商的法定代表人或其委托代理人</w:t>
      </w:r>
      <w:r>
        <w:rPr>
          <w:rFonts w:hint="eastAsia" w:ascii="宋体" w:hAnsi="宋体" w:eastAsia="宋体" w:cs="宋体"/>
          <w:b/>
          <w:color w:val="auto"/>
          <w:kern w:val="0"/>
          <w:szCs w:val="21"/>
          <w:highlight w:val="none"/>
        </w:rPr>
        <w:t>须携带加密时所用的CA锁按平台提示和采购文件的规定登录到</w:t>
      </w:r>
      <w:r>
        <w:rPr>
          <w:rFonts w:hint="eastAsia" w:ascii="宋体" w:hAnsi="宋体" w:eastAsia="宋体" w:cs="宋体"/>
          <w:b/>
          <w:bCs w:val="0"/>
          <w:color w:val="auto"/>
          <w:kern w:val="0"/>
          <w:sz w:val="21"/>
          <w:szCs w:val="21"/>
          <w:highlight w:val="none"/>
          <w:lang w:val="en-US" w:eastAsia="zh-CN"/>
        </w:rPr>
        <w:t>广西政府采购云平台</w:t>
      </w:r>
      <w:r>
        <w:rPr>
          <w:rFonts w:hint="eastAsia" w:ascii="宋体" w:hAnsi="宋体" w:eastAsia="宋体" w:cs="宋体"/>
          <w:b/>
          <w:color w:val="auto"/>
          <w:kern w:val="0"/>
          <w:szCs w:val="21"/>
          <w:highlight w:val="none"/>
        </w:rPr>
        <w:t>电子开标大厅签到并在规定的时间内完成对电子响应文件在线解密</w:t>
      </w:r>
      <w:r>
        <w:rPr>
          <w:rFonts w:hint="eastAsia" w:ascii="宋体" w:hAnsi="宋体" w:eastAsia="宋体" w:cs="宋体"/>
          <w:color w:val="auto"/>
          <w:kern w:val="0"/>
          <w:szCs w:val="21"/>
          <w:highlight w:val="none"/>
        </w:rPr>
        <w:t>。</w:t>
      </w:r>
      <w:r>
        <w:rPr>
          <w:rFonts w:hint="eastAsia" w:ascii="宋体" w:hAnsi="宋体" w:eastAsia="宋体" w:cs="宋体"/>
          <w:color w:val="auto"/>
          <w:kern w:val="1"/>
          <w:szCs w:val="21"/>
          <w:highlight w:val="none"/>
          <w:lang w:eastAsia="zh-CN"/>
        </w:rPr>
        <w:t>响应</w:t>
      </w:r>
      <w:r>
        <w:rPr>
          <w:rFonts w:hint="eastAsia" w:ascii="宋体" w:hAnsi="宋体" w:eastAsia="宋体" w:cs="宋体"/>
          <w:color w:val="auto"/>
          <w:kern w:val="1"/>
          <w:szCs w:val="21"/>
          <w:highlight w:val="none"/>
        </w:rPr>
        <w:t>文件未按时解密的</w:t>
      </w:r>
      <w:r>
        <w:rPr>
          <w:rFonts w:hint="eastAsia" w:ascii="宋体" w:hAnsi="宋体" w:eastAsia="宋体" w:cs="宋体"/>
          <w:color w:val="auto"/>
          <w:kern w:val="0"/>
          <w:szCs w:val="21"/>
          <w:highlight w:val="none"/>
        </w:rPr>
        <w:t>，</w:t>
      </w:r>
      <w:r>
        <w:rPr>
          <w:rFonts w:hint="eastAsia" w:ascii="宋体" w:hAnsi="宋体" w:eastAsia="宋体" w:cs="宋体"/>
          <w:b/>
          <w:color w:val="auto"/>
          <w:kern w:val="0"/>
          <w:szCs w:val="21"/>
          <w:highlight w:val="none"/>
        </w:rPr>
        <w:t>视为响应文件无效。</w:t>
      </w:r>
      <w:r>
        <w:rPr>
          <w:rFonts w:hint="eastAsia" w:ascii="宋体" w:hAnsi="宋体" w:eastAsia="宋体" w:cs="宋体"/>
          <w:color w:val="auto"/>
          <w:kern w:val="0"/>
          <w:szCs w:val="21"/>
          <w:highlight w:val="none"/>
        </w:rPr>
        <w:t>（解密</w:t>
      </w:r>
      <w:r>
        <w:rPr>
          <w:rFonts w:hint="eastAsia" w:ascii="宋体" w:hAnsi="宋体" w:eastAsia="宋体" w:cs="宋体"/>
          <w:bCs/>
          <w:color w:val="auto"/>
          <w:kern w:val="0"/>
          <w:szCs w:val="21"/>
          <w:highlight w:val="none"/>
        </w:rPr>
        <w:t>异常情况处理：详见本章</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电子交易活动的中止。）</w:t>
      </w:r>
    </w:p>
    <w:p w14:paraId="61658040">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如</w:t>
      </w:r>
      <w:r>
        <w:rPr>
          <w:rFonts w:hint="eastAsia" w:ascii="宋体" w:hAnsi="宋体" w:eastAsia="宋体" w:cs="宋体"/>
          <w:bCs/>
          <w:color w:val="auto"/>
          <w:kern w:val="0"/>
          <w:szCs w:val="21"/>
          <w:highlight w:val="none"/>
        </w:rPr>
        <w:t>供应商成功解密响应文件，但未在“</w:t>
      </w:r>
      <w:r>
        <w:rPr>
          <w:rFonts w:hint="eastAsia" w:ascii="宋体" w:hAnsi="宋体" w:eastAsia="宋体" w:cs="宋体"/>
          <w:b w:val="0"/>
          <w:bCs w:val="0"/>
          <w:color w:val="auto"/>
          <w:sz w:val="21"/>
          <w:szCs w:val="21"/>
          <w:highlight w:val="none"/>
          <w:lang w:val="en-US" w:eastAsia="zh-CN"/>
        </w:rPr>
        <w:t>广西政府采购云平台</w:t>
      </w:r>
      <w:r>
        <w:rPr>
          <w:rFonts w:hint="eastAsia" w:ascii="宋体" w:hAnsi="宋体" w:eastAsia="宋体" w:cs="宋体"/>
          <w:bCs/>
          <w:color w:val="auto"/>
          <w:kern w:val="0"/>
          <w:szCs w:val="21"/>
          <w:highlight w:val="none"/>
        </w:rPr>
        <w:t>”电子开标大厅参加</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的，视同认可</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过程和结果，</w:t>
      </w:r>
      <w:r>
        <w:rPr>
          <w:rFonts w:hint="eastAsia" w:ascii="宋体" w:hAnsi="宋体" w:eastAsia="宋体" w:cs="宋体"/>
          <w:color w:val="auto"/>
          <w:kern w:val="0"/>
          <w:szCs w:val="21"/>
          <w:highlight w:val="none"/>
        </w:rPr>
        <w:t>由此产生的后果由供应商自行负责。 参与</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的供应商不足3家的，不得</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w:t>
      </w:r>
    </w:p>
    <w:p w14:paraId="51EAB41C">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lang w:val="en-US" w:eastAsia="zh-CN"/>
        </w:rPr>
        <w:t>5</w:t>
      </w:r>
      <w:r>
        <w:rPr>
          <w:rFonts w:hint="eastAsia" w:ascii="黑体" w:hAnsi="黑体" w:eastAsia="黑体" w:cs="宋体"/>
          <w:b/>
          <w:bCs/>
          <w:color w:val="auto"/>
          <w:sz w:val="24"/>
          <w:highlight w:val="none"/>
        </w:rPr>
        <w:t>.评审程序、评审方法和评审标准</w:t>
      </w:r>
    </w:p>
    <w:p w14:paraId="7AEAD28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.1</w:t>
      </w:r>
      <w:r>
        <w:rPr>
          <w:rFonts w:hint="eastAsia" w:ascii="宋体" w:hAnsi="宋体" w:eastAsia="宋体" w:cs="宋体"/>
          <w:color w:val="auto"/>
          <w:highlight w:val="none"/>
        </w:rPr>
        <w:t>本项目的</w:t>
      </w:r>
      <w:r>
        <w:rPr>
          <w:rFonts w:hint="eastAsia" w:ascii="宋体" w:hAnsi="宋体" w:eastAsia="宋体" w:cs="宋体"/>
          <w:color w:val="auto"/>
          <w:highlight w:val="none"/>
          <w:lang w:eastAsia="zh-CN"/>
        </w:rPr>
        <w:t>评审方法</w:t>
      </w:r>
      <w:r>
        <w:rPr>
          <w:rFonts w:hint="eastAsia" w:ascii="宋体" w:hAnsi="宋体" w:eastAsia="宋体" w:cs="宋体"/>
          <w:color w:val="auto"/>
          <w:highlight w:val="none"/>
        </w:rPr>
        <w:t>详见“</w:t>
      </w:r>
      <w:r>
        <w:rPr>
          <w:rFonts w:hint="eastAsia" w:ascii="宋体" w:hAnsi="宋体" w:eastAsia="宋体" w:cs="宋体"/>
          <w:color w:val="auto"/>
          <w:highlight w:val="none"/>
          <w:lang w:val="en-US" w:eastAsia="zh-CN"/>
        </w:rPr>
        <w:t>供应商</w:t>
      </w:r>
      <w:r>
        <w:rPr>
          <w:rFonts w:hint="eastAsia" w:ascii="宋体" w:hAnsi="宋体" w:eastAsia="宋体" w:cs="宋体"/>
          <w:color w:val="auto"/>
          <w:highlight w:val="none"/>
        </w:rPr>
        <w:t>须知前附表”</w:t>
      </w:r>
      <w:r>
        <w:rPr>
          <w:rFonts w:hint="eastAsia" w:ascii="宋体" w:hAnsi="宋体" w:eastAsia="宋体" w:cs="宋体"/>
          <w:color w:val="auto"/>
          <w:highlight w:val="none"/>
          <w:lang w:eastAsia="zh-CN"/>
        </w:rPr>
        <w:t>。</w:t>
      </w:r>
      <w:r>
        <w:rPr>
          <w:rFonts w:hint="eastAsia" w:ascii="宋体" w:hAnsi="宋体" w:eastAsia="宋体" w:cs="宋体"/>
          <w:color w:val="auto"/>
          <w:szCs w:val="21"/>
          <w:highlight w:val="none"/>
        </w:rPr>
        <w:t>磋商小组按照“第四章 评审程序、评审方法和评审标准”规定的方法、评审因素、标准和程序对响应文件进行评审。</w:t>
      </w:r>
    </w:p>
    <w:p w14:paraId="5DAAE5F1">
      <w:pPr>
        <w:widowControl w:val="0"/>
        <w:spacing w:after="120"/>
        <w:ind w:firstLine="420" w:firstLineChars="200"/>
        <w:jc w:val="both"/>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1"/>
          <w:highlight w:val="none"/>
          <w:lang w:val="en-US" w:eastAsia="zh-CN" w:bidi="ar-SA"/>
        </w:rPr>
        <w:t>25.2磋商文件内容违反国家有关强制性规定的，磋商小组应当停止评审并向采购人或者采购代理机构说明情况，并在评审报告中书面体现。</w:t>
      </w:r>
    </w:p>
    <w:p w14:paraId="79C73A1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 xml:space="preserve"> 磋商顺序详见“供应商须知前附表”。</w:t>
      </w:r>
    </w:p>
    <w:p w14:paraId="5F87C35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电子交易活动的中止。采购过程中出现以下情形，导致电子交易平台无法正常运行，或者无法保证电子交易的公平、公正和安全时，采购机构可中止电子交易活动：</w:t>
      </w:r>
    </w:p>
    <w:p w14:paraId="0B9463B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（1）电子交易平台发生故障而无法登录访问的； </w:t>
      </w:r>
    </w:p>
    <w:p w14:paraId="0F69ED6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198BAB9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4C6D32F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（4）病毒发作导致不能进行正常操作的； </w:t>
      </w:r>
    </w:p>
    <w:p w14:paraId="1115EA7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）其他无法保证电子交易的公平、公正和安全的情况。</w:t>
      </w:r>
    </w:p>
    <w:p w14:paraId="2A9C4A9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4724A43A">
      <w:pPr>
        <w:keepNext/>
        <w:keepLines/>
        <w:widowControl w:val="0"/>
        <w:spacing w:before="0" w:after="0" w:line="360" w:lineRule="auto"/>
        <w:ind w:firstLine="480" w:firstLineChars="150"/>
        <w:jc w:val="both"/>
        <w:outlineLvl w:val="2"/>
        <w:rPr>
          <w:rFonts w:hint="eastAsia" w:ascii="Times New Roman" w:hAnsi="Times New Roman" w:eastAsia="宋体" w:cs="Times New Roman"/>
          <w:b w:val="0"/>
          <w:bCs w:val="0"/>
          <w:color w:val="auto"/>
          <w:kern w:val="2"/>
          <w:sz w:val="32"/>
          <w:szCs w:val="32"/>
          <w:highlight w:val="none"/>
          <w:lang w:val="en-US" w:eastAsia="zh-CN" w:bidi="ar-SA"/>
        </w:rPr>
      </w:pPr>
      <w:bookmarkStart w:id="101" w:name="_Toc12018"/>
      <w:bookmarkStart w:id="102" w:name="_Toc17745"/>
      <w:bookmarkStart w:id="103" w:name="_Toc80886934"/>
      <w:r>
        <w:rPr>
          <w:rFonts w:hint="eastAsia" w:ascii="Times New Roman" w:hAnsi="Times New Roman" w:eastAsia="宋体" w:cs="Times New Roman"/>
          <w:b w:val="0"/>
          <w:bCs w:val="0"/>
          <w:color w:val="auto"/>
          <w:kern w:val="2"/>
          <w:sz w:val="32"/>
          <w:szCs w:val="32"/>
          <w:highlight w:val="none"/>
          <w:lang w:val="en-US" w:eastAsia="zh-CN" w:bidi="ar-SA"/>
        </w:rPr>
        <w:t>五、成交及合同</w:t>
      </w:r>
      <w:bookmarkEnd w:id="101"/>
      <w:bookmarkEnd w:id="102"/>
      <w:bookmarkEnd w:id="103"/>
    </w:p>
    <w:p w14:paraId="5433585E">
      <w:pPr>
        <w:spacing w:line="360" w:lineRule="auto"/>
        <w:ind w:firstLine="482" w:firstLineChars="200"/>
        <w:rPr>
          <w:rFonts w:hint="eastAsia" w:ascii="黑体" w:hAnsi="黑体" w:eastAsia="黑体" w:cs="宋体"/>
          <w:b/>
          <w:bCs/>
          <w:color w:val="auto"/>
          <w:sz w:val="24"/>
          <w:highlight w:val="none"/>
          <w:lang w:eastAsia="zh-CN"/>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lang w:val="en-US" w:eastAsia="zh-CN"/>
        </w:rPr>
        <w:t>6</w:t>
      </w:r>
      <w:r>
        <w:rPr>
          <w:rFonts w:hint="eastAsia" w:ascii="黑体" w:hAnsi="黑体" w:eastAsia="黑体" w:cs="宋体"/>
          <w:b/>
          <w:bCs/>
          <w:color w:val="auto"/>
          <w:sz w:val="24"/>
          <w:highlight w:val="none"/>
        </w:rPr>
        <w:t>.确定成交供应商及结果公告</w:t>
      </w:r>
      <w:r>
        <w:rPr>
          <w:rFonts w:hint="eastAsia" w:ascii="黑体" w:hAnsi="黑体" w:eastAsia="黑体" w:cs="宋体"/>
          <w:b/>
          <w:bCs/>
          <w:color w:val="auto"/>
          <w:sz w:val="24"/>
          <w:highlight w:val="none"/>
          <w:lang w:eastAsia="zh-CN"/>
        </w:rPr>
        <w:tab/>
      </w:r>
    </w:p>
    <w:p w14:paraId="7D3A15C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确定成交供应商。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2D219E3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.2成交通知及成交结果公告。采购代理机构应当在</w:t>
      </w:r>
      <w:r>
        <w:rPr>
          <w:rFonts w:hint="eastAsia" w:ascii="宋体" w:hAnsi="宋体" w:eastAsia="宋体" w:cs="宋体"/>
          <w:color w:val="auto"/>
          <w:kern w:val="0"/>
          <w:szCs w:val="21"/>
          <w:highlight w:val="none"/>
        </w:rPr>
        <w:t>成交</w:t>
      </w:r>
      <w:r>
        <w:rPr>
          <w:rFonts w:hint="eastAsia" w:ascii="宋体" w:hAnsi="宋体" w:eastAsia="宋体" w:cs="宋体"/>
          <w:color w:val="auto"/>
          <w:szCs w:val="21"/>
          <w:highlight w:val="none"/>
        </w:rPr>
        <w:t>供应商确定后2个工作日内，在省级以上财政部门指定的媒体上公告成交结果，同时向成交供应商发出成交通知书。</w:t>
      </w:r>
    </w:p>
    <w:p w14:paraId="6E85F32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.3采购人或者采购代理机构发出成交通知书前，应当对成交供应商信用进行查询核实，对列入失信被执行人、</w:t>
      </w:r>
      <w:r>
        <w:rPr>
          <w:rFonts w:hint="eastAsia" w:ascii="宋体" w:hAnsi="宋体" w:eastAsia="宋体" w:cs="宋体"/>
          <w:color w:val="auto"/>
          <w:szCs w:val="21"/>
          <w:highlight w:val="none"/>
          <w:lang w:eastAsia="zh-CN"/>
        </w:rPr>
        <w:t>重大税收违法失信主体</w:t>
      </w:r>
      <w:r>
        <w:rPr>
          <w:rFonts w:hint="eastAsia" w:ascii="宋体" w:hAnsi="宋体" w:eastAsia="宋体" w:cs="宋体"/>
          <w:color w:val="auto"/>
          <w:szCs w:val="21"/>
          <w:highlight w:val="none"/>
        </w:rPr>
        <w:t>、政府采购严重违法失信行为记录名单及其他不符合《中华人民共和国政府采购法》第二十二条规定条件的供应商，取消其成交资格，并</w:t>
      </w:r>
      <w:r>
        <w:rPr>
          <w:rFonts w:hint="eastAsia" w:ascii="宋体" w:hAnsi="宋体" w:eastAsia="宋体" w:cs="宋体"/>
          <w:color w:val="auto"/>
          <w:szCs w:val="21"/>
          <w:highlight w:val="none"/>
          <w:lang w:eastAsia="zh-CN"/>
        </w:rPr>
        <w:t>依法</w:t>
      </w:r>
      <w:r>
        <w:rPr>
          <w:rFonts w:hint="eastAsia" w:ascii="宋体" w:hAnsi="宋体" w:eastAsia="宋体" w:cs="宋体"/>
          <w:color w:val="auto"/>
          <w:szCs w:val="21"/>
          <w:highlight w:val="none"/>
        </w:rPr>
        <w:t>确定排名第二的成交候选人为成交供应商。排名第二的成交候选人因上述规定的同样原因被取消成交资格的，采购人可以</w:t>
      </w:r>
      <w:r>
        <w:rPr>
          <w:rFonts w:hint="eastAsia" w:ascii="宋体" w:hAnsi="宋体" w:eastAsia="宋体" w:cs="宋体"/>
          <w:color w:val="auto"/>
          <w:szCs w:val="21"/>
          <w:highlight w:val="none"/>
          <w:lang w:eastAsia="zh-CN"/>
        </w:rPr>
        <w:t>依法</w:t>
      </w:r>
      <w:r>
        <w:rPr>
          <w:rFonts w:hint="eastAsia" w:ascii="宋体" w:hAnsi="宋体" w:eastAsia="宋体" w:cs="宋体"/>
          <w:color w:val="auto"/>
          <w:szCs w:val="21"/>
          <w:highlight w:val="none"/>
        </w:rPr>
        <w:t>确定排名第三的成交候选人为成交供应商，以此类推。以上信息查询记录及相关证据与</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文件一并保存。成交供应商享受《政府采购促进中小企业发展管理办法》（财库〔2020〕46号）规定的中小企业扶持政策的，采购人、采购代理机构应当随成交结果公开成交供应商的《中小企业声明函》。</w:t>
      </w:r>
    </w:p>
    <w:p w14:paraId="1B5B5FC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66EBDA8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w:t>
      </w:r>
      <w:r>
        <w:rPr>
          <w:rFonts w:hint="eastAsia" w:ascii="宋体" w:hAnsi="宋体" w:eastAsia="宋体" w:cs="宋体"/>
          <w:bCs/>
          <w:color w:val="auto"/>
          <w:szCs w:val="21"/>
          <w:highlight w:val="none"/>
          <w:lang w:val="en-US" w:eastAsia="zh-CN"/>
        </w:rPr>
        <w:t>6</w:t>
      </w:r>
      <w:r>
        <w:rPr>
          <w:rFonts w:hint="eastAsia" w:ascii="宋体" w:hAnsi="宋体" w:eastAsia="宋体" w:cs="宋体"/>
          <w:bCs/>
          <w:color w:val="auto"/>
          <w:szCs w:val="21"/>
          <w:highlight w:val="none"/>
        </w:rPr>
        <w:t>.5排名第一的成交候选人放弃成交，</w:t>
      </w:r>
      <w:r>
        <w:rPr>
          <w:rFonts w:hint="eastAsia" w:ascii="宋体" w:hAnsi="宋体" w:eastAsia="宋体" w:cs="宋体"/>
          <w:b w:val="0"/>
          <w:bCs/>
          <w:color w:val="auto"/>
          <w:sz w:val="21"/>
          <w:szCs w:val="21"/>
          <w:highlight w:val="none"/>
        </w:rPr>
        <w:t>采购人可以按照评审报告推荐的</w:t>
      </w:r>
      <w:r>
        <w:rPr>
          <w:rFonts w:hint="eastAsia" w:ascii="宋体" w:hAnsi="宋体" w:eastAsia="宋体" w:cs="宋体"/>
          <w:b w:val="0"/>
          <w:bCs/>
          <w:color w:val="auto"/>
          <w:sz w:val="21"/>
          <w:szCs w:val="21"/>
          <w:highlight w:val="none"/>
          <w:lang w:eastAsia="zh-CN"/>
        </w:rPr>
        <w:t>成交</w:t>
      </w:r>
      <w:r>
        <w:rPr>
          <w:rFonts w:hint="eastAsia" w:ascii="宋体" w:hAnsi="宋体" w:eastAsia="宋体" w:cs="宋体"/>
          <w:b w:val="0"/>
          <w:bCs/>
          <w:color w:val="auto"/>
          <w:sz w:val="21"/>
          <w:szCs w:val="21"/>
          <w:highlight w:val="none"/>
        </w:rPr>
        <w:t>候选人名单排序，</w:t>
      </w:r>
      <w:r>
        <w:rPr>
          <w:rFonts w:hint="eastAsia" w:ascii="宋体" w:hAnsi="宋体" w:eastAsia="宋体" w:cs="宋体"/>
          <w:b w:val="0"/>
          <w:bCs/>
          <w:color w:val="auto"/>
          <w:sz w:val="21"/>
          <w:szCs w:val="21"/>
          <w:highlight w:val="none"/>
          <w:lang w:eastAsia="zh-CN"/>
        </w:rPr>
        <w:t>依法</w:t>
      </w:r>
      <w:r>
        <w:rPr>
          <w:rFonts w:hint="eastAsia" w:ascii="宋体" w:hAnsi="宋体" w:eastAsia="宋体" w:cs="宋体"/>
          <w:b w:val="0"/>
          <w:bCs/>
          <w:color w:val="auto"/>
          <w:sz w:val="21"/>
          <w:szCs w:val="21"/>
          <w:highlight w:val="none"/>
        </w:rPr>
        <w:t>确定下一候选人为</w:t>
      </w:r>
      <w:r>
        <w:rPr>
          <w:rFonts w:hint="eastAsia" w:ascii="宋体" w:hAnsi="宋体" w:eastAsia="宋体" w:cs="宋体"/>
          <w:b w:val="0"/>
          <w:bCs/>
          <w:color w:val="auto"/>
          <w:sz w:val="21"/>
          <w:szCs w:val="21"/>
          <w:highlight w:val="none"/>
          <w:lang w:eastAsia="zh-CN"/>
        </w:rPr>
        <w:t>成交</w:t>
      </w:r>
      <w:r>
        <w:rPr>
          <w:rFonts w:hint="eastAsia" w:ascii="宋体" w:hAnsi="宋体" w:eastAsia="宋体" w:cs="宋体"/>
          <w:color w:val="auto"/>
          <w:szCs w:val="21"/>
          <w:highlight w:val="none"/>
        </w:rPr>
        <w:t>供应商</w:t>
      </w:r>
      <w:r>
        <w:rPr>
          <w:rFonts w:hint="eastAsia" w:ascii="宋体" w:hAnsi="宋体" w:eastAsia="宋体" w:cs="宋体"/>
          <w:b w:val="0"/>
          <w:bCs/>
          <w:color w:val="auto"/>
          <w:sz w:val="21"/>
          <w:szCs w:val="21"/>
          <w:highlight w:val="none"/>
        </w:rPr>
        <w:t>，也可以重新开展政府采购活动</w:t>
      </w:r>
      <w:r>
        <w:rPr>
          <w:rFonts w:hint="eastAsia" w:ascii="宋体" w:hAnsi="宋体" w:eastAsia="宋体" w:cs="宋体"/>
          <w:color w:val="auto"/>
          <w:szCs w:val="21"/>
          <w:highlight w:val="none"/>
        </w:rPr>
        <w:t>。</w:t>
      </w:r>
    </w:p>
    <w:p w14:paraId="0D978E77">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lang w:val="en-US" w:eastAsia="zh-CN"/>
        </w:rPr>
        <w:t>7</w:t>
      </w:r>
      <w:r>
        <w:rPr>
          <w:rFonts w:hint="eastAsia" w:ascii="黑体" w:hAnsi="黑体" w:eastAsia="黑体" w:cs="宋体"/>
          <w:b/>
          <w:bCs/>
          <w:color w:val="auto"/>
          <w:sz w:val="24"/>
          <w:highlight w:val="none"/>
        </w:rPr>
        <w:t>.履约保证金</w:t>
      </w:r>
    </w:p>
    <w:p w14:paraId="16AA7B28">
      <w:pPr>
        <w:spacing w:line="360" w:lineRule="auto"/>
        <w:ind w:firstLine="424" w:firstLineChars="202"/>
        <w:rPr>
          <w:rFonts w:hint="eastAsia" w:ascii="宋体" w:hAnsi="宋体" w:eastAsia="宋体" w:cs="宋体"/>
          <w:color w:val="auto"/>
          <w:szCs w:val="21"/>
          <w:highlight w:val="none"/>
        </w:rPr>
      </w:pPr>
      <w:r>
        <w:rPr>
          <w:rFonts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.1</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履约保证金的金额、提交方式、退付的时间和条件详见 “供应商须知前附表”。成交供应商未按规定提交履约保证金的，视为拒绝</w:t>
      </w:r>
      <w:r>
        <w:rPr>
          <w:rFonts w:ascii="宋体" w:hAnsi="宋体" w:eastAsia="宋体"/>
          <w:color w:val="auto"/>
          <w:highlight w:val="none"/>
        </w:rPr>
        <w:t>与采购人</w:t>
      </w:r>
      <w:r>
        <w:rPr>
          <w:rFonts w:hint="eastAsia" w:ascii="宋体" w:hAnsi="宋体" w:eastAsia="宋体" w:cs="宋体"/>
          <w:color w:val="auto"/>
          <w:szCs w:val="21"/>
          <w:highlight w:val="none"/>
        </w:rPr>
        <w:t>签订合同，采购人可以按照评审报告推荐的成交候选人名单排序，</w:t>
      </w:r>
      <w:r>
        <w:rPr>
          <w:rFonts w:hint="eastAsia" w:ascii="宋体" w:hAnsi="宋体" w:eastAsia="宋体" w:cs="宋体"/>
          <w:color w:val="auto"/>
          <w:szCs w:val="21"/>
          <w:highlight w:val="none"/>
          <w:lang w:eastAsia="zh-CN"/>
        </w:rPr>
        <w:t>依法</w:t>
      </w:r>
      <w:r>
        <w:rPr>
          <w:rFonts w:hint="eastAsia" w:ascii="宋体" w:hAnsi="宋体" w:eastAsia="宋体" w:cs="宋体"/>
          <w:color w:val="auto"/>
          <w:szCs w:val="21"/>
          <w:highlight w:val="none"/>
        </w:rPr>
        <w:t>确定下一候选人为成交供应商，也可以重新开展政府采购活动。</w:t>
      </w:r>
    </w:p>
    <w:p w14:paraId="4EF875E2">
      <w:pPr>
        <w:spacing w:line="360" w:lineRule="auto"/>
        <w:ind w:firstLine="424" w:firstLineChars="202"/>
        <w:rPr>
          <w:rFonts w:hint="eastAsia" w:ascii="宋体" w:hAnsi="宋体" w:eastAsia="宋体" w:cs="宋体"/>
          <w:color w:val="auto"/>
          <w:szCs w:val="21"/>
          <w:highlight w:val="none"/>
        </w:rPr>
      </w:pPr>
      <w:r>
        <w:rPr>
          <w:rFonts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.2签订合同后，如成交供应商不按双方签订的合同规定履约，则没收其全部履约保证金，履约保证金不足以赔偿损失的，按实际损失赔偿。</w:t>
      </w:r>
    </w:p>
    <w:p w14:paraId="2AA2660F">
      <w:pPr>
        <w:spacing w:line="360" w:lineRule="auto"/>
        <w:ind w:firstLine="424" w:firstLineChars="202"/>
        <w:rPr>
          <w:rFonts w:hint="eastAsia" w:ascii="宋体" w:hAnsi="宋体" w:eastAsia="宋体" w:cs="宋体"/>
          <w:color w:val="auto"/>
          <w:szCs w:val="21"/>
          <w:highlight w:val="none"/>
        </w:rPr>
      </w:pPr>
      <w:r>
        <w:rPr>
          <w:rFonts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w:t>
      </w:r>
      <w:r>
        <w:rPr>
          <w:rFonts w:ascii="宋体" w:hAnsi="宋体" w:eastAsia="宋体" w:cs="宋体"/>
          <w:color w:val="auto"/>
          <w:szCs w:val="21"/>
          <w:highlight w:val="none"/>
        </w:rPr>
        <w:t>3</w:t>
      </w:r>
      <w:r>
        <w:rPr>
          <w:rFonts w:hint="eastAsia" w:ascii="宋体" w:hAnsi="宋体" w:eastAsia="宋体" w:cs="宋体"/>
          <w:color w:val="auto"/>
          <w:szCs w:val="21"/>
          <w:highlight w:val="none"/>
        </w:rPr>
        <w:t>在履约保证金退还日期前，若成交供应商的开户名称、开户银行、</w:t>
      </w:r>
      <w:r>
        <w:rPr>
          <w:rFonts w:hint="eastAsia" w:ascii="宋体" w:hAnsi="宋体" w:eastAsia="宋体" w:cs="宋体"/>
          <w:color w:val="auto"/>
          <w:szCs w:val="21"/>
          <w:highlight w:val="none"/>
          <w:lang w:eastAsia="zh-CN"/>
        </w:rPr>
        <w:t>账</w:t>
      </w:r>
      <w:r>
        <w:rPr>
          <w:rFonts w:hint="eastAsia" w:ascii="宋体" w:hAnsi="宋体" w:eastAsia="宋体" w:cs="宋体"/>
          <w:color w:val="auto"/>
          <w:szCs w:val="21"/>
          <w:highlight w:val="none"/>
        </w:rPr>
        <w:t>号有变动的，请以书面形式通知履约保证金收取单位，否则由此产生的后果由成交供应商自行承担。</w:t>
      </w:r>
    </w:p>
    <w:p w14:paraId="5F7043A8">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lang w:val="en-US" w:eastAsia="zh-CN"/>
        </w:rPr>
        <w:t>8</w:t>
      </w:r>
      <w:r>
        <w:rPr>
          <w:rFonts w:hint="eastAsia" w:ascii="黑体" w:hAnsi="黑体" w:eastAsia="黑体" w:cs="宋体"/>
          <w:b/>
          <w:bCs/>
          <w:color w:val="auto"/>
          <w:sz w:val="24"/>
          <w:highlight w:val="none"/>
        </w:rPr>
        <w:t>.签订合同</w:t>
      </w:r>
    </w:p>
    <w:p w14:paraId="3A0AD538">
      <w:pPr>
        <w:widowControl w:val="0"/>
        <w:adjustRightInd w:val="0"/>
        <w:snapToGrid w:val="0"/>
        <w:spacing w:before="0" w:line="360" w:lineRule="auto"/>
        <w:ind w:firstLine="420" w:firstLineChars="200"/>
        <w:jc w:val="both"/>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en-US" w:eastAsia="zh-CN" w:bidi="ar-SA"/>
        </w:rPr>
        <w:t>28.1采购人与成交供应商应当在成交通知书规定的时间内，按照磋商文件确定的合同文本以及采购标的、服务技术、采购金额、采购数量、商务和服务要求等事项签订政府采购合同。</w:t>
      </w:r>
      <w:r>
        <w:rPr>
          <w:rFonts w:hint="eastAsia" w:ascii="宋体" w:hAnsi="宋体" w:eastAsia="宋体" w:cs="宋体"/>
          <w:color w:val="auto"/>
          <w:kern w:val="0"/>
          <w:sz w:val="21"/>
          <w:szCs w:val="21"/>
          <w:highlight w:val="none"/>
          <w:lang w:val="zh-CN" w:eastAsia="zh-CN" w:bidi="ar-SA"/>
        </w:rPr>
        <w:t>如成交供应商为联合体的，由联合体成员各方法定代表人或其授权代表与采购人代表签订合同。</w:t>
      </w:r>
    </w:p>
    <w:p w14:paraId="75815CF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.2采购人不得向成交供应商提出超出磋商文件以外的任何要求作为签订合同的条件，不得与成交供应商订立背离磋商文件确定的合同文本以及采购标的、服务技术、采购金额、采购数量、</w:t>
      </w:r>
      <w:r>
        <w:rPr>
          <w:rFonts w:hint="eastAsia" w:ascii="宋体" w:hAnsi="宋体" w:eastAsia="宋体" w:cs="宋体"/>
          <w:color w:val="auto"/>
          <w:szCs w:val="21"/>
          <w:highlight w:val="none"/>
          <w:lang w:eastAsia="zh-CN"/>
        </w:rPr>
        <w:t>商务</w:t>
      </w:r>
      <w:r>
        <w:rPr>
          <w:rFonts w:hint="eastAsia" w:ascii="宋体" w:hAnsi="宋体" w:eastAsia="宋体" w:cs="宋体"/>
          <w:color w:val="auto"/>
          <w:szCs w:val="21"/>
          <w:highlight w:val="none"/>
        </w:rPr>
        <w:t>和服务要求等实质性内容的协议。</w:t>
      </w:r>
    </w:p>
    <w:p w14:paraId="78F38C3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.3成交供应商拒绝签订政府采购合同的，采购人可以按照评审报告推荐的成交候选人名单排序，</w:t>
      </w:r>
      <w:r>
        <w:rPr>
          <w:rFonts w:hint="eastAsia" w:ascii="宋体" w:hAnsi="宋体" w:eastAsia="宋体" w:cs="宋体"/>
          <w:color w:val="auto"/>
          <w:szCs w:val="21"/>
          <w:highlight w:val="none"/>
          <w:lang w:eastAsia="zh-CN"/>
        </w:rPr>
        <w:t>依法</w:t>
      </w:r>
      <w:r>
        <w:rPr>
          <w:rFonts w:hint="eastAsia" w:ascii="宋体" w:hAnsi="宋体" w:eastAsia="宋体" w:cs="宋体"/>
          <w:color w:val="auto"/>
          <w:szCs w:val="21"/>
          <w:highlight w:val="none"/>
        </w:rPr>
        <w:t>确定下一候选人为成交供应商，也可以重新开展采购活动。拒绝签订政府采购合同的成交供应商不得参加对该项目重新开展的采购活动。</w:t>
      </w:r>
    </w:p>
    <w:p w14:paraId="4810795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.4如签订合同并生效后，供应商无故拒绝或延期，除按照合同条款处理外，列入不良行为记录，并给予通报。</w:t>
      </w:r>
    </w:p>
    <w:p w14:paraId="58A1D30E">
      <w:pPr>
        <w:spacing w:line="360" w:lineRule="auto"/>
        <w:ind w:firstLine="420" w:firstLineChars="200"/>
        <w:rPr>
          <w:rFonts w:hint="eastAsia" w:ascii="宋体" w:hAnsi="宋体" w:eastAsia="宋体" w:cs="宋体"/>
          <w:b/>
          <w:bCs/>
          <w:i/>
          <w:iCs/>
          <w:color w:val="auto"/>
          <w:szCs w:val="21"/>
          <w:highlight w:val="none"/>
          <w:lang w:eastAsia="zh-CN"/>
        </w:rPr>
      </w:pPr>
      <w:r>
        <w:rPr>
          <w:rFonts w:hint="eastAsia" w:ascii="宋体" w:hAnsi="宋体" w:eastAsia="宋体" w:cs="宋体"/>
          <w:color w:val="auto"/>
          <w:sz w:val="21"/>
          <w:szCs w:val="21"/>
          <w:highlight w:val="none"/>
          <w:lang w:val="en-US" w:eastAsia="zh-CN"/>
        </w:rPr>
        <w:t>28.5</w:t>
      </w:r>
      <w:r>
        <w:rPr>
          <w:rFonts w:hint="eastAsia" w:ascii="宋体" w:hAnsi="宋体" w:eastAsia="宋体" w:cs="宋体"/>
          <w:color w:val="auto"/>
          <w:sz w:val="21"/>
          <w:szCs w:val="21"/>
          <w:highlight w:val="none"/>
        </w:rPr>
        <w:t>采购合同由采购人与成交供应商根据磋商文件、响应文件等内容签订，成交供应商应当在签订合同时向采购人出示相关证明材料，具体内容详见 “供应商须知前附表”，经采购人核验合格后方可签订合同</w:t>
      </w:r>
      <w:r>
        <w:rPr>
          <w:rFonts w:hint="eastAsia" w:ascii="宋体" w:hAnsi="宋体" w:eastAsia="宋体" w:cs="宋体"/>
          <w:color w:val="auto"/>
          <w:sz w:val="21"/>
          <w:szCs w:val="21"/>
          <w:highlight w:val="none"/>
          <w:lang w:eastAsia="zh-CN"/>
        </w:rPr>
        <w:t>。</w:t>
      </w:r>
    </w:p>
    <w:p w14:paraId="16450978">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lang w:val="en-US" w:eastAsia="zh-CN"/>
        </w:rPr>
        <w:t>29</w:t>
      </w:r>
      <w:r>
        <w:rPr>
          <w:rFonts w:hint="eastAsia" w:ascii="黑体" w:hAnsi="黑体" w:eastAsia="黑体" w:cs="宋体"/>
          <w:b/>
          <w:bCs/>
          <w:color w:val="auto"/>
          <w:sz w:val="24"/>
          <w:highlight w:val="none"/>
        </w:rPr>
        <w:t>.政府采购合同公告</w:t>
      </w:r>
    </w:p>
    <w:p w14:paraId="522A8AF2">
      <w:pPr>
        <w:spacing w:line="360" w:lineRule="auto"/>
        <w:ind w:firstLine="420" w:firstLineChars="200"/>
        <w:rPr>
          <w:rFonts w:hint="eastAsia" w:ascii="Calibri" w:eastAsia="宋体"/>
          <w:color w:val="auto"/>
          <w:highlight w:val="none"/>
        </w:rPr>
      </w:pPr>
      <w:r>
        <w:rPr>
          <w:rFonts w:hint="eastAsia" w:ascii="宋体" w:hAnsi="宋体" w:eastAsia="宋体" w:cs="宋体"/>
          <w:color w:val="auto"/>
          <w:szCs w:val="21"/>
          <w:highlight w:val="none"/>
        </w:rPr>
        <w:t>采购人应当自政府采购合同签订之日起2个工作日内，将政府采购合同在省级以上人民政府财政部门指定的媒体上公告，但政府采购合同中涉及国家秘密、商业秘密的内容除外</w:t>
      </w:r>
      <w:r>
        <w:rPr>
          <w:rFonts w:ascii="Calibri" w:eastAsia="宋体"/>
          <w:color w:val="auto"/>
          <w:highlight w:val="none"/>
        </w:rPr>
        <w:t>。</w:t>
      </w:r>
    </w:p>
    <w:p w14:paraId="24F8B558">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3</w:t>
      </w:r>
      <w:r>
        <w:rPr>
          <w:rFonts w:hint="eastAsia" w:ascii="黑体" w:hAnsi="黑体" w:eastAsia="黑体" w:cs="宋体"/>
          <w:b/>
          <w:bCs/>
          <w:color w:val="auto"/>
          <w:sz w:val="24"/>
          <w:highlight w:val="none"/>
          <w:lang w:val="en-US" w:eastAsia="zh-CN"/>
        </w:rPr>
        <w:t>0</w:t>
      </w:r>
      <w:r>
        <w:rPr>
          <w:rFonts w:hint="eastAsia" w:ascii="黑体" w:hAnsi="黑体" w:eastAsia="黑体" w:cs="宋体"/>
          <w:b/>
          <w:bCs/>
          <w:color w:val="auto"/>
          <w:sz w:val="24"/>
          <w:highlight w:val="none"/>
        </w:rPr>
        <w:t>. 询问、质疑和投诉</w:t>
      </w:r>
    </w:p>
    <w:p w14:paraId="53ED696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0</w:t>
      </w:r>
      <w:r>
        <w:rPr>
          <w:rFonts w:hint="eastAsia" w:ascii="宋体" w:hAnsi="宋体" w:eastAsia="宋体" w:cs="宋体"/>
          <w:color w:val="auto"/>
          <w:highlight w:val="none"/>
        </w:rPr>
        <w:t>.1供应商对政府采购活动事项有疑问的，可以向采购人</w:t>
      </w:r>
      <w:r>
        <w:rPr>
          <w:rFonts w:hint="eastAsia" w:ascii="宋体" w:hAnsi="宋体" w:eastAsia="宋体" w:cs="宋体"/>
          <w:color w:val="auto"/>
          <w:highlight w:val="none"/>
          <w:lang w:eastAsia="zh-CN"/>
        </w:rPr>
        <w:t>或者</w:t>
      </w:r>
      <w:r>
        <w:rPr>
          <w:rFonts w:hint="eastAsia" w:ascii="宋体" w:hAnsi="宋体" w:eastAsia="宋体" w:cs="宋体"/>
          <w:color w:val="auto"/>
          <w:highlight w:val="none"/>
        </w:rPr>
        <w:t>采购代理机构提出询问，采购人或者采购代理机构应当在3个工作日内对供应商依法提出的询问作出答复。</w:t>
      </w:r>
    </w:p>
    <w:p w14:paraId="49A0D689">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0</w:t>
      </w:r>
      <w:r>
        <w:rPr>
          <w:rFonts w:hint="eastAsia" w:ascii="宋体" w:hAnsi="宋体" w:eastAsia="宋体" w:cs="宋体"/>
          <w:color w:val="auto"/>
          <w:highlight w:val="none"/>
        </w:rPr>
        <w:t>.2供应商认为磋商文件、采购过程或者成交结果使自己的合法权益受到损害的，应当在知道或者应知其权益受到损害之日起7个工作日内，以书面形式向采购人</w:t>
      </w:r>
      <w:r>
        <w:rPr>
          <w:rFonts w:hint="eastAsia" w:ascii="宋体" w:hAnsi="宋体" w:eastAsia="宋体" w:cs="宋体"/>
          <w:color w:val="auto"/>
          <w:highlight w:val="none"/>
          <w:lang w:eastAsia="zh-CN"/>
        </w:rPr>
        <w:t>或者</w:t>
      </w:r>
      <w:r>
        <w:rPr>
          <w:rFonts w:hint="eastAsia" w:ascii="宋体" w:hAnsi="宋体" w:eastAsia="宋体" w:cs="宋体"/>
          <w:color w:val="auto"/>
          <w:highlight w:val="none"/>
        </w:rPr>
        <w:t>采购代理机构提出质疑，</w:t>
      </w:r>
      <w:r>
        <w:rPr>
          <w:rFonts w:hint="eastAsia" w:ascii="宋体" w:hAnsi="宋体" w:eastAsia="宋体" w:cs="宋体"/>
          <w:color w:val="auto"/>
          <w:szCs w:val="24"/>
          <w:highlight w:val="none"/>
        </w:rPr>
        <w:t>采购人或者采购代理机构应当在</w:t>
      </w:r>
      <w:r>
        <w:rPr>
          <w:rFonts w:hint="eastAsia" w:ascii="宋体" w:hAnsi="宋体" w:eastAsia="宋体" w:cs="宋体"/>
          <w:color w:val="auto"/>
          <w:szCs w:val="24"/>
          <w:highlight w:val="none"/>
          <w:lang w:val="en-US" w:eastAsia="zh-CN"/>
        </w:rPr>
        <w:t>7</w:t>
      </w:r>
      <w:r>
        <w:rPr>
          <w:rFonts w:hint="eastAsia" w:ascii="宋体" w:hAnsi="宋体" w:eastAsia="宋体" w:cs="宋体"/>
          <w:color w:val="auto"/>
          <w:szCs w:val="24"/>
          <w:highlight w:val="none"/>
        </w:rPr>
        <w:t>个工作日内对供应商依法提出的</w:t>
      </w:r>
      <w:r>
        <w:rPr>
          <w:rFonts w:hint="eastAsia" w:ascii="宋体" w:hAnsi="宋体" w:eastAsia="宋体" w:cs="宋体"/>
          <w:color w:val="auto"/>
          <w:szCs w:val="24"/>
          <w:highlight w:val="none"/>
          <w:lang w:eastAsia="zh-CN"/>
        </w:rPr>
        <w:t>质疑</w:t>
      </w:r>
      <w:r>
        <w:rPr>
          <w:rFonts w:hint="eastAsia" w:ascii="宋体" w:hAnsi="宋体" w:eastAsia="宋体" w:cs="宋体"/>
          <w:color w:val="auto"/>
          <w:szCs w:val="24"/>
          <w:highlight w:val="none"/>
        </w:rPr>
        <w:t>作出答复。</w:t>
      </w:r>
      <w:r>
        <w:rPr>
          <w:rFonts w:hint="eastAsia" w:ascii="宋体" w:hAnsi="宋体" w:eastAsia="宋体" w:cs="宋体"/>
          <w:color w:val="auto"/>
          <w:highlight w:val="none"/>
          <w:shd w:val="clear" w:color="auto" w:fill="FFFFFF"/>
        </w:rPr>
        <w:t>接收质疑函的方式、联系部门、联系电话和通讯地址等信息详见</w:t>
      </w:r>
      <w:r>
        <w:rPr>
          <w:rFonts w:hint="eastAsia" w:ascii="宋体" w:hAnsi="宋体" w:eastAsia="宋体" w:cs="宋体"/>
          <w:color w:val="auto"/>
          <w:szCs w:val="21"/>
          <w:highlight w:val="none"/>
        </w:rPr>
        <w:t>“供应商须知前附表”</w:t>
      </w:r>
      <w:r>
        <w:rPr>
          <w:rFonts w:hint="eastAsia" w:ascii="宋体" w:hAnsi="宋体" w:eastAsia="宋体" w:cs="宋体"/>
          <w:color w:val="auto"/>
          <w:highlight w:val="none"/>
        </w:rPr>
        <w:t>。</w:t>
      </w:r>
      <w:r>
        <w:rPr>
          <w:rFonts w:hint="eastAsia" w:ascii="宋体" w:hAnsi="宋体" w:eastAsia="宋体" w:cs="宋体"/>
          <w:b/>
          <w:color w:val="auto"/>
          <w:szCs w:val="21"/>
          <w:highlight w:val="none"/>
        </w:rPr>
        <w:t xml:space="preserve">具体质疑起算时间及处理方式如下： </w:t>
      </w:r>
    </w:p>
    <w:p w14:paraId="4D080606">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（1）潜在供应商依法获取采购文件后，认为采购文件使自己的权益受到损害的，应当在竞争性磋商文件公告期限届满之日起7个工作日内提出质疑。</w:t>
      </w:r>
    </w:p>
    <w:p w14:paraId="71006E7C">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w:t>
      </w:r>
      <w:r>
        <w:rPr>
          <w:rFonts w:hint="eastAsia" w:ascii="宋体" w:hAnsi="宋体" w:eastAsia="宋体" w:cs="宋体"/>
          <w:bCs/>
          <w:color w:val="auto"/>
          <w:highlight w:val="none"/>
          <w:lang w:eastAsia="zh-CN"/>
        </w:rPr>
        <w:t>者采购</w:t>
      </w:r>
      <w:r>
        <w:rPr>
          <w:rFonts w:hint="eastAsia" w:ascii="宋体" w:hAnsi="宋体" w:eastAsia="宋体" w:cs="宋体"/>
          <w:bCs/>
          <w:color w:val="auto"/>
          <w:highlight w:val="none"/>
        </w:rPr>
        <w:t>代理机构提出，由采购人或</w:t>
      </w:r>
      <w:r>
        <w:rPr>
          <w:rFonts w:hint="eastAsia" w:ascii="宋体" w:hAnsi="宋体" w:eastAsia="宋体" w:cs="宋体"/>
          <w:bCs/>
          <w:color w:val="auto"/>
          <w:highlight w:val="none"/>
          <w:lang w:eastAsia="zh-CN"/>
        </w:rPr>
        <w:t>者采购</w:t>
      </w:r>
      <w:r>
        <w:rPr>
          <w:rFonts w:hint="eastAsia" w:ascii="宋体" w:hAnsi="宋体" w:eastAsia="宋体" w:cs="宋体"/>
          <w:bCs/>
          <w:color w:val="auto"/>
          <w:highlight w:val="none"/>
        </w:rPr>
        <w:t>代理机构受理并负责答复；对采购过程中采购执行程序的质疑由采购代理机构受理并负责答复。</w:t>
      </w:r>
    </w:p>
    <w:p w14:paraId="3439186F">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（3）供应商认为成交结果使自己的权益受到损害的，应当在成交结果公告期限届满之日起7个工作日内提出质疑，由采购人受理并负责答复。</w:t>
      </w:r>
    </w:p>
    <w:p w14:paraId="58B01D1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0</w:t>
      </w:r>
      <w:r>
        <w:rPr>
          <w:rFonts w:hint="eastAsia" w:ascii="宋体" w:hAnsi="宋体" w:eastAsia="宋体" w:cs="宋体"/>
          <w:color w:val="auto"/>
          <w:highlight w:val="none"/>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40DE0302">
      <w:pPr>
        <w:spacing w:line="360" w:lineRule="auto"/>
        <w:ind w:firstLine="422" w:firstLineChars="200"/>
        <w:rPr>
          <w:rFonts w:hint="eastAsia" w:ascii="宋体" w:hAnsi="宋体" w:eastAsia="宋体" w:cs="宋体"/>
          <w:color w:val="auto"/>
          <w:highlight w:val="none"/>
        </w:rPr>
      </w:pPr>
      <w:r>
        <w:rPr>
          <w:rFonts w:hint="eastAsia" w:ascii="宋体" w:hAnsi="宋体" w:eastAsia="宋体" w:cs="宋体"/>
          <w:b/>
          <w:bCs/>
          <w:color w:val="auto"/>
          <w:highlight w:val="none"/>
        </w:rPr>
        <w:t>3</w:t>
      </w:r>
      <w:r>
        <w:rPr>
          <w:rFonts w:hint="eastAsia" w:ascii="宋体" w:hAnsi="宋体" w:eastAsia="宋体" w:cs="宋体"/>
          <w:b/>
          <w:bCs/>
          <w:color w:val="auto"/>
          <w:highlight w:val="none"/>
          <w:lang w:val="en-US" w:eastAsia="zh-CN"/>
        </w:rPr>
        <w:t>0</w:t>
      </w:r>
      <w:r>
        <w:rPr>
          <w:rFonts w:hint="eastAsia" w:ascii="宋体" w:hAnsi="宋体" w:eastAsia="宋体" w:cs="宋体"/>
          <w:b/>
          <w:bCs/>
          <w:color w:val="auto"/>
          <w:highlight w:val="none"/>
        </w:rPr>
        <w:t>.4 供应商提出质疑应当提交质疑函和必要的证明材料，针对同一采购程序环节的质疑必须在法定质疑期内一次性提出。质疑函应当包括下列内容（质疑函格式后附）：</w:t>
      </w:r>
    </w:p>
    <w:p w14:paraId="7C31F90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551C68C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7308CB6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175B17E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7776160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60D65F5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185200F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供应商为自然人的，应当由本人签字；供应商为法人或者其他组织的，应当由法定代表人、主要负责人，或者其委托代理人签字或者盖章，并加盖公章。</w:t>
      </w:r>
    </w:p>
    <w:p w14:paraId="07291C8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0</w:t>
      </w:r>
      <w:r>
        <w:rPr>
          <w:rFonts w:hint="eastAsia" w:ascii="宋体" w:hAnsi="宋体" w:eastAsia="宋体" w:cs="宋体"/>
          <w:color w:val="auto"/>
          <w:highlight w:val="none"/>
        </w:rPr>
        <w:t>.5采购人、采购代理机构认为供应商质疑不成立，或者成立但未对成交结果构成影响的，继续开展采购活动；认为供应商质疑成立且影响或者可能影响成交结果的，按照下列情况处理：</w:t>
      </w:r>
    </w:p>
    <w:p w14:paraId="2435278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1C47D36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04A2D20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质疑答复导致成交结果改变的，采购人或者采购代理机构应当将有关情况书面报告本级财政部门。</w:t>
      </w:r>
    </w:p>
    <w:p w14:paraId="61E712F8">
      <w:pPr>
        <w:spacing w:line="360" w:lineRule="auto"/>
        <w:ind w:firstLine="422" w:firstLineChars="200"/>
        <w:rPr>
          <w:rFonts w:hint="eastAsia" w:ascii="宋体" w:hAnsi="宋体" w:eastAsia="宋体" w:cs="宋体"/>
          <w:color w:val="auto"/>
          <w:highlight w:val="none"/>
        </w:rPr>
      </w:pPr>
      <w:r>
        <w:rPr>
          <w:rFonts w:hint="eastAsia" w:ascii="宋体" w:hAnsi="宋体" w:eastAsia="宋体" w:cs="宋体"/>
          <w:b/>
          <w:bCs/>
          <w:color w:val="auto"/>
          <w:highlight w:val="none"/>
        </w:rPr>
        <w:t>3</w:t>
      </w:r>
      <w:r>
        <w:rPr>
          <w:rFonts w:hint="eastAsia" w:ascii="宋体" w:hAnsi="宋体" w:eastAsia="宋体" w:cs="宋体"/>
          <w:b/>
          <w:bCs/>
          <w:color w:val="auto"/>
          <w:highlight w:val="none"/>
          <w:lang w:val="en-US" w:eastAsia="zh-CN"/>
        </w:rPr>
        <w:t>0</w:t>
      </w:r>
      <w:r>
        <w:rPr>
          <w:rFonts w:hint="eastAsia" w:ascii="宋体" w:hAnsi="宋体" w:eastAsia="宋体" w:cs="宋体"/>
          <w:b/>
          <w:bCs/>
          <w:color w:val="auto"/>
          <w:highlight w:val="none"/>
        </w:rPr>
        <w:t>.6投诉的权利。质疑供应商对采购人</w:t>
      </w:r>
      <w:r>
        <w:rPr>
          <w:rFonts w:hint="eastAsia" w:ascii="宋体" w:hAnsi="宋体" w:eastAsia="宋体" w:cs="宋体"/>
          <w:b/>
          <w:bCs/>
          <w:color w:val="auto"/>
          <w:highlight w:val="none"/>
          <w:lang w:eastAsia="zh-CN"/>
        </w:rPr>
        <w:t>或</w:t>
      </w:r>
      <w:r>
        <w:rPr>
          <w:rFonts w:hint="eastAsia" w:ascii="宋体" w:hAnsi="宋体" w:eastAsia="宋体" w:cs="宋体"/>
          <w:b/>
          <w:bCs/>
          <w:color w:val="auto"/>
          <w:highlight w:val="none"/>
        </w:rPr>
        <w:t>采购代理机构的答复不满意，或者采购人</w:t>
      </w:r>
      <w:r>
        <w:rPr>
          <w:rFonts w:hint="eastAsia" w:ascii="宋体" w:hAnsi="宋体" w:eastAsia="宋体" w:cs="宋体"/>
          <w:b/>
          <w:bCs/>
          <w:color w:val="auto"/>
          <w:highlight w:val="none"/>
          <w:lang w:eastAsia="zh-CN"/>
        </w:rPr>
        <w:t>或</w:t>
      </w:r>
      <w:r>
        <w:rPr>
          <w:rFonts w:hint="eastAsia" w:ascii="宋体" w:hAnsi="宋体" w:eastAsia="宋体" w:cs="宋体"/>
          <w:b/>
          <w:bCs/>
          <w:color w:val="auto"/>
          <w:highlight w:val="none"/>
        </w:rPr>
        <w:t>采购代理机构未在规定时间内作出答复的，可以在答复期满后15个工作日内向《政府采购质疑和投诉办法》（财政部令第94号）第六条规定的财政部门提起投诉（投诉书格式后附），受理投诉方式见“供应商须知前附表”</w:t>
      </w:r>
      <w:r>
        <w:rPr>
          <w:rFonts w:hint="eastAsia" w:ascii="宋体" w:hAnsi="宋体" w:eastAsia="宋体" w:cs="宋体"/>
          <w:color w:val="auto"/>
          <w:highlight w:val="none"/>
        </w:rPr>
        <w:t>。</w:t>
      </w:r>
      <w:bookmarkStart w:id="104" w:name="_Toc80205930"/>
    </w:p>
    <w:p w14:paraId="09AC1818">
      <w:pPr>
        <w:keepNext/>
        <w:keepLines/>
        <w:widowControl w:val="0"/>
        <w:spacing w:before="0" w:after="0" w:line="360" w:lineRule="auto"/>
        <w:ind w:firstLine="315" w:firstLineChars="98"/>
        <w:jc w:val="both"/>
        <w:outlineLvl w:val="2"/>
        <w:rPr>
          <w:rFonts w:ascii="Times New Roman" w:hAnsi="Times New Roman" w:eastAsia="宋体" w:cs="Times New Roman"/>
          <w:b w:val="0"/>
          <w:bCs/>
          <w:color w:val="auto"/>
          <w:kern w:val="2"/>
          <w:sz w:val="32"/>
          <w:szCs w:val="32"/>
          <w:highlight w:val="none"/>
          <w:lang w:val="en-US" w:eastAsia="zh-CN" w:bidi="ar-SA"/>
        </w:rPr>
      </w:pPr>
      <w:bookmarkStart w:id="105" w:name="_Toc80886935"/>
      <w:bookmarkStart w:id="106" w:name="_Toc26989"/>
      <w:bookmarkStart w:id="107" w:name="_Toc9275"/>
      <w:r>
        <w:rPr>
          <w:rFonts w:hint="eastAsia" w:ascii="Times New Roman" w:hAnsi="Times New Roman" w:eastAsia="宋体" w:cs="Times New Roman"/>
          <w:b/>
          <w:bCs/>
          <w:color w:val="auto"/>
          <w:kern w:val="2"/>
          <w:sz w:val="32"/>
          <w:szCs w:val="32"/>
          <w:highlight w:val="none"/>
          <w:lang w:val="en-US" w:eastAsia="zh-CN" w:bidi="ar-SA"/>
        </w:rPr>
        <w:t>六</w:t>
      </w:r>
      <w:r>
        <w:rPr>
          <w:rFonts w:hint="eastAsia" w:ascii="Times New Roman" w:hAnsi="Times New Roman" w:eastAsia="宋体" w:cs="Times New Roman"/>
          <w:b w:val="0"/>
          <w:bCs/>
          <w:color w:val="auto"/>
          <w:kern w:val="2"/>
          <w:sz w:val="32"/>
          <w:szCs w:val="32"/>
          <w:highlight w:val="none"/>
          <w:lang w:val="en-US" w:eastAsia="zh-CN" w:bidi="ar-SA"/>
        </w:rPr>
        <w:t>、验收</w:t>
      </w:r>
      <w:bookmarkEnd w:id="104"/>
      <w:bookmarkEnd w:id="105"/>
      <w:bookmarkEnd w:id="106"/>
      <w:bookmarkEnd w:id="107"/>
    </w:p>
    <w:p w14:paraId="7BE03084">
      <w:pPr>
        <w:tabs>
          <w:tab w:val="left" w:pos="0"/>
        </w:tabs>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w:t>
      </w:r>
      <w:r>
        <w:rPr>
          <w:rFonts w:hint="eastAsia" w:ascii="黑体" w:hAnsi="黑体" w:eastAsia="黑体" w:cs="宋体"/>
          <w:b/>
          <w:bCs/>
          <w:color w:val="auto"/>
          <w:sz w:val="24"/>
          <w:highlight w:val="none"/>
          <w:lang w:val="en-US" w:eastAsia="zh-CN"/>
        </w:rPr>
        <w:t>1</w:t>
      </w:r>
      <w:r>
        <w:rPr>
          <w:rFonts w:hint="eastAsia" w:ascii="黑体" w:hAnsi="黑体" w:eastAsia="黑体" w:cs="宋体"/>
          <w:b/>
          <w:bCs/>
          <w:color w:val="auto"/>
          <w:sz w:val="24"/>
          <w:highlight w:val="none"/>
        </w:rPr>
        <w:t>.验收</w:t>
      </w:r>
    </w:p>
    <w:p w14:paraId="79B43DD4">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2C72F0F9">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.2采购人可以邀请参加本项目的其他供应商或者第三方机构参与验收。参与验收的供应商或者第三方机构的意见作为验收书的参考资料一并存档。</w:t>
      </w:r>
    </w:p>
    <w:p w14:paraId="66F109FB">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如有</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返还条件挂钩。履约验收的各项资料应当存档备查。</w:t>
      </w:r>
    </w:p>
    <w:p w14:paraId="093D9963">
      <w:pPr>
        <w:tabs>
          <w:tab w:val="left" w:pos="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4A2FB048">
      <w:pPr>
        <w:keepNext/>
        <w:keepLines/>
        <w:widowControl w:val="0"/>
        <w:spacing w:before="0" w:after="0" w:line="360" w:lineRule="auto"/>
        <w:ind w:firstLine="320" w:firstLineChars="100"/>
        <w:jc w:val="both"/>
        <w:outlineLvl w:val="2"/>
        <w:rPr>
          <w:rFonts w:hint="eastAsia" w:ascii="Times New Roman" w:hAnsi="Times New Roman" w:eastAsia="宋体" w:cs="Times New Roman"/>
          <w:b w:val="0"/>
          <w:bCs w:val="0"/>
          <w:color w:val="auto"/>
          <w:kern w:val="2"/>
          <w:sz w:val="32"/>
          <w:szCs w:val="32"/>
          <w:highlight w:val="none"/>
          <w:lang w:val="en-US" w:eastAsia="zh-CN" w:bidi="ar-SA"/>
        </w:rPr>
      </w:pPr>
      <w:bookmarkStart w:id="108" w:name="_Toc1170"/>
      <w:bookmarkStart w:id="109" w:name="_Toc80886936"/>
      <w:bookmarkStart w:id="110" w:name="_Toc10913"/>
      <w:r>
        <w:rPr>
          <w:rFonts w:hint="eastAsia" w:ascii="Times New Roman" w:hAnsi="Times New Roman" w:eastAsia="宋体" w:cs="Times New Roman"/>
          <w:b w:val="0"/>
          <w:bCs w:val="0"/>
          <w:color w:val="auto"/>
          <w:kern w:val="2"/>
          <w:sz w:val="32"/>
          <w:szCs w:val="32"/>
          <w:highlight w:val="none"/>
          <w:lang w:val="en-US" w:eastAsia="zh-CN" w:bidi="ar-SA"/>
        </w:rPr>
        <w:t>七、其他事项</w:t>
      </w:r>
      <w:bookmarkEnd w:id="108"/>
      <w:bookmarkEnd w:id="109"/>
      <w:bookmarkEnd w:id="110"/>
    </w:p>
    <w:p w14:paraId="6008DB5C">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3</w:t>
      </w:r>
      <w:r>
        <w:rPr>
          <w:rFonts w:hint="eastAsia" w:ascii="黑体" w:hAnsi="黑体" w:eastAsia="黑体" w:cs="宋体"/>
          <w:b/>
          <w:bCs/>
          <w:color w:val="auto"/>
          <w:sz w:val="24"/>
          <w:highlight w:val="none"/>
          <w:lang w:val="en-US" w:eastAsia="zh-CN"/>
        </w:rPr>
        <w:t>2</w:t>
      </w:r>
      <w:r>
        <w:rPr>
          <w:rFonts w:hint="eastAsia" w:ascii="黑体" w:hAnsi="黑体" w:eastAsia="黑体" w:cs="宋体"/>
          <w:b/>
          <w:bCs/>
          <w:color w:val="auto"/>
          <w:sz w:val="24"/>
          <w:highlight w:val="none"/>
        </w:rPr>
        <w:t>.</w:t>
      </w:r>
      <w:r>
        <w:rPr>
          <w:rFonts w:hint="eastAsia" w:ascii="黑体" w:hAnsi="黑体" w:eastAsia="黑体" w:cs="宋体"/>
          <w:b/>
          <w:bCs/>
          <w:color w:val="auto"/>
          <w:sz w:val="24"/>
          <w:highlight w:val="none"/>
          <w:lang w:eastAsia="zh-CN"/>
        </w:rPr>
        <w:t>采购</w:t>
      </w:r>
      <w:r>
        <w:rPr>
          <w:rFonts w:hint="eastAsia" w:ascii="黑体" w:hAnsi="黑体" w:eastAsia="黑体" w:cs="宋体"/>
          <w:b/>
          <w:bCs/>
          <w:color w:val="auto"/>
          <w:sz w:val="24"/>
          <w:highlight w:val="none"/>
        </w:rPr>
        <w:t>代理服务费</w:t>
      </w:r>
    </w:p>
    <w:p w14:paraId="00C57E5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32.1 </w:t>
      </w: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代理服务</w:t>
      </w:r>
      <w:r>
        <w:rPr>
          <w:rFonts w:hint="eastAsia" w:ascii="宋体" w:hAnsi="宋体" w:eastAsia="宋体" w:cs="宋体"/>
          <w:color w:val="auto"/>
          <w:szCs w:val="21"/>
          <w:highlight w:val="none"/>
          <w:lang w:eastAsia="zh-CN"/>
        </w:rPr>
        <w:t>费</w:t>
      </w:r>
      <w:r>
        <w:rPr>
          <w:rFonts w:hint="eastAsia" w:ascii="宋体" w:hAnsi="宋体" w:eastAsia="宋体" w:cs="宋体"/>
          <w:color w:val="auto"/>
          <w:szCs w:val="21"/>
          <w:highlight w:val="none"/>
        </w:rPr>
        <w:t>收费标准及缴费账户详见“供应商须知前附表”，供应商为联合体的，可以由联合体中的一方或者多方共同</w:t>
      </w:r>
      <w:r>
        <w:rPr>
          <w:rFonts w:hint="eastAsia" w:ascii="宋体" w:hAnsi="宋体" w:eastAsia="宋体" w:cs="宋体"/>
          <w:color w:val="auto"/>
          <w:szCs w:val="21"/>
          <w:highlight w:val="none"/>
        </w:rPr>
        <w:t>缴纳采购</w:t>
      </w:r>
      <w:r>
        <w:rPr>
          <w:rFonts w:hint="eastAsia" w:ascii="宋体" w:hAnsi="宋体" w:eastAsia="宋体" w:cs="宋体"/>
          <w:color w:val="auto"/>
          <w:szCs w:val="21"/>
          <w:highlight w:val="none"/>
        </w:rPr>
        <w:t>代理服务费。</w:t>
      </w:r>
    </w:p>
    <w:p w14:paraId="4D88557E">
      <w:pPr>
        <w:widowControl w:val="0"/>
        <w:spacing w:after="120"/>
        <w:ind w:firstLine="420" w:firstLineChars="200"/>
        <w:jc w:val="both"/>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1"/>
          <w:highlight w:val="none"/>
          <w:lang w:val="en-US" w:eastAsia="zh-CN" w:bidi="ar-SA"/>
        </w:rPr>
        <w:t>32.2采购代理服务费收费计算标准：</w:t>
      </w:r>
    </w:p>
    <w:tbl>
      <w:tblPr>
        <w:tblStyle w:val="3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1B023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noWrap w:val="0"/>
            <w:vAlign w:val="top"/>
          </w:tcPr>
          <w:p w14:paraId="2A9AD44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费率</w:t>
            </w:r>
          </w:p>
          <w:p w14:paraId="2EA4CF6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金额</w:t>
            </w:r>
          </w:p>
        </w:tc>
        <w:tc>
          <w:tcPr>
            <w:tcW w:w="1659" w:type="dxa"/>
            <w:noWrap w:val="0"/>
            <w:vAlign w:val="center"/>
          </w:tcPr>
          <w:p w14:paraId="47DE910B">
            <w:pPr>
              <w:spacing w:line="360" w:lineRule="auto"/>
              <w:ind w:firstLine="105" w:firstLineChar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货物类</w:t>
            </w:r>
          </w:p>
        </w:tc>
        <w:tc>
          <w:tcPr>
            <w:tcW w:w="1532" w:type="dxa"/>
            <w:noWrap w:val="0"/>
            <w:vAlign w:val="center"/>
          </w:tcPr>
          <w:p w14:paraId="15E9567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服务类</w:t>
            </w:r>
          </w:p>
        </w:tc>
        <w:tc>
          <w:tcPr>
            <w:tcW w:w="1546" w:type="dxa"/>
            <w:noWrap w:val="0"/>
            <w:vAlign w:val="center"/>
          </w:tcPr>
          <w:p w14:paraId="6887531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工程类</w:t>
            </w:r>
          </w:p>
        </w:tc>
      </w:tr>
      <w:tr w14:paraId="197C4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5B6201C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100万元以下</w:t>
            </w:r>
          </w:p>
        </w:tc>
        <w:tc>
          <w:tcPr>
            <w:tcW w:w="1659" w:type="dxa"/>
            <w:noWrap w:val="0"/>
            <w:vAlign w:val="top"/>
          </w:tcPr>
          <w:p w14:paraId="3B717865">
            <w:pPr>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1.5%                </w:t>
            </w:r>
          </w:p>
        </w:tc>
        <w:tc>
          <w:tcPr>
            <w:tcW w:w="1532" w:type="dxa"/>
            <w:noWrap w:val="0"/>
            <w:vAlign w:val="top"/>
          </w:tcPr>
          <w:p w14:paraId="13913404">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1.5%</w:t>
            </w:r>
          </w:p>
        </w:tc>
        <w:tc>
          <w:tcPr>
            <w:tcW w:w="1546" w:type="dxa"/>
            <w:noWrap w:val="0"/>
            <w:vAlign w:val="top"/>
          </w:tcPr>
          <w:p w14:paraId="35CC89D7">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1.0% </w:t>
            </w:r>
          </w:p>
        </w:tc>
      </w:tr>
      <w:tr w14:paraId="06023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CC2365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100～500万元</w:t>
            </w:r>
          </w:p>
        </w:tc>
        <w:tc>
          <w:tcPr>
            <w:tcW w:w="1659" w:type="dxa"/>
            <w:noWrap w:val="0"/>
            <w:vAlign w:val="top"/>
          </w:tcPr>
          <w:p w14:paraId="6593A514">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1.1%                 </w:t>
            </w:r>
          </w:p>
        </w:tc>
        <w:tc>
          <w:tcPr>
            <w:tcW w:w="1532" w:type="dxa"/>
            <w:noWrap w:val="0"/>
            <w:vAlign w:val="top"/>
          </w:tcPr>
          <w:p w14:paraId="7549A5C5">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0.8%</w:t>
            </w:r>
          </w:p>
        </w:tc>
        <w:tc>
          <w:tcPr>
            <w:tcW w:w="1546" w:type="dxa"/>
            <w:noWrap w:val="0"/>
            <w:vAlign w:val="top"/>
          </w:tcPr>
          <w:p w14:paraId="2AD37034">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0.7% </w:t>
            </w:r>
          </w:p>
        </w:tc>
      </w:tr>
      <w:tr w14:paraId="2859D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5951CE7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500～1000万元</w:t>
            </w:r>
          </w:p>
        </w:tc>
        <w:tc>
          <w:tcPr>
            <w:tcW w:w="1659" w:type="dxa"/>
            <w:noWrap w:val="0"/>
            <w:vAlign w:val="top"/>
          </w:tcPr>
          <w:p w14:paraId="29F493F3">
            <w:pPr>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0.8%                </w:t>
            </w:r>
          </w:p>
        </w:tc>
        <w:tc>
          <w:tcPr>
            <w:tcW w:w="1532" w:type="dxa"/>
            <w:noWrap w:val="0"/>
            <w:vAlign w:val="top"/>
          </w:tcPr>
          <w:p w14:paraId="708E1718">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0.45%</w:t>
            </w:r>
          </w:p>
        </w:tc>
        <w:tc>
          <w:tcPr>
            <w:tcW w:w="1546" w:type="dxa"/>
            <w:noWrap w:val="0"/>
            <w:vAlign w:val="top"/>
          </w:tcPr>
          <w:p w14:paraId="11C87684">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0.55%</w:t>
            </w:r>
          </w:p>
        </w:tc>
      </w:tr>
      <w:tr w14:paraId="2FDFD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877771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1000～5000万元</w:t>
            </w:r>
          </w:p>
        </w:tc>
        <w:tc>
          <w:tcPr>
            <w:tcW w:w="1659" w:type="dxa"/>
            <w:noWrap w:val="0"/>
            <w:vAlign w:val="top"/>
          </w:tcPr>
          <w:p w14:paraId="7E491970">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0.5%                </w:t>
            </w:r>
          </w:p>
        </w:tc>
        <w:tc>
          <w:tcPr>
            <w:tcW w:w="1532" w:type="dxa"/>
            <w:noWrap w:val="0"/>
            <w:vAlign w:val="top"/>
          </w:tcPr>
          <w:p w14:paraId="0E15082C">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0.25%</w:t>
            </w:r>
          </w:p>
        </w:tc>
        <w:tc>
          <w:tcPr>
            <w:tcW w:w="1546" w:type="dxa"/>
            <w:noWrap w:val="0"/>
            <w:vAlign w:val="top"/>
          </w:tcPr>
          <w:p w14:paraId="6EE92076">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0.35% </w:t>
            </w:r>
          </w:p>
        </w:tc>
      </w:tr>
      <w:tr w14:paraId="0BF3C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9B823C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5000万元～1亿元</w:t>
            </w:r>
          </w:p>
        </w:tc>
        <w:tc>
          <w:tcPr>
            <w:tcW w:w="1659" w:type="dxa"/>
            <w:noWrap w:val="0"/>
            <w:vAlign w:val="top"/>
          </w:tcPr>
          <w:p w14:paraId="11A8DF00">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0.25%                 </w:t>
            </w:r>
          </w:p>
        </w:tc>
        <w:tc>
          <w:tcPr>
            <w:tcW w:w="1532" w:type="dxa"/>
            <w:noWrap w:val="0"/>
            <w:vAlign w:val="top"/>
          </w:tcPr>
          <w:p w14:paraId="5C5E6D9C">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0.1%</w:t>
            </w:r>
          </w:p>
        </w:tc>
        <w:tc>
          <w:tcPr>
            <w:tcW w:w="1546" w:type="dxa"/>
            <w:noWrap w:val="0"/>
            <w:vAlign w:val="top"/>
          </w:tcPr>
          <w:p w14:paraId="5D313411">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w:t>
            </w:r>
          </w:p>
        </w:tc>
      </w:tr>
      <w:tr w14:paraId="74199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3DB2B5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1～5亿元</w:t>
            </w:r>
          </w:p>
        </w:tc>
        <w:tc>
          <w:tcPr>
            <w:tcW w:w="1659" w:type="dxa"/>
            <w:noWrap w:val="0"/>
            <w:vAlign w:val="top"/>
          </w:tcPr>
          <w:p w14:paraId="5CEF833E">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0.05%</w:t>
            </w:r>
          </w:p>
        </w:tc>
        <w:tc>
          <w:tcPr>
            <w:tcW w:w="1532" w:type="dxa"/>
            <w:noWrap w:val="0"/>
            <w:vAlign w:val="top"/>
          </w:tcPr>
          <w:p w14:paraId="14E600F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c>
          <w:tcPr>
            <w:tcW w:w="1546" w:type="dxa"/>
            <w:noWrap w:val="0"/>
            <w:vAlign w:val="top"/>
          </w:tcPr>
          <w:p w14:paraId="5C3F10C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r>
      <w:tr w14:paraId="5CC74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69C159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5～10亿元</w:t>
            </w:r>
          </w:p>
        </w:tc>
        <w:tc>
          <w:tcPr>
            <w:tcW w:w="1659" w:type="dxa"/>
            <w:noWrap w:val="0"/>
            <w:vAlign w:val="top"/>
          </w:tcPr>
          <w:p w14:paraId="0C32EF2F">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c>
          <w:tcPr>
            <w:tcW w:w="1532" w:type="dxa"/>
            <w:noWrap w:val="0"/>
            <w:vAlign w:val="top"/>
          </w:tcPr>
          <w:p w14:paraId="323955E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0.035%</w:t>
            </w:r>
          </w:p>
        </w:tc>
        <w:tc>
          <w:tcPr>
            <w:tcW w:w="1546" w:type="dxa"/>
            <w:noWrap w:val="0"/>
            <w:vAlign w:val="top"/>
          </w:tcPr>
          <w:p w14:paraId="48FB980B">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r>
      <w:tr w14:paraId="52A82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5DA4758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10～50亿元</w:t>
            </w:r>
          </w:p>
        </w:tc>
        <w:tc>
          <w:tcPr>
            <w:tcW w:w="1659" w:type="dxa"/>
            <w:noWrap w:val="0"/>
            <w:vAlign w:val="top"/>
          </w:tcPr>
          <w:p w14:paraId="09E5A858">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532" w:type="dxa"/>
            <w:noWrap w:val="0"/>
            <w:vAlign w:val="top"/>
          </w:tcPr>
          <w:p w14:paraId="6E291845">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546" w:type="dxa"/>
            <w:noWrap w:val="0"/>
            <w:vAlign w:val="top"/>
          </w:tcPr>
          <w:p w14:paraId="2F2C6D78">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r>
      <w:tr w14:paraId="77264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5381993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50～100亿元</w:t>
            </w:r>
          </w:p>
        </w:tc>
        <w:tc>
          <w:tcPr>
            <w:tcW w:w="1659" w:type="dxa"/>
            <w:noWrap w:val="0"/>
            <w:vAlign w:val="top"/>
          </w:tcPr>
          <w:p w14:paraId="25B779A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0.006%</w:t>
            </w:r>
          </w:p>
        </w:tc>
        <w:tc>
          <w:tcPr>
            <w:tcW w:w="1532" w:type="dxa"/>
            <w:noWrap w:val="0"/>
            <w:vAlign w:val="top"/>
          </w:tcPr>
          <w:p w14:paraId="4E558BA6">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c>
          <w:tcPr>
            <w:tcW w:w="1546" w:type="dxa"/>
            <w:noWrap w:val="0"/>
            <w:vAlign w:val="top"/>
          </w:tcPr>
          <w:p w14:paraId="61CD5DA9">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r>
      <w:tr w14:paraId="74AC8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63ECE01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100亿</w:t>
            </w:r>
            <w:r>
              <w:rPr>
                <w:rFonts w:hint="eastAsia" w:ascii="宋体" w:hAnsi="宋体" w:eastAsia="宋体" w:cs="宋体"/>
                <w:color w:val="auto"/>
                <w:szCs w:val="21"/>
                <w:highlight w:val="none"/>
                <w:lang w:val="en-US" w:eastAsia="zh-CN"/>
              </w:rPr>
              <w:t>元</w:t>
            </w:r>
            <w:r>
              <w:rPr>
                <w:rFonts w:hint="eastAsia" w:ascii="宋体" w:hAnsi="宋体" w:eastAsia="宋体" w:cs="宋体"/>
                <w:color w:val="auto"/>
                <w:szCs w:val="21"/>
                <w:highlight w:val="none"/>
              </w:rPr>
              <w:t>以上</w:t>
            </w:r>
          </w:p>
        </w:tc>
        <w:tc>
          <w:tcPr>
            <w:tcW w:w="1659" w:type="dxa"/>
            <w:noWrap w:val="0"/>
            <w:vAlign w:val="top"/>
          </w:tcPr>
          <w:p w14:paraId="3B1F3D0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0.004%</w:t>
            </w:r>
          </w:p>
        </w:tc>
        <w:tc>
          <w:tcPr>
            <w:tcW w:w="1532" w:type="dxa"/>
            <w:noWrap w:val="0"/>
            <w:vAlign w:val="top"/>
          </w:tcPr>
          <w:p w14:paraId="0B46E259">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c>
          <w:tcPr>
            <w:tcW w:w="1546" w:type="dxa"/>
            <w:noWrap w:val="0"/>
            <w:vAlign w:val="top"/>
          </w:tcPr>
          <w:p w14:paraId="55CC0C95">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r>
    </w:tbl>
    <w:p w14:paraId="45B5EC7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注：</w:t>
      </w:r>
    </w:p>
    <w:p w14:paraId="192A684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（1）按本表费率计算的收费为采购代理的收费基准价格；</w:t>
      </w:r>
    </w:p>
    <w:p w14:paraId="2619B87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（2）采购代理收费按差额定率累进法计算。</w:t>
      </w:r>
    </w:p>
    <w:p w14:paraId="2964367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例如：某服务采购代理业务成交金额或者暂定价为150万元，计算采购代理收费额如下：</w:t>
      </w:r>
    </w:p>
    <w:p w14:paraId="70300A1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100 万元 ×l.5 ％＝ 1.5 万元</w:t>
      </w:r>
    </w:p>
    <w:p w14:paraId="295248C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150 － 100 ）万元 ×</w:t>
      </w:r>
      <w:r>
        <w:rPr>
          <w:rFonts w:hint="eastAsia" w:ascii="宋体" w:hAnsi="宋体" w:cs="宋体"/>
          <w:color w:val="auto"/>
          <w:highlight w:val="none"/>
          <w:lang w:val="en-US" w:eastAsia="zh-CN"/>
        </w:rPr>
        <w:t>1</w:t>
      </w:r>
      <w:r>
        <w:rPr>
          <w:rFonts w:hint="eastAsia" w:ascii="宋体" w:hAnsi="宋体" w:eastAsia="宋体" w:cs="宋体"/>
          <w:color w:val="auto"/>
          <w:highlight w:val="none"/>
        </w:rPr>
        <w:t>.</w:t>
      </w:r>
      <w:r>
        <w:rPr>
          <w:rFonts w:hint="eastAsia" w:ascii="宋体" w:hAnsi="宋体" w:cs="宋体"/>
          <w:color w:val="auto"/>
          <w:highlight w:val="none"/>
          <w:lang w:val="en-US" w:eastAsia="zh-CN"/>
        </w:rPr>
        <w:t>1</w:t>
      </w:r>
      <w:r>
        <w:rPr>
          <w:rFonts w:hint="eastAsia" w:ascii="宋体" w:hAnsi="宋体" w:eastAsia="宋体" w:cs="宋体"/>
          <w:color w:val="auto"/>
          <w:highlight w:val="none"/>
        </w:rPr>
        <w:t>％＝ 0.</w:t>
      </w:r>
      <w:r>
        <w:rPr>
          <w:rFonts w:hint="eastAsia" w:ascii="宋体" w:hAnsi="宋体" w:cs="宋体"/>
          <w:color w:val="auto"/>
          <w:highlight w:val="none"/>
          <w:lang w:val="en-US" w:eastAsia="zh-CN"/>
        </w:rPr>
        <w:t>55</w:t>
      </w:r>
      <w:r>
        <w:rPr>
          <w:rFonts w:hint="eastAsia" w:ascii="宋体" w:hAnsi="宋体" w:eastAsia="宋体" w:cs="宋体"/>
          <w:color w:val="auto"/>
          <w:highlight w:val="none"/>
        </w:rPr>
        <w:t>万元</w:t>
      </w:r>
    </w:p>
    <w:p w14:paraId="7C2C722E">
      <w:pPr>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 xml:space="preserve">合计收费＝ 1.5 ＋ </w:t>
      </w:r>
      <w:r>
        <w:rPr>
          <w:rFonts w:hint="eastAsia" w:ascii="宋体" w:hAnsi="宋体" w:cs="宋体"/>
          <w:color w:val="auto"/>
          <w:highlight w:val="none"/>
          <w:lang w:val="en-US" w:eastAsia="zh-CN"/>
        </w:rPr>
        <w:t>0.55</w:t>
      </w:r>
      <w:r>
        <w:rPr>
          <w:rFonts w:hint="eastAsia" w:ascii="宋体" w:hAnsi="宋体" w:eastAsia="宋体" w:cs="宋体"/>
          <w:color w:val="auto"/>
          <w:highlight w:val="none"/>
        </w:rPr>
        <w:t xml:space="preserve">＝ </w:t>
      </w:r>
      <w:r>
        <w:rPr>
          <w:rFonts w:hint="eastAsia" w:ascii="宋体" w:hAnsi="宋体" w:cs="宋体"/>
          <w:color w:val="auto"/>
          <w:highlight w:val="none"/>
          <w:lang w:val="en-US" w:eastAsia="zh-CN"/>
        </w:rPr>
        <w:t>2</w:t>
      </w:r>
      <w:r>
        <w:rPr>
          <w:rFonts w:hint="eastAsia" w:ascii="宋体" w:hAnsi="宋体" w:eastAsia="宋体" w:cs="宋体"/>
          <w:color w:val="auto"/>
          <w:highlight w:val="none"/>
        </w:rPr>
        <w:t>.</w:t>
      </w:r>
      <w:r>
        <w:rPr>
          <w:rFonts w:hint="eastAsia" w:ascii="宋体" w:hAnsi="宋体" w:cs="宋体"/>
          <w:color w:val="auto"/>
          <w:highlight w:val="none"/>
          <w:lang w:val="en-US" w:eastAsia="zh-CN"/>
        </w:rPr>
        <w:t>05</w:t>
      </w:r>
      <w:r>
        <w:rPr>
          <w:rFonts w:hint="eastAsia" w:ascii="宋体" w:hAnsi="宋体" w:eastAsia="宋体" w:cs="宋体"/>
          <w:color w:val="auto"/>
          <w:highlight w:val="none"/>
        </w:rPr>
        <w:t xml:space="preserve"> 万元</w:t>
      </w:r>
    </w:p>
    <w:p w14:paraId="0353ACC8">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w:t>
      </w:r>
      <w:r>
        <w:rPr>
          <w:rFonts w:hint="eastAsia" w:ascii="黑体" w:hAnsi="黑体" w:eastAsia="黑体" w:cs="宋体"/>
          <w:b/>
          <w:bCs/>
          <w:color w:val="auto"/>
          <w:sz w:val="24"/>
          <w:highlight w:val="none"/>
          <w:lang w:val="en-US" w:eastAsia="zh-CN"/>
        </w:rPr>
        <w:t>3</w:t>
      </w:r>
      <w:r>
        <w:rPr>
          <w:rFonts w:ascii="黑体" w:hAnsi="黑体" w:eastAsia="黑体" w:cs="宋体"/>
          <w:b/>
          <w:bCs/>
          <w:color w:val="auto"/>
          <w:sz w:val="24"/>
          <w:highlight w:val="none"/>
        </w:rPr>
        <w:t>.需要补充的其他内容</w:t>
      </w:r>
    </w:p>
    <w:p w14:paraId="20BB9A77">
      <w:pPr>
        <w:spacing w:line="360" w:lineRule="auto"/>
        <w:ind w:firstLine="420" w:firstLineChars="200"/>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.1本磋商文件解释规则详见“供应商须知前附表”。</w:t>
      </w:r>
    </w:p>
    <w:p w14:paraId="2237A0B3">
      <w:pPr>
        <w:spacing w:line="360" w:lineRule="auto"/>
        <w:ind w:firstLine="420" w:firstLineChars="200"/>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.2 其他事项详见“供应商须知前附表”。</w:t>
      </w:r>
    </w:p>
    <w:p w14:paraId="46A4BB3A">
      <w:pPr>
        <w:spacing w:line="360" w:lineRule="auto"/>
        <w:ind w:firstLine="420" w:firstLineChars="200"/>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eastAsia="宋体" w:cs="宋体"/>
          <w:color w:val="auto"/>
          <w:kern w:val="0"/>
          <w:szCs w:val="21"/>
          <w:highlight w:val="none"/>
        </w:rPr>
        <w:t>服务由中小企业承接，即提供服务的人员为中小企业依照《中华人民共和国劳动合同法》订立劳动合同的从业人员，不对其中涉及的货物的制造商和工程承建商作出要求的</w:t>
      </w:r>
      <w:r>
        <w:rPr>
          <w:rFonts w:hint="eastAsia" w:ascii="宋体" w:hAnsi="宋体" w:eastAsia="宋体" w:cs="宋体"/>
          <w:color w:val="auto"/>
          <w:szCs w:val="21"/>
          <w:highlight w:val="none"/>
        </w:rPr>
        <w:t>，享受本文件规定的中小企业扶持政策。</w:t>
      </w:r>
    </w:p>
    <w:p w14:paraId="35C4AD27">
      <w:pPr>
        <w:spacing w:line="360" w:lineRule="auto"/>
        <w:ind w:firstLine="420" w:firstLineChars="200"/>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以联合体形式参加政府采购活动，联合体各方均为中小企业的，联合体视同中小企业。其中，联合体各方均为小微企业的，联合体视同小微企业。</w:t>
      </w:r>
    </w:p>
    <w:p w14:paraId="06242B7E">
      <w:pPr>
        <w:spacing w:line="360" w:lineRule="auto"/>
        <w:ind w:firstLine="420" w:firstLineChars="200"/>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依据本文件规定享受扶持政策获得政府采购合同的，小微企业不得将合同分包给大中型企业，中型企业不得将合同分包给大型企业。</w:t>
      </w:r>
    </w:p>
    <w:p w14:paraId="1AAEAD0C">
      <w:pPr>
        <w:spacing w:line="360" w:lineRule="auto"/>
        <w:ind w:firstLine="420" w:firstLineChars="200"/>
        <w:textAlignment w:val="center"/>
        <w:rPr>
          <w:rFonts w:hint="eastAsia" w:eastAsia="宋体"/>
          <w:color w:val="auto"/>
          <w:highlight w:val="none"/>
        </w:rPr>
      </w:pPr>
      <w:r>
        <w:rPr>
          <w:rFonts w:hint="eastAsia" w:ascii="宋体" w:hAnsi="宋体" w:eastAsia="宋体" w:cs="宋体"/>
          <w:color w:val="auto"/>
          <w:szCs w:val="21"/>
          <w:highlight w:val="none"/>
          <w:lang w:val="en-US" w:eastAsia="zh-CN"/>
        </w:rPr>
        <w:t xml:space="preserve">33.4 </w:t>
      </w:r>
      <w:r>
        <w:rPr>
          <w:rFonts w:hint="eastAsia" w:ascii="宋体" w:hAnsi="宋体" w:eastAsia="宋体" w:cs="宋体"/>
          <w:color w:val="auto"/>
          <w:szCs w:val="21"/>
          <w:highlight w:val="no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929824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 广西线上</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政采贷</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szCs w:val="24"/>
          <w:highlight w:val="none"/>
        </w:rPr>
        <w:t>政策告知函</w:t>
      </w:r>
    </w:p>
    <w:p w14:paraId="7F963A11">
      <w:pPr>
        <w:spacing w:line="580" w:lineRule="exact"/>
        <w:jc w:val="center"/>
        <w:rPr>
          <w:rFonts w:hint="eastAsia" w:ascii="宋体" w:hAnsi="宋体" w:eastAsia="宋体" w:cs="宋体"/>
          <w:color w:val="auto"/>
          <w:sz w:val="32"/>
          <w:szCs w:val="32"/>
          <w:highlight w:val="none"/>
        </w:rPr>
      </w:pPr>
    </w:p>
    <w:p w14:paraId="0816E3BD">
      <w:pPr>
        <w:spacing w:line="580" w:lineRule="exact"/>
        <w:ind w:firstLine="0" w:firstLineChars="0"/>
        <w:jc w:val="center"/>
        <w:rPr>
          <w:rFonts w:hint="eastAsia" w:ascii="宋体" w:hAnsi="宋体" w:eastAsia="宋体" w:cs="宋体"/>
          <w:color w:val="auto"/>
          <w:szCs w:val="32"/>
          <w:highlight w:val="none"/>
        </w:rPr>
      </w:pPr>
      <w:r>
        <w:rPr>
          <w:rFonts w:hint="eastAsia" w:ascii="宋体" w:hAnsi="宋体" w:eastAsia="宋体" w:cs="宋体"/>
          <w:color w:val="auto"/>
          <w:sz w:val="32"/>
          <w:szCs w:val="32"/>
          <w:highlight w:val="none"/>
        </w:rPr>
        <w:t>广西线上“政采贷”政策告知函</w:t>
      </w:r>
    </w:p>
    <w:p w14:paraId="56786D64">
      <w:pPr>
        <w:spacing w:line="5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各供应商：</w:t>
      </w:r>
    </w:p>
    <w:p w14:paraId="305F4273">
      <w:pPr>
        <w:spacing w:line="5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欢迎贵公司参与广西政府采购活动！</w:t>
      </w:r>
    </w:p>
    <w:p w14:paraId="6D30C302">
      <w:pPr>
        <w:spacing w:line="5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w:t>
      </w:r>
      <w:r>
        <w:rPr>
          <w:rFonts w:hint="eastAsia" w:ascii="宋体" w:hAnsi="宋体" w:eastAsia="宋体" w:cs="宋体"/>
          <w:color w:val="auto"/>
          <w:kern w:val="2"/>
          <w:sz w:val="21"/>
          <w:szCs w:val="21"/>
          <w:highlight w:val="none"/>
          <w:lang w:val="en-US" w:eastAsia="zh-CN" w:bidi="ar-SA"/>
        </w:rPr>
        <w:t>银行业金融机构</w:t>
      </w:r>
      <w:r>
        <w:rPr>
          <w:rFonts w:hint="eastAsia" w:ascii="宋体" w:hAnsi="宋体" w:eastAsia="宋体" w:cs="宋体"/>
          <w:color w:val="auto"/>
          <w:szCs w:val="21"/>
          <w:highlight w:val="none"/>
        </w:rPr>
        <w:t>申请贷款，融资机构将根据《中国人民银行南宁中心支行 广西壮族自治区财政厅关于推广线上“政采贷”融资模式的通知》（南宁银发〔2021〕</w:t>
      </w:r>
      <w:r>
        <w:rPr>
          <w:rFonts w:hint="eastAsia" w:ascii="宋体" w:hAnsi="宋体" w:eastAsia="宋体" w:cs="宋体"/>
          <w:color w:val="auto"/>
          <w:szCs w:val="21"/>
          <w:highlight w:val="none"/>
          <w:lang w:val="en-US" w:eastAsia="zh-CN"/>
        </w:rPr>
        <w:t>258</w:t>
      </w:r>
      <w:r>
        <w:rPr>
          <w:rFonts w:hint="eastAsia" w:ascii="宋体" w:hAnsi="宋体" w:eastAsia="宋体" w:cs="宋体"/>
          <w:color w:val="auto"/>
          <w:szCs w:val="21"/>
          <w:highlight w:val="none"/>
        </w:rPr>
        <w:t>号），按照双方自愿的原则提供便捷、优惠的贷款服务。</w:t>
      </w:r>
    </w:p>
    <w:p w14:paraId="3ECFA513">
      <w:pPr>
        <w:spacing w:line="580" w:lineRule="exact"/>
        <w:ind w:firstLine="420" w:firstLineChars="200"/>
        <w:rPr>
          <w:rFonts w:ascii="宋体" w:hAnsi="宋体" w:cs="宋体"/>
          <w:color w:val="auto"/>
          <w:szCs w:val="21"/>
          <w:highlight w:val="none"/>
        </w:rPr>
      </w:pPr>
      <w:r>
        <w:rPr>
          <w:rFonts w:hint="eastAsia" w:ascii="宋体" w:hAnsi="宋体" w:eastAsia="宋体" w:cs="宋体"/>
          <w:color w:val="auto"/>
          <w:szCs w:val="21"/>
          <w:highlight w:val="none"/>
        </w:rPr>
        <w:t>相关金融产品和</w:t>
      </w:r>
      <w:r>
        <w:rPr>
          <w:rFonts w:hint="eastAsia" w:ascii="宋体" w:hAnsi="宋体" w:eastAsia="宋体" w:cs="宋体"/>
          <w:color w:val="auto"/>
          <w:kern w:val="2"/>
          <w:sz w:val="21"/>
          <w:szCs w:val="21"/>
          <w:highlight w:val="none"/>
          <w:lang w:val="en-US" w:eastAsia="zh-CN" w:bidi="ar-SA"/>
        </w:rPr>
        <w:t>银行业金融机构</w:t>
      </w:r>
      <w:r>
        <w:rPr>
          <w:rFonts w:hint="eastAsia" w:ascii="宋体" w:hAnsi="宋体" w:eastAsia="宋体" w:cs="宋体"/>
          <w:color w:val="auto"/>
          <w:szCs w:val="21"/>
          <w:highlight w:val="none"/>
        </w:rPr>
        <w:t>联系方式，可在中征应收账款融资服务平台查询</w:t>
      </w:r>
      <w:r>
        <w:rPr>
          <w:rFonts w:hint="eastAsia" w:ascii="宋体" w:hAnsi="宋体" w:eastAsia="宋体" w:cs="宋体"/>
          <w:color w:val="auto"/>
          <w:szCs w:val="21"/>
          <w:highlight w:val="none"/>
          <w:lang w:eastAsia="zh-CN"/>
        </w:rPr>
        <w:t>（网址：</w:t>
      </w:r>
      <w:r>
        <w:rPr>
          <w:rFonts w:hint="eastAsia" w:ascii="宋体" w:hAnsi="宋体" w:eastAsia="宋体" w:cs="宋体"/>
          <w:color w:val="auto"/>
          <w:szCs w:val="21"/>
          <w:highlight w:val="none"/>
          <w:lang w:eastAsia="zh-CN"/>
        </w:rPr>
        <w:fldChar w:fldCharType="begin"/>
      </w:r>
      <w:r>
        <w:rPr>
          <w:rFonts w:hint="eastAsia" w:ascii="宋体" w:hAnsi="宋体" w:eastAsia="宋体" w:cs="宋体"/>
          <w:color w:val="auto"/>
          <w:szCs w:val="21"/>
          <w:highlight w:val="none"/>
          <w:lang w:eastAsia="zh-CN"/>
        </w:rPr>
        <w:instrText xml:space="preserve"> HYPERLINK "https://www.crcrfsp.com/" </w:instrText>
      </w:r>
      <w:r>
        <w:rPr>
          <w:rFonts w:hint="eastAsia" w:ascii="宋体" w:hAnsi="宋体" w:eastAsia="宋体" w:cs="宋体"/>
          <w:color w:val="auto"/>
          <w:szCs w:val="21"/>
          <w:highlight w:val="none"/>
          <w:lang w:eastAsia="zh-CN"/>
        </w:rPr>
        <w:fldChar w:fldCharType="separate"/>
      </w:r>
      <w:r>
        <w:rPr>
          <w:rStyle w:val="38"/>
          <w:rFonts w:hint="eastAsia" w:ascii="宋体" w:hAnsi="宋体" w:eastAsia="宋体" w:cs="宋体"/>
          <w:color w:val="auto"/>
          <w:szCs w:val="21"/>
          <w:highlight w:val="none"/>
          <w:lang w:eastAsia="zh-CN"/>
        </w:rPr>
        <w:t>https://www.crcrfsp.com/</w:t>
      </w:r>
      <w:r>
        <w:rPr>
          <w:rFonts w:hint="eastAsia" w:ascii="宋体" w:hAnsi="宋体" w:eastAsia="宋体" w:cs="宋体"/>
          <w:color w:val="auto"/>
          <w:szCs w:val="21"/>
          <w:highlight w:val="none"/>
          <w:lang w:eastAsia="zh-CN"/>
        </w:rPr>
        <w:fldChar w:fldCharType="end"/>
      </w:r>
      <w:r>
        <w:rPr>
          <w:rFonts w:hint="eastAsia" w:ascii="宋体" w:hAnsi="宋体" w:eastAsia="宋体" w:cs="宋体"/>
          <w:color w:val="auto"/>
          <w:szCs w:val="21"/>
          <w:highlight w:val="none"/>
          <w:lang w:eastAsia="zh-CN"/>
        </w:rPr>
        <w:t>，客服电话：</w:t>
      </w:r>
      <w:r>
        <w:rPr>
          <w:rFonts w:hint="eastAsia" w:ascii="宋体" w:hAnsi="宋体" w:eastAsia="宋体" w:cs="宋体"/>
          <w:color w:val="auto"/>
          <w:szCs w:val="21"/>
          <w:highlight w:val="none"/>
          <w:lang w:val="en-US" w:eastAsia="zh-CN"/>
        </w:rPr>
        <w:t>400-009-0001</w:t>
      </w:r>
      <w:r>
        <w:rPr>
          <w:rFonts w:hint="eastAsia" w:ascii="宋体" w:hAnsi="宋体" w:eastAsia="宋体" w:cs="宋体"/>
          <w:color w:val="auto"/>
          <w:szCs w:val="21"/>
          <w:highlight w:val="none"/>
          <w:lang w:eastAsia="zh-CN"/>
        </w:rPr>
        <w:t>）。</w:t>
      </w:r>
    </w:p>
    <w:p w14:paraId="03E318A3">
      <w:pPr>
        <w:pStyle w:val="22"/>
        <w:rPr>
          <w:rFonts w:ascii="宋体" w:hAnsi="宋体" w:cs="宋体"/>
          <w:color w:val="auto"/>
          <w:szCs w:val="21"/>
          <w:highlight w:val="none"/>
        </w:rPr>
      </w:pPr>
      <w:r>
        <w:rPr>
          <w:rFonts w:hint="eastAsia" w:ascii="宋体" w:hAnsi="宋体" w:cs="宋体"/>
          <w:color w:val="auto"/>
          <w:szCs w:val="21"/>
          <w:highlight w:val="none"/>
        </w:rPr>
        <w:br w:type="page"/>
      </w:r>
    </w:p>
    <w:p w14:paraId="192194AD">
      <w:pPr>
        <w:pStyle w:val="2"/>
        <w:spacing w:line="240" w:lineRule="auto"/>
        <w:jc w:val="center"/>
        <w:rPr>
          <w:rFonts w:ascii="Calibri" w:hAnsi="Calibri"/>
          <w:color w:val="auto"/>
          <w:highlight w:val="none"/>
        </w:rPr>
      </w:pPr>
      <w:bookmarkStart w:id="111" w:name="_Toc8593"/>
      <w:bookmarkStart w:id="112" w:name="_Toc80886937"/>
      <w:bookmarkStart w:id="113" w:name="_Toc3879"/>
      <w:bookmarkStart w:id="114" w:name="_Toc17511"/>
      <w:bookmarkStart w:id="115" w:name="_Toc3976"/>
      <w:bookmarkStart w:id="116" w:name="_Toc1088"/>
      <w:bookmarkStart w:id="117" w:name="_Toc28979"/>
      <w:bookmarkStart w:id="118" w:name="_Toc8412"/>
      <w:r>
        <w:rPr>
          <w:rFonts w:hint="eastAsia" w:ascii="Calibri" w:hAnsi="Calibri"/>
          <w:color w:val="auto"/>
          <w:highlight w:val="none"/>
        </w:rPr>
        <w:t>第四章  评审程序、评审方法和评审标准</w:t>
      </w:r>
      <w:bookmarkEnd w:id="111"/>
      <w:bookmarkEnd w:id="112"/>
      <w:bookmarkEnd w:id="113"/>
      <w:bookmarkEnd w:id="114"/>
      <w:bookmarkEnd w:id="115"/>
      <w:bookmarkEnd w:id="116"/>
      <w:bookmarkEnd w:id="117"/>
      <w:bookmarkEnd w:id="118"/>
    </w:p>
    <w:p w14:paraId="295844CA">
      <w:pPr>
        <w:pStyle w:val="3"/>
        <w:jc w:val="center"/>
        <w:rPr>
          <w:rFonts w:ascii="宋体" w:hAnsi="宋体"/>
          <w:b w:val="0"/>
          <w:color w:val="auto"/>
          <w:highlight w:val="none"/>
        </w:rPr>
      </w:pPr>
      <w:bookmarkStart w:id="119" w:name="_Toc80886938"/>
      <w:bookmarkStart w:id="120" w:name="_Toc11607"/>
      <w:bookmarkStart w:id="121" w:name="_Toc17424"/>
      <w:r>
        <w:rPr>
          <w:rFonts w:hint="eastAsia" w:ascii="宋体" w:hAnsi="宋体"/>
          <w:b w:val="0"/>
          <w:color w:val="auto"/>
          <w:highlight w:val="none"/>
        </w:rPr>
        <w:t>第一节 评审程序和评审方法</w:t>
      </w:r>
      <w:bookmarkEnd w:id="119"/>
      <w:bookmarkEnd w:id="120"/>
      <w:bookmarkEnd w:id="121"/>
    </w:p>
    <w:p w14:paraId="6C6E2143">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1</w:t>
      </w:r>
      <w:r>
        <w:rPr>
          <w:rFonts w:hint="eastAsia" w:ascii="黑体" w:hAnsi="黑体" w:eastAsia="黑体" w:cs="宋体"/>
          <w:b/>
          <w:bCs/>
          <w:color w:val="auto"/>
          <w:sz w:val="24"/>
          <w:highlight w:val="none"/>
        </w:rPr>
        <w:t>.确认磋商文件</w:t>
      </w:r>
    </w:p>
    <w:p w14:paraId="3E296CAB">
      <w:pPr>
        <w:spacing w:line="360" w:lineRule="auto"/>
        <w:ind w:firstLine="420" w:firstLineChars="200"/>
        <w:rPr>
          <w:rFonts w:hint="eastAsia" w:eastAsia="宋体" w:cs="宋体"/>
          <w:color w:val="auto"/>
          <w:szCs w:val="21"/>
          <w:highlight w:val="none"/>
        </w:rPr>
      </w:pPr>
      <w:r>
        <w:rPr>
          <w:rFonts w:hint="eastAsia" w:eastAsia="宋体" w:cs="宋体"/>
          <w:color w:val="auto"/>
          <w:szCs w:val="21"/>
          <w:highlight w:val="none"/>
        </w:rPr>
        <w:t>由磋商小组确认磋商文件。</w:t>
      </w:r>
    </w:p>
    <w:p w14:paraId="425120A0">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2.资格审查</w:t>
      </w:r>
    </w:p>
    <w:p w14:paraId="7B2F0445">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2.1响应文件开启后，磋商小组依法对供应商的资格文件进行审查。</w:t>
      </w:r>
    </w:p>
    <w:p w14:paraId="3DB3BBEE">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注：采购人代表或者采购代理机构在资格审查结束前，对供应商进行信用查询。</w:t>
      </w:r>
    </w:p>
    <w:p w14:paraId="39A9AFC5">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w:t>
      </w:r>
      <w:r>
        <w:rPr>
          <w:rFonts w:hint="eastAsia" w:ascii="宋体" w:hAnsi="宋体" w:eastAsia="宋体" w:cs="宋体"/>
          <w:b w:val="0"/>
          <w:bCs w:val="0"/>
          <w:color w:val="auto"/>
          <w:sz w:val="21"/>
          <w:szCs w:val="21"/>
          <w:highlight w:val="none"/>
          <w:lang w:val="en-US" w:eastAsia="zh-CN"/>
        </w:rPr>
        <w:t>广西政府采购云平台</w:t>
      </w:r>
      <w:r>
        <w:rPr>
          <w:rFonts w:hint="eastAsia" w:ascii="宋体" w:hAnsi="宋体" w:eastAsia="宋体" w:cs="宋体"/>
          <w:color w:val="auto"/>
          <w:szCs w:val="21"/>
          <w:highlight w:val="none"/>
        </w:rPr>
        <w:t>“信用中国”网站(</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"http://www.creditchina.gov.cn" </w:instrText>
      </w:r>
      <w:r>
        <w:rPr>
          <w:rFonts w:hint="eastAsia" w:ascii="宋体" w:hAnsi="宋体" w:eastAsia="宋体" w:cs="宋体"/>
          <w:color w:val="auto"/>
          <w:szCs w:val="21"/>
          <w:highlight w:val="none"/>
        </w:rPr>
        <w:fldChar w:fldCharType="separate"/>
      </w:r>
      <w:r>
        <w:rPr>
          <w:rStyle w:val="40"/>
          <w:rFonts w:hint="eastAsia" w:ascii="宋体" w:hAnsi="宋体" w:eastAsia="宋体" w:cs="宋体"/>
          <w:color w:val="auto"/>
          <w:highlight w:val="none"/>
        </w:rPr>
        <w:t>www.creditchina.gov.cn</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)、中国政府采购网(</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"http://www.ccgp.gov.cn" </w:instrText>
      </w:r>
      <w:r>
        <w:rPr>
          <w:rFonts w:hint="eastAsia" w:ascii="宋体" w:hAnsi="宋体" w:eastAsia="宋体" w:cs="宋体"/>
          <w:color w:val="auto"/>
          <w:szCs w:val="21"/>
          <w:highlight w:val="none"/>
        </w:rPr>
        <w:fldChar w:fldCharType="separate"/>
      </w:r>
      <w:r>
        <w:rPr>
          <w:rStyle w:val="40"/>
          <w:rFonts w:hint="eastAsia" w:ascii="宋体" w:hAnsi="宋体" w:eastAsia="宋体" w:cs="宋体"/>
          <w:color w:val="auto"/>
          <w:highlight w:val="none"/>
        </w:rPr>
        <w:t>www.ccgp.gov.cn</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)链接入口。</w:t>
      </w:r>
    </w:p>
    <w:p w14:paraId="70EFB3AC">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（2）信用查询截止时点：资格审查结束前。</w:t>
      </w:r>
    </w:p>
    <w:p w14:paraId="1FF28339">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查询记录和证据留存方式：在查询网站中直接查询，并将查询结果存为电子文档，作为评审资料保存。</w:t>
      </w:r>
    </w:p>
    <w:p w14:paraId="2DB52C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（3）信用信息使用规则：对在“信用中国”网站(www.creditchina.gov.cn) 、中国政府采购网(www.ccgp.gov.cn)被列入失信被执行人、</w:t>
      </w:r>
      <w:r>
        <w:rPr>
          <w:rFonts w:hint="eastAsia" w:ascii="宋体" w:hAnsi="宋体" w:eastAsia="宋体" w:cs="宋体"/>
          <w:color w:val="auto"/>
          <w:szCs w:val="21"/>
          <w:highlight w:val="none"/>
          <w:lang w:eastAsia="zh-CN"/>
        </w:rPr>
        <w:t>重大税收违法失信主体</w:t>
      </w:r>
      <w:r>
        <w:rPr>
          <w:rFonts w:hint="eastAsia" w:ascii="宋体" w:hAnsi="宋体" w:eastAsia="宋体" w:cs="宋体"/>
          <w:color w:val="auto"/>
          <w:szCs w:val="21"/>
          <w:highlight w:val="none"/>
        </w:rPr>
        <w:t>、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4F624DD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693B4C01">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2.3供应商有下列情形之一的，资格审查不通过，其响应文件按无效响应处理：</w:t>
      </w:r>
    </w:p>
    <w:p w14:paraId="7C38751A">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（1）不具备磋商文件中规定的资格要求的；</w:t>
      </w:r>
    </w:p>
    <w:p w14:paraId="3EA32FE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（2）响应文件未提供任一项“供应商须知前附表”资格文件规定的“必须提供”的文件资料的；</w:t>
      </w:r>
    </w:p>
    <w:p w14:paraId="370F204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（3）响应文件提供的资格文件出现任一项不符合“供应商须知前附表”资格文件规定的“必须提供”的文件资料要求或者无效的。</w:t>
      </w:r>
    </w:p>
    <w:p w14:paraId="506FF21C">
      <w:pPr>
        <w:spacing w:line="360" w:lineRule="auto"/>
        <w:ind w:firstLine="420" w:firstLineChars="200"/>
        <w:rPr>
          <w:rFonts w:hint="eastAsia" w:ascii="宋体" w:hAnsi="宋体" w:eastAsia="宋体" w:cs="宋体"/>
          <w:color w:val="auto"/>
          <w:szCs w:val="21"/>
          <w:highlight w:val="none"/>
        </w:rPr>
      </w:pPr>
      <w:bookmarkStart w:id="122" w:name="_Hlk68601553"/>
      <w:r>
        <w:rPr>
          <w:rFonts w:hint="eastAsia" w:ascii="宋体" w:hAnsi="宋体" w:eastAsia="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122"/>
    </w:p>
    <w:p w14:paraId="572916D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2.4通过资格审查的合格供应商不足3家的，不得进入符合性审查环节，采购人或者采购代理机构应当重新开展采购活动。</w:t>
      </w:r>
    </w:p>
    <w:p w14:paraId="06290B3C">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3.符合性审查</w:t>
      </w:r>
    </w:p>
    <w:p w14:paraId="47E3EB6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3.1由磋商小组对通过资格审查的合格供应商的响应文件的响应报价、商务、技术等实质性要求进行符合性审查，以确定其是否满足磋商文件的实质性要求。</w:t>
      </w:r>
    </w:p>
    <w:p w14:paraId="5959EF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5124826">
      <w:pPr>
        <w:spacing w:line="360" w:lineRule="auto"/>
        <w:ind w:firstLine="420" w:firstLineChars="200"/>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3.3磋商小组要求供应商澄清、说明或者更正响应文件应当以电子澄清函形式作出。供应商的澄清、说明或者更正应当</w:t>
      </w:r>
      <w:r>
        <w:rPr>
          <w:rFonts w:hint="eastAsia" w:ascii="宋体" w:hAnsi="宋体" w:eastAsia="宋体" w:cs="宋体"/>
          <w:color w:val="auto"/>
          <w:szCs w:val="21"/>
          <w:highlight w:val="none"/>
          <w:lang w:eastAsia="zh-CN"/>
        </w:rPr>
        <w:t>以</w:t>
      </w:r>
      <w:r>
        <w:rPr>
          <w:rFonts w:hint="eastAsia" w:ascii="宋体" w:hAnsi="宋体" w:eastAsia="宋体" w:cs="宋体"/>
          <w:color w:val="auto"/>
          <w:szCs w:val="21"/>
          <w:highlight w:val="none"/>
        </w:rPr>
        <w:t>电子回函形式按照磋商小组的要求作出明确的澄清、说明或者更正，未按磋商小组的要求作出明确澄清、说明或者更正的供应商的响应文件将按照有利于采购人的原则由磋商小组进行判定。供应商的澄清、说明或者更正必须</w:t>
      </w:r>
      <w:r>
        <w:rPr>
          <w:rFonts w:hint="eastAsia" w:ascii="宋体" w:hAnsi="宋体" w:eastAsia="宋体" w:cs="宋体"/>
          <w:b w:val="0"/>
          <w:bCs w:val="0"/>
          <w:color w:val="auto"/>
          <w:sz w:val="21"/>
          <w:szCs w:val="21"/>
          <w:highlight w:val="none"/>
        </w:rPr>
        <w:t>由法定代表人或其授权代表签字或者</w:t>
      </w:r>
      <w:r>
        <w:rPr>
          <w:rFonts w:hint="eastAsia" w:ascii="宋体" w:hAnsi="宋体" w:eastAsia="宋体" w:cs="宋体"/>
          <w:color w:val="auto"/>
          <w:szCs w:val="21"/>
          <w:highlight w:val="none"/>
        </w:rPr>
        <w:t>加盖公章</w:t>
      </w:r>
      <w:r>
        <w:rPr>
          <w:rFonts w:hint="eastAsia" w:ascii="宋体" w:hAnsi="宋体" w:eastAsia="宋体" w:cs="宋体"/>
          <w:color w:val="auto"/>
          <w:spacing w:val="-6"/>
          <w:szCs w:val="21"/>
          <w:highlight w:val="none"/>
        </w:rPr>
        <w:t>。供应商为自然人的，必须由本人签字并附身份证明。</w:t>
      </w:r>
    </w:p>
    <w:p w14:paraId="5E48B87B">
      <w:pPr>
        <w:spacing w:line="360" w:lineRule="auto"/>
        <w:ind w:firstLine="396" w:firstLineChars="200"/>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3.4</w:t>
      </w:r>
      <w:r>
        <w:rPr>
          <w:rFonts w:hint="eastAsia" w:ascii="宋体" w:hAnsi="宋体" w:eastAsia="宋体" w:cs="宋体"/>
          <w:color w:val="auto"/>
          <w:szCs w:val="21"/>
          <w:highlight w:val="none"/>
        </w:rPr>
        <w:t xml:space="preserve">首次响应文件报价出现前后不一致的，按照下列规定修正： </w:t>
      </w:r>
    </w:p>
    <w:p w14:paraId="1427794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（1）响应文件中</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报价表内容与响应文件中相应内容不一致的，以</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报价表为准；</w:t>
      </w:r>
    </w:p>
    <w:p w14:paraId="3722BEC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14:paraId="3C21DCB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报价表的总价为准，并修改单价；</w:t>
      </w:r>
    </w:p>
    <w:p w14:paraId="3499E8F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14:paraId="30E503D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0849798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3.5商务技术、报价评审</w:t>
      </w:r>
    </w:p>
    <w:p w14:paraId="05469238">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在评审时，如发现下列情形之一的，将被视为响应文件无效处理：</w:t>
      </w:r>
    </w:p>
    <w:p w14:paraId="176EDF5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（1）商务技术评审</w:t>
      </w:r>
    </w:p>
    <w:p w14:paraId="10D3715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1）响应文件未按磋商文件要求签署、盖章；</w:t>
      </w:r>
    </w:p>
    <w:p w14:paraId="63DB1D8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2）委托代理人未能出具有效身份证明或者出具的身份证明与授权委托书中的信息不符； </w:t>
      </w:r>
    </w:p>
    <w:p w14:paraId="6EB7A0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）未对竞标有效期作出响应或者响应文件承诺的竞标有效期不满足磋商文件要求；</w:t>
      </w:r>
    </w:p>
    <w:p w14:paraId="0641774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）响应文件的实质性内容未使用中文表述、使用计量单位不符合磋商文件要求；</w:t>
      </w:r>
    </w:p>
    <w:p w14:paraId="0D29384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）响应文件中的文件资料因填写不齐全或者内容虚假或者出现其他情形而导致被磋商小组认定无效；</w:t>
      </w:r>
    </w:p>
    <w:p w14:paraId="786AA8F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）响应文件含有采购人不能接受的附加条件；</w:t>
      </w:r>
    </w:p>
    <w:p w14:paraId="5EF93F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）属于“供应商须知正文”第7.5条情形；</w:t>
      </w:r>
    </w:p>
    <w:p w14:paraId="6EEF4D1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）虚假竞标，或者出现其他情形而导致被磋商小组认定无效；</w:t>
      </w:r>
    </w:p>
    <w:p w14:paraId="19DA9D7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）竞标技术方案不明确，磋商文件未允许但响应文件中存在一个或者一个以上备选（替代）竞标方案；</w:t>
      </w:r>
    </w:p>
    <w:p w14:paraId="4B2FBFD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）响应文件标注的项目名称或者项目编号与竞争性磋商文件标注的项目名称或者项目编号不一致的；</w:t>
      </w:r>
    </w:p>
    <w:p w14:paraId="52D76A5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）未响应磋商文件实质性要求</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szCs w:val="21"/>
          <w:highlight w:val="none"/>
        </w:rPr>
        <w:t>；</w:t>
      </w:r>
    </w:p>
    <w:p w14:paraId="7E4FFA37">
      <w:pPr>
        <w:widowControl w:val="0"/>
        <w:spacing w:after="120"/>
        <w:ind w:firstLine="420" w:firstLineChars="200"/>
        <w:jc w:val="both"/>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1"/>
          <w:highlight w:val="none"/>
          <w:lang w:val="en-US" w:eastAsia="zh-CN" w:bidi="ar-SA"/>
        </w:rPr>
        <w:t>12）提交的磋商保证金无效的或者未按照磋商文件的规定提交磋商保证金；</w:t>
      </w:r>
    </w:p>
    <w:p w14:paraId="771266A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）法律、法规和磋商文件规定的其他无效情形。</w:t>
      </w:r>
    </w:p>
    <w:p w14:paraId="2C7A7D8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（2）报价评审</w:t>
      </w:r>
    </w:p>
    <w:p w14:paraId="5B010F7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响应文件未提供“供应商须知前附表” 报价文件中规定的“响应报价表”；</w:t>
      </w:r>
    </w:p>
    <w:p w14:paraId="46B274C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2）未采用人民币报价或者未按照磋商文件标明的币种报价；</w:t>
      </w:r>
    </w:p>
    <w:p w14:paraId="54C7CD6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3）供应商未就所竞标</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分标进行报价或者存在漏项报价；供应商未就所竞标</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分标的单项内容作唯一报价；供应商未就所竞标</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分标的全部内容作唯一总价报价；供应商响应文件中存在有选择、有条件报价的（磋商文件允许有备选方案或者其他约定的除外）；</w:t>
      </w:r>
    </w:p>
    <w:p w14:paraId="53BFE1E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4）响应报价（包含首次报价、最后报价）超过所竞标</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分标规定的采购预算金额或者最高限价的（如本项目公布了最高限价）；响应报价（包含首次报价、最后报价）超过磋商文件分项采购预算金额或者最高限价的（如本项目公布了最高限价）；</w:t>
      </w:r>
    </w:p>
    <w:p w14:paraId="6595109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5）修正后的报价，供应商不确认的；或者经供应商确认修正后的响应报价（包含首次报价、最后报价）超过所竞标</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分标规定的采购预算金额或者最高限价（如本项目公布了最高限价）；或者经供应商确认修正后响应报价（包含首次报价、最后报价）超过磋商文件分项采购预算金额或者最高限价的（如本项目公布了最高限价）。</w:t>
      </w:r>
    </w:p>
    <w:p w14:paraId="7B18358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6）响应文件响应的标的数量及单位与竞争性磋商文件要求实质性不一致的。</w:t>
      </w:r>
    </w:p>
    <w:p w14:paraId="10E1514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374EFBF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5B459D84">
      <w:pPr>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4.磋商程序</w:t>
      </w:r>
    </w:p>
    <w:p w14:paraId="00416166">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4.1磋商小组按照“供应商须知前附表”</w:t>
      </w:r>
      <w:r>
        <w:rPr>
          <w:rFonts w:hint="eastAsia" w:ascii="宋体" w:hAnsi="宋体" w:eastAsia="宋体" w:cs="宋体"/>
          <w:color w:val="auto"/>
          <w:szCs w:val="21"/>
          <w:highlight w:val="none"/>
        </w:rPr>
        <w:t xml:space="preserve"> </w:t>
      </w:r>
      <w:r>
        <w:rPr>
          <w:rFonts w:hint="eastAsia" w:ascii="宋体" w:hAnsi="宋体" w:eastAsia="宋体" w:cs="宋体"/>
          <w:color w:val="auto"/>
          <w:kern w:val="0"/>
          <w:szCs w:val="21"/>
          <w:highlight w:val="none"/>
        </w:rPr>
        <w:t>确定的</w:t>
      </w:r>
      <w:r>
        <w:rPr>
          <w:rFonts w:hint="eastAsia" w:ascii="宋体" w:hAnsi="宋体" w:eastAsia="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02D198A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4.2在磋商过程中，磋商小组可以根据磋商文件和磋商情况实质性变动采购需求中的</w:t>
      </w:r>
      <w:r>
        <w:rPr>
          <w:rFonts w:hint="eastAsia" w:ascii="宋体" w:hAnsi="宋体" w:eastAsia="宋体" w:cs="宋体"/>
          <w:color w:val="auto"/>
          <w:szCs w:val="21"/>
          <w:highlight w:val="none"/>
          <w:lang w:eastAsia="zh-CN"/>
        </w:rPr>
        <w:t>商务</w:t>
      </w:r>
      <w:r>
        <w:rPr>
          <w:rFonts w:hint="eastAsia" w:ascii="宋体" w:hAnsi="宋体" w:eastAsia="宋体" w:cs="宋体"/>
          <w:color w:val="auto"/>
          <w:szCs w:val="21"/>
          <w:highlight w:val="none"/>
        </w:rPr>
        <w:t>、服务要求以及合同草案条款，但不得变动磋商文件中的其他内容。实质性变动的内容，须经采购人代表确认。可能实质性变动的内容为采购需求中的</w:t>
      </w:r>
      <w:r>
        <w:rPr>
          <w:rFonts w:hint="eastAsia" w:ascii="宋体" w:hAnsi="宋体" w:eastAsia="宋体" w:cs="宋体"/>
          <w:color w:val="auto"/>
          <w:szCs w:val="21"/>
          <w:highlight w:val="none"/>
          <w:lang w:eastAsia="zh-CN"/>
        </w:rPr>
        <w:t>商务</w:t>
      </w:r>
      <w:r>
        <w:rPr>
          <w:rFonts w:hint="eastAsia" w:ascii="宋体" w:hAnsi="宋体" w:eastAsia="宋体" w:cs="宋体"/>
          <w:color w:val="auto"/>
          <w:szCs w:val="21"/>
          <w:highlight w:val="none"/>
        </w:rPr>
        <w:t>、服务要求以及合同草案条款。</w:t>
      </w:r>
    </w:p>
    <w:p w14:paraId="5350E5E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4.3对磋商文件作出的实质性变动是磋商文件的有效组成部分，由磋商小组及时以电子澄清函形式同时通知所有参加磋商的供应商。</w:t>
      </w:r>
    </w:p>
    <w:p w14:paraId="2577979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4.4供应商必须按照磋商文件的变动情况和磋商小组的要求以回函的形式重新提交响应文件，并加盖</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公章。供应商为自然人的，必须由本人签字并附身份证明。参加磋商的供应商未在规定时间内重新提交响应文件的，视同退出磋商。</w:t>
      </w:r>
    </w:p>
    <w:p w14:paraId="5C21484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4.5磋商中，</w:t>
      </w:r>
      <w:r>
        <w:rPr>
          <w:rFonts w:hint="eastAsia" w:ascii="宋体" w:hAnsi="宋体" w:eastAsia="宋体" w:cs="宋体"/>
          <w:color w:val="auto"/>
          <w:spacing w:val="-6"/>
          <w:szCs w:val="21"/>
          <w:highlight w:val="none"/>
        </w:rPr>
        <w:t>磋商的任何一方不得透露与磋商有关的其他供应商的技术资料、价格和其他信息。</w:t>
      </w:r>
    </w:p>
    <w:p w14:paraId="1D315F9B">
      <w:pPr>
        <w:widowControl w:val="0"/>
        <w:adjustRightInd w:val="0"/>
        <w:spacing w:before="0" w:line="360" w:lineRule="auto"/>
        <w:ind w:firstLine="480" w:firstLineChars="200"/>
        <w:jc w:val="both"/>
        <w:rPr>
          <w:rFonts w:hint="eastAsia" w:ascii="宋体" w:hAnsi="宋体" w:eastAsia="宋体" w:cs="宋体"/>
          <w:color w:val="auto"/>
          <w:spacing w:val="-6"/>
          <w:kern w:val="2"/>
          <w:sz w:val="21"/>
          <w:szCs w:val="21"/>
          <w:highlight w:val="none"/>
          <w:lang w:val="en-US" w:eastAsia="zh-CN" w:bidi="ar-SA"/>
        </w:rPr>
      </w:pPr>
      <w:r>
        <w:rPr>
          <w:rFonts w:hint="eastAsia" w:ascii="宋体" w:hAnsi="宋体" w:eastAsia="宋体" w:cs="宋体"/>
          <w:color w:val="auto"/>
          <w:kern w:val="0"/>
          <w:sz w:val="24"/>
          <w:szCs w:val="21"/>
          <w:highlight w:val="none"/>
          <w:lang w:val="en-US" w:eastAsia="zh-CN" w:bidi="ar-SA"/>
        </w:rPr>
        <w:t>4.6磋商小组应对磋商过程和重要磋商内容进行记录，作为评审报告一部分，磋商小组在记录上签字确认。</w:t>
      </w:r>
    </w:p>
    <w:p w14:paraId="3012CB6A">
      <w:pPr>
        <w:widowControl/>
        <w:tabs>
          <w:tab w:val="left" w:pos="54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4.7磋商过程中重新提交的响应文件，供应商可以在开启前补充、修改。</w:t>
      </w:r>
    </w:p>
    <w:p w14:paraId="491A9D61">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4.8对磋商过程提交的响应文件进行有效性、完整性和响应程度审查，通过审查的合格供应商不足3家的，采购人或者采购代理机构应当重新开展采购活动。</w:t>
      </w:r>
    </w:p>
    <w:p w14:paraId="381E7B84">
      <w:pPr>
        <w:ind w:firstLine="200"/>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t>5. 最后报价</w:t>
      </w:r>
    </w:p>
    <w:p w14:paraId="4980BEF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磋商文件能够详细列明采购标的的技术、服务要求的，磋商结束后，由磋商小组要求所有继续参加磋商的供应商在规定时间内提交最后报价，除本章第5.3条外，提交最后报价的供应商不得少于3家，否则必须重新采购。</w:t>
      </w:r>
    </w:p>
    <w:p w14:paraId="47D59E6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提交最后报价。</w:t>
      </w:r>
    </w:p>
    <w:p w14:paraId="7C93945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73FE8D3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5.4已经提交响应文件的供应商，在提交最后报价之前，可以根据磋商情况退出磋商，退出磋商的供应商的响应文件按无效响应处理。</w:t>
      </w:r>
    </w:p>
    <w:p w14:paraId="76E771B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5.5供应商未在规定时间内提交最后报价的，视同退出磋商</w:t>
      </w:r>
      <w:r>
        <w:rPr>
          <w:rFonts w:hint="eastAsia" w:ascii="宋体" w:hAnsi="宋体" w:eastAsia="宋体" w:cs="宋体"/>
          <w:color w:val="auto"/>
          <w:szCs w:val="21"/>
          <w:highlight w:val="none"/>
          <w:lang w:eastAsia="zh-CN"/>
        </w:rPr>
        <w:t>，其响应文件按无效处理</w:t>
      </w:r>
      <w:r>
        <w:rPr>
          <w:rFonts w:hint="eastAsia" w:ascii="宋体" w:hAnsi="宋体" w:eastAsia="宋体" w:cs="宋体"/>
          <w:color w:val="auto"/>
          <w:szCs w:val="21"/>
          <w:highlight w:val="none"/>
        </w:rPr>
        <w:t>。</w:t>
      </w:r>
    </w:p>
    <w:p w14:paraId="3F41578D">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
          <w:bCs/>
          <w:i w:val="0"/>
          <w:iCs w:val="0"/>
          <w:caps w:val="0"/>
          <w:color w:val="auto"/>
          <w:spacing w:val="0"/>
          <w:sz w:val="21"/>
          <w:szCs w:val="21"/>
          <w:highlight w:val="none"/>
          <w:shd w:val="clear" w:color="auto" w:fill="FFFFFF"/>
        </w:rPr>
      </w:pPr>
      <w:r>
        <w:rPr>
          <w:rFonts w:hint="eastAsia" w:ascii="宋体" w:hAnsi="宋体" w:eastAsia="宋体" w:cs="宋体"/>
          <w:color w:val="auto"/>
          <w:szCs w:val="21"/>
          <w:highlight w:val="none"/>
        </w:rPr>
        <w:t>5.6磋商小组收齐</w:t>
      </w:r>
      <w:r>
        <w:rPr>
          <w:rFonts w:hint="eastAsia" w:ascii="宋体" w:hAnsi="宋体" w:eastAsia="宋体" w:cs="宋体"/>
          <w:color w:val="auto"/>
          <w:szCs w:val="21"/>
          <w:highlight w:val="none"/>
          <w:lang w:eastAsia="zh-CN"/>
        </w:rPr>
        <w:t>本项目/</w:t>
      </w:r>
      <w:r>
        <w:rPr>
          <w:rFonts w:hint="eastAsia" w:ascii="宋体" w:hAnsi="宋体" w:eastAsia="宋体" w:cs="宋体"/>
          <w:color w:val="auto"/>
          <w:szCs w:val="21"/>
          <w:highlight w:val="none"/>
        </w:rPr>
        <w:t>某一分标最后报价后统一开启，磋商小组对最后报价进行有效性、完整性和响应程度的审查。</w:t>
      </w:r>
    </w:p>
    <w:p w14:paraId="7CEC75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5.7最终响应文件的报价出现前后不一致的，按照本章第3.4条的规定修正。 </w:t>
      </w:r>
    </w:p>
    <w:p w14:paraId="6BD9B8C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5.8修正后的最</w:t>
      </w:r>
      <w:r>
        <w:rPr>
          <w:rFonts w:hint="eastAsia" w:ascii="宋体" w:hAnsi="宋体" w:eastAsia="宋体" w:cs="宋体"/>
          <w:color w:val="auto"/>
          <w:szCs w:val="21"/>
          <w:highlight w:val="none"/>
          <w:lang w:eastAsia="zh-CN"/>
        </w:rPr>
        <w:t>后</w:t>
      </w:r>
      <w:r>
        <w:rPr>
          <w:rFonts w:hint="eastAsia" w:ascii="宋体" w:hAnsi="宋体" w:eastAsia="宋体" w:cs="宋体"/>
          <w:color w:val="auto"/>
          <w:szCs w:val="21"/>
          <w:highlight w:val="none"/>
        </w:rPr>
        <w:t>报价出现下列情形的，按无效响应处理：</w:t>
      </w:r>
    </w:p>
    <w:p w14:paraId="7341C44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（1）供应商不确认的（全流程电子化评标采取在线确认）；</w:t>
      </w:r>
    </w:p>
    <w:p w14:paraId="3A87EAE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（2）经供应商确认修正后的响应报价（包含首次报价、最后报价）超过所竞标</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分标规定的采购预算金额或者最高限价的（如本项目公布了最高限价）；</w:t>
      </w:r>
    </w:p>
    <w:p w14:paraId="607FFB4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（3）经供应商确认修正后的响应报价（包含首次报价、最后报价）超过分项采购预算金额或者最高限价的（如本项目公布了最高限价）。</w:t>
      </w:r>
    </w:p>
    <w:p w14:paraId="3858132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5.9经供应商确认修正后的最后报价作为评审及签订合同的依据。</w:t>
      </w:r>
    </w:p>
    <w:p w14:paraId="691C79A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5.10供应商出现最后报价按无效响应处理或者响应文件按无效处理时</w:t>
      </w:r>
      <w:r>
        <w:rPr>
          <w:rFonts w:hint="eastAsia" w:ascii="宋体" w:hAnsi="宋体" w:eastAsia="宋体" w:cs="宋体"/>
          <w:color w:val="auto"/>
          <w:sz w:val="22"/>
          <w:szCs w:val="22"/>
          <w:highlight w:val="none"/>
        </w:rPr>
        <w:t>，磋商小组应当告知有关供应商</w:t>
      </w:r>
      <w:r>
        <w:rPr>
          <w:rFonts w:hint="eastAsia" w:ascii="宋体" w:hAnsi="宋体" w:eastAsia="宋体" w:cs="宋体"/>
          <w:color w:val="auto"/>
          <w:szCs w:val="21"/>
          <w:highlight w:val="none"/>
        </w:rPr>
        <w:t>。</w:t>
      </w:r>
    </w:p>
    <w:p w14:paraId="66F7DC7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5.11最后报价结束后，磋商小组不得再与供应商进行任何形式的商谈。</w:t>
      </w:r>
    </w:p>
    <w:p w14:paraId="2C008D55">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lang w:val="en-US" w:eastAsia="zh-CN"/>
        </w:rPr>
        <w:t>5.12</w:t>
      </w:r>
      <w:r>
        <w:rPr>
          <w:rFonts w:hint="eastAsia" w:ascii="宋体" w:hAnsi="宋体" w:eastAsia="宋体" w:cs="宋体"/>
          <w:i w:val="0"/>
          <w:iCs w:val="0"/>
          <w:caps w:val="0"/>
          <w:color w:val="auto"/>
          <w:spacing w:val="0"/>
          <w:sz w:val="21"/>
          <w:szCs w:val="21"/>
          <w:highlight w:val="none"/>
          <w:shd w:val="clear" w:color="auto" w:fill="FFFFFF"/>
        </w:rPr>
        <w:t>采购评审中出现下列情形之一的，</w:t>
      </w:r>
      <w:r>
        <w:rPr>
          <w:rFonts w:hint="eastAsia" w:ascii="宋体" w:hAnsi="宋体" w:eastAsia="宋体" w:cs="宋体"/>
          <w:i w:val="0"/>
          <w:iCs w:val="0"/>
          <w:caps w:val="0"/>
          <w:color w:val="auto"/>
          <w:spacing w:val="0"/>
          <w:sz w:val="21"/>
          <w:szCs w:val="21"/>
          <w:highlight w:val="none"/>
          <w:shd w:val="clear" w:color="auto" w:fill="FFFFFF"/>
          <w:lang w:eastAsia="zh-CN"/>
        </w:rPr>
        <w:t>磋商小组</w:t>
      </w:r>
      <w:r>
        <w:rPr>
          <w:rFonts w:hint="eastAsia" w:ascii="宋体" w:hAnsi="宋体" w:eastAsia="宋体" w:cs="宋体"/>
          <w:i w:val="0"/>
          <w:iCs w:val="0"/>
          <w:caps w:val="0"/>
          <w:color w:val="auto"/>
          <w:spacing w:val="0"/>
          <w:sz w:val="21"/>
          <w:szCs w:val="21"/>
          <w:highlight w:val="none"/>
          <w:shd w:val="clear" w:color="auto" w:fill="FFFFFF"/>
        </w:rPr>
        <w:t>应当启动异常低价</w:t>
      </w:r>
      <w:r>
        <w:rPr>
          <w:rFonts w:hint="eastAsia" w:ascii="宋体" w:hAnsi="宋体" w:eastAsia="宋体" w:cs="宋体"/>
          <w:i w:val="0"/>
          <w:iCs w:val="0"/>
          <w:caps w:val="0"/>
          <w:color w:val="auto"/>
          <w:spacing w:val="0"/>
          <w:sz w:val="21"/>
          <w:szCs w:val="21"/>
          <w:highlight w:val="none"/>
          <w:shd w:val="clear" w:color="auto" w:fill="FFFFFF"/>
          <w:lang w:val="en-US" w:eastAsia="zh-CN"/>
        </w:rPr>
        <w:t>响应</w:t>
      </w:r>
      <w:r>
        <w:rPr>
          <w:rFonts w:hint="eastAsia" w:ascii="宋体" w:hAnsi="宋体" w:eastAsia="宋体" w:cs="宋体"/>
          <w:i w:val="0"/>
          <w:iCs w:val="0"/>
          <w:caps w:val="0"/>
          <w:color w:val="auto"/>
          <w:spacing w:val="0"/>
          <w:sz w:val="21"/>
          <w:szCs w:val="21"/>
          <w:highlight w:val="none"/>
          <w:shd w:val="clear" w:color="auto" w:fill="FFFFFF"/>
        </w:rPr>
        <w:t>审查程序：</w:t>
      </w:r>
    </w:p>
    <w:p w14:paraId="0939356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lang w:val="en-US" w:eastAsia="zh-CN"/>
        </w:rPr>
        <w:t>A.最后报价</w:t>
      </w:r>
      <w:r>
        <w:rPr>
          <w:rFonts w:hint="eastAsia" w:ascii="宋体" w:hAnsi="宋体" w:eastAsia="宋体" w:cs="宋体"/>
          <w:i w:val="0"/>
          <w:iCs w:val="0"/>
          <w:caps w:val="0"/>
          <w:color w:val="auto"/>
          <w:spacing w:val="0"/>
          <w:sz w:val="21"/>
          <w:szCs w:val="21"/>
          <w:highlight w:val="none"/>
          <w:shd w:val="clear" w:color="auto" w:fill="FFFFFF"/>
        </w:rPr>
        <w:t>低于全部通过符合性审查</w:t>
      </w:r>
      <w:r>
        <w:rPr>
          <w:rFonts w:hint="eastAsia" w:ascii="宋体" w:hAnsi="宋体" w:eastAsia="宋体" w:cs="宋体"/>
          <w:i w:val="0"/>
          <w:iCs w:val="0"/>
          <w:caps w:val="0"/>
          <w:color w:val="auto"/>
          <w:spacing w:val="0"/>
          <w:sz w:val="21"/>
          <w:szCs w:val="21"/>
          <w:highlight w:val="none"/>
          <w:shd w:val="clear" w:color="auto" w:fill="FFFFFF"/>
          <w:lang w:eastAsia="zh-CN"/>
        </w:rPr>
        <w:t>供应商最后报价</w:t>
      </w:r>
      <w:r>
        <w:rPr>
          <w:rFonts w:hint="eastAsia" w:ascii="宋体" w:hAnsi="宋体" w:eastAsia="宋体" w:cs="宋体"/>
          <w:i w:val="0"/>
          <w:iCs w:val="0"/>
          <w:caps w:val="0"/>
          <w:color w:val="auto"/>
          <w:spacing w:val="0"/>
          <w:sz w:val="21"/>
          <w:szCs w:val="21"/>
          <w:highlight w:val="none"/>
          <w:shd w:val="clear" w:color="auto" w:fill="FFFFFF"/>
        </w:rPr>
        <w:t>平均值</w:t>
      </w:r>
      <w:r>
        <w:rPr>
          <w:rFonts w:hint="eastAsia" w:ascii="宋体" w:hAnsi="宋体" w:eastAsia="宋体" w:cs="宋体"/>
          <w:i w:val="0"/>
          <w:iCs w:val="0"/>
          <w:caps w:val="0"/>
          <w:color w:val="auto"/>
          <w:spacing w:val="0"/>
          <w:sz w:val="21"/>
          <w:szCs w:val="21"/>
          <w:highlight w:val="none"/>
          <w:u w:val="single"/>
          <w:shd w:val="clear" w:color="auto" w:fill="FFFFFF"/>
        </w:rPr>
        <w:t>50%</w:t>
      </w:r>
      <w:r>
        <w:rPr>
          <w:rFonts w:hint="eastAsia" w:ascii="宋体" w:hAnsi="宋体" w:eastAsia="宋体" w:cs="宋体"/>
          <w:i w:val="0"/>
          <w:iCs w:val="0"/>
          <w:caps w:val="0"/>
          <w:color w:val="auto"/>
          <w:spacing w:val="0"/>
          <w:sz w:val="21"/>
          <w:szCs w:val="21"/>
          <w:highlight w:val="none"/>
          <w:shd w:val="clear" w:color="auto" w:fill="FFFFFF"/>
        </w:rPr>
        <w:t>的，即</w:t>
      </w:r>
      <w:r>
        <w:rPr>
          <w:rFonts w:hint="eastAsia" w:ascii="宋体" w:hAnsi="宋体" w:eastAsia="宋体" w:cs="宋体"/>
          <w:i w:val="0"/>
          <w:iCs w:val="0"/>
          <w:caps w:val="0"/>
          <w:color w:val="auto"/>
          <w:spacing w:val="0"/>
          <w:sz w:val="21"/>
          <w:szCs w:val="21"/>
          <w:highlight w:val="none"/>
          <w:shd w:val="clear" w:color="auto" w:fill="FFFFFF"/>
          <w:lang w:eastAsia="zh-CN"/>
        </w:rPr>
        <w:t>最后报价</w:t>
      </w:r>
      <w:r>
        <w:rPr>
          <w:rFonts w:hint="eastAsia" w:ascii="宋体" w:hAnsi="宋体" w:eastAsia="宋体" w:cs="宋体"/>
          <w:i w:val="0"/>
          <w:iCs w:val="0"/>
          <w:caps w:val="0"/>
          <w:color w:val="auto"/>
          <w:spacing w:val="0"/>
          <w:sz w:val="21"/>
          <w:szCs w:val="21"/>
          <w:highlight w:val="none"/>
          <w:shd w:val="clear" w:color="auto" w:fill="FFFFFF"/>
        </w:rPr>
        <w:t>＜全部通过符合性审查</w:t>
      </w:r>
      <w:r>
        <w:rPr>
          <w:rFonts w:hint="eastAsia" w:ascii="宋体" w:hAnsi="宋体" w:eastAsia="宋体" w:cs="宋体"/>
          <w:i w:val="0"/>
          <w:iCs w:val="0"/>
          <w:caps w:val="0"/>
          <w:color w:val="auto"/>
          <w:spacing w:val="0"/>
          <w:sz w:val="21"/>
          <w:szCs w:val="21"/>
          <w:highlight w:val="none"/>
          <w:shd w:val="clear" w:color="auto" w:fill="FFFFFF"/>
          <w:lang w:eastAsia="zh-CN"/>
        </w:rPr>
        <w:t>供应商最后报价</w:t>
      </w:r>
      <w:r>
        <w:rPr>
          <w:rFonts w:hint="eastAsia" w:ascii="宋体" w:hAnsi="宋体" w:eastAsia="宋体" w:cs="宋体"/>
          <w:i w:val="0"/>
          <w:iCs w:val="0"/>
          <w:caps w:val="0"/>
          <w:color w:val="auto"/>
          <w:spacing w:val="0"/>
          <w:sz w:val="21"/>
          <w:szCs w:val="21"/>
          <w:highlight w:val="none"/>
          <w:shd w:val="clear" w:color="auto" w:fill="FFFFFF"/>
        </w:rPr>
        <w:t>平均值×</w:t>
      </w:r>
      <w:r>
        <w:rPr>
          <w:rFonts w:hint="eastAsia" w:ascii="宋体" w:hAnsi="宋体" w:eastAsia="宋体" w:cs="宋体"/>
          <w:i w:val="0"/>
          <w:iCs w:val="0"/>
          <w:caps w:val="0"/>
          <w:color w:val="auto"/>
          <w:spacing w:val="0"/>
          <w:sz w:val="21"/>
          <w:szCs w:val="21"/>
          <w:highlight w:val="none"/>
          <w:u w:val="single"/>
          <w:shd w:val="clear" w:color="auto" w:fill="FFFFFF"/>
        </w:rPr>
        <w:t>50%</w:t>
      </w:r>
      <w:r>
        <w:rPr>
          <w:rFonts w:hint="eastAsia" w:ascii="宋体" w:hAnsi="宋体" w:eastAsia="宋体" w:cs="宋体"/>
          <w:i w:val="0"/>
          <w:iCs w:val="0"/>
          <w:caps w:val="0"/>
          <w:color w:val="auto"/>
          <w:spacing w:val="0"/>
          <w:sz w:val="21"/>
          <w:szCs w:val="21"/>
          <w:highlight w:val="none"/>
          <w:shd w:val="clear" w:color="auto" w:fill="FFFFFF"/>
        </w:rPr>
        <w:t xml:space="preserve">； </w:t>
      </w:r>
    </w:p>
    <w:p w14:paraId="3A24C06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lang w:val="en-US" w:eastAsia="zh-CN"/>
        </w:rPr>
        <w:t>B.</w:t>
      </w:r>
      <w:r>
        <w:rPr>
          <w:rFonts w:hint="eastAsia" w:ascii="宋体" w:hAnsi="宋体" w:eastAsia="宋体" w:cs="宋体"/>
          <w:i w:val="0"/>
          <w:iCs w:val="0"/>
          <w:caps w:val="0"/>
          <w:color w:val="auto"/>
          <w:spacing w:val="0"/>
          <w:sz w:val="21"/>
          <w:szCs w:val="21"/>
          <w:highlight w:val="none"/>
          <w:shd w:val="clear" w:color="auto" w:fill="FFFFFF"/>
          <w:lang w:eastAsia="zh-CN"/>
        </w:rPr>
        <w:t>最后报价</w:t>
      </w:r>
      <w:r>
        <w:rPr>
          <w:rFonts w:hint="eastAsia" w:ascii="宋体" w:hAnsi="宋体" w:eastAsia="宋体" w:cs="宋体"/>
          <w:i w:val="0"/>
          <w:iCs w:val="0"/>
          <w:caps w:val="0"/>
          <w:color w:val="auto"/>
          <w:spacing w:val="0"/>
          <w:sz w:val="21"/>
          <w:szCs w:val="21"/>
          <w:highlight w:val="none"/>
          <w:shd w:val="clear" w:color="auto" w:fill="FFFFFF"/>
        </w:rPr>
        <w:t>低于通过符合性审查的次低报价</w:t>
      </w:r>
      <w:r>
        <w:rPr>
          <w:rFonts w:hint="eastAsia" w:ascii="宋体" w:hAnsi="宋体" w:eastAsia="宋体" w:cs="宋体"/>
          <w:i w:val="0"/>
          <w:iCs w:val="0"/>
          <w:caps w:val="0"/>
          <w:color w:val="auto"/>
          <w:spacing w:val="0"/>
          <w:sz w:val="21"/>
          <w:szCs w:val="21"/>
          <w:highlight w:val="none"/>
          <w:shd w:val="clear" w:color="auto" w:fill="FFFFFF"/>
          <w:lang w:eastAsia="zh-CN"/>
        </w:rPr>
        <w:t>供应商最后报价</w:t>
      </w:r>
      <w:r>
        <w:rPr>
          <w:rFonts w:hint="eastAsia" w:ascii="宋体" w:hAnsi="宋体" w:eastAsia="宋体" w:cs="宋体"/>
          <w:i w:val="0"/>
          <w:iCs w:val="0"/>
          <w:caps w:val="0"/>
          <w:color w:val="auto"/>
          <w:spacing w:val="0"/>
          <w:sz w:val="21"/>
          <w:szCs w:val="21"/>
          <w:highlight w:val="none"/>
          <w:u w:val="single"/>
          <w:shd w:val="clear" w:color="auto" w:fill="FFFFFF"/>
        </w:rPr>
        <w:t>50%</w:t>
      </w:r>
      <w:r>
        <w:rPr>
          <w:rFonts w:hint="eastAsia" w:ascii="宋体" w:hAnsi="宋体" w:eastAsia="宋体" w:cs="宋体"/>
          <w:i w:val="0"/>
          <w:iCs w:val="0"/>
          <w:caps w:val="0"/>
          <w:color w:val="auto"/>
          <w:spacing w:val="0"/>
          <w:sz w:val="21"/>
          <w:szCs w:val="21"/>
          <w:highlight w:val="none"/>
          <w:shd w:val="clear" w:color="auto" w:fill="FFFFFF"/>
        </w:rPr>
        <w:t>的，即</w:t>
      </w:r>
      <w:r>
        <w:rPr>
          <w:rFonts w:hint="eastAsia" w:ascii="宋体" w:hAnsi="宋体" w:eastAsia="宋体" w:cs="宋体"/>
          <w:i w:val="0"/>
          <w:iCs w:val="0"/>
          <w:caps w:val="0"/>
          <w:color w:val="auto"/>
          <w:spacing w:val="0"/>
          <w:sz w:val="21"/>
          <w:szCs w:val="21"/>
          <w:highlight w:val="none"/>
          <w:shd w:val="clear" w:color="auto" w:fill="FFFFFF"/>
          <w:lang w:eastAsia="zh-CN"/>
        </w:rPr>
        <w:t>最后报价</w:t>
      </w:r>
      <w:r>
        <w:rPr>
          <w:rFonts w:hint="eastAsia" w:ascii="宋体" w:hAnsi="宋体" w:eastAsia="宋体" w:cs="宋体"/>
          <w:i w:val="0"/>
          <w:iCs w:val="0"/>
          <w:caps w:val="0"/>
          <w:color w:val="auto"/>
          <w:spacing w:val="0"/>
          <w:sz w:val="21"/>
          <w:szCs w:val="21"/>
          <w:highlight w:val="none"/>
          <w:shd w:val="clear" w:color="auto" w:fill="FFFFFF"/>
        </w:rPr>
        <w:t>＜通过符合性审查的次低报价</w:t>
      </w:r>
      <w:r>
        <w:rPr>
          <w:rFonts w:hint="eastAsia" w:ascii="宋体" w:hAnsi="宋体" w:eastAsia="宋体" w:cs="宋体"/>
          <w:i w:val="0"/>
          <w:iCs w:val="0"/>
          <w:caps w:val="0"/>
          <w:color w:val="auto"/>
          <w:spacing w:val="0"/>
          <w:sz w:val="21"/>
          <w:szCs w:val="21"/>
          <w:highlight w:val="none"/>
          <w:shd w:val="clear" w:color="auto" w:fill="FFFFFF"/>
          <w:lang w:eastAsia="zh-CN"/>
        </w:rPr>
        <w:t>供应商最后报价</w:t>
      </w:r>
      <w:r>
        <w:rPr>
          <w:rFonts w:hint="eastAsia" w:ascii="宋体" w:hAnsi="宋体" w:eastAsia="宋体" w:cs="宋体"/>
          <w:i w:val="0"/>
          <w:iCs w:val="0"/>
          <w:caps w:val="0"/>
          <w:color w:val="auto"/>
          <w:spacing w:val="0"/>
          <w:sz w:val="21"/>
          <w:szCs w:val="21"/>
          <w:highlight w:val="none"/>
          <w:shd w:val="clear" w:color="auto" w:fill="FFFFFF"/>
        </w:rPr>
        <w:t>×</w:t>
      </w:r>
      <w:r>
        <w:rPr>
          <w:rFonts w:hint="eastAsia" w:ascii="宋体" w:hAnsi="宋体" w:eastAsia="宋体" w:cs="宋体"/>
          <w:i w:val="0"/>
          <w:iCs w:val="0"/>
          <w:caps w:val="0"/>
          <w:color w:val="auto"/>
          <w:spacing w:val="0"/>
          <w:sz w:val="21"/>
          <w:szCs w:val="21"/>
          <w:highlight w:val="none"/>
          <w:u w:val="single"/>
          <w:shd w:val="clear" w:color="auto" w:fill="FFFFFF"/>
        </w:rPr>
        <w:t>50%</w:t>
      </w:r>
      <w:r>
        <w:rPr>
          <w:rFonts w:hint="eastAsia" w:ascii="宋体" w:hAnsi="宋体" w:eastAsia="宋体" w:cs="宋体"/>
          <w:i w:val="0"/>
          <w:iCs w:val="0"/>
          <w:caps w:val="0"/>
          <w:color w:val="auto"/>
          <w:spacing w:val="0"/>
          <w:sz w:val="21"/>
          <w:szCs w:val="21"/>
          <w:highlight w:val="none"/>
          <w:shd w:val="clear" w:color="auto" w:fill="FFFFFF"/>
        </w:rPr>
        <w:t xml:space="preserve">； </w:t>
      </w:r>
    </w:p>
    <w:p w14:paraId="2867B0B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lang w:val="en-US" w:eastAsia="zh-CN"/>
        </w:rPr>
        <w:t>C.</w:t>
      </w:r>
      <w:r>
        <w:rPr>
          <w:rFonts w:hint="eastAsia" w:ascii="宋体" w:hAnsi="宋体" w:eastAsia="宋体" w:cs="宋体"/>
          <w:i w:val="0"/>
          <w:iCs w:val="0"/>
          <w:caps w:val="0"/>
          <w:color w:val="auto"/>
          <w:spacing w:val="0"/>
          <w:sz w:val="21"/>
          <w:szCs w:val="21"/>
          <w:highlight w:val="none"/>
          <w:shd w:val="clear" w:color="auto" w:fill="FFFFFF"/>
          <w:lang w:eastAsia="zh-CN"/>
        </w:rPr>
        <w:t>最后报价</w:t>
      </w:r>
      <w:r>
        <w:rPr>
          <w:rFonts w:hint="eastAsia" w:ascii="宋体" w:hAnsi="宋体" w:eastAsia="宋体" w:cs="宋体"/>
          <w:i w:val="0"/>
          <w:iCs w:val="0"/>
          <w:caps w:val="0"/>
          <w:color w:val="auto"/>
          <w:spacing w:val="0"/>
          <w:sz w:val="21"/>
          <w:szCs w:val="21"/>
          <w:highlight w:val="none"/>
          <w:shd w:val="clear" w:color="auto" w:fill="FFFFFF"/>
        </w:rPr>
        <w:t>低于采购项目最高限价</w:t>
      </w:r>
      <w:r>
        <w:rPr>
          <w:rFonts w:hint="eastAsia" w:ascii="宋体" w:hAnsi="宋体" w:eastAsia="宋体" w:cs="宋体"/>
          <w:i w:val="0"/>
          <w:iCs w:val="0"/>
          <w:caps w:val="0"/>
          <w:color w:val="auto"/>
          <w:spacing w:val="0"/>
          <w:sz w:val="21"/>
          <w:szCs w:val="21"/>
          <w:highlight w:val="none"/>
          <w:u w:val="single"/>
          <w:shd w:val="clear" w:color="auto" w:fill="FFFFFF"/>
        </w:rPr>
        <w:t>45%</w:t>
      </w:r>
      <w:r>
        <w:rPr>
          <w:rFonts w:hint="eastAsia" w:ascii="宋体" w:hAnsi="宋体" w:eastAsia="宋体" w:cs="宋体"/>
          <w:i w:val="0"/>
          <w:iCs w:val="0"/>
          <w:caps w:val="0"/>
          <w:color w:val="auto"/>
          <w:spacing w:val="0"/>
          <w:sz w:val="21"/>
          <w:szCs w:val="21"/>
          <w:highlight w:val="none"/>
          <w:shd w:val="clear" w:color="auto" w:fill="FFFFFF"/>
        </w:rPr>
        <w:t>的，即</w:t>
      </w:r>
      <w:r>
        <w:rPr>
          <w:rFonts w:hint="eastAsia" w:ascii="宋体" w:hAnsi="宋体" w:eastAsia="宋体" w:cs="宋体"/>
          <w:i w:val="0"/>
          <w:iCs w:val="0"/>
          <w:caps w:val="0"/>
          <w:color w:val="auto"/>
          <w:spacing w:val="0"/>
          <w:sz w:val="21"/>
          <w:szCs w:val="21"/>
          <w:highlight w:val="none"/>
          <w:shd w:val="clear" w:color="auto" w:fill="FFFFFF"/>
          <w:lang w:eastAsia="zh-CN"/>
        </w:rPr>
        <w:t>最后报价</w:t>
      </w:r>
      <w:r>
        <w:rPr>
          <w:rFonts w:hint="eastAsia" w:ascii="宋体" w:hAnsi="宋体" w:eastAsia="宋体" w:cs="宋体"/>
          <w:i w:val="0"/>
          <w:iCs w:val="0"/>
          <w:caps w:val="0"/>
          <w:color w:val="auto"/>
          <w:spacing w:val="0"/>
          <w:sz w:val="21"/>
          <w:szCs w:val="21"/>
          <w:highlight w:val="none"/>
          <w:shd w:val="clear" w:color="auto" w:fill="FFFFFF"/>
        </w:rPr>
        <w:t>＜采购项目最高限价×</w:t>
      </w:r>
      <w:r>
        <w:rPr>
          <w:rFonts w:hint="eastAsia" w:ascii="宋体" w:hAnsi="宋体" w:eastAsia="宋体" w:cs="宋体"/>
          <w:i w:val="0"/>
          <w:iCs w:val="0"/>
          <w:caps w:val="0"/>
          <w:color w:val="auto"/>
          <w:spacing w:val="0"/>
          <w:sz w:val="21"/>
          <w:szCs w:val="21"/>
          <w:highlight w:val="none"/>
          <w:u w:val="single"/>
          <w:shd w:val="clear" w:color="auto" w:fill="FFFFFF"/>
        </w:rPr>
        <w:t>45%</w:t>
      </w:r>
      <w:r>
        <w:rPr>
          <w:rFonts w:hint="eastAsia" w:ascii="宋体" w:hAnsi="宋体" w:eastAsia="宋体" w:cs="宋体"/>
          <w:i w:val="0"/>
          <w:iCs w:val="0"/>
          <w:caps w:val="0"/>
          <w:color w:val="auto"/>
          <w:spacing w:val="0"/>
          <w:sz w:val="21"/>
          <w:szCs w:val="21"/>
          <w:highlight w:val="none"/>
          <w:shd w:val="clear" w:color="auto" w:fill="FFFFFF"/>
        </w:rPr>
        <w:t>；</w:t>
      </w:r>
    </w:p>
    <w:p w14:paraId="316F31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lang w:val="en-US" w:eastAsia="zh-CN"/>
        </w:rPr>
        <w:t>D.</w:t>
      </w:r>
      <w:r>
        <w:rPr>
          <w:rFonts w:hint="eastAsia" w:ascii="宋体" w:hAnsi="宋体" w:eastAsia="宋体" w:cs="宋体"/>
          <w:i w:val="0"/>
          <w:iCs w:val="0"/>
          <w:caps w:val="0"/>
          <w:color w:val="auto"/>
          <w:spacing w:val="0"/>
          <w:sz w:val="21"/>
          <w:szCs w:val="21"/>
          <w:highlight w:val="none"/>
          <w:shd w:val="clear" w:color="auto" w:fill="FFFFFF"/>
          <w:lang w:eastAsia="zh-CN"/>
        </w:rPr>
        <w:t>磋商小组</w:t>
      </w:r>
      <w:r>
        <w:rPr>
          <w:rFonts w:hint="eastAsia" w:ascii="宋体" w:hAnsi="宋体" w:eastAsia="宋体" w:cs="宋体"/>
          <w:i w:val="0"/>
          <w:iCs w:val="0"/>
          <w:caps w:val="0"/>
          <w:color w:val="auto"/>
          <w:spacing w:val="0"/>
          <w:sz w:val="21"/>
          <w:szCs w:val="21"/>
          <w:highlight w:val="none"/>
          <w:shd w:val="clear" w:color="auto" w:fill="FFFFFF"/>
        </w:rPr>
        <w:t>基于专业判断，认为</w:t>
      </w:r>
      <w:r>
        <w:rPr>
          <w:rFonts w:hint="eastAsia" w:ascii="宋体" w:hAnsi="宋体" w:eastAsia="宋体" w:cs="宋体"/>
          <w:i w:val="0"/>
          <w:iCs w:val="0"/>
          <w:caps w:val="0"/>
          <w:color w:val="auto"/>
          <w:spacing w:val="0"/>
          <w:sz w:val="21"/>
          <w:szCs w:val="21"/>
          <w:highlight w:val="none"/>
          <w:shd w:val="clear" w:color="auto" w:fill="FFFFFF"/>
          <w:lang w:eastAsia="zh-CN"/>
        </w:rPr>
        <w:t>供应商</w:t>
      </w:r>
      <w:r>
        <w:rPr>
          <w:rFonts w:hint="eastAsia" w:ascii="宋体" w:hAnsi="宋体" w:eastAsia="宋体" w:cs="宋体"/>
          <w:i w:val="0"/>
          <w:iCs w:val="0"/>
          <w:caps w:val="0"/>
          <w:color w:val="auto"/>
          <w:spacing w:val="0"/>
          <w:sz w:val="21"/>
          <w:szCs w:val="21"/>
          <w:highlight w:val="none"/>
          <w:shd w:val="clear" w:color="auto" w:fill="FFFFFF"/>
        </w:rPr>
        <w:t>报价过低，有可能影响产品质量或者不能诚信</w:t>
      </w:r>
      <w:r>
        <w:rPr>
          <w:rFonts w:hint="eastAsia" w:ascii="宋体" w:hAnsi="宋体" w:eastAsia="宋体" w:cs="宋体"/>
          <w:i w:val="0"/>
          <w:iCs w:val="0"/>
          <w:caps w:val="0"/>
          <w:color w:val="auto"/>
          <w:spacing w:val="0"/>
          <w:sz w:val="21"/>
          <w:szCs w:val="21"/>
          <w:highlight w:val="none"/>
          <w:shd w:val="clear" w:color="auto" w:fill="FFFFFF"/>
        </w:rPr>
        <w:t>履约的其他情形。</w:t>
      </w:r>
    </w:p>
    <w:p w14:paraId="6F9A0C0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rPr>
        <w:t>相关法律法规对</w:t>
      </w:r>
      <w:r>
        <w:rPr>
          <w:rFonts w:hint="eastAsia" w:ascii="宋体" w:hAnsi="宋体" w:eastAsia="宋体" w:cs="宋体"/>
          <w:i w:val="0"/>
          <w:iCs w:val="0"/>
          <w:caps w:val="0"/>
          <w:color w:val="auto"/>
          <w:spacing w:val="0"/>
          <w:sz w:val="21"/>
          <w:szCs w:val="21"/>
          <w:highlight w:val="none"/>
          <w:shd w:val="clear" w:color="auto" w:fill="FFFFFF"/>
          <w:lang w:eastAsia="zh-CN"/>
        </w:rPr>
        <w:t>供应商</w:t>
      </w:r>
      <w:r>
        <w:rPr>
          <w:rFonts w:hint="eastAsia" w:ascii="宋体" w:hAnsi="宋体" w:eastAsia="宋体" w:cs="宋体"/>
          <w:i w:val="0"/>
          <w:iCs w:val="0"/>
          <w:caps w:val="0"/>
          <w:color w:val="auto"/>
          <w:spacing w:val="0"/>
          <w:sz w:val="21"/>
          <w:szCs w:val="21"/>
          <w:highlight w:val="none"/>
          <w:shd w:val="clear" w:color="auto" w:fill="FFFFFF"/>
        </w:rPr>
        <w:t>报价有规定的，从其规定。</w:t>
      </w:r>
    </w:p>
    <w:p w14:paraId="63FA0CD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05" w:leftChars="0"/>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rPr>
        <w:t xml:space="preserve"> </w:t>
      </w:r>
      <w:r>
        <w:rPr>
          <w:rFonts w:hint="eastAsia" w:ascii="宋体" w:hAnsi="宋体" w:eastAsia="宋体" w:cs="宋体"/>
          <w:i w:val="0"/>
          <w:iCs w:val="0"/>
          <w:caps w:val="0"/>
          <w:color w:val="auto"/>
          <w:spacing w:val="0"/>
          <w:sz w:val="21"/>
          <w:szCs w:val="21"/>
          <w:highlight w:val="none"/>
          <w:shd w:val="clear" w:color="auto" w:fill="FFFFFF"/>
          <w:lang w:val="en-US" w:eastAsia="zh-CN"/>
        </w:rPr>
        <w:t xml:space="preserve">  </w:t>
      </w:r>
      <w:r>
        <w:rPr>
          <w:rFonts w:hint="eastAsia" w:ascii="宋体" w:hAnsi="宋体" w:eastAsia="宋体" w:cs="宋体"/>
          <w:i w:val="0"/>
          <w:iCs w:val="0"/>
          <w:caps w:val="0"/>
          <w:color w:val="auto"/>
          <w:spacing w:val="0"/>
          <w:sz w:val="21"/>
          <w:szCs w:val="21"/>
          <w:highlight w:val="none"/>
          <w:shd w:val="clear" w:color="auto" w:fill="FFFFFF"/>
          <w:lang w:eastAsia="zh-CN"/>
        </w:rPr>
        <w:t>磋商小组</w:t>
      </w:r>
      <w:r>
        <w:rPr>
          <w:rFonts w:hint="eastAsia" w:ascii="宋体" w:hAnsi="宋体" w:eastAsia="宋体" w:cs="宋体"/>
          <w:i w:val="0"/>
          <w:iCs w:val="0"/>
          <w:caps w:val="0"/>
          <w:color w:val="auto"/>
          <w:spacing w:val="0"/>
          <w:sz w:val="21"/>
          <w:szCs w:val="21"/>
          <w:highlight w:val="none"/>
          <w:shd w:val="clear" w:color="auto" w:fill="FFFFFF"/>
        </w:rPr>
        <w:t>启动异常低价</w:t>
      </w:r>
      <w:r>
        <w:rPr>
          <w:rFonts w:hint="eastAsia" w:ascii="宋体" w:hAnsi="宋体" w:eastAsia="宋体" w:cs="宋体"/>
          <w:i w:val="0"/>
          <w:iCs w:val="0"/>
          <w:caps w:val="0"/>
          <w:color w:val="auto"/>
          <w:spacing w:val="0"/>
          <w:sz w:val="21"/>
          <w:szCs w:val="21"/>
          <w:highlight w:val="none"/>
          <w:shd w:val="clear" w:color="auto" w:fill="FFFFFF"/>
          <w:lang w:val="en-US" w:eastAsia="zh-CN"/>
        </w:rPr>
        <w:t>响应</w:t>
      </w:r>
      <w:r>
        <w:rPr>
          <w:rFonts w:hint="eastAsia" w:ascii="宋体" w:hAnsi="宋体" w:eastAsia="宋体" w:cs="宋体"/>
          <w:i w:val="0"/>
          <w:iCs w:val="0"/>
          <w:caps w:val="0"/>
          <w:color w:val="auto"/>
          <w:spacing w:val="0"/>
          <w:sz w:val="21"/>
          <w:szCs w:val="21"/>
          <w:highlight w:val="none"/>
          <w:shd w:val="clear" w:color="auto" w:fill="FFFFFF"/>
        </w:rPr>
        <w:t>审查后，属于上述A项至D项情形的，应当要求相关</w:t>
      </w:r>
      <w:r>
        <w:rPr>
          <w:rFonts w:hint="eastAsia" w:ascii="宋体" w:hAnsi="宋体" w:eastAsia="宋体" w:cs="宋体"/>
          <w:i w:val="0"/>
          <w:iCs w:val="0"/>
          <w:caps w:val="0"/>
          <w:color w:val="auto"/>
          <w:spacing w:val="0"/>
          <w:sz w:val="21"/>
          <w:szCs w:val="21"/>
          <w:highlight w:val="none"/>
          <w:shd w:val="clear" w:color="auto" w:fill="FFFFFF"/>
          <w:lang w:eastAsia="zh-CN"/>
        </w:rPr>
        <w:t>供应商</w:t>
      </w:r>
      <w:r>
        <w:rPr>
          <w:rFonts w:hint="eastAsia" w:ascii="宋体" w:hAnsi="宋体" w:eastAsia="宋体" w:cs="宋体"/>
          <w:i w:val="0"/>
          <w:iCs w:val="0"/>
          <w:caps w:val="0"/>
          <w:color w:val="auto"/>
          <w:spacing w:val="0"/>
          <w:sz w:val="21"/>
          <w:szCs w:val="21"/>
          <w:highlight w:val="none"/>
          <w:shd w:val="clear" w:color="auto" w:fill="FFFFFF"/>
        </w:rPr>
        <w:t>在</w:t>
      </w:r>
      <w:r>
        <w:rPr>
          <w:rFonts w:hint="eastAsia" w:ascii="宋体" w:hAnsi="宋体" w:eastAsia="宋体" w:cs="宋体"/>
          <w:i w:val="0"/>
          <w:iCs w:val="0"/>
          <w:caps w:val="0"/>
          <w:color w:val="auto"/>
          <w:spacing w:val="0"/>
          <w:sz w:val="21"/>
          <w:szCs w:val="21"/>
          <w:highlight w:val="none"/>
          <w:shd w:val="clear" w:color="auto" w:fill="FFFFFF"/>
          <w:lang w:eastAsia="zh-CN"/>
        </w:rPr>
        <w:t>评审</w:t>
      </w:r>
      <w:r>
        <w:rPr>
          <w:rFonts w:hint="eastAsia" w:ascii="宋体" w:hAnsi="宋体" w:eastAsia="宋体" w:cs="宋体"/>
          <w:i w:val="0"/>
          <w:iCs w:val="0"/>
          <w:caps w:val="0"/>
          <w:color w:val="auto"/>
          <w:spacing w:val="0"/>
          <w:sz w:val="21"/>
          <w:szCs w:val="21"/>
          <w:highlight w:val="none"/>
          <w:shd w:val="clear" w:color="auto" w:fill="FFFFFF"/>
        </w:rPr>
        <w:t>现场合理的时间内对</w:t>
      </w:r>
      <w:r>
        <w:rPr>
          <w:rFonts w:hint="eastAsia" w:ascii="宋体" w:hAnsi="宋体" w:eastAsia="宋体" w:cs="宋体"/>
          <w:i w:val="0"/>
          <w:iCs w:val="0"/>
          <w:caps w:val="0"/>
          <w:color w:val="auto"/>
          <w:spacing w:val="0"/>
          <w:sz w:val="21"/>
          <w:szCs w:val="21"/>
          <w:highlight w:val="none"/>
          <w:shd w:val="clear" w:color="auto" w:fill="FFFFFF"/>
          <w:lang w:eastAsia="zh-CN"/>
        </w:rPr>
        <w:t>响应</w:t>
      </w:r>
      <w:r>
        <w:rPr>
          <w:rFonts w:hint="eastAsia" w:ascii="宋体" w:hAnsi="宋体" w:eastAsia="宋体" w:cs="宋体"/>
          <w:i w:val="0"/>
          <w:iCs w:val="0"/>
          <w:caps w:val="0"/>
          <w:color w:val="auto"/>
          <w:spacing w:val="0"/>
          <w:sz w:val="21"/>
          <w:szCs w:val="21"/>
          <w:highlight w:val="none"/>
          <w:shd w:val="clear" w:color="auto" w:fill="FFFFFF"/>
        </w:rPr>
        <w:t>价格作出解释，提供项目具体成本测算等与报价合理性相关的书面说明及必要的证明材料，包括但不限于原材料成本、人工成本、制造费用等，给予相关</w:t>
      </w:r>
      <w:r>
        <w:rPr>
          <w:rFonts w:hint="eastAsia" w:ascii="宋体" w:hAnsi="宋体" w:eastAsia="宋体" w:cs="宋体"/>
          <w:i w:val="0"/>
          <w:iCs w:val="0"/>
          <w:caps w:val="0"/>
          <w:color w:val="auto"/>
          <w:spacing w:val="0"/>
          <w:sz w:val="21"/>
          <w:szCs w:val="21"/>
          <w:highlight w:val="none"/>
          <w:shd w:val="clear" w:color="auto" w:fill="FFFFFF"/>
          <w:lang w:eastAsia="zh-CN"/>
        </w:rPr>
        <w:t>供应商</w:t>
      </w:r>
      <w:r>
        <w:rPr>
          <w:rFonts w:hint="eastAsia" w:ascii="宋体" w:hAnsi="宋体" w:eastAsia="宋体" w:cs="宋体"/>
          <w:i w:val="0"/>
          <w:iCs w:val="0"/>
          <w:caps w:val="0"/>
          <w:color w:val="auto"/>
          <w:spacing w:val="0"/>
          <w:sz w:val="21"/>
          <w:szCs w:val="21"/>
          <w:highlight w:val="none"/>
          <w:shd w:val="clear" w:color="auto" w:fill="FFFFFF"/>
        </w:rPr>
        <w:t>的合理时间一般不少于30分钟。其中，属于上述C项情形，</w:t>
      </w:r>
      <w:r>
        <w:rPr>
          <w:rFonts w:hint="eastAsia" w:ascii="宋体" w:hAnsi="宋体" w:eastAsia="宋体" w:cs="宋体"/>
          <w:i w:val="0"/>
          <w:iCs w:val="0"/>
          <w:caps w:val="0"/>
          <w:color w:val="auto"/>
          <w:spacing w:val="0"/>
          <w:sz w:val="21"/>
          <w:szCs w:val="21"/>
          <w:highlight w:val="none"/>
          <w:shd w:val="clear" w:color="auto" w:fill="FFFFFF"/>
          <w:lang w:eastAsia="zh-CN"/>
        </w:rPr>
        <w:t>供应商</w:t>
      </w:r>
      <w:r>
        <w:rPr>
          <w:rFonts w:hint="eastAsia" w:ascii="宋体" w:hAnsi="宋体" w:eastAsia="宋体" w:cs="宋体"/>
          <w:i w:val="0"/>
          <w:iCs w:val="0"/>
          <w:caps w:val="0"/>
          <w:color w:val="auto"/>
          <w:spacing w:val="0"/>
          <w:sz w:val="21"/>
          <w:szCs w:val="21"/>
          <w:highlight w:val="none"/>
          <w:shd w:val="clear" w:color="auto" w:fill="FFFFFF"/>
        </w:rPr>
        <w:t>已随</w:t>
      </w:r>
      <w:r>
        <w:rPr>
          <w:rFonts w:hint="eastAsia" w:ascii="宋体" w:hAnsi="宋体" w:eastAsia="宋体" w:cs="宋体"/>
          <w:i w:val="0"/>
          <w:iCs w:val="0"/>
          <w:caps w:val="0"/>
          <w:color w:val="auto"/>
          <w:spacing w:val="0"/>
          <w:sz w:val="21"/>
          <w:szCs w:val="21"/>
          <w:highlight w:val="none"/>
          <w:shd w:val="clear" w:color="auto" w:fill="FFFFFF"/>
          <w:lang w:eastAsia="zh-CN"/>
        </w:rPr>
        <w:t>响应文件</w:t>
      </w:r>
      <w:r>
        <w:rPr>
          <w:rFonts w:hint="eastAsia" w:ascii="宋体" w:hAnsi="宋体" w:eastAsia="宋体" w:cs="宋体"/>
          <w:i w:val="0"/>
          <w:iCs w:val="0"/>
          <w:caps w:val="0"/>
          <w:color w:val="auto"/>
          <w:spacing w:val="0"/>
          <w:sz w:val="21"/>
          <w:szCs w:val="21"/>
          <w:highlight w:val="none"/>
          <w:shd w:val="clear" w:color="auto" w:fill="FFFFFF"/>
        </w:rPr>
        <w:t>一并提交相关书面说明及必要的证明材料的，在</w:t>
      </w:r>
      <w:r>
        <w:rPr>
          <w:rFonts w:hint="eastAsia" w:ascii="宋体" w:hAnsi="宋体" w:eastAsia="宋体" w:cs="宋体"/>
          <w:i w:val="0"/>
          <w:iCs w:val="0"/>
          <w:caps w:val="0"/>
          <w:color w:val="auto"/>
          <w:spacing w:val="0"/>
          <w:sz w:val="21"/>
          <w:szCs w:val="21"/>
          <w:highlight w:val="none"/>
          <w:shd w:val="clear" w:color="auto" w:fill="FFFFFF"/>
          <w:lang w:eastAsia="zh-CN"/>
        </w:rPr>
        <w:t>评审</w:t>
      </w:r>
      <w:r>
        <w:rPr>
          <w:rFonts w:hint="eastAsia" w:ascii="宋体" w:hAnsi="宋体" w:eastAsia="宋体" w:cs="宋体"/>
          <w:i w:val="0"/>
          <w:iCs w:val="0"/>
          <w:caps w:val="0"/>
          <w:color w:val="auto"/>
          <w:spacing w:val="0"/>
          <w:sz w:val="21"/>
          <w:szCs w:val="21"/>
          <w:highlight w:val="none"/>
          <w:shd w:val="clear" w:color="auto" w:fill="FFFFFF"/>
        </w:rPr>
        <w:t>现场可不再重复提交。</w:t>
      </w:r>
    </w:p>
    <w:p w14:paraId="33EB201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05" w:leftChars="0"/>
        <w:textAlignment w:val="auto"/>
        <w:rPr>
          <w:rFonts w:hint="eastAsia" w:ascii="宋体" w:hAnsi="宋体" w:eastAsia="宋体" w:cs="宋体"/>
          <w:b/>
          <w:bCs/>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rPr>
        <w:t xml:space="preserve"> </w:t>
      </w:r>
      <w:r>
        <w:rPr>
          <w:rFonts w:hint="eastAsia" w:ascii="宋体" w:hAnsi="宋体" w:eastAsia="宋体" w:cs="宋体"/>
          <w:i w:val="0"/>
          <w:iCs w:val="0"/>
          <w:caps w:val="0"/>
          <w:color w:val="auto"/>
          <w:spacing w:val="0"/>
          <w:sz w:val="21"/>
          <w:szCs w:val="21"/>
          <w:highlight w:val="none"/>
          <w:shd w:val="clear" w:color="auto" w:fill="FFFFFF"/>
          <w:lang w:val="en-US" w:eastAsia="zh-CN"/>
        </w:rPr>
        <w:t xml:space="preserve">  </w:t>
      </w:r>
      <w:r>
        <w:rPr>
          <w:rFonts w:hint="eastAsia" w:ascii="宋体" w:hAnsi="宋体" w:eastAsia="宋体" w:cs="宋体"/>
          <w:i w:val="0"/>
          <w:iCs w:val="0"/>
          <w:caps w:val="0"/>
          <w:color w:val="auto"/>
          <w:spacing w:val="0"/>
          <w:sz w:val="21"/>
          <w:szCs w:val="21"/>
          <w:highlight w:val="none"/>
          <w:shd w:val="clear" w:color="auto" w:fill="FFFFFF"/>
          <w:lang w:eastAsia="zh-CN"/>
        </w:rPr>
        <w:t>磋商小组</w:t>
      </w:r>
      <w:r>
        <w:rPr>
          <w:rFonts w:hint="eastAsia" w:ascii="宋体" w:hAnsi="宋体" w:eastAsia="宋体" w:cs="宋体"/>
          <w:i w:val="0"/>
          <w:iCs w:val="0"/>
          <w:caps w:val="0"/>
          <w:color w:val="auto"/>
          <w:spacing w:val="0"/>
          <w:sz w:val="21"/>
          <w:szCs w:val="21"/>
          <w:highlight w:val="none"/>
          <w:shd w:val="clear" w:color="auto" w:fill="FFFFFF"/>
        </w:rPr>
        <w:t>依据专业经验，参考同类项目中标（成交）价格、类似产品市场价格水平、行业人工费用标准、国家有关部门指导行业协会发布的行业平均成本等情况，对报价合理性进行判断。</w:t>
      </w:r>
      <w:r>
        <w:rPr>
          <w:rFonts w:hint="eastAsia" w:ascii="宋体" w:hAnsi="宋体" w:eastAsia="宋体" w:cs="宋体"/>
          <w:b/>
          <w:bCs/>
          <w:i w:val="0"/>
          <w:iCs w:val="0"/>
          <w:caps w:val="0"/>
          <w:color w:val="auto"/>
          <w:spacing w:val="0"/>
          <w:sz w:val="21"/>
          <w:szCs w:val="21"/>
          <w:highlight w:val="none"/>
          <w:shd w:val="clear" w:color="auto" w:fill="FFFFFF"/>
          <w:lang w:eastAsia="zh-CN"/>
        </w:rPr>
        <w:t>供应商</w:t>
      </w:r>
      <w:r>
        <w:rPr>
          <w:rFonts w:hint="eastAsia" w:ascii="宋体" w:hAnsi="宋体" w:eastAsia="宋体" w:cs="宋体"/>
          <w:b/>
          <w:bCs/>
          <w:i w:val="0"/>
          <w:iCs w:val="0"/>
          <w:caps w:val="0"/>
          <w:color w:val="auto"/>
          <w:spacing w:val="0"/>
          <w:sz w:val="21"/>
          <w:szCs w:val="21"/>
          <w:highlight w:val="none"/>
          <w:shd w:val="clear" w:color="auto" w:fill="FFFFFF"/>
        </w:rPr>
        <w:t>不能提供书面说明、证明材料，或者提供的书面说明、证明材料不能证明其报价合理性的，</w:t>
      </w:r>
      <w:r>
        <w:rPr>
          <w:rFonts w:hint="eastAsia" w:ascii="宋体" w:hAnsi="宋体" w:eastAsia="宋体" w:cs="宋体"/>
          <w:b/>
          <w:bCs/>
          <w:i w:val="0"/>
          <w:iCs w:val="0"/>
          <w:caps w:val="0"/>
          <w:color w:val="auto"/>
          <w:spacing w:val="0"/>
          <w:sz w:val="21"/>
          <w:szCs w:val="21"/>
          <w:highlight w:val="none"/>
          <w:shd w:val="clear" w:color="auto" w:fill="FFFFFF"/>
          <w:lang w:eastAsia="zh-CN"/>
        </w:rPr>
        <w:t>磋商小组</w:t>
      </w:r>
      <w:r>
        <w:rPr>
          <w:rFonts w:hint="eastAsia" w:ascii="宋体" w:hAnsi="宋体" w:eastAsia="宋体" w:cs="宋体"/>
          <w:b/>
          <w:bCs/>
          <w:i w:val="0"/>
          <w:iCs w:val="0"/>
          <w:caps w:val="0"/>
          <w:color w:val="auto"/>
          <w:spacing w:val="0"/>
          <w:sz w:val="21"/>
          <w:szCs w:val="21"/>
          <w:highlight w:val="none"/>
          <w:shd w:val="clear" w:color="auto" w:fill="FFFFFF"/>
        </w:rPr>
        <w:t>应当将其作为无效</w:t>
      </w:r>
      <w:r>
        <w:rPr>
          <w:rFonts w:hint="eastAsia" w:ascii="宋体" w:hAnsi="宋体" w:eastAsia="宋体" w:cs="宋体"/>
          <w:b/>
          <w:bCs/>
          <w:i w:val="0"/>
          <w:iCs w:val="0"/>
          <w:caps w:val="0"/>
          <w:color w:val="auto"/>
          <w:spacing w:val="0"/>
          <w:sz w:val="21"/>
          <w:szCs w:val="21"/>
          <w:highlight w:val="none"/>
          <w:shd w:val="clear" w:color="auto" w:fill="FFFFFF"/>
          <w:lang w:eastAsia="zh-CN"/>
        </w:rPr>
        <w:t>响应</w:t>
      </w:r>
      <w:r>
        <w:rPr>
          <w:rFonts w:hint="eastAsia" w:ascii="宋体" w:hAnsi="宋体" w:eastAsia="宋体" w:cs="宋体"/>
          <w:b/>
          <w:bCs/>
          <w:i w:val="0"/>
          <w:iCs w:val="0"/>
          <w:caps w:val="0"/>
          <w:color w:val="auto"/>
          <w:spacing w:val="0"/>
          <w:sz w:val="21"/>
          <w:szCs w:val="21"/>
          <w:highlight w:val="none"/>
          <w:shd w:val="clear" w:color="auto" w:fill="FFFFFF"/>
        </w:rPr>
        <w:t>处理。</w:t>
      </w:r>
    </w:p>
    <w:p w14:paraId="130FA802">
      <w:pPr>
        <w:spacing w:line="360" w:lineRule="auto"/>
        <w:ind w:firstLine="200"/>
        <w:rPr>
          <w:rFonts w:ascii="黑体" w:hAnsi="黑体" w:eastAsia="黑体" w:cs="宋体"/>
          <w:b/>
          <w:bCs/>
          <w:color w:val="auto"/>
          <w:sz w:val="24"/>
          <w:highlight w:val="none"/>
        </w:rPr>
      </w:pPr>
      <w:r>
        <w:rPr>
          <w:rFonts w:hint="eastAsia" w:ascii="黑体" w:hAnsi="黑体" w:eastAsia="黑体" w:cs="宋体"/>
          <w:b/>
          <w:bCs/>
          <w:color w:val="auto"/>
          <w:sz w:val="24"/>
          <w:highlight w:val="none"/>
        </w:rPr>
        <w:t>6</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比较与评价</w:t>
      </w:r>
    </w:p>
    <w:p w14:paraId="780C6CA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6.1评审方法：综合评分法。</w:t>
      </w:r>
    </w:p>
    <w:p w14:paraId="750BB2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6.2经磋商确定最终采购需求和提交最后报价的供应商后，由磋商小组采用综合评分法对提交最后报价的供应商的响应文件和最后报价进行综合评分。</w:t>
      </w:r>
    </w:p>
    <w:p w14:paraId="48F4580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6.3评审时，磋商小组各成员应当独立对每个有效响应的文件进行评价、打分，然后汇总每个供应商每项评分因素的得分。</w:t>
      </w:r>
    </w:p>
    <w:p w14:paraId="6B5A6E89">
      <w:pPr>
        <w:widowControl w:val="0"/>
        <w:spacing w:after="120" w:line="360" w:lineRule="auto"/>
        <w:ind w:firstLine="420" w:firstLineChars="200"/>
        <w:jc w:val="both"/>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磋商小组成员要根据政府采购法律法规和采购文件所载明的评审方法、标准进行评审。对供应商的价格分等客观评分项的评分应当一致，对其他需要借助专业知识评判的主观评分项，应当严格按照评分细则公正评分。</w:t>
      </w:r>
    </w:p>
    <w:p w14:paraId="4959322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）磋商小组按照磋商文件中规定的评审标准计算各供应商的报价得分。项目评审过程中，不得去掉最后报价中的最高报价和最低报价。</w:t>
      </w:r>
    </w:p>
    <w:p w14:paraId="45CAE08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）各供应商的得分为磋商小组所有成员的有效评分的算术平均数。</w:t>
      </w:r>
    </w:p>
    <w:p w14:paraId="65F3888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6.4</w:t>
      </w:r>
      <w:r>
        <w:rPr>
          <w:rFonts w:hint="eastAsia" w:ascii="宋体" w:hAnsi="宋体" w:eastAsia="宋体" w:cs="宋体"/>
          <w:color w:val="auto"/>
          <w:szCs w:val="21"/>
          <w:highlight w:val="none"/>
          <w:lang w:eastAsia="zh-CN"/>
        </w:rPr>
        <w:t>评审价</w:t>
      </w:r>
      <w:r>
        <w:rPr>
          <w:rFonts w:hint="eastAsia" w:ascii="宋体" w:hAnsi="宋体" w:eastAsia="宋体" w:cs="宋体"/>
          <w:color w:val="auto"/>
          <w:szCs w:val="21"/>
          <w:highlight w:val="none"/>
        </w:rPr>
        <w:t>为供应商的最后报价进行政策性扣除后的价格，</w:t>
      </w:r>
      <w:r>
        <w:rPr>
          <w:rFonts w:hint="eastAsia" w:ascii="宋体" w:hAnsi="宋体" w:eastAsia="宋体" w:cs="宋体"/>
          <w:color w:val="auto"/>
          <w:szCs w:val="21"/>
          <w:highlight w:val="none"/>
          <w:lang w:eastAsia="zh-CN"/>
        </w:rPr>
        <w:t>评审价</w:t>
      </w:r>
      <w:r>
        <w:rPr>
          <w:rFonts w:hint="eastAsia" w:ascii="宋体" w:hAnsi="宋体" w:eastAsia="宋体" w:cs="宋体"/>
          <w:color w:val="auto"/>
          <w:szCs w:val="21"/>
          <w:highlight w:val="none"/>
        </w:rPr>
        <w:t>只是作为评审时使用。最终成交供应商的成交金额等于最后报价（如有修正，以确认修正后的最后报价为准）。</w:t>
      </w:r>
    </w:p>
    <w:p w14:paraId="6FCAE296">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6.5</w:t>
      </w:r>
      <w:r>
        <w:rPr>
          <w:rFonts w:hint="eastAsia" w:ascii="宋体" w:hAnsi="宋体" w:eastAsia="宋体" w:cs="宋体"/>
          <w:color w:val="auto"/>
          <w:kern w:val="0"/>
          <w:sz w:val="21"/>
          <w:szCs w:val="21"/>
          <w:highlight w:val="none"/>
        </w:rPr>
        <w:t>磋商小组根据综合评分情况，按照评审得分由高到低顺序推荐3名以上成交候选供应商，并编写评审报告。</w:t>
      </w:r>
      <w:r>
        <w:rPr>
          <w:rFonts w:hint="eastAsia" w:ascii="宋体" w:hAnsi="宋体" w:eastAsia="宋体" w:cs="宋体"/>
          <w:color w:val="auto"/>
          <w:kern w:val="0"/>
          <w:szCs w:val="21"/>
          <w:highlight w:val="none"/>
        </w:rPr>
        <w:t>符合本章第</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.3条情形的</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 w:val="21"/>
          <w:szCs w:val="21"/>
          <w:highlight w:val="none"/>
        </w:rPr>
        <w:t>可以推荐2家成交候选供应商。评审得分相同的，按照最后报价由低到高的顺序推荐。评审得分且最后报价相同的，按照技术指标优劣顺序推荐</w:t>
      </w:r>
      <w:r>
        <w:rPr>
          <w:rFonts w:hint="eastAsia" w:ascii="宋体" w:hAnsi="宋体" w:eastAsia="宋体" w:cs="宋体"/>
          <w:color w:val="auto"/>
          <w:kern w:val="0"/>
          <w:szCs w:val="21"/>
          <w:highlight w:val="none"/>
        </w:rPr>
        <w:t>。</w:t>
      </w:r>
    </w:p>
    <w:p w14:paraId="0030FC6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04C77F5">
      <w:pPr>
        <w:ind w:firstLine="200"/>
        <w:rPr>
          <w:rFonts w:hint="eastAsia" w:ascii="黑体" w:hAnsi="黑体" w:eastAsia="黑体" w:cs="宋体"/>
          <w:b/>
          <w:bCs/>
          <w:color w:val="auto"/>
          <w:sz w:val="24"/>
          <w:highlight w:val="none"/>
          <w:lang w:eastAsia="zh-CN"/>
        </w:rPr>
      </w:pPr>
      <w:r>
        <w:rPr>
          <w:rFonts w:hint="eastAsia" w:ascii="黑体" w:hAnsi="黑体" w:eastAsia="黑体" w:cs="宋体"/>
          <w:b/>
          <w:bCs/>
          <w:color w:val="auto"/>
          <w:sz w:val="24"/>
          <w:highlight w:val="none"/>
        </w:rPr>
        <w:t>7</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评审标准</w:t>
      </w:r>
    </w:p>
    <w:p w14:paraId="66F37466">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 w:val="0"/>
          <w:bCs/>
          <w:color w:val="auto"/>
          <w:highlight w:val="none"/>
        </w:rPr>
        <w:t>7.</w:t>
      </w:r>
      <w:r>
        <w:rPr>
          <w:rFonts w:hint="eastAsia" w:ascii="宋体" w:hAnsi="宋体" w:eastAsia="宋体" w:cs="宋体"/>
          <w:bCs/>
          <w:color w:val="auto"/>
          <w:szCs w:val="21"/>
          <w:highlight w:val="none"/>
        </w:rPr>
        <w:t>1评审依据：磋商小组将以响应文件为评审依据，对供应商的报价、技术、商务等方面内容按百分制打分。（计分方法按四舍五入取至百分位）</w:t>
      </w:r>
    </w:p>
    <w:p w14:paraId="7DB74B95">
      <w:pPr>
        <w:pStyle w:val="22"/>
        <w:rPr>
          <w:rFonts w:hint="eastAsia" w:ascii="宋体" w:hAnsi="宋体" w:eastAsia="宋体" w:cs="宋体"/>
          <w:bCs/>
          <w:color w:val="auto"/>
          <w:szCs w:val="21"/>
          <w:highlight w:val="none"/>
        </w:rPr>
      </w:pPr>
    </w:p>
    <w:p w14:paraId="1A12A157">
      <w:pPr>
        <w:rPr>
          <w:rFonts w:hint="eastAsia" w:ascii="宋体" w:hAnsi="宋体" w:eastAsia="宋体" w:cs="宋体"/>
          <w:bCs/>
          <w:color w:val="auto"/>
          <w:szCs w:val="21"/>
          <w:highlight w:val="none"/>
        </w:rPr>
      </w:pPr>
    </w:p>
    <w:p w14:paraId="6526CE27">
      <w:pPr>
        <w:pStyle w:val="22"/>
        <w:rPr>
          <w:rFonts w:hint="eastAsia" w:ascii="宋体" w:hAnsi="宋体" w:eastAsia="宋体" w:cs="宋体"/>
          <w:bCs/>
          <w:color w:val="auto"/>
          <w:szCs w:val="21"/>
          <w:highlight w:val="none"/>
        </w:rPr>
      </w:pPr>
    </w:p>
    <w:p w14:paraId="5AECABBA">
      <w:pPr>
        <w:rPr>
          <w:rFonts w:hint="eastAsia"/>
          <w:color w:val="auto"/>
          <w:highlight w:val="none"/>
        </w:rPr>
      </w:pPr>
    </w:p>
    <w:tbl>
      <w:tblPr>
        <w:tblStyle w:val="32"/>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418"/>
        <w:gridCol w:w="7110"/>
        <w:gridCol w:w="867"/>
      </w:tblGrid>
      <w:tr w14:paraId="7D6BE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60" w:type="dxa"/>
            <w:noWrap w:val="0"/>
            <w:vAlign w:val="center"/>
          </w:tcPr>
          <w:p w14:paraId="798908EA">
            <w:pPr>
              <w:widowControl/>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1418" w:type="dxa"/>
            <w:noWrap w:val="0"/>
            <w:vAlign w:val="center"/>
          </w:tcPr>
          <w:p w14:paraId="70703483">
            <w:pPr>
              <w:widowControl/>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评审因素</w:t>
            </w:r>
          </w:p>
        </w:tc>
        <w:tc>
          <w:tcPr>
            <w:tcW w:w="7110" w:type="dxa"/>
            <w:noWrap w:val="0"/>
            <w:vAlign w:val="center"/>
          </w:tcPr>
          <w:p w14:paraId="20D77446">
            <w:pPr>
              <w:widowControl/>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评审因素具体内容</w:t>
            </w:r>
          </w:p>
        </w:tc>
        <w:tc>
          <w:tcPr>
            <w:tcW w:w="867" w:type="dxa"/>
            <w:noWrap w:val="0"/>
            <w:vAlign w:val="center"/>
          </w:tcPr>
          <w:p w14:paraId="14E5C904">
            <w:pPr>
              <w:widowControl/>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分值</w:t>
            </w:r>
          </w:p>
        </w:tc>
      </w:tr>
      <w:tr w14:paraId="662F6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2" w:hRule="atLeast"/>
          <w:jc w:val="center"/>
        </w:trPr>
        <w:tc>
          <w:tcPr>
            <w:tcW w:w="660" w:type="dxa"/>
            <w:noWrap w:val="0"/>
            <w:vAlign w:val="center"/>
          </w:tcPr>
          <w:p w14:paraId="674F273C">
            <w:pPr>
              <w:widowControl/>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1418" w:type="dxa"/>
            <w:noWrap w:val="0"/>
            <w:vAlign w:val="center"/>
          </w:tcPr>
          <w:p w14:paraId="4D7C3E90">
            <w:pPr>
              <w:widowControl/>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价格分</w:t>
            </w:r>
          </w:p>
        </w:tc>
        <w:tc>
          <w:tcPr>
            <w:tcW w:w="7110" w:type="dxa"/>
            <w:noWrap w:val="0"/>
            <w:vAlign w:val="top"/>
          </w:tcPr>
          <w:p w14:paraId="7E6301B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评审价</w:t>
            </w:r>
            <w:r>
              <w:rPr>
                <w:rFonts w:hint="eastAsia" w:ascii="宋体" w:hAnsi="宋体" w:eastAsia="宋体" w:cs="宋体"/>
                <w:color w:val="auto"/>
                <w:sz w:val="21"/>
                <w:szCs w:val="21"/>
                <w:highlight w:val="none"/>
              </w:rPr>
              <w:t>为供应商的最后报价进行政策性扣除后的价格，</w:t>
            </w:r>
            <w:r>
              <w:rPr>
                <w:rFonts w:hint="eastAsia" w:ascii="宋体" w:hAnsi="宋体" w:eastAsia="宋体" w:cs="宋体"/>
                <w:color w:val="auto"/>
                <w:sz w:val="21"/>
                <w:szCs w:val="21"/>
                <w:highlight w:val="none"/>
                <w:lang w:eastAsia="zh-CN"/>
              </w:rPr>
              <w:t>评审价</w:t>
            </w:r>
            <w:r>
              <w:rPr>
                <w:rFonts w:hint="eastAsia" w:ascii="宋体" w:hAnsi="宋体" w:eastAsia="宋体" w:cs="宋体"/>
                <w:color w:val="auto"/>
                <w:sz w:val="21"/>
                <w:szCs w:val="21"/>
                <w:highlight w:val="none"/>
              </w:rPr>
              <w:t>只是作为评审时使用。最终成交供应商的成交金额等于最后报价（如有修正，以确认修正后的最后报价为准）。</w:t>
            </w:r>
          </w:p>
          <w:p w14:paraId="4CC39FD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lang w:val="en-US" w:eastAsia="zh-CN"/>
              </w:rPr>
              <w:t>1.2</w:t>
            </w:r>
            <w:r>
              <w:rPr>
                <w:rFonts w:hint="eastAsia" w:ascii="宋体" w:hAnsi="宋体" w:eastAsia="宋体" w:cs="宋体"/>
                <w:bCs w:val="0"/>
                <w:color w:val="auto"/>
                <w:sz w:val="21"/>
                <w:szCs w:val="21"/>
                <w:highlight w:val="none"/>
              </w:rPr>
              <w:t>政策性扣除计算方法。</w:t>
            </w:r>
          </w:p>
          <w:p w14:paraId="1E60597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1.2.1对</w:t>
            </w:r>
            <w:r>
              <w:rPr>
                <w:rFonts w:hint="eastAsia" w:ascii="宋体" w:hAnsi="宋体" w:cs="宋体"/>
                <w:b w:val="0"/>
                <w:bCs w:val="0"/>
                <w:color w:val="auto"/>
                <w:sz w:val="21"/>
                <w:szCs w:val="21"/>
                <w:highlight w:val="none"/>
                <w:lang w:val="en-US" w:eastAsia="zh-CN"/>
              </w:rPr>
              <w:t>中小</w:t>
            </w:r>
            <w:r>
              <w:rPr>
                <w:rFonts w:hint="eastAsia" w:ascii="宋体" w:hAnsi="宋体" w:eastAsia="宋体" w:cs="宋体"/>
                <w:b w:val="0"/>
                <w:bCs w:val="0"/>
                <w:color w:val="auto"/>
                <w:sz w:val="21"/>
                <w:szCs w:val="21"/>
                <w:highlight w:val="none"/>
                <w:lang w:val="en-US" w:eastAsia="zh-CN"/>
              </w:rPr>
              <w:t>企业的</w:t>
            </w:r>
            <w:r>
              <w:rPr>
                <w:rFonts w:hint="eastAsia" w:ascii="宋体" w:hAnsi="宋体" w:eastAsia="宋体" w:cs="宋体"/>
                <w:b w:val="0"/>
                <w:bCs w:val="0"/>
                <w:color w:val="auto"/>
                <w:sz w:val="21"/>
                <w:szCs w:val="21"/>
                <w:highlight w:val="none"/>
              </w:rPr>
              <w:t>价格评审</w:t>
            </w:r>
            <w:r>
              <w:rPr>
                <w:rFonts w:hint="eastAsia" w:ascii="宋体" w:hAnsi="宋体" w:eastAsia="宋体" w:cs="宋体"/>
                <w:b w:val="0"/>
                <w:bCs w:val="0"/>
                <w:color w:val="auto"/>
                <w:sz w:val="21"/>
                <w:szCs w:val="21"/>
                <w:highlight w:val="none"/>
                <w:lang w:eastAsia="zh-CN"/>
              </w:rPr>
              <w:t>优惠</w:t>
            </w:r>
          </w:p>
          <w:p w14:paraId="060F944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val="0"/>
                <w:color w:val="auto"/>
                <w:sz w:val="21"/>
                <w:szCs w:val="21"/>
                <w:highlight w:val="none"/>
                <w:lang w:eastAsia="zh-CN"/>
              </w:rPr>
            </w:pPr>
            <w:r>
              <w:rPr>
                <w:rFonts w:hint="eastAsia" w:ascii="宋体" w:hAnsi="宋体" w:eastAsia="宋体" w:cs="宋体"/>
                <w:bCs/>
                <w:color w:val="auto"/>
                <w:sz w:val="21"/>
                <w:szCs w:val="21"/>
                <w:highlight w:val="none"/>
                <w:lang w:eastAsia="zh-CN"/>
              </w:rPr>
              <w:t>按照《政府采购促进中小企业发展管理办法》（财库〔2020〕46号）的规定，对小微企业的最后报价不再执行价格评审优惠的扶</w:t>
            </w:r>
            <w:bookmarkStart w:id="171" w:name="_GoBack"/>
            <w:bookmarkEnd w:id="171"/>
            <w:r>
              <w:rPr>
                <w:rFonts w:hint="eastAsia" w:ascii="宋体" w:hAnsi="宋体" w:eastAsia="宋体" w:cs="宋体"/>
                <w:bCs/>
                <w:color w:val="auto"/>
                <w:sz w:val="21"/>
                <w:szCs w:val="21"/>
                <w:highlight w:val="none"/>
                <w:lang w:eastAsia="zh-CN"/>
              </w:rPr>
              <w:t>持政策</w:t>
            </w:r>
            <w:r>
              <w:rPr>
                <w:rFonts w:hint="eastAsia" w:ascii="宋体" w:hAnsi="宋体" w:eastAsia="宋体" w:cs="宋体"/>
                <w:bCs w:val="0"/>
                <w:color w:val="auto"/>
                <w:sz w:val="21"/>
                <w:szCs w:val="21"/>
                <w:highlight w:val="none"/>
                <w:lang w:eastAsia="zh-CN"/>
              </w:rPr>
              <w:t>。</w:t>
            </w:r>
          </w:p>
          <w:p w14:paraId="7322C15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val="0"/>
                <w:color w:val="auto"/>
                <w:sz w:val="21"/>
                <w:szCs w:val="21"/>
                <w:highlight w:val="none"/>
                <w:u w:val="none"/>
              </w:rPr>
            </w:pPr>
            <w:r>
              <w:rPr>
                <w:rFonts w:hint="eastAsia" w:ascii="宋体" w:hAnsi="宋体" w:eastAsia="宋体" w:cs="宋体"/>
                <w:bCs w:val="0"/>
                <w:color w:val="auto"/>
                <w:sz w:val="21"/>
                <w:szCs w:val="21"/>
                <w:highlight w:val="none"/>
                <w:lang w:val="en-US" w:eastAsia="zh-CN"/>
              </w:rPr>
              <w:t xml:space="preserve">1.3 </w:t>
            </w:r>
            <w:r>
              <w:rPr>
                <w:rFonts w:hint="eastAsia" w:ascii="宋体" w:hAnsi="宋体" w:eastAsia="宋体" w:cs="宋体"/>
                <w:bCs w:val="0"/>
                <w:color w:val="auto"/>
                <w:sz w:val="21"/>
                <w:szCs w:val="21"/>
                <w:highlight w:val="none"/>
              </w:rPr>
              <w:t>满足</w:t>
            </w:r>
            <w:r>
              <w:rPr>
                <w:rFonts w:hint="eastAsia" w:ascii="宋体" w:hAnsi="宋体" w:eastAsia="宋体" w:cs="宋体"/>
                <w:bCs w:val="0"/>
                <w:color w:val="auto"/>
                <w:sz w:val="21"/>
                <w:szCs w:val="21"/>
                <w:highlight w:val="none"/>
                <w:lang w:eastAsia="zh-CN"/>
              </w:rPr>
              <w:t>磋商文件</w:t>
            </w:r>
            <w:r>
              <w:rPr>
                <w:rFonts w:hint="eastAsia" w:ascii="宋体" w:hAnsi="宋体" w:eastAsia="宋体" w:cs="宋体"/>
                <w:bCs w:val="0"/>
                <w:color w:val="auto"/>
                <w:sz w:val="21"/>
                <w:szCs w:val="21"/>
                <w:highlight w:val="none"/>
              </w:rPr>
              <w:t>要求且</w:t>
            </w:r>
            <w:r>
              <w:rPr>
                <w:rFonts w:hint="eastAsia" w:ascii="宋体" w:hAnsi="宋体" w:eastAsia="宋体" w:cs="宋体"/>
                <w:bCs w:val="0"/>
                <w:color w:val="auto"/>
                <w:sz w:val="21"/>
                <w:szCs w:val="21"/>
                <w:highlight w:val="none"/>
                <w:lang w:eastAsia="zh-CN"/>
              </w:rPr>
              <w:t>评审价</w:t>
            </w:r>
            <w:r>
              <w:rPr>
                <w:rFonts w:hint="eastAsia" w:ascii="宋体" w:hAnsi="宋体" w:eastAsia="宋体" w:cs="宋体"/>
                <w:bCs w:val="0"/>
                <w:color w:val="auto"/>
                <w:sz w:val="21"/>
                <w:szCs w:val="21"/>
                <w:highlight w:val="none"/>
              </w:rPr>
              <w:t>最低的</w:t>
            </w:r>
            <w:r>
              <w:rPr>
                <w:rFonts w:hint="eastAsia" w:ascii="宋体" w:hAnsi="宋体" w:eastAsia="宋体" w:cs="宋体"/>
                <w:bCs w:val="0"/>
                <w:color w:val="auto"/>
                <w:sz w:val="21"/>
                <w:szCs w:val="21"/>
                <w:highlight w:val="none"/>
                <w:lang w:eastAsia="zh-CN"/>
              </w:rPr>
              <w:t>评审价</w:t>
            </w:r>
            <w:r>
              <w:rPr>
                <w:rFonts w:hint="eastAsia" w:ascii="宋体" w:hAnsi="宋体" w:eastAsia="宋体" w:cs="宋体"/>
                <w:bCs w:val="0"/>
                <w:color w:val="auto"/>
                <w:sz w:val="21"/>
                <w:szCs w:val="21"/>
                <w:highlight w:val="none"/>
              </w:rPr>
              <w:t>为</w:t>
            </w:r>
            <w:r>
              <w:rPr>
                <w:rFonts w:hint="eastAsia" w:ascii="宋体" w:hAnsi="宋体" w:eastAsia="宋体" w:cs="宋体"/>
                <w:bCs w:val="0"/>
                <w:color w:val="auto"/>
                <w:sz w:val="21"/>
                <w:szCs w:val="21"/>
                <w:highlight w:val="none"/>
                <w:lang w:eastAsia="zh-CN"/>
              </w:rPr>
              <w:t>评审基准价</w:t>
            </w:r>
            <w:r>
              <w:rPr>
                <w:rFonts w:hint="eastAsia" w:ascii="宋体" w:hAnsi="宋体" w:eastAsia="宋体" w:cs="宋体"/>
                <w:bCs w:val="0"/>
                <w:color w:val="auto"/>
                <w:sz w:val="21"/>
                <w:szCs w:val="21"/>
                <w:highlight w:val="none"/>
              </w:rPr>
              <w:t>，基准价得分为</w:t>
            </w:r>
            <w:r>
              <w:rPr>
                <w:rFonts w:hint="eastAsia" w:ascii="宋体" w:hAnsi="宋体" w:eastAsia="宋体" w:cs="宋体"/>
                <w:bCs w:val="0"/>
                <w:color w:val="auto"/>
                <w:sz w:val="21"/>
                <w:szCs w:val="21"/>
                <w:highlight w:val="none"/>
                <w:lang w:val="en-US" w:eastAsia="zh-CN"/>
              </w:rPr>
              <w:t>满</w:t>
            </w:r>
            <w:r>
              <w:rPr>
                <w:rFonts w:hint="eastAsia" w:ascii="宋体" w:hAnsi="宋体" w:eastAsia="宋体" w:cs="宋体"/>
                <w:bCs w:val="0"/>
                <w:color w:val="auto"/>
                <w:sz w:val="21"/>
                <w:szCs w:val="21"/>
                <w:highlight w:val="none"/>
              </w:rPr>
              <w:t>分。</w:t>
            </w:r>
          </w:p>
          <w:p w14:paraId="72E6B6D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val="0"/>
                <w:color w:val="auto"/>
                <w:sz w:val="21"/>
                <w:szCs w:val="21"/>
                <w:highlight w:val="none"/>
                <w:u w:val="none"/>
              </w:rPr>
            </w:pPr>
            <w:r>
              <w:rPr>
                <w:rFonts w:hint="eastAsia" w:ascii="宋体" w:hAnsi="宋体" w:eastAsia="宋体" w:cs="宋体"/>
                <w:bCs w:val="0"/>
                <w:color w:val="auto"/>
                <w:sz w:val="21"/>
                <w:szCs w:val="21"/>
                <w:highlight w:val="none"/>
                <w:u w:val="none"/>
                <w:lang w:val="en-US" w:eastAsia="zh-CN"/>
              </w:rPr>
              <w:t xml:space="preserve">1.4 </w:t>
            </w:r>
            <w:r>
              <w:rPr>
                <w:rFonts w:hint="eastAsia" w:ascii="宋体" w:hAnsi="宋体" w:eastAsia="宋体" w:cs="宋体"/>
                <w:bCs w:val="0"/>
                <w:color w:val="auto"/>
                <w:sz w:val="21"/>
                <w:szCs w:val="21"/>
                <w:highlight w:val="none"/>
                <w:u w:val="none"/>
              </w:rPr>
              <w:t>价格分计算公式：</w:t>
            </w:r>
          </w:p>
          <w:p w14:paraId="510BBE05">
            <w:pPr>
              <w:spacing w:line="360" w:lineRule="auto"/>
              <w:ind w:firstLine="315" w:firstLineChars="150"/>
              <w:rPr>
                <w:rFonts w:hint="eastAsia" w:ascii="宋体" w:hAnsi="宋体" w:cs="宋体"/>
                <w:bCs/>
                <w:color w:val="auto"/>
                <w:kern w:val="0"/>
                <w:sz w:val="24"/>
                <w:highlight w:val="none"/>
              </w:rPr>
            </w:pPr>
            <w:r>
              <w:rPr>
                <w:rFonts w:hint="eastAsia" w:ascii="宋体" w:hAnsi="宋体" w:eastAsia="宋体" w:cs="宋体"/>
                <w:bCs/>
                <w:color w:val="auto"/>
                <w:sz w:val="21"/>
                <w:szCs w:val="21"/>
                <w:highlight w:val="none"/>
                <w:u w:val="none"/>
                <w:lang w:val="en-US" w:eastAsia="zh-CN"/>
              </w:rPr>
              <w:t>价格分</w:t>
            </w:r>
            <w:r>
              <w:rPr>
                <w:rFonts w:hint="eastAsia" w:ascii="宋体" w:hAnsi="宋体" w:eastAsia="宋体" w:cs="宋体"/>
                <w:bCs/>
                <w:color w:val="auto"/>
                <w:kern w:val="2"/>
                <w:sz w:val="21"/>
                <w:szCs w:val="21"/>
                <w:highlight w:val="none"/>
                <w:u w:val="none"/>
                <w:lang w:val="en-US" w:eastAsia="zh-CN"/>
              </w:rPr>
              <w:t>=(评审基准价／评审价)×</w:t>
            </w:r>
            <w:r>
              <w:rPr>
                <w:rFonts w:hint="eastAsia" w:ascii="宋体" w:hAnsi="宋体" w:eastAsia="宋体" w:cs="宋体"/>
                <w:bCs/>
                <w:color w:val="auto"/>
                <w:sz w:val="21"/>
                <w:szCs w:val="21"/>
                <w:highlight w:val="none"/>
                <w:u w:val="none"/>
                <w:lang w:val="en-US" w:eastAsia="zh-CN"/>
              </w:rPr>
              <w:t>10</w:t>
            </w:r>
            <w:r>
              <w:rPr>
                <w:rFonts w:hint="eastAsia" w:ascii="宋体" w:hAnsi="宋体" w:eastAsia="宋体" w:cs="宋体"/>
                <w:bCs/>
                <w:color w:val="auto"/>
                <w:kern w:val="2"/>
                <w:sz w:val="21"/>
                <w:szCs w:val="21"/>
                <w:highlight w:val="none"/>
                <w:u w:val="none"/>
                <w:lang w:val="en-US" w:eastAsia="zh-CN"/>
              </w:rPr>
              <w:t>分</w:t>
            </w:r>
          </w:p>
        </w:tc>
        <w:tc>
          <w:tcPr>
            <w:tcW w:w="867" w:type="dxa"/>
            <w:noWrap w:val="0"/>
            <w:vAlign w:val="center"/>
          </w:tcPr>
          <w:p w14:paraId="6404D5A3">
            <w:pPr>
              <w:widowControl/>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10分</w:t>
            </w:r>
          </w:p>
        </w:tc>
      </w:tr>
      <w:tr w14:paraId="3DC04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660" w:type="dxa"/>
            <w:noWrap w:val="0"/>
            <w:vAlign w:val="center"/>
          </w:tcPr>
          <w:p w14:paraId="0056D8A9">
            <w:pPr>
              <w:widowControl/>
              <w:spacing w:line="360" w:lineRule="auto"/>
              <w:jc w:val="center"/>
              <w:rPr>
                <w:rFonts w:hint="eastAsia" w:ascii="宋体" w:hAnsi="宋体" w:cs="宋体"/>
                <w:color w:val="auto"/>
                <w:kern w:val="0"/>
                <w:sz w:val="24"/>
                <w:highlight w:val="none"/>
              </w:rPr>
            </w:pPr>
            <w:r>
              <w:rPr>
                <w:rFonts w:hint="eastAsia" w:ascii="宋体" w:hAnsi="宋体" w:cs="宋体"/>
                <w:bCs/>
                <w:color w:val="auto"/>
                <w:kern w:val="0"/>
                <w:sz w:val="24"/>
                <w:highlight w:val="none"/>
              </w:rPr>
              <w:t>2</w:t>
            </w:r>
          </w:p>
        </w:tc>
        <w:tc>
          <w:tcPr>
            <w:tcW w:w="1418" w:type="dxa"/>
            <w:noWrap w:val="0"/>
            <w:vAlign w:val="center"/>
          </w:tcPr>
          <w:p w14:paraId="1B861D13">
            <w:pPr>
              <w:widowControl/>
              <w:spacing w:line="360" w:lineRule="auto"/>
              <w:jc w:val="center"/>
              <w:rPr>
                <w:rFonts w:hint="eastAsia" w:ascii="宋体" w:hAnsi="宋体" w:cs="宋体"/>
                <w:color w:val="auto"/>
                <w:kern w:val="0"/>
                <w:sz w:val="24"/>
                <w:highlight w:val="none"/>
              </w:rPr>
            </w:pPr>
            <w:r>
              <w:rPr>
                <w:rFonts w:hint="eastAsia" w:ascii="宋体" w:hAnsi="宋体" w:cs="宋体"/>
                <w:b/>
                <w:bCs w:val="0"/>
                <w:color w:val="auto"/>
                <w:kern w:val="0"/>
                <w:sz w:val="24"/>
                <w:highlight w:val="none"/>
              </w:rPr>
              <w:t>技</w:t>
            </w:r>
            <w:r>
              <w:rPr>
                <w:rFonts w:hint="eastAsia" w:ascii="宋体" w:hAnsi="宋体" w:cs="宋体"/>
                <w:b/>
                <w:bCs w:val="0"/>
                <w:color w:val="auto"/>
                <w:sz w:val="24"/>
                <w:highlight w:val="none"/>
              </w:rPr>
              <w:t>术分（满分</w:t>
            </w:r>
            <w:r>
              <w:rPr>
                <w:rFonts w:hint="eastAsia" w:ascii="宋体" w:hAnsi="宋体" w:cs="宋体"/>
                <w:b/>
                <w:bCs w:val="0"/>
                <w:color w:val="auto"/>
                <w:sz w:val="24"/>
                <w:highlight w:val="none"/>
                <w:lang w:val="en-US" w:eastAsia="zh-CN"/>
              </w:rPr>
              <w:t>75</w:t>
            </w:r>
            <w:r>
              <w:rPr>
                <w:rFonts w:hint="eastAsia" w:ascii="宋体" w:hAnsi="宋体" w:cs="宋体"/>
                <w:b/>
                <w:bCs w:val="0"/>
                <w:color w:val="auto"/>
                <w:sz w:val="24"/>
                <w:highlight w:val="none"/>
              </w:rPr>
              <w:t>分）</w:t>
            </w:r>
          </w:p>
        </w:tc>
        <w:tc>
          <w:tcPr>
            <w:tcW w:w="7977" w:type="dxa"/>
            <w:gridSpan w:val="2"/>
            <w:noWrap w:val="0"/>
            <w:vAlign w:val="center"/>
          </w:tcPr>
          <w:p w14:paraId="39C764CE">
            <w:pPr>
              <w:widowControl/>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评审因素</w:t>
            </w:r>
          </w:p>
        </w:tc>
      </w:tr>
      <w:tr w14:paraId="16E82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60" w:type="dxa"/>
            <w:noWrap w:val="0"/>
            <w:vAlign w:val="center"/>
          </w:tcPr>
          <w:p w14:paraId="7C0F52B4">
            <w:pPr>
              <w:adjustRightInd w:val="0"/>
              <w:spacing w:line="360" w:lineRule="auto"/>
              <w:ind w:left="-105" w:leftChars="-50" w:right="-105" w:rightChars="-50"/>
              <w:jc w:val="center"/>
              <w:textAlignment w:val="baseline"/>
              <w:rPr>
                <w:rFonts w:hint="eastAsia" w:ascii="宋体" w:hAnsi="宋体" w:cs="宋体"/>
                <w:bCs/>
                <w:color w:val="auto"/>
                <w:kern w:val="0"/>
                <w:sz w:val="24"/>
                <w:highlight w:val="none"/>
              </w:rPr>
            </w:pPr>
            <w:r>
              <w:rPr>
                <w:rFonts w:hint="eastAsia" w:ascii="宋体" w:hAnsi="宋体" w:cs="宋体"/>
                <w:bCs/>
                <w:color w:val="auto"/>
                <w:kern w:val="0"/>
                <w:sz w:val="24"/>
                <w:highlight w:val="none"/>
              </w:rPr>
              <w:t>2.1</w:t>
            </w:r>
          </w:p>
        </w:tc>
        <w:tc>
          <w:tcPr>
            <w:tcW w:w="1418" w:type="dxa"/>
            <w:noWrap w:val="0"/>
            <w:vAlign w:val="center"/>
          </w:tcPr>
          <w:p w14:paraId="67461229">
            <w:pPr>
              <w:spacing w:beforeLines="0" w:afterLines="0" w:line="360" w:lineRule="auto"/>
              <w:rPr>
                <w:rFonts w:hint="default" w:ascii="Arial" w:hAnsi="宋体" w:eastAsia="宋体" w:cs="宋体"/>
                <w:color w:val="auto"/>
                <w:sz w:val="21"/>
                <w:szCs w:val="21"/>
                <w:highlight w:val="none"/>
              </w:rPr>
            </w:pPr>
            <w:r>
              <w:rPr>
                <w:rFonts w:hint="default" w:ascii="Arial" w:hAnsi="宋体" w:eastAsia="宋体" w:cs="宋体"/>
                <w:color w:val="auto"/>
                <w:sz w:val="21"/>
                <w:szCs w:val="21"/>
                <w:highlight w:val="none"/>
              </w:rPr>
              <w:t>广西网上信访信息系统维护服务方案</w:t>
            </w:r>
          </w:p>
        </w:tc>
        <w:tc>
          <w:tcPr>
            <w:tcW w:w="7110" w:type="dxa"/>
            <w:noWrap w:val="0"/>
            <w:vAlign w:val="center"/>
          </w:tcPr>
          <w:p w14:paraId="1B178C24">
            <w:pPr>
              <w:spacing w:beforeLines="0" w:afterLines="0" w:line="360" w:lineRule="auto"/>
              <w:ind w:firstLine="420" w:firstLineChars="200"/>
              <w:rPr>
                <w:rFonts w:hint="default" w:ascii="Arial" w:hAnsi="宋体" w:eastAsia="宋体" w:cs="宋体"/>
                <w:color w:val="auto"/>
                <w:sz w:val="21"/>
                <w:szCs w:val="21"/>
                <w:highlight w:val="none"/>
              </w:rPr>
            </w:pPr>
            <w:r>
              <w:rPr>
                <w:rFonts w:hint="default" w:ascii="Arial" w:hAnsi="宋体" w:eastAsia="宋体" w:cs="宋体"/>
                <w:color w:val="auto"/>
                <w:sz w:val="21"/>
                <w:szCs w:val="21"/>
                <w:highlight w:val="none"/>
              </w:rPr>
              <w:t>一档（</w:t>
            </w:r>
            <w:r>
              <w:rPr>
                <w:rFonts w:hint="default" w:ascii="宋体" w:hAnsi="宋体" w:eastAsia="宋体" w:cs="宋体"/>
                <w:color w:val="auto"/>
                <w:sz w:val="21"/>
                <w:szCs w:val="21"/>
                <w:highlight w:val="none"/>
              </w:rPr>
              <w:t>5</w:t>
            </w:r>
            <w:r>
              <w:rPr>
                <w:rFonts w:hint="default" w:ascii="Arial" w:hAnsi="宋体" w:eastAsia="宋体" w:cs="宋体"/>
                <w:color w:val="auto"/>
                <w:sz w:val="21"/>
                <w:szCs w:val="21"/>
                <w:highlight w:val="none"/>
              </w:rPr>
              <w:t>分）：提供的服务方案对广西网上信访信息系统情况及运维服务相关工作流程有描述，运维目标与采购需求相关。</w:t>
            </w:r>
          </w:p>
          <w:p w14:paraId="5FB72600">
            <w:pPr>
              <w:spacing w:beforeLines="0" w:afterLines="0" w:line="360" w:lineRule="auto"/>
              <w:ind w:firstLine="420" w:firstLineChars="200"/>
              <w:rPr>
                <w:rFonts w:hint="default" w:ascii="Arial" w:hAnsi="宋体" w:eastAsia="宋体" w:cs="宋体"/>
                <w:color w:val="auto"/>
                <w:sz w:val="21"/>
                <w:szCs w:val="21"/>
                <w:highlight w:val="none"/>
              </w:rPr>
            </w:pPr>
            <w:r>
              <w:rPr>
                <w:rFonts w:hint="default" w:ascii="Arial" w:hAnsi="宋体" w:eastAsia="宋体" w:cs="宋体"/>
                <w:color w:val="auto"/>
                <w:sz w:val="21"/>
                <w:szCs w:val="21"/>
                <w:highlight w:val="none"/>
              </w:rPr>
              <w:t>二档（</w:t>
            </w:r>
            <w:r>
              <w:rPr>
                <w:rFonts w:hint="default" w:ascii="宋体" w:hAnsi="宋体" w:eastAsia="宋体" w:cs="宋体"/>
                <w:color w:val="auto"/>
                <w:sz w:val="21"/>
                <w:szCs w:val="21"/>
                <w:highlight w:val="none"/>
              </w:rPr>
              <w:t>10</w:t>
            </w:r>
            <w:r>
              <w:rPr>
                <w:rFonts w:hint="default" w:ascii="Arial" w:hAnsi="宋体" w:eastAsia="宋体" w:cs="宋体"/>
                <w:color w:val="auto"/>
                <w:sz w:val="21"/>
                <w:szCs w:val="21"/>
                <w:highlight w:val="none"/>
              </w:rPr>
              <w:t>分）：</w:t>
            </w:r>
            <w:r>
              <w:rPr>
                <w:rFonts w:hint="default" w:ascii="宋体" w:eastAsia="宋体"/>
                <w:color w:val="auto"/>
                <w:sz w:val="21"/>
                <w:szCs w:val="24"/>
                <w:highlight w:val="none"/>
              </w:rPr>
              <w:t>在满足一档的基础上，</w:t>
            </w:r>
            <w:r>
              <w:rPr>
                <w:rFonts w:hint="default" w:ascii="Arial" w:hAnsi="宋体" w:eastAsia="宋体" w:cs="宋体"/>
                <w:color w:val="auto"/>
                <w:sz w:val="21"/>
                <w:szCs w:val="21"/>
                <w:highlight w:val="none"/>
              </w:rPr>
              <w:t>提供的服务方案对广西网上信访信息系统</w:t>
            </w:r>
            <w:r>
              <w:rPr>
                <w:rFonts w:hint="default" w:ascii="宋体" w:hAnsi="宋体" w:eastAsia="宋体" w:cs="宋体"/>
                <w:color w:val="auto"/>
                <w:sz w:val="21"/>
                <w:szCs w:val="21"/>
                <w:highlight w:val="none"/>
              </w:rPr>
              <w:t>情况</w:t>
            </w:r>
            <w:r>
              <w:rPr>
                <w:rFonts w:hint="default" w:ascii="Arial" w:hAnsi="宋体" w:eastAsia="宋体" w:cs="宋体"/>
                <w:color w:val="auto"/>
                <w:sz w:val="21"/>
                <w:szCs w:val="21"/>
                <w:highlight w:val="none"/>
              </w:rPr>
              <w:t>及运维服务相关有详细描述，有具体分析，提供的服务方案包含了运维目标</w:t>
            </w:r>
            <w:r>
              <w:rPr>
                <w:rFonts w:hint="default" w:ascii="宋体" w:hAnsi="宋体" w:eastAsia="宋体" w:cs="宋体"/>
                <w:color w:val="auto"/>
                <w:sz w:val="21"/>
                <w:szCs w:val="21"/>
                <w:highlight w:val="none"/>
              </w:rPr>
              <w:t>、</w:t>
            </w:r>
            <w:r>
              <w:rPr>
                <w:rFonts w:hint="default" w:ascii="Arial" w:hAnsi="宋体" w:eastAsia="宋体" w:cs="宋体"/>
                <w:color w:val="auto"/>
                <w:sz w:val="21"/>
                <w:szCs w:val="21"/>
                <w:highlight w:val="none"/>
              </w:rPr>
              <w:t>运维范围内容。</w:t>
            </w:r>
          </w:p>
          <w:p w14:paraId="5BB15D96">
            <w:pPr>
              <w:spacing w:beforeLines="0" w:afterLines="0" w:line="360" w:lineRule="auto"/>
              <w:ind w:firstLine="420" w:firstLineChars="200"/>
              <w:rPr>
                <w:rFonts w:hint="eastAsia" w:ascii="宋体" w:hAnsi="宋体" w:cs="宋体"/>
                <w:bCs/>
                <w:color w:val="auto"/>
                <w:sz w:val="24"/>
                <w:highlight w:val="none"/>
              </w:rPr>
            </w:pPr>
            <w:r>
              <w:rPr>
                <w:rFonts w:hint="default" w:ascii="Arial" w:hAnsi="宋体" w:eastAsia="宋体" w:cs="宋体"/>
                <w:color w:val="auto"/>
                <w:sz w:val="21"/>
                <w:szCs w:val="21"/>
                <w:highlight w:val="none"/>
              </w:rPr>
              <w:t>三档（1</w:t>
            </w:r>
            <w:r>
              <w:rPr>
                <w:rFonts w:hint="default" w:ascii="宋体" w:hAnsi="宋体" w:eastAsia="宋体" w:cs="宋体"/>
                <w:color w:val="auto"/>
                <w:sz w:val="21"/>
                <w:szCs w:val="21"/>
                <w:highlight w:val="none"/>
              </w:rPr>
              <w:t>5</w:t>
            </w:r>
            <w:r>
              <w:rPr>
                <w:rFonts w:hint="default" w:ascii="Arial" w:hAnsi="宋体" w:eastAsia="宋体" w:cs="宋体"/>
                <w:color w:val="auto"/>
                <w:sz w:val="21"/>
                <w:szCs w:val="21"/>
                <w:highlight w:val="none"/>
              </w:rPr>
              <w:t>分）：</w:t>
            </w:r>
            <w:r>
              <w:rPr>
                <w:rFonts w:hint="default" w:ascii="宋体" w:eastAsia="宋体"/>
                <w:color w:val="auto"/>
                <w:sz w:val="21"/>
                <w:szCs w:val="24"/>
                <w:highlight w:val="none"/>
              </w:rPr>
              <w:t>在满足二档的基础上，</w:t>
            </w:r>
            <w:r>
              <w:rPr>
                <w:rFonts w:hint="default" w:ascii="Arial" w:hAnsi="宋体" w:eastAsia="宋体" w:cs="宋体"/>
                <w:color w:val="auto"/>
                <w:sz w:val="21"/>
                <w:szCs w:val="21"/>
                <w:highlight w:val="none"/>
              </w:rPr>
              <w:t>提供的服务方案对广西网上信访信息系统情况及运维服务相关工作有详细描述，包含运维范围</w:t>
            </w:r>
            <w:r>
              <w:rPr>
                <w:rFonts w:hint="default" w:ascii="宋体" w:hAnsi="宋体" w:eastAsia="宋体" w:cs="宋体"/>
                <w:color w:val="auto"/>
                <w:sz w:val="21"/>
                <w:szCs w:val="21"/>
                <w:highlight w:val="none"/>
              </w:rPr>
              <w:t>、</w:t>
            </w:r>
            <w:r>
              <w:rPr>
                <w:rFonts w:hint="default" w:ascii="Arial" w:hAnsi="宋体" w:eastAsia="宋体" w:cs="宋体"/>
                <w:color w:val="auto"/>
                <w:sz w:val="21"/>
                <w:szCs w:val="21"/>
                <w:highlight w:val="none"/>
              </w:rPr>
              <w:t>运维方式</w:t>
            </w:r>
            <w:r>
              <w:rPr>
                <w:rFonts w:hint="default" w:ascii="宋体" w:hAnsi="宋体" w:eastAsia="宋体" w:cs="宋体"/>
                <w:color w:val="auto"/>
                <w:sz w:val="21"/>
                <w:szCs w:val="21"/>
                <w:highlight w:val="none"/>
              </w:rPr>
              <w:t>、</w:t>
            </w:r>
            <w:r>
              <w:rPr>
                <w:rFonts w:hint="default" w:ascii="Arial" w:hAnsi="宋体" w:eastAsia="宋体" w:cs="宋体"/>
                <w:color w:val="auto"/>
                <w:sz w:val="21"/>
                <w:szCs w:val="21"/>
                <w:highlight w:val="none"/>
              </w:rPr>
              <w:t>运维管理制度</w:t>
            </w:r>
            <w:r>
              <w:rPr>
                <w:rFonts w:hint="default" w:ascii="宋体" w:hAnsi="宋体" w:eastAsia="宋体" w:cs="宋体"/>
                <w:color w:val="auto"/>
                <w:sz w:val="21"/>
                <w:szCs w:val="21"/>
                <w:highlight w:val="none"/>
              </w:rPr>
              <w:t>、</w:t>
            </w:r>
            <w:r>
              <w:rPr>
                <w:rFonts w:hint="default" w:ascii="Arial" w:hAnsi="宋体" w:eastAsia="宋体" w:cs="宋体"/>
                <w:color w:val="auto"/>
                <w:sz w:val="21"/>
                <w:szCs w:val="21"/>
                <w:highlight w:val="none"/>
              </w:rPr>
              <w:t>驻场服务人员配备计划、运维实施流程、符合实际部署的技术</w:t>
            </w:r>
            <w:r>
              <w:rPr>
                <w:rFonts w:hint="default" w:ascii="宋体" w:hAnsi="宋体" w:eastAsia="宋体" w:cs="宋体"/>
                <w:color w:val="auto"/>
                <w:sz w:val="21"/>
                <w:szCs w:val="21"/>
                <w:highlight w:val="none"/>
              </w:rPr>
              <w:t>运维手册</w:t>
            </w:r>
            <w:r>
              <w:rPr>
                <w:rFonts w:hint="default" w:ascii="Arial" w:hAnsi="宋体" w:eastAsia="宋体" w:cs="宋体"/>
                <w:color w:val="auto"/>
                <w:sz w:val="21"/>
                <w:szCs w:val="21"/>
                <w:highlight w:val="none"/>
              </w:rPr>
              <w:t>、文档管理措施</w:t>
            </w:r>
            <w:r>
              <w:rPr>
                <w:rFonts w:hint="default" w:ascii="宋体" w:hAnsi="宋体" w:eastAsia="宋体" w:cs="宋体"/>
                <w:color w:val="auto"/>
                <w:sz w:val="21"/>
                <w:szCs w:val="21"/>
                <w:highlight w:val="none"/>
              </w:rPr>
              <w:t>、提供接近</w:t>
            </w:r>
            <w:r>
              <w:rPr>
                <w:rFonts w:hint="eastAsia" w:ascii="宋体" w:hAnsi="宋体" w:cs="宋体"/>
                <w:color w:val="auto"/>
                <w:sz w:val="21"/>
                <w:szCs w:val="21"/>
                <w:highlight w:val="none"/>
                <w:lang w:eastAsia="zh-CN"/>
              </w:rPr>
              <w:t>本次</w:t>
            </w:r>
            <w:r>
              <w:rPr>
                <w:rFonts w:hint="default" w:ascii="宋体" w:hAnsi="宋体" w:eastAsia="宋体" w:cs="宋体"/>
                <w:color w:val="auto"/>
                <w:sz w:val="21"/>
                <w:szCs w:val="21"/>
                <w:highlight w:val="none"/>
              </w:rPr>
              <w:t>维护系统</w:t>
            </w:r>
            <w:r>
              <w:rPr>
                <w:rFonts w:hint="eastAsia" w:ascii="宋体" w:hAnsi="宋体" w:cs="宋体"/>
                <w:color w:val="auto"/>
                <w:sz w:val="21"/>
                <w:szCs w:val="21"/>
                <w:highlight w:val="none"/>
                <w:lang w:eastAsia="zh-CN"/>
              </w:rPr>
              <w:t>的</w:t>
            </w:r>
            <w:r>
              <w:rPr>
                <w:rFonts w:hint="default" w:ascii="宋体" w:hAnsi="宋体" w:eastAsia="宋体" w:cs="宋体"/>
                <w:color w:val="auto"/>
                <w:sz w:val="21"/>
                <w:szCs w:val="21"/>
                <w:highlight w:val="none"/>
              </w:rPr>
              <w:t>日常运维</w:t>
            </w:r>
            <w:r>
              <w:rPr>
                <w:rFonts w:hint="default" w:ascii="Arial" w:hAnsi="宋体" w:eastAsia="宋体" w:cs="宋体"/>
                <w:color w:val="auto"/>
                <w:sz w:val="21"/>
                <w:szCs w:val="21"/>
                <w:highlight w:val="none"/>
              </w:rPr>
              <w:t>实际案例，并承诺运维服务响应时间,有特殊时间运维保障策略，有能充分体现出运维保障策略和措施相关内容描述。</w:t>
            </w:r>
          </w:p>
        </w:tc>
        <w:tc>
          <w:tcPr>
            <w:tcW w:w="867" w:type="dxa"/>
            <w:noWrap w:val="0"/>
            <w:vAlign w:val="center"/>
          </w:tcPr>
          <w:p w14:paraId="3BA81D90">
            <w:pPr>
              <w:spacing w:beforeLines="0" w:afterLines="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15分</w:t>
            </w:r>
          </w:p>
        </w:tc>
      </w:tr>
      <w:tr w14:paraId="26630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60" w:type="dxa"/>
            <w:noWrap w:val="0"/>
            <w:vAlign w:val="center"/>
          </w:tcPr>
          <w:p w14:paraId="70483FF0">
            <w:pPr>
              <w:adjustRightInd w:val="0"/>
              <w:spacing w:line="360" w:lineRule="auto"/>
              <w:ind w:left="-105" w:leftChars="-50" w:right="-105" w:rightChars="-50"/>
              <w:jc w:val="center"/>
              <w:textAlignment w:val="baseline"/>
              <w:rPr>
                <w:rFonts w:hint="eastAsia" w:ascii="宋体" w:hAnsi="宋体" w:eastAsia="宋体" w:cs="宋体"/>
                <w:bCs/>
                <w:color w:val="auto"/>
                <w:kern w:val="0"/>
                <w:sz w:val="24"/>
                <w:highlight w:val="none"/>
                <w:lang w:eastAsia="zh-CN"/>
              </w:rPr>
            </w:pPr>
            <w:r>
              <w:rPr>
                <w:rFonts w:hint="eastAsia" w:ascii="宋体" w:hAnsi="宋体" w:cs="宋体"/>
                <w:bCs/>
                <w:color w:val="auto"/>
                <w:kern w:val="0"/>
                <w:sz w:val="24"/>
                <w:highlight w:val="none"/>
              </w:rPr>
              <w:t>2.</w:t>
            </w:r>
            <w:r>
              <w:rPr>
                <w:rFonts w:hint="eastAsia" w:ascii="宋体" w:hAnsi="宋体" w:cs="宋体"/>
                <w:bCs/>
                <w:color w:val="auto"/>
                <w:kern w:val="0"/>
                <w:sz w:val="24"/>
                <w:highlight w:val="none"/>
                <w:lang w:val="en-US" w:eastAsia="zh-CN"/>
              </w:rPr>
              <w:t>2</w:t>
            </w:r>
          </w:p>
        </w:tc>
        <w:tc>
          <w:tcPr>
            <w:tcW w:w="1418" w:type="dxa"/>
            <w:noWrap w:val="0"/>
            <w:vAlign w:val="center"/>
          </w:tcPr>
          <w:p w14:paraId="2260DD8B">
            <w:pPr>
              <w:spacing w:beforeLines="0" w:afterLines="0" w:line="360" w:lineRule="auto"/>
              <w:rPr>
                <w:rFonts w:hint="eastAsia" w:ascii="Arial" w:hAnsi="宋体" w:eastAsia="宋体" w:cs="宋体"/>
                <w:color w:val="auto"/>
                <w:sz w:val="21"/>
                <w:szCs w:val="21"/>
                <w:highlight w:val="none"/>
              </w:rPr>
            </w:pPr>
            <w:r>
              <w:rPr>
                <w:rFonts w:hint="default" w:ascii="Arial" w:hAnsi="宋体" w:eastAsia="宋体" w:cs="宋体"/>
                <w:color w:val="auto"/>
                <w:sz w:val="21"/>
                <w:szCs w:val="21"/>
                <w:highlight w:val="none"/>
              </w:rPr>
              <w:t>广西信访网站群运维服务方案</w:t>
            </w:r>
          </w:p>
        </w:tc>
        <w:tc>
          <w:tcPr>
            <w:tcW w:w="7110" w:type="dxa"/>
            <w:noWrap w:val="0"/>
            <w:vAlign w:val="center"/>
          </w:tcPr>
          <w:p w14:paraId="220EC303">
            <w:pPr>
              <w:suppressAutoHyphens/>
              <w:spacing w:beforeLines="0" w:afterLines="0" w:line="360" w:lineRule="auto"/>
              <w:ind w:firstLine="420" w:firstLineChars="200"/>
              <w:rPr>
                <w:rFonts w:hint="default" w:ascii="Arial" w:hAnsi="宋体" w:eastAsia="宋体" w:cs="Courier New"/>
                <w:color w:val="auto"/>
                <w:sz w:val="21"/>
                <w:szCs w:val="21"/>
                <w:highlight w:val="none"/>
              </w:rPr>
            </w:pPr>
            <w:r>
              <w:rPr>
                <w:rFonts w:hint="default" w:ascii="Arial" w:hAnsi="宋体" w:eastAsia="宋体" w:cs="Courier New"/>
                <w:color w:val="auto"/>
                <w:sz w:val="21"/>
                <w:szCs w:val="21"/>
                <w:highlight w:val="none"/>
              </w:rPr>
              <w:t>一档（</w:t>
            </w:r>
            <w:r>
              <w:rPr>
                <w:rFonts w:hint="default" w:ascii="宋体" w:hAnsi="宋体" w:eastAsia="宋体" w:cs="Courier New"/>
                <w:color w:val="auto"/>
                <w:sz w:val="21"/>
                <w:szCs w:val="21"/>
                <w:highlight w:val="none"/>
              </w:rPr>
              <w:t>5</w:t>
            </w:r>
            <w:r>
              <w:rPr>
                <w:rFonts w:hint="default" w:ascii="Arial" w:hAnsi="宋体" w:eastAsia="宋体" w:cs="Courier New"/>
                <w:color w:val="auto"/>
                <w:sz w:val="21"/>
                <w:szCs w:val="21"/>
                <w:highlight w:val="none"/>
              </w:rPr>
              <w:t>分）：提供的服务方案对“广西信访”网站群情况及运维服务相关工作流程有描述，运维目标与采购需求相关。</w:t>
            </w:r>
          </w:p>
          <w:p w14:paraId="103891E0">
            <w:pPr>
              <w:suppressAutoHyphens/>
              <w:spacing w:beforeLines="0" w:afterLines="0" w:line="360" w:lineRule="auto"/>
              <w:ind w:firstLine="420" w:firstLineChars="200"/>
              <w:rPr>
                <w:rFonts w:hint="default" w:ascii="Arial" w:hAnsi="宋体" w:eastAsia="宋体" w:cs="Courier New"/>
                <w:color w:val="auto"/>
                <w:sz w:val="21"/>
                <w:szCs w:val="21"/>
                <w:highlight w:val="none"/>
              </w:rPr>
            </w:pPr>
            <w:r>
              <w:rPr>
                <w:rFonts w:hint="default" w:ascii="Arial" w:hAnsi="宋体" w:eastAsia="宋体" w:cs="Courier New"/>
                <w:color w:val="auto"/>
                <w:sz w:val="21"/>
                <w:szCs w:val="21"/>
                <w:highlight w:val="none"/>
              </w:rPr>
              <w:t>二档（</w:t>
            </w:r>
            <w:r>
              <w:rPr>
                <w:rFonts w:hint="default" w:ascii="宋体" w:hAnsi="宋体" w:eastAsia="宋体" w:cs="Courier New"/>
                <w:color w:val="auto"/>
                <w:sz w:val="21"/>
                <w:szCs w:val="21"/>
                <w:highlight w:val="none"/>
              </w:rPr>
              <w:t>10</w:t>
            </w:r>
            <w:r>
              <w:rPr>
                <w:rFonts w:hint="default" w:ascii="Arial" w:hAnsi="宋体" w:eastAsia="宋体" w:cs="Courier New"/>
                <w:color w:val="auto"/>
                <w:sz w:val="21"/>
                <w:szCs w:val="21"/>
                <w:highlight w:val="none"/>
              </w:rPr>
              <w:t>分）：</w:t>
            </w:r>
            <w:r>
              <w:rPr>
                <w:rFonts w:hint="default" w:ascii="宋体" w:eastAsia="宋体"/>
                <w:color w:val="auto"/>
                <w:sz w:val="21"/>
                <w:szCs w:val="24"/>
                <w:highlight w:val="none"/>
              </w:rPr>
              <w:t>在满足一档的基础上，</w:t>
            </w:r>
            <w:r>
              <w:rPr>
                <w:rFonts w:hint="default" w:ascii="Arial" w:hAnsi="宋体" w:eastAsia="宋体" w:cs="Courier New"/>
                <w:color w:val="auto"/>
                <w:sz w:val="21"/>
                <w:szCs w:val="21"/>
                <w:highlight w:val="none"/>
              </w:rPr>
              <w:t>提供的服务方案对“广西信访”网站群情况及运维服务相关有详细描述，有具体分析，提供的服务方案包含了运维目标</w:t>
            </w:r>
            <w:r>
              <w:rPr>
                <w:rFonts w:hint="default" w:ascii="宋体" w:hAnsi="宋体" w:eastAsia="宋体" w:cs="Courier New"/>
                <w:color w:val="auto"/>
                <w:sz w:val="21"/>
                <w:szCs w:val="21"/>
                <w:highlight w:val="none"/>
              </w:rPr>
              <w:t>、</w:t>
            </w:r>
            <w:r>
              <w:rPr>
                <w:rFonts w:hint="default" w:ascii="Arial" w:hAnsi="宋体" w:eastAsia="宋体" w:cs="Courier New"/>
                <w:color w:val="auto"/>
                <w:sz w:val="21"/>
                <w:szCs w:val="21"/>
                <w:highlight w:val="none"/>
              </w:rPr>
              <w:t>运维范围内容。</w:t>
            </w:r>
          </w:p>
          <w:p w14:paraId="3FA5D4CF">
            <w:pPr>
              <w:suppressAutoHyphens/>
              <w:spacing w:beforeLines="0" w:afterLines="0" w:line="360" w:lineRule="auto"/>
              <w:ind w:firstLine="420" w:firstLineChars="200"/>
              <w:rPr>
                <w:rFonts w:hint="eastAsia" w:ascii="宋体" w:hAnsi="宋体" w:eastAsia="宋体" w:cs="宋体"/>
                <w:bCs/>
                <w:color w:val="auto"/>
                <w:kern w:val="2"/>
                <w:sz w:val="24"/>
                <w:szCs w:val="24"/>
                <w:highlight w:val="none"/>
                <w:lang w:eastAsia="zh-CN"/>
              </w:rPr>
            </w:pPr>
            <w:r>
              <w:rPr>
                <w:rFonts w:hint="default" w:ascii="Arial" w:hAnsi="宋体" w:eastAsia="宋体" w:cs="Courier New"/>
                <w:color w:val="auto"/>
                <w:sz w:val="21"/>
                <w:szCs w:val="21"/>
                <w:highlight w:val="none"/>
              </w:rPr>
              <w:t>三档（1</w:t>
            </w:r>
            <w:r>
              <w:rPr>
                <w:rFonts w:hint="default" w:ascii="宋体" w:hAnsi="宋体" w:eastAsia="宋体" w:cs="Courier New"/>
                <w:color w:val="auto"/>
                <w:sz w:val="21"/>
                <w:szCs w:val="21"/>
                <w:highlight w:val="none"/>
              </w:rPr>
              <w:t>5</w:t>
            </w:r>
            <w:r>
              <w:rPr>
                <w:rFonts w:hint="default" w:ascii="Arial" w:hAnsi="宋体" w:eastAsia="宋体" w:cs="Courier New"/>
                <w:color w:val="auto"/>
                <w:sz w:val="21"/>
                <w:szCs w:val="21"/>
                <w:highlight w:val="none"/>
              </w:rPr>
              <w:t>分）：</w:t>
            </w:r>
            <w:r>
              <w:rPr>
                <w:rFonts w:hint="default" w:ascii="宋体" w:eastAsia="宋体"/>
                <w:color w:val="auto"/>
                <w:sz w:val="21"/>
                <w:szCs w:val="24"/>
                <w:highlight w:val="none"/>
              </w:rPr>
              <w:t>在满足二档的基础上，</w:t>
            </w:r>
            <w:r>
              <w:rPr>
                <w:rFonts w:hint="default" w:ascii="Arial" w:hAnsi="宋体" w:eastAsia="宋体" w:cs="Courier New"/>
                <w:color w:val="auto"/>
                <w:sz w:val="21"/>
                <w:szCs w:val="21"/>
                <w:highlight w:val="none"/>
              </w:rPr>
              <w:t>提供的服务方案对“广西信访”网站群系统情况及运维服务相关工作有详细描述，</w:t>
            </w:r>
            <w:r>
              <w:rPr>
                <w:rFonts w:hint="default" w:ascii="Arial" w:hAnsi="宋体" w:eastAsia="宋体" w:cs="宋体"/>
                <w:color w:val="auto"/>
                <w:sz w:val="21"/>
                <w:szCs w:val="21"/>
                <w:highlight w:val="none"/>
              </w:rPr>
              <w:t>包含运维范围</w:t>
            </w:r>
            <w:r>
              <w:rPr>
                <w:rFonts w:hint="default" w:ascii="宋体" w:hAnsi="宋体" w:eastAsia="宋体" w:cs="宋体"/>
                <w:color w:val="auto"/>
                <w:sz w:val="21"/>
                <w:szCs w:val="21"/>
                <w:highlight w:val="none"/>
              </w:rPr>
              <w:t>、</w:t>
            </w:r>
            <w:r>
              <w:rPr>
                <w:rFonts w:hint="default" w:ascii="Arial" w:hAnsi="宋体" w:eastAsia="宋体" w:cs="宋体"/>
                <w:color w:val="auto"/>
                <w:sz w:val="21"/>
                <w:szCs w:val="21"/>
                <w:highlight w:val="none"/>
              </w:rPr>
              <w:t>运维方式</w:t>
            </w:r>
            <w:r>
              <w:rPr>
                <w:rFonts w:hint="default" w:ascii="宋体" w:hAnsi="宋体" w:eastAsia="宋体" w:cs="宋体"/>
                <w:color w:val="auto"/>
                <w:sz w:val="21"/>
                <w:szCs w:val="21"/>
                <w:highlight w:val="none"/>
              </w:rPr>
              <w:t>、</w:t>
            </w:r>
            <w:r>
              <w:rPr>
                <w:rFonts w:hint="default" w:ascii="Arial" w:hAnsi="宋体" w:eastAsia="宋体" w:cs="宋体"/>
                <w:color w:val="auto"/>
                <w:sz w:val="21"/>
                <w:szCs w:val="21"/>
                <w:highlight w:val="none"/>
              </w:rPr>
              <w:t>运维管理制度</w:t>
            </w:r>
            <w:r>
              <w:rPr>
                <w:rFonts w:hint="default" w:ascii="宋体" w:hAnsi="宋体" w:eastAsia="宋体" w:cs="宋体"/>
                <w:color w:val="auto"/>
                <w:sz w:val="21"/>
                <w:szCs w:val="21"/>
                <w:highlight w:val="none"/>
              </w:rPr>
              <w:t>、</w:t>
            </w:r>
            <w:r>
              <w:rPr>
                <w:rFonts w:hint="default" w:ascii="Arial" w:hAnsi="宋体" w:eastAsia="宋体" w:cs="宋体"/>
                <w:color w:val="auto"/>
                <w:sz w:val="21"/>
                <w:szCs w:val="21"/>
                <w:highlight w:val="none"/>
              </w:rPr>
              <w:t>驻场服务人员配备计划、运维实施流程、符合实际部署的技术</w:t>
            </w:r>
            <w:r>
              <w:rPr>
                <w:rFonts w:hint="default" w:ascii="宋体" w:hAnsi="宋体" w:eastAsia="宋体" w:cs="宋体"/>
                <w:color w:val="auto"/>
                <w:sz w:val="21"/>
                <w:szCs w:val="21"/>
                <w:highlight w:val="none"/>
              </w:rPr>
              <w:t>运维手册</w:t>
            </w:r>
            <w:r>
              <w:rPr>
                <w:rFonts w:hint="default" w:ascii="Arial" w:hAnsi="宋体" w:eastAsia="宋体" w:cs="宋体"/>
                <w:color w:val="auto"/>
                <w:sz w:val="21"/>
                <w:szCs w:val="21"/>
                <w:highlight w:val="none"/>
              </w:rPr>
              <w:t>、文档管理措施</w:t>
            </w:r>
            <w:r>
              <w:rPr>
                <w:rFonts w:hint="default" w:ascii="宋体" w:hAnsi="宋体" w:eastAsia="宋体" w:cs="宋体"/>
                <w:color w:val="auto"/>
                <w:sz w:val="21"/>
                <w:szCs w:val="21"/>
                <w:highlight w:val="none"/>
              </w:rPr>
              <w:t>提供接近</w:t>
            </w:r>
            <w:r>
              <w:rPr>
                <w:rFonts w:hint="eastAsia" w:ascii="宋体" w:hAnsi="宋体" w:cs="宋体"/>
                <w:color w:val="auto"/>
                <w:sz w:val="21"/>
                <w:szCs w:val="21"/>
                <w:highlight w:val="none"/>
                <w:lang w:eastAsia="zh-CN"/>
              </w:rPr>
              <w:t>本次</w:t>
            </w:r>
            <w:r>
              <w:rPr>
                <w:rFonts w:hint="default" w:ascii="宋体" w:hAnsi="宋体" w:eastAsia="宋体" w:cs="宋体"/>
                <w:color w:val="auto"/>
                <w:sz w:val="21"/>
                <w:szCs w:val="21"/>
                <w:highlight w:val="none"/>
              </w:rPr>
              <w:t>维护系统</w:t>
            </w:r>
            <w:r>
              <w:rPr>
                <w:rFonts w:hint="eastAsia" w:ascii="宋体" w:hAnsi="宋体" w:cs="宋体"/>
                <w:color w:val="auto"/>
                <w:sz w:val="21"/>
                <w:szCs w:val="21"/>
                <w:highlight w:val="none"/>
                <w:lang w:eastAsia="zh-CN"/>
              </w:rPr>
              <w:t>的</w:t>
            </w:r>
            <w:r>
              <w:rPr>
                <w:rFonts w:hint="default" w:ascii="宋体" w:hAnsi="宋体" w:eastAsia="宋体" w:cs="宋体"/>
                <w:color w:val="auto"/>
                <w:sz w:val="21"/>
                <w:szCs w:val="21"/>
                <w:highlight w:val="none"/>
              </w:rPr>
              <w:t>日常运维</w:t>
            </w:r>
            <w:r>
              <w:rPr>
                <w:rFonts w:hint="default" w:ascii="Arial" w:hAnsi="宋体" w:eastAsia="宋体" w:cs="宋体"/>
                <w:color w:val="auto"/>
                <w:sz w:val="21"/>
                <w:szCs w:val="21"/>
                <w:highlight w:val="none"/>
              </w:rPr>
              <w:t>实际案例，并承诺运维服务响应时间,有特殊时间运维保障策略，有能充分体现出运维保障策略和措施相关内容描述。</w:t>
            </w:r>
          </w:p>
        </w:tc>
        <w:tc>
          <w:tcPr>
            <w:tcW w:w="867" w:type="dxa"/>
            <w:noWrap w:val="0"/>
            <w:vAlign w:val="center"/>
          </w:tcPr>
          <w:p w14:paraId="5328EF0D">
            <w:pPr>
              <w:spacing w:beforeLines="0" w:afterLines="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15分</w:t>
            </w:r>
          </w:p>
        </w:tc>
      </w:tr>
      <w:tr w14:paraId="033F2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60" w:type="dxa"/>
            <w:shd w:val="clear" w:color="auto" w:fill="auto"/>
            <w:noWrap w:val="0"/>
            <w:vAlign w:val="center"/>
          </w:tcPr>
          <w:p w14:paraId="71D3FA00">
            <w:pPr>
              <w:adjustRightInd w:val="0"/>
              <w:spacing w:line="360" w:lineRule="auto"/>
              <w:ind w:left="-105" w:leftChars="-50" w:right="-105" w:rightChars="-50"/>
              <w:jc w:val="center"/>
              <w:textAlignment w:val="baseline"/>
              <w:rPr>
                <w:rFonts w:hint="eastAsia" w:ascii="宋体" w:hAnsi="宋体" w:eastAsia="宋体" w:cs="宋体"/>
                <w:bCs/>
                <w:color w:val="auto"/>
                <w:kern w:val="0"/>
                <w:sz w:val="24"/>
                <w:szCs w:val="24"/>
                <w:highlight w:val="none"/>
                <w:lang w:val="en-US" w:eastAsia="zh-CN" w:bidi="ar-SA"/>
              </w:rPr>
            </w:pPr>
            <w:r>
              <w:rPr>
                <w:rFonts w:hint="eastAsia" w:ascii="宋体" w:hAnsi="宋体" w:cs="宋体"/>
                <w:bCs/>
                <w:color w:val="auto"/>
                <w:kern w:val="0"/>
                <w:sz w:val="24"/>
                <w:highlight w:val="none"/>
              </w:rPr>
              <w:t>2.</w:t>
            </w:r>
            <w:r>
              <w:rPr>
                <w:rFonts w:hint="eastAsia" w:ascii="宋体" w:hAnsi="宋体" w:cs="宋体"/>
                <w:bCs/>
                <w:color w:val="auto"/>
                <w:kern w:val="0"/>
                <w:sz w:val="24"/>
                <w:highlight w:val="none"/>
                <w:lang w:val="en-US" w:eastAsia="zh-CN"/>
              </w:rPr>
              <w:t>3</w:t>
            </w:r>
          </w:p>
        </w:tc>
        <w:tc>
          <w:tcPr>
            <w:tcW w:w="1418" w:type="dxa"/>
            <w:shd w:val="clear" w:color="auto" w:fill="auto"/>
            <w:noWrap w:val="0"/>
            <w:vAlign w:val="center"/>
          </w:tcPr>
          <w:p w14:paraId="637464B0">
            <w:pPr>
              <w:spacing w:beforeLines="0" w:afterLines="0" w:line="360" w:lineRule="auto"/>
              <w:rPr>
                <w:rFonts w:hint="default" w:ascii="Arial" w:hAnsi="宋体" w:eastAsia="宋体" w:cs="宋体"/>
                <w:color w:val="auto"/>
                <w:sz w:val="21"/>
                <w:szCs w:val="21"/>
                <w:highlight w:val="none"/>
                <w:lang w:val="en-US" w:eastAsia="zh-CN"/>
              </w:rPr>
            </w:pPr>
            <w:r>
              <w:rPr>
                <w:rFonts w:hint="default" w:ascii="Arial" w:hAnsi="宋体" w:eastAsia="宋体" w:cs="宋体"/>
                <w:color w:val="auto"/>
                <w:sz w:val="21"/>
                <w:szCs w:val="21"/>
                <w:highlight w:val="none"/>
              </w:rPr>
              <w:t>大数据平台运维服务方案</w:t>
            </w:r>
          </w:p>
        </w:tc>
        <w:tc>
          <w:tcPr>
            <w:tcW w:w="7110" w:type="dxa"/>
            <w:shd w:val="clear" w:color="auto" w:fill="auto"/>
            <w:noWrap w:val="0"/>
            <w:vAlign w:val="center"/>
          </w:tcPr>
          <w:p w14:paraId="7F554C98">
            <w:pPr>
              <w:suppressAutoHyphens/>
              <w:spacing w:beforeLines="0" w:afterLines="0" w:line="360" w:lineRule="auto"/>
              <w:ind w:firstLine="420" w:firstLineChars="200"/>
              <w:rPr>
                <w:rFonts w:hint="default" w:ascii="Arial" w:hAnsi="宋体" w:eastAsia="宋体" w:cs="Arial"/>
                <w:color w:val="auto"/>
                <w:sz w:val="21"/>
                <w:szCs w:val="21"/>
                <w:highlight w:val="none"/>
              </w:rPr>
            </w:pPr>
            <w:r>
              <w:rPr>
                <w:rFonts w:hint="default" w:ascii="Arial" w:hAnsi="宋体" w:eastAsia="宋体" w:cs="Arial"/>
                <w:color w:val="auto"/>
                <w:sz w:val="21"/>
                <w:szCs w:val="21"/>
                <w:highlight w:val="none"/>
              </w:rPr>
              <w:t>一档（</w:t>
            </w:r>
            <w:r>
              <w:rPr>
                <w:rFonts w:hint="default" w:ascii="宋体" w:hAnsi="宋体" w:eastAsia="宋体" w:cs="Arial"/>
                <w:color w:val="auto"/>
                <w:sz w:val="21"/>
                <w:szCs w:val="21"/>
                <w:highlight w:val="none"/>
              </w:rPr>
              <w:t>5</w:t>
            </w:r>
            <w:r>
              <w:rPr>
                <w:rFonts w:hint="default" w:ascii="Arial" w:hAnsi="宋体" w:eastAsia="宋体" w:cs="Arial"/>
                <w:color w:val="auto"/>
                <w:sz w:val="21"/>
                <w:szCs w:val="21"/>
                <w:highlight w:val="none"/>
              </w:rPr>
              <w:t>分）：提供的服务方案对信访大数据平台</w:t>
            </w:r>
            <w:r>
              <w:rPr>
                <w:rFonts w:hint="default" w:ascii="宋体" w:hAnsi="宋体" w:eastAsia="宋体" w:cs="Arial"/>
                <w:color w:val="auto"/>
                <w:sz w:val="21"/>
                <w:szCs w:val="21"/>
                <w:highlight w:val="none"/>
              </w:rPr>
              <w:t>系统</w:t>
            </w:r>
            <w:r>
              <w:rPr>
                <w:rFonts w:hint="default" w:ascii="Arial" w:hAnsi="宋体" w:eastAsia="宋体" w:cs="Arial"/>
                <w:color w:val="auto"/>
                <w:sz w:val="21"/>
                <w:szCs w:val="21"/>
                <w:highlight w:val="none"/>
              </w:rPr>
              <w:t>情况及运维服务相关工作流程有描述。</w:t>
            </w:r>
          </w:p>
          <w:p w14:paraId="6DD137F1">
            <w:pPr>
              <w:suppressAutoHyphens/>
              <w:spacing w:beforeLines="0" w:afterLines="0" w:line="360" w:lineRule="auto"/>
              <w:ind w:firstLine="420" w:firstLineChars="200"/>
              <w:rPr>
                <w:rFonts w:hint="default" w:ascii="Arial" w:hAnsi="宋体" w:eastAsia="宋体" w:cs="Arial"/>
                <w:color w:val="auto"/>
                <w:sz w:val="21"/>
                <w:szCs w:val="21"/>
                <w:highlight w:val="none"/>
              </w:rPr>
            </w:pPr>
            <w:r>
              <w:rPr>
                <w:rFonts w:hint="default" w:ascii="Arial" w:hAnsi="宋体" w:eastAsia="宋体" w:cs="Arial"/>
                <w:color w:val="auto"/>
                <w:sz w:val="21"/>
                <w:szCs w:val="21"/>
                <w:highlight w:val="none"/>
              </w:rPr>
              <w:t>二档（</w:t>
            </w:r>
            <w:r>
              <w:rPr>
                <w:rFonts w:hint="default" w:ascii="宋体" w:hAnsi="宋体" w:eastAsia="宋体" w:cs="Arial"/>
                <w:color w:val="auto"/>
                <w:sz w:val="21"/>
                <w:szCs w:val="21"/>
                <w:highlight w:val="none"/>
              </w:rPr>
              <w:t>10</w:t>
            </w:r>
            <w:r>
              <w:rPr>
                <w:rFonts w:hint="default" w:ascii="Arial" w:hAnsi="宋体" w:eastAsia="宋体" w:cs="Arial"/>
                <w:color w:val="auto"/>
                <w:sz w:val="21"/>
                <w:szCs w:val="21"/>
                <w:highlight w:val="none"/>
              </w:rPr>
              <w:t>分）：</w:t>
            </w:r>
            <w:r>
              <w:rPr>
                <w:rFonts w:hint="default" w:ascii="宋体" w:eastAsia="宋体"/>
                <w:color w:val="auto"/>
                <w:sz w:val="21"/>
                <w:szCs w:val="24"/>
                <w:highlight w:val="none"/>
              </w:rPr>
              <w:t>在满足一档的基础上，</w:t>
            </w:r>
            <w:r>
              <w:rPr>
                <w:rFonts w:hint="default" w:ascii="Arial" w:hAnsi="宋体" w:eastAsia="宋体" w:cs="Arial"/>
                <w:color w:val="auto"/>
                <w:sz w:val="21"/>
                <w:szCs w:val="21"/>
                <w:highlight w:val="none"/>
              </w:rPr>
              <w:t>提供的服务方案对信访大数据平台系统</w:t>
            </w:r>
            <w:r>
              <w:rPr>
                <w:rFonts w:hint="default" w:ascii="宋体" w:hAnsi="宋体" w:eastAsia="宋体" w:cs="Arial"/>
                <w:color w:val="auto"/>
                <w:sz w:val="21"/>
                <w:szCs w:val="21"/>
                <w:highlight w:val="none"/>
              </w:rPr>
              <w:t>情</w:t>
            </w:r>
            <w:r>
              <w:rPr>
                <w:rFonts w:hint="default" w:ascii="Arial" w:hAnsi="宋体" w:eastAsia="宋体" w:cs="Arial"/>
                <w:color w:val="auto"/>
                <w:sz w:val="21"/>
                <w:szCs w:val="21"/>
                <w:highlight w:val="none"/>
              </w:rPr>
              <w:t>况及运维服务相关有详细描述，有具体分析，提供的服务方案包含了</w:t>
            </w:r>
            <w:r>
              <w:rPr>
                <w:rFonts w:hint="default" w:ascii="宋体" w:hAnsi="宋体" w:eastAsia="宋体" w:cs="Arial"/>
                <w:color w:val="auto"/>
                <w:sz w:val="21"/>
                <w:szCs w:val="21"/>
                <w:highlight w:val="none"/>
              </w:rPr>
              <w:t>运</w:t>
            </w:r>
            <w:r>
              <w:rPr>
                <w:rFonts w:hint="default" w:ascii="Arial" w:hAnsi="宋体" w:eastAsia="宋体" w:cs="Arial"/>
                <w:color w:val="auto"/>
                <w:sz w:val="21"/>
                <w:szCs w:val="21"/>
                <w:highlight w:val="none"/>
              </w:rPr>
              <w:t>维目标、运维范围内容。</w:t>
            </w:r>
          </w:p>
          <w:p w14:paraId="0B077F7D">
            <w:pPr>
              <w:suppressAutoHyphens/>
              <w:spacing w:beforeLines="0" w:afterLines="0" w:line="360" w:lineRule="auto"/>
              <w:ind w:firstLine="420" w:firstLineChars="200"/>
              <w:rPr>
                <w:rFonts w:hint="eastAsia" w:ascii="宋体" w:hAnsi="宋体" w:eastAsia="宋体" w:cs="宋体"/>
                <w:bCs/>
                <w:color w:val="auto"/>
                <w:kern w:val="2"/>
                <w:sz w:val="24"/>
                <w:szCs w:val="24"/>
                <w:highlight w:val="none"/>
                <w:lang w:val="en-US" w:eastAsia="zh-CN" w:bidi="ar-SA"/>
              </w:rPr>
            </w:pPr>
            <w:r>
              <w:rPr>
                <w:rFonts w:hint="default" w:ascii="Arial" w:hAnsi="宋体" w:eastAsia="宋体" w:cs="Arial"/>
                <w:color w:val="auto"/>
                <w:sz w:val="21"/>
                <w:szCs w:val="21"/>
                <w:highlight w:val="none"/>
              </w:rPr>
              <w:t>三档（1</w:t>
            </w:r>
            <w:r>
              <w:rPr>
                <w:rFonts w:hint="default" w:ascii="宋体" w:hAnsi="宋体" w:eastAsia="宋体" w:cs="Arial"/>
                <w:color w:val="auto"/>
                <w:sz w:val="21"/>
                <w:szCs w:val="21"/>
                <w:highlight w:val="none"/>
              </w:rPr>
              <w:t>5</w:t>
            </w:r>
            <w:r>
              <w:rPr>
                <w:rFonts w:hint="default" w:ascii="Arial" w:hAnsi="宋体" w:eastAsia="宋体" w:cs="Arial"/>
                <w:color w:val="auto"/>
                <w:sz w:val="21"/>
                <w:szCs w:val="21"/>
                <w:highlight w:val="none"/>
              </w:rPr>
              <w:t>分）：</w:t>
            </w:r>
            <w:r>
              <w:rPr>
                <w:rFonts w:hint="default" w:ascii="宋体" w:eastAsia="宋体"/>
                <w:color w:val="auto"/>
                <w:sz w:val="21"/>
                <w:szCs w:val="24"/>
                <w:highlight w:val="none"/>
              </w:rPr>
              <w:t>在满足二档的基础上，</w:t>
            </w:r>
            <w:r>
              <w:rPr>
                <w:rFonts w:hint="default" w:ascii="Arial" w:hAnsi="宋体" w:eastAsia="宋体" w:cs="Arial"/>
                <w:color w:val="auto"/>
                <w:sz w:val="21"/>
                <w:szCs w:val="21"/>
                <w:highlight w:val="none"/>
              </w:rPr>
              <w:t>提供的服务方案对信访大数据平台系统情况及运维服务相关工作有详细描述，</w:t>
            </w:r>
            <w:r>
              <w:rPr>
                <w:rFonts w:hint="default" w:ascii="Arial" w:hAnsi="宋体" w:eastAsia="宋体" w:cs="宋体"/>
                <w:color w:val="auto"/>
                <w:sz w:val="21"/>
                <w:szCs w:val="21"/>
                <w:highlight w:val="none"/>
              </w:rPr>
              <w:t>包含运维范围</w:t>
            </w:r>
            <w:r>
              <w:rPr>
                <w:rFonts w:hint="default" w:ascii="宋体" w:hAnsi="宋体" w:eastAsia="宋体" w:cs="宋体"/>
                <w:color w:val="auto"/>
                <w:sz w:val="21"/>
                <w:szCs w:val="21"/>
                <w:highlight w:val="none"/>
              </w:rPr>
              <w:t>、</w:t>
            </w:r>
            <w:r>
              <w:rPr>
                <w:rFonts w:hint="default" w:ascii="Arial" w:hAnsi="宋体" w:eastAsia="宋体" w:cs="宋体"/>
                <w:color w:val="auto"/>
                <w:sz w:val="21"/>
                <w:szCs w:val="21"/>
                <w:highlight w:val="none"/>
              </w:rPr>
              <w:t>运维方式</w:t>
            </w:r>
            <w:r>
              <w:rPr>
                <w:rFonts w:hint="default" w:ascii="宋体" w:hAnsi="宋体" w:eastAsia="宋体" w:cs="宋体"/>
                <w:color w:val="auto"/>
                <w:sz w:val="21"/>
                <w:szCs w:val="21"/>
                <w:highlight w:val="none"/>
              </w:rPr>
              <w:t>、</w:t>
            </w:r>
            <w:r>
              <w:rPr>
                <w:rFonts w:hint="default" w:ascii="Arial" w:hAnsi="宋体" w:eastAsia="宋体" w:cs="宋体"/>
                <w:color w:val="auto"/>
                <w:sz w:val="21"/>
                <w:szCs w:val="21"/>
                <w:highlight w:val="none"/>
              </w:rPr>
              <w:t>运维管理制度</w:t>
            </w:r>
            <w:r>
              <w:rPr>
                <w:rFonts w:hint="default" w:ascii="宋体" w:hAnsi="宋体" w:eastAsia="宋体" w:cs="宋体"/>
                <w:color w:val="auto"/>
                <w:sz w:val="21"/>
                <w:szCs w:val="21"/>
                <w:highlight w:val="none"/>
              </w:rPr>
              <w:t>、</w:t>
            </w:r>
            <w:r>
              <w:rPr>
                <w:rFonts w:hint="default" w:ascii="Arial" w:hAnsi="宋体" w:eastAsia="宋体" w:cs="宋体"/>
                <w:color w:val="auto"/>
                <w:sz w:val="21"/>
                <w:szCs w:val="21"/>
                <w:highlight w:val="none"/>
              </w:rPr>
              <w:t>驻场服务人员配备计划、运维实施流程、符合实际部署的技术</w:t>
            </w:r>
            <w:r>
              <w:rPr>
                <w:rFonts w:hint="default" w:ascii="宋体" w:hAnsi="宋体" w:eastAsia="宋体" w:cs="宋体"/>
                <w:color w:val="auto"/>
                <w:sz w:val="21"/>
                <w:szCs w:val="21"/>
                <w:highlight w:val="none"/>
              </w:rPr>
              <w:t>运维手册</w:t>
            </w:r>
            <w:r>
              <w:rPr>
                <w:rFonts w:hint="default" w:ascii="Arial" w:hAnsi="宋体" w:eastAsia="宋体" w:cs="宋体"/>
                <w:color w:val="auto"/>
                <w:sz w:val="21"/>
                <w:szCs w:val="21"/>
                <w:highlight w:val="none"/>
              </w:rPr>
              <w:t>、文档管理措施，并承诺运维服务响应时间,有特殊时间运维保障策略，有能充分体现运维保障策略和措施相关内容描述。</w:t>
            </w:r>
          </w:p>
        </w:tc>
        <w:tc>
          <w:tcPr>
            <w:tcW w:w="867" w:type="dxa"/>
            <w:shd w:val="clear" w:color="auto" w:fill="auto"/>
            <w:noWrap w:val="0"/>
            <w:vAlign w:val="center"/>
          </w:tcPr>
          <w:p w14:paraId="5D3F58BD">
            <w:pPr>
              <w:spacing w:beforeLines="0" w:afterLines="0"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15分</w:t>
            </w:r>
          </w:p>
        </w:tc>
      </w:tr>
      <w:tr w14:paraId="7D4C4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7" w:hRule="atLeast"/>
          <w:jc w:val="center"/>
        </w:trPr>
        <w:tc>
          <w:tcPr>
            <w:tcW w:w="660" w:type="dxa"/>
            <w:noWrap w:val="0"/>
            <w:vAlign w:val="center"/>
          </w:tcPr>
          <w:p w14:paraId="111DA098">
            <w:pPr>
              <w:adjustRightInd w:val="0"/>
              <w:spacing w:line="360" w:lineRule="auto"/>
              <w:ind w:left="-105" w:leftChars="-50" w:right="-105" w:rightChars="-50"/>
              <w:jc w:val="center"/>
              <w:textAlignment w:val="baseline"/>
              <w:rPr>
                <w:rFonts w:hint="eastAsia" w:ascii="宋体" w:hAnsi="宋体" w:cs="宋体"/>
                <w:bCs/>
                <w:color w:val="auto"/>
                <w:kern w:val="0"/>
                <w:sz w:val="24"/>
                <w:highlight w:val="none"/>
              </w:rPr>
            </w:pPr>
            <w:r>
              <w:rPr>
                <w:rFonts w:hint="eastAsia" w:ascii="宋体" w:hAnsi="宋体" w:cs="宋体"/>
                <w:bCs/>
                <w:color w:val="auto"/>
                <w:kern w:val="0"/>
                <w:sz w:val="24"/>
                <w:highlight w:val="none"/>
              </w:rPr>
              <w:t>2.4</w:t>
            </w:r>
          </w:p>
        </w:tc>
        <w:tc>
          <w:tcPr>
            <w:tcW w:w="1418" w:type="dxa"/>
            <w:noWrap w:val="0"/>
            <w:vAlign w:val="center"/>
          </w:tcPr>
          <w:p w14:paraId="1FC3417F">
            <w:pPr>
              <w:spacing w:beforeLines="0" w:afterLines="0" w:line="360" w:lineRule="auto"/>
              <w:rPr>
                <w:rFonts w:hint="eastAsia" w:ascii="Arial" w:hAnsi="宋体" w:eastAsia="宋体" w:cs="宋体"/>
                <w:color w:val="auto"/>
                <w:sz w:val="21"/>
                <w:szCs w:val="21"/>
                <w:highlight w:val="none"/>
              </w:rPr>
            </w:pPr>
            <w:r>
              <w:rPr>
                <w:rFonts w:hint="default" w:ascii="Arial" w:hAnsi="宋体" w:eastAsia="宋体" w:cs="宋体"/>
                <w:color w:val="auto"/>
                <w:sz w:val="21"/>
                <w:szCs w:val="21"/>
                <w:highlight w:val="none"/>
              </w:rPr>
              <w:t>智能辅助系统智能化训练服务方案</w:t>
            </w:r>
          </w:p>
        </w:tc>
        <w:tc>
          <w:tcPr>
            <w:tcW w:w="7110" w:type="dxa"/>
            <w:noWrap w:val="0"/>
            <w:vAlign w:val="center"/>
          </w:tcPr>
          <w:p w14:paraId="24521DE0">
            <w:pPr>
              <w:suppressAutoHyphens/>
              <w:spacing w:beforeLines="0" w:afterLines="0" w:line="360" w:lineRule="auto"/>
              <w:ind w:firstLine="378" w:firstLineChars="180"/>
              <w:rPr>
                <w:rFonts w:hint="default" w:ascii="Arial" w:hAnsi="宋体" w:eastAsia="宋体" w:cs="宋体"/>
                <w:color w:val="auto"/>
                <w:sz w:val="21"/>
                <w:szCs w:val="21"/>
                <w:highlight w:val="none"/>
              </w:rPr>
            </w:pPr>
            <w:r>
              <w:rPr>
                <w:rFonts w:hint="default" w:ascii="Arial" w:hAnsi="宋体" w:eastAsia="宋体" w:cs="宋体"/>
                <w:color w:val="auto"/>
                <w:sz w:val="21"/>
                <w:szCs w:val="21"/>
                <w:highlight w:val="none"/>
              </w:rPr>
              <w:t>一档（</w:t>
            </w:r>
            <w:r>
              <w:rPr>
                <w:rFonts w:hint="default" w:ascii="宋体" w:hAnsi="宋体" w:eastAsia="宋体" w:cs="宋体"/>
                <w:color w:val="auto"/>
                <w:sz w:val="21"/>
                <w:szCs w:val="21"/>
                <w:highlight w:val="none"/>
              </w:rPr>
              <w:t>5</w:t>
            </w:r>
            <w:r>
              <w:rPr>
                <w:rFonts w:hint="default" w:ascii="Arial" w:hAnsi="宋体" w:eastAsia="宋体" w:cs="宋体"/>
                <w:color w:val="auto"/>
                <w:sz w:val="21"/>
                <w:szCs w:val="21"/>
                <w:highlight w:val="none"/>
              </w:rPr>
              <w:t>分）：提供的服务方案对广西信访业务智能辅助系统情况及</w:t>
            </w:r>
            <w:r>
              <w:rPr>
                <w:rFonts w:hint="default" w:ascii="宋体" w:hAnsi="宋体" w:eastAsia="宋体" w:cs="宋体"/>
                <w:color w:val="auto"/>
                <w:sz w:val="21"/>
                <w:szCs w:val="21"/>
                <w:highlight w:val="none"/>
              </w:rPr>
              <w:t>训练</w:t>
            </w:r>
            <w:r>
              <w:rPr>
                <w:rFonts w:hint="default" w:ascii="Arial" w:hAnsi="宋体" w:eastAsia="宋体" w:cs="宋体"/>
                <w:color w:val="auto"/>
                <w:sz w:val="21"/>
                <w:szCs w:val="21"/>
                <w:highlight w:val="none"/>
              </w:rPr>
              <w:t>服务相关工作流程有描述，</w:t>
            </w:r>
            <w:r>
              <w:rPr>
                <w:rFonts w:hint="default" w:ascii="宋体" w:hAnsi="宋体" w:eastAsia="宋体" w:cs="宋体"/>
                <w:color w:val="auto"/>
                <w:sz w:val="21"/>
                <w:szCs w:val="21"/>
                <w:highlight w:val="none"/>
              </w:rPr>
              <w:t>训练方案</w:t>
            </w:r>
            <w:r>
              <w:rPr>
                <w:rFonts w:hint="default" w:ascii="Arial" w:hAnsi="宋体" w:eastAsia="宋体" w:cs="宋体"/>
                <w:color w:val="auto"/>
                <w:sz w:val="21"/>
                <w:szCs w:val="21"/>
                <w:highlight w:val="none"/>
              </w:rPr>
              <w:t>与采购需求相关。</w:t>
            </w:r>
          </w:p>
          <w:p w14:paraId="3AC74A23">
            <w:pPr>
              <w:suppressAutoHyphens/>
              <w:spacing w:beforeLines="0" w:afterLines="0" w:line="360" w:lineRule="auto"/>
              <w:ind w:firstLine="378" w:firstLineChars="180"/>
              <w:rPr>
                <w:rFonts w:hint="default" w:ascii="Arial" w:hAnsi="宋体" w:eastAsia="宋体" w:cs="宋体"/>
                <w:color w:val="auto"/>
                <w:sz w:val="21"/>
                <w:szCs w:val="21"/>
                <w:highlight w:val="none"/>
              </w:rPr>
            </w:pPr>
            <w:r>
              <w:rPr>
                <w:rFonts w:hint="default" w:ascii="Arial" w:hAnsi="宋体" w:eastAsia="宋体" w:cs="宋体"/>
                <w:color w:val="auto"/>
                <w:sz w:val="21"/>
                <w:szCs w:val="21"/>
                <w:highlight w:val="none"/>
              </w:rPr>
              <w:t>二档（</w:t>
            </w:r>
            <w:r>
              <w:rPr>
                <w:rFonts w:hint="default" w:ascii="宋体" w:hAnsi="宋体" w:eastAsia="宋体" w:cs="宋体"/>
                <w:color w:val="auto"/>
                <w:sz w:val="21"/>
                <w:szCs w:val="21"/>
                <w:highlight w:val="none"/>
              </w:rPr>
              <w:t>10</w:t>
            </w:r>
            <w:r>
              <w:rPr>
                <w:rFonts w:hint="default" w:ascii="Arial" w:hAnsi="宋体" w:eastAsia="宋体" w:cs="宋体"/>
                <w:color w:val="auto"/>
                <w:sz w:val="21"/>
                <w:szCs w:val="21"/>
                <w:highlight w:val="none"/>
              </w:rPr>
              <w:t>分）：</w:t>
            </w:r>
            <w:r>
              <w:rPr>
                <w:rFonts w:hint="default" w:ascii="宋体" w:eastAsia="宋体"/>
                <w:color w:val="auto"/>
                <w:sz w:val="21"/>
                <w:szCs w:val="24"/>
                <w:highlight w:val="none"/>
              </w:rPr>
              <w:t>在满足一档的基础上，</w:t>
            </w:r>
            <w:r>
              <w:rPr>
                <w:rFonts w:hint="default" w:ascii="Arial" w:hAnsi="宋体" w:eastAsia="宋体" w:cs="宋体"/>
                <w:color w:val="auto"/>
                <w:sz w:val="21"/>
                <w:szCs w:val="21"/>
                <w:highlight w:val="none"/>
              </w:rPr>
              <w:t>提供的服务方案对广西信访业务智能辅助系统情况及</w:t>
            </w:r>
            <w:r>
              <w:rPr>
                <w:rFonts w:hint="default" w:ascii="宋体" w:hAnsi="宋体" w:eastAsia="宋体" w:cs="宋体"/>
                <w:color w:val="auto"/>
                <w:sz w:val="21"/>
                <w:szCs w:val="21"/>
                <w:highlight w:val="none"/>
              </w:rPr>
              <w:t>训练</w:t>
            </w:r>
            <w:r>
              <w:rPr>
                <w:rFonts w:hint="default" w:ascii="Arial" w:hAnsi="宋体" w:eastAsia="宋体" w:cs="宋体"/>
                <w:color w:val="auto"/>
                <w:sz w:val="21"/>
                <w:szCs w:val="21"/>
                <w:highlight w:val="none"/>
              </w:rPr>
              <w:t>服务相关有详细描述，有具体分析，提供的服务方案包含了</w:t>
            </w:r>
            <w:r>
              <w:rPr>
                <w:rFonts w:hint="default" w:ascii="宋体" w:hAnsi="宋体" w:eastAsia="宋体" w:cs="宋体"/>
                <w:color w:val="auto"/>
                <w:sz w:val="21"/>
                <w:szCs w:val="21"/>
                <w:highlight w:val="none"/>
              </w:rPr>
              <w:t>训练</w:t>
            </w:r>
            <w:r>
              <w:rPr>
                <w:rFonts w:hint="default" w:ascii="Arial" w:hAnsi="宋体" w:eastAsia="宋体" w:cs="宋体"/>
                <w:color w:val="auto"/>
                <w:sz w:val="21"/>
                <w:szCs w:val="21"/>
                <w:highlight w:val="none"/>
              </w:rPr>
              <w:t>目标</w:t>
            </w:r>
            <w:r>
              <w:rPr>
                <w:rFonts w:hint="default" w:ascii="宋体" w:hAnsi="宋体" w:eastAsia="宋体" w:cs="宋体"/>
                <w:color w:val="auto"/>
                <w:sz w:val="21"/>
                <w:szCs w:val="21"/>
                <w:highlight w:val="none"/>
              </w:rPr>
              <w:t>、训练</w:t>
            </w:r>
            <w:r>
              <w:rPr>
                <w:rFonts w:hint="default" w:ascii="Arial" w:hAnsi="宋体" w:eastAsia="宋体" w:cs="宋体"/>
                <w:color w:val="auto"/>
                <w:sz w:val="21"/>
                <w:szCs w:val="21"/>
                <w:highlight w:val="none"/>
              </w:rPr>
              <w:t>范围内容。</w:t>
            </w:r>
          </w:p>
          <w:p w14:paraId="617AD02A">
            <w:pPr>
              <w:suppressAutoHyphens/>
              <w:spacing w:beforeLines="0" w:afterLines="0" w:line="360" w:lineRule="auto"/>
              <w:ind w:firstLine="378" w:firstLineChars="180"/>
              <w:rPr>
                <w:rFonts w:hint="eastAsia" w:ascii="宋体" w:hAnsi="宋体" w:cs="宋体"/>
                <w:color w:val="auto"/>
                <w:sz w:val="24"/>
                <w:highlight w:val="none"/>
              </w:rPr>
            </w:pPr>
            <w:r>
              <w:rPr>
                <w:rFonts w:hint="default" w:ascii="Arial" w:hAnsi="宋体" w:eastAsia="宋体" w:cs="宋体"/>
                <w:color w:val="auto"/>
                <w:sz w:val="21"/>
                <w:szCs w:val="21"/>
                <w:highlight w:val="none"/>
              </w:rPr>
              <w:t>三档（</w:t>
            </w:r>
            <w:r>
              <w:rPr>
                <w:rFonts w:hint="default" w:ascii="宋体" w:hAnsi="宋体" w:eastAsia="宋体" w:cs="宋体"/>
                <w:color w:val="auto"/>
                <w:sz w:val="21"/>
                <w:szCs w:val="21"/>
                <w:highlight w:val="none"/>
              </w:rPr>
              <w:t>15</w:t>
            </w:r>
            <w:r>
              <w:rPr>
                <w:rFonts w:hint="default" w:ascii="Arial" w:hAnsi="宋体" w:eastAsia="宋体" w:cs="宋体"/>
                <w:color w:val="auto"/>
                <w:sz w:val="21"/>
                <w:szCs w:val="21"/>
                <w:highlight w:val="none"/>
              </w:rPr>
              <w:t>分）：</w:t>
            </w:r>
            <w:r>
              <w:rPr>
                <w:rFonts w:hint="default" w:ascii="宋体" w:eastAsia="宋体"/>
                <w:color w:val="auto"/>
                <w:sz w:val="21"/>
                <w:szCs w:val="24"/>
                <w:highlight w:val="none"/>
              </w:rPr>
              <w:t>在满足二档的基础上，</w:t>
            </w:r>
            <w:r>
              <w:rPr>
                <w:rFonts w:hint="default" w:ascii="Arial" w:hAnsi="宋体" w:eastAsia="宋体" w:cs="宋体"/>
                <w:color w:val="auto"/>
                <w:sz w:val="21"/>
                <w:szCs w:val="21"/>
                <w:highlight w:val="none"/>
              </w:rPr>
              <w:t>提供的服务方案对广西信访业务智能辅助系统情况及</w:t>
            </w:r>
            <w:r>
              <w:rPr>
                <w:rFonts w:hint="default" w:ascii="宋体" w:hAnsi="宋体" w:eastAsia="宋体" w:cs="宋体"/>
                <w:color w:val="auto"/>
                <w:sz w:val="21"/>
                <w:szCs w:val="21"/>
                <w:highlight w:val="none"/>
              </w:rPr>
              <w:t>训练</w:t>
            </w:r>
            <w:r>
              <w:rPr>
                <w:rFonts w:hint="default" w:ascii="Arial" w:hAnsi="宋体" w:eastAsia="宋体" w:cs="宋体"/>
                <w:color w:val="auto"/>
                <w:sz w:val="21"/>
                <w:szCs w:val="21"/>
                <w:highlight w:val="none"/>
              </w:rPr>
              <w:t>服务相关工作有详细描述，包含</w:t>
            </w:r>
            <w:r>
              <w:rPr>
                <w:rFonts w:hint="default" w:ascii="宋体" w:hAnsi="宋体" w:eastAsia="宋体" w:cs="宋体"/>
                <w:color w:val="auto"/>
                <w:sz w:val="21"/>
                <w:szCs w:val="21"/>
                <w:highlight w:val="none"/>
              </w:rPr>
              <w:t>训练</w:t>
            </w:r>
            <w:r>
              <w:rPr>
                <w:rFonts w:hint="default" w:ascii="Arial" w:hAnsi="宋体" w:eastAsia="宋体" w:cs="宋体"/>
                <w:color w:val="auto"/>
                <w:sz w:val="21"/>
                <w:szCs w:val="21"/>
                <w:highlight w:val="none"/>
              </w:rPr>
              <w:t>范围</w:t>
            </w:r>
            <w:r>
              <w:rPr>
                <w:rFonts w:hint="default" w:ascii="宋体" w:hAnsi="宋体" w:eastAsia="宋体" w:cs="宋体"/>
                <w:color w:val="auto"/>
                <w:sz w:val="21"/>
                <w:szCs w:val="21"/>
                <w:highlight w:val="none"/>
              </w:rPr>
              <w:t>、训练</w:t>
            </w:r>
            <w:r>
              <w:rPr>
                <w:rFonts w:hint="default" w:ascii="Arial" w:hAnsi="宋体" w:eastAsia="宋体" w:cs="宋体"/>
                <w:color w:val="auto"/>
                <w:sz w:val="21"/>
                <w:szCs w:val="21"/>
                <w:highlight w:val="none"/>
              </w:rPr>
              <w:t>方式</w:t>
            </w:r>
            <w:r>
              <w:rPr>
                <w:rFonts w:hint="default" w:ascii="宋体" w:hAnsi="宋体" w:eastAsia="宋体" w:cs="宋体"/>
                <w:color w:val="auto"/>
                <w:sz w:val="21"/>
                <w:szCs w:val="21"/>
                <w:highlight w:val="none"/>
              </w:rPr>
              <w:t>、</w:t>
            </w:r>
            <w:r>
              <w:rPr>
                <w:rFonts w:hint="eastAsia" w:ascii="宋体" w:hAnsi="宋体" w:cs="宋体"/>
                <w:color w:val="auto"/>
                <w:sz w:val="21"/>
                <w:szCs w:val="21"/>
                <w:highlight w:val="none"/>
                <w:lang w:eastAsia="zh-CN"/>
              </w:rPr>
              <w:t>训练计划安排、</w:t>
            </w:r>
            <w:r>
              <w:rPr>
                <w:rFonts w:hint="default" w:ascii="宋体" w:hAnsi="宋体" w:eastAsia="宋体" w:cs="宋体"/>
                <w:color w:val="auto"/>
                <w:sz w:val="21"/>
                <w:szCs w:val="21"/>
                <w:highlight w:val="none"/>
              </w:rPr>
              <w:t>训练</w:t>
            </w:r>
            <w:r>
              <w:rPr>
                <w:rFonts w:hint="default" w:ascii="Arial" w:hAnsi="宋体" w:eastAsia="宋体" w:cs="宋体"/>
                <w:color w:val="auto"/>
                <w:sz w:val="21"/>
                <w:szCs w:val="21"/>
                <w:highlight w:val="none"/>
              </w:rPr>
              <w:t>管理制度</w:t>
            </w:r>
            <w:r>
              <w:rPr>
                <w:rFonts w:hint="default" w:ascii="宋体" w:hAnsi="宋体" w:eastAsia="宋体" w:cs="宋体"/>
                <w:color w:val="auto"/>
                <w:sz w:val="21"/>
                <w:szCs w:val="21"/>
                <w:highlight w:val="none"/>
              </w:rPr>
              <w:t>、</w:t>
            </w:r>
            <w:r>
              <w:rPr>
                <w:rFonts w:hint="default" w:ascii="Arial" w:hAnsi="宋体" w:eastAsia="宋体" w:cs="宋体"/>
                <w:color w:val="auto"/>
                <w:sz w:val="21"/>
                <w:szCs w:val="21"/>
                <w:highlight w:val="none"/>
              </w:rPr>
              <w:t>驻场服务人员配备计划、提供适合信访智能辅助系统</w:t>
            </w:r>
            <w:r>
              <w:rPr>
                <w:rFonts w:hint="default" w:ascii="宋体" w:hAnsi="宋体" w:eastAsia="宋体" w:cs="宋体"/>
                <w:color w:val="auto"/>
                <w:sz w:val="21"/>
                <w:szCs w:val="21"/>
                <w:highlight w:val="none"/>
              </w:rPr>
              <w:t>训练</w:t>
            </w:r>
            <w:r>
              <w:rPr>
                <w:rFonts w:hint="default" w:ascii="Arial" w:hAnsi="宋体" w:eastAsia="宋体" w:cs="宋体"/>
                <w:color w:val="auto"/>
                <w:sz w:val="21"/>
                <w:szCs w:val="21"/>
                <w:highlight w:val="none"/>
              </w:rPr>
              <w:t>实施流程</w:t>
            </w:r>
            <w:r>
              <w:rPr>
                <w:rFonts w:hint="default" w:ascii="宋体" w:hAnsi="宋体" w:eastAsia="宋体" w:cs="宋体"/>
                <w:color w:val="auto"/>
                <w:sz w:val="21"/>
                <w:szCs w:val="21"/>
                <w:highlight w:val="none"/>
              </w:rPr>
              <w:t>、提供比较接近</w:t>
            </w:r>
            <w:r>
              <w:rPr>
                <w:rFonts w:hint="eastAsia" w:ascii="宋体" w:hAnsi="宋体" w:cs="宋体"/>
                <w:color w:val="auto"/>
                <w:sz w:val="21"/>
                <w:szCs w:val="21"/>
                <w:highlight w:val="none"/>
                <w:lang w:eastAsia="zh-CN"/>
              </w:rPr>
              <w:t>本次</w:t>
            </w:r>
            <w:r>
              <w:rPr>
                <w:rFonts w:hint="default" w:ascii="宋体" w:hAnsi="宋体" w:eastAsia="宋体" w:cs="宋体"/>
                <w:color w:val="auto"/>
                <w:sz w:val="21"/>
                <w:szCs w:val="21"/>
                <w:highlight w:val="none"/>
              </w:rPr>
              <w:t>训练系统</w:t>
            </w:r>
            <w:r>
              <w:rPr>
                <w:rFonts w:hint="eastAsia" w:ascii="宋体" w:hAnsi="宋体" w:cs="宋体"/>
                <w:color w:val="auto"/>
                <w:sz w:val="21"/>
                <w:szCs w:val="21"/>
                <w:highlight w:val="none"/>
                <w:lang w:eastAsia="zh-CN"/>
              </w:rPr>
              <w:t>的训练案例</w:t>
            </w:r>
            <w:r>
              <w:rPr>
                <w:rFonts w:hint="default" w:ascii="Arial" w:hAnsi="宋体" w:eastAsia="宋体" w:cs="宋体"/>
                <w:color w:val="auto"/>
                <w:sz w:val="21"/>
                <w:szCs w:val="21"/>
                <w:highlight w:val="none"/>
              </w:rPr>
              <w:t>、文档管理</w:t>
            </w:r>
            <w:r>
              <w:rPr>
                <w:rFonts w:hint="default" w:ascii="宋体" w:hAnsi="宋体" w:eastAsia="宋体" w:cs="宋体"/>
                <w:color w:val="auto"/>
                <w:sz w:val="21"/>
                <w:szCs w:val="21"/>
                <w:highlight w:val="none"/>
              </w:rPr>
              <w:t>措施等</w:t>
            </w:r>
            <w:r>
              <w:rPr>
                <w:rFonts w:hint="default" w:ascii="Arial" w:hAnsi="宋体" w:eastAsia="宋体" w:cs="宋体"/>
                <w:color w:val="auto"/>
                <w:sz w:val="21"/>
                <w:szCs w:val="21"/>
                <w:highlight w:val="none"/>
              </w:rPr>
              <w:t>。</w:t>
            </w:r>
          </w:p>
        </w:tc>
        <w:tc>
          <w:tcPr>
            <w:tcW w:w="867" w:type="dxa"/>
            <w:noWrap w:val="0"/>
            <w:vAlign w:val="center"/>
          </w:tcPr>
          <w:p w14:paraId="465AD976">
            <w:pPr>
              <w:spacing w:beforeLines="0" w:afterLines="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15分</w:t>
            </w:r>
          </w:p>
        </w:tc>
      </w:tr>
      <w:tr w14:paraId="7E1D0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0" w:type="dxa"/>
            <w:noWrap w:val="0"/>
            <w:vAlign w:val="center"/>
          </w:tcPr>
          <w:p w14:paraId="36B7E7B3">
            <w:pPr>
              <w:adjustRightInd w:val="0"/>
              <w:spacing w:line="360" w:lineRule="auto"/>
              <w:ind w:left="-105" w:leftChars="-50" w:right="-105" w:rightChars="-50"/>
              <w:jc w:val="center"/>
              <w:textAlignment w:val="baseline"/>
              <w:rPr>
                <w:rFonts w:hint="eastAsia" w:ascii="宋体" w:hAnsi="宋体" w:cs="宋体"/>
                <w:bCs/>
                <w:color w:val="auto"/>
                <w:kern w:val="0"/>
                <w:sz w:val="24"/>
                <w:highlight w:val="none"/>
              </w:rPr>
            </w:pPr>
            <w:r>
              <w:rPr>
                <w:rFonts w:hint="eastAsia" w:ascii="宋体" w:hAnsi="宋体" w:cs="宋体"/>
                <w:bCs/>
                <w:color w:val="auto"/>
                <w:kern w:val="0"/>
                <w:sz w:val="24"/>
                <w:highlight w:val="none"/>
              </w:rPr>
              <w:t>2.5</w:t>
            </w:r>
          </w:p>
        </w:tc>
        <w:tc>
          <w:tcPr>
            <w:tcW w:w="1418" w:type="dxa"/>
            <w:noWrap w:val="0"/>
            <w:vAlign w:val="center"/>
          </w:tcPr>
          <w:p w14:paraId="1D91075B">
            <w:pPr>
              <w:spacing w:beforeLines="0" w:afterLines="0" w:line="400" w:lineRule="exact"/>
              <w:rPr>
                <w:rFonts w:hint="eastAsia" w:ascii="宋体" w:hAnsi="宋体" w:cs="宋体"/>
                <w:bCs/>
                <w:color w:val="auto"/>
                <w:sz w:val="24"/>
                <w:highlight w:val="none"/>
              </w:rPr>
            </w:pPr>
            <w:r>
              <w:rPr>
                <w:rFonts w:hint="default" w:ascii="宋体" w:hAnsi="宋体" w:eastAsia="宋体" w:cs="Courier New"/>
                <w:color w:val="auto"/>
                <w:sz w:val="21"/>
                <w:szCs w:val="21"/>
                <w:highlight w:val="none"/>
              </w:rPr>
              <w:t>培训方案分</w:t>
            </w:r>
          </w:p>
        </w:tc>
        <w:tc>
          <w:tcPr>
            <w:tcW w:w="7110" w:type="dxa"/>
            <w:noWrap w:val="0"/>
            <w:vAlign w:val="center"/>
          </w:tcPr>
          <w:p w14:paraId="7AEAF22E">
            <w:pPr>
              <w:spacing w:beforeLines="0" w:afterLines="0" w:line="400" w:lineRule="exact"/>
              <w:rPr>
                <w:rFonts w:hint="default" w:ascii="宋体" w:hAnsi="宋体" w:eastAsia="宋体" w:cs="Courier New"/>
                <w:color w:val="auto"/>
                <w:sz w:val="21"/>
                <w:szCs w:val="21"/>
                <w:highlight w:val="none"/>
              </w:rPr>
            </w:pPr>
            <w:r>
              <w:rPr>
                <w:rFonts w:hint="default" w:ascii="宋体" w:hAnsi="宋体" w:eastAsia="宋体" w:cs="Courier New"/>
                <w:color w:val="auto"/>
                <w:sz w:val="21"/>
                <w:szCs w:val="21"/>
                <w:highlight w:val="none"/>
              </w:rPr>
              <w:t>一档（4分）：提供了培训方案。</w:t>
            </w:r>
          </w:p>
          <w:p w14:paraId="02AF66D0">
            <w:pPr>
              <w:spacing w:beforeLines="0" w:afterLines="0" w:line="400" w:lineRule="exact"/>
              <w:rPr>
                <w:rFonts w:hint="eastAsia"/>
                <w:color w:val="auto"/>
                <w:highlight w:val="none"/>
              </w:rPr>
            </w:pPr>
            <w:r>
              <w:rPr>
                <w:rFonts w:hint="default" w:ascii="宋体" w:hAnsi="宋体" w:eastAsia="宋体" w:cs="Courier New"/>
                <w:color w:val="auto"/>
                <w:sz w:val="21"/>
                <w:szCs w:val="21"/>
                <w:highlight w:val="none"/>
              </w:rPr>
              <w:t>二档（8分）：在满足一档的基础上，针对本项目实际情况，提供了用户现有信访系统、大数据分析平台的详细培训方案，明确了培训目的、详细且符合现有系统的培训内容（含符合系统的截图等）、培训方式、培训师资、课程设置、培训意见反馈及效果跟踪等，并提供了培训保障措施。</w:t>
            </w:r>
          </w:p>
        </w:tc>
        <w:tc>
          <w:tcPr>
            <w:tcW w:w="867" w:type="dxa"/>
            <w:noWrap w:val="0"/>
            <w:vAlign w:val="center"/>
          </w:tcPr>
          <w:p w14:paraId="267B6608">
            <w:pPr>
              <w:spacing w:beforeLines="0" w:afterLines="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8分</w:t>
            </w:r>
          </w:p>
        </w:tc>
      </w:tr>
      <w:tr w14:paraId="438AD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jc w:val="center"/>
        </w:trPr>
        <w:tc>
          <w:tcPr>
            <w:tcW w:w="660" w:type="dxa"/>
            <w:noWrap w:val="0"/>
            <w:vAlign w:val="center"/>
          </w:tcPr>
          <w:p w14:paraId="4BF5B86D">
            <w:pPr>
              <w:adjustRightInd w:val="0"/>
              <w:spacing w:line="360" w:lineRule="auto"/>
              <w:ind w:left="-105" w:leftChars="-50" w:right="-105" w:rightChars="-50"/>
              <w:jc w:val="center"/>
              <w:textAlignment w:val="baseline"/>
              <w:rPr>
                <w:rFonts w:hint="default" w:ascii="宋体" w:hAnsi="宋体" w:eastAsia="宋体" w:cs="宋体"/>
                <w:bCs/>
                <w:color w:val="auto"/>
                <w:kern w:val="0"/>
                <w:sz w:val="24"/>
                <w:highlight w:val="none"/>
                <w:lang w:val="en-US" w:eastAsia="zh-CN"/>
              </w:rPr>
            </w:pPr>
            <w:r>
              <w:rPr>
                <w:rFonts w:hint="eastAsia" w:ascii="宋体" w:hAnsi="宋体" w:cs="宋体"/>
                <w:bCs/>
                <w:color w:val="auto"/>
                <w:kern w:val="0"/>
                <w:sz w:val="24"/>
                <w:highlight w:val="none"/>
                <w:lang w:val="en-US" w:eastAsia="zh-CN"/>
              </w:rPr>
              <w:t>2.6</w:t>
            </w:r>
          </w:p>
        </w:tc>
        <w:tc>
          <w:tcPr>
            <w:tcW w:w="1418" w:type="dxa"/>
            <w:noWrap w:val="0"/>
            <w:vAlign w:val="center"/>
          </w:tcPr>
          <w:p w14:paraId="6ADA69B0">
            <w:pPr>
              <w:adjustRightInd w:val="0"/>
              <w:spacing w:beforeLines="0" w:afterLines="0" w:line="360" w:lineRule="auto"/>
              <w:jc w:val="center"/>
              <w:textAlignment w:val="baseline"/>
              <w:rPr>
                <w:rFonts w:hint="eastAsia" w:ascii="宋体" w:hAnsi="宋体" w:cs="宋体"/>
                <w:bCs/>
                <w:color w:val="auto"/>
                <w:sz w:val="24"/>
                <w:highlight w:val="none"/>
              </w:rPr>
            </w:pPr>
            <w:r>
              <w:rPr>
                <w:rFonts w:hint="default" w:ascii="宋体" w:hAnsi="宋体" w:eastAsia="宋体"/>
                <w:color w:val="auto"/>
                <w:kern w:val="0"/>
                <w:sz w:val="21"/>
                <w:szCs w:val="21"/>
                <w:highlight w:val="none"/>
              </w:rPr>
              <w:t>人员配置分</w:t>
            </w:r>
          </w:p>
        </w:tc>
        <w:tc>
          <w:tcPr>
            <w:tcW w:w="7110" w:type="dxa"/>
            <w:noWrap w:val="0"/>
            <w:vAlign w:val="center"/>
          </w:tcPr>
          <w:p w14:paraId="18C20F2B">
            <w:pPr>
              <w:spacing w:beforeLines="0" w:afterLines="0" w:line="400" w:lineRule="exact"/>
              <w:rPr>
                <w:rFonts w:hint="default" w:ascii="宋体" w:hAnsi="宋体" w:eastAsia="宋体" w:cs="Courier New"/>
                <w:color w:val="auto"/>
                <w:sz w:val="21"/>
                <w:szCs w:val="21"/>
                <w:highlight w:val="none"/>
              </w:rPr>
            </w:pPr>
            <w:r>
              <w:rPr>
                <w:rFonts w:hint="default" w:ascii="宋体" w:hAnsi="宋体" w:eastAsia="宋体" w:cs="Courier New"/>
                <w:color w:val="auto"/>
                <w:sz w:val="21"/>
                <w:szCs w:val="21"/>
                <w:highlight w:val="none"/>
              </w:rPr>
              <w:t>一档（4分）：投标人技术响应文件中承诺拟投入人员刚好满足采购文件人员要求。</w:t>
            </w:r>
          </w:p>
          <w:p w14:paraId="60F4D65C">
            <w:pPr>
              <w:spacing w:beforeLines="0" w:afterLines="0" w:line="400" w:lineRule="exact"/>
              <w:rPr>
                <w:rFonts w:hint="eastAsia" w:ascii="宋体" w:hAnsi="宋体" w:cs="宋体"/>
                <w:b w:val="0"/>
                <w:color w:val="auto"/>
                <w:sz w:val="21"/>
                <w:szCs w:val="21"/>
                <w:highlight w:val="none"/>
              </w:rPr>
            </w:pPr>
            <w:r>
              <w:rPr>
                <w:rFonts w:hint="default" w:ascii="宋体" w:hAnsi="宋体" w:eastAsia="宋体" w:cs="Courier New"/>
                <w:color w:val="auto"/>
                <w:sz w:val="21"/>
                <w:szCs w:val="21"/>
                <w:highlight w:val="none"/>
              </w:rPr>
              <w:t>二档（7分）：在一档的基础上，提供优于采购文件人员要求，不存在人员重叠，并明确列出服务人员信息，并承诺运维过程中按人员配置安排驻场。</w:t>
            </w:r>
          </w:p>
        </w:tc>
        <w:tc>
          <w:tcPr>
            <w:tcW w:w="867" w:type="dxa"/>
            <w:noWrap w:val="0"/>
            <w:vAlign w:val="center"/>
          </w:tcPr>
          <w:p w14:paraId="58914B2B">
            <w:pPr>
              <w:spacing w:beforeLines="0" w:afterLines="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7分</w:t>
            </w:r>
          </w:p>
        </w:tc>
      </w:tr>
      <w:tr w14:paraId="425FB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60" w:type="dxa"/>
            <w:noWrap w:val="0"/>
            <w:vAlign w:val="center"/>
          </w:tcPr>
          <w:p w14:paraId="4A4FD596">
            <w:pPr>
              <w:widowControl/>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3</w:t>
            </w:r>
          </w:p>
        </w:tc>
        <w:tc>
          <w:tcPr>
            <w:tcW w:w="1418" w:type="dxa"/>
            <w:noWrap w:val="0"/>
            <w:vAlign w:val="center"/>
          </w:tcPr>
          <w:p w14:paraId="0C59A89C">
            <w:pPr>
              <w:adjustRightInd w:val="0"/>
              <w:spacing w:line="360" w:lineRule="auto"/>
              <w:jc w:val="center"/>
              <w:textAlignment w:val="baseline"/>
              <w:rPr>
                <w:rFonts w:hint="eastAsia" w:ascii="宋体" w:hAnsi="宋体" w:cs="宋体"/>
                <w:b/>
                <w:bCs/>
                <w:color w:val="auto"/>
                <w:sz w:val="24"/>
                <w:highlight w:val="none"/>
              </w:rPr>
            </w:pPr>
            <w:r>
              <w:rPr>
                <w:rFonts w:hint="eastAsia" w:ascii="宋体" w:hAnsi="宋体" w:cs="宋体"/>
                <w:b/>
                <w:bCs/>
                <w:color w:val="auto"/>
                <w:sz w:val="24"/>
                <w:highlight w:val="none"/>
              </w:rPr>
              <w:t>商务分（满分</w:t>
            </w:r>
            <w:r>
              <w:rPr>
                <w:rFonts w:hint="eastAsia" w:ascii="宋体" w:hAnsi="宋体" w:cs="宋体"/>
                <w:b/>
                <w:bCs/>
                <w:color w:val="auto"/>
                <w:sz w:val="24"/>
                <w:highlight w:val="none"/>
                <w:lang w:val="en-US" w:eastAsia="zh-CN"/>
              </w:rPr>
              <w:t>15</w:t>
            </w:r>
            <w:r>
              <w:rPr>
                <w:rFonts w:hint="eastAsia" w:ascii="宋体" w:hAnsi="宋体" w:cs="宋体"/>
                <w:b/>
                <w:bCs/>
                <w:color w:val="auto"/>
                <w:sz w:val="24"/>
                <w:highlight w:val="none"/>
              </w:rPr>
              <w:t>分）</w:t>
            </w:r>
          </w:p>
        </w:tc>
        <w:tc>
          <w:tcPr>
            <w:tcW w:w="7977" w:type="dxa"/>
            <w:gridSpan w:val="2"/>
            <w:noWrap w:val="0"/>
            <w:vAlign w:val="center"/>
          </w:tcPr>
          <w:p w14:paraId="11043C1A">
            <w:pPr>
              <w:adjustRightInd w:val="0"/>
              <w:spacing w:line="360" w:lineRule="auto"/>
              <w:jc w:val="center"/>
              <w:textAlignment w:val="baseline"/>
              <w:rPr>
                <w:rFonts w:hint="eastAsia" w:ascii="宋体" w:hAnsi="宋体" w:cs="宋体"/>
                <w:bCs/>
                <w:color w:val="auto"/>
                <w:sz w:val="24"/>
                <w:highlight w:val="none"/>
              </w:rPr>
            </w:pPr>
            <w:r>
              <w:rPr>
                <w:rFonts w:hint="eastAsia" w:ascii="宋体" w:hAnsi="宋体" w:cs="宋体"/>
                <w:bCs/>
                <w:color w:val="auto"/>
                <w:sz w:val="24"/>
                <w:highlight w:val="none"/>
              </w:rPr>
              <w:t>评审因素</w:t>
            </w:r>
          </w:p>
        </w:tc>
      </w:tr>
      <w:tr w14:paraId="73646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660" w:type="dxa"/>
            <w:noWrap w:val="0"/>
            <w:vAlign w:val="center"/>
          </w:tcPr>
          <w:p w14:paraId="138A0407">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3.1</w:t>
            </w:r>
          </w:p>
        </w:tc>
        <w:tc>
          <w:tcPr>
            <w:tcW w:w="1418" w:type="dxa"/>
            <w:noWrap w:val="0"/>
            <w:vAlign w:val="center"/>
          </w:tcPr>
          <w:p w14:paraId="6B97F4E3">
            <w:pPr>
              <w:adjustRightInd w:val="0"/>
              <w:spacing w:line="360" w:lineRule="auto"/>
              <w:jc w:val="center"/>
              <w:textAlignment w:val="baseline"/>
              <w:rPr>
                <w:rFonts w:hint="default" w:ascii="宋体" w:hAnsi="宋体" w:eastAsia="宋体" w:cs="宋体"/>
                <w:bCs/>
                <w:color w:val="auto"/>
                <w:sz w:val="24"/>
                <w:highlight w:val="none"/>
                <w:lang w:val="en-US" w:eastAsia="zh-CN"/>
              </w:rPr>
            </w:pPr>
            <w:r>
              <w:rPr>
                <w:rFonts w:hint="eastAsia" w:ascii="宋体" w:hAnsi="宋体" w:cs="宋体"/>
                <w:bCs/>
                <w:color w:val="auto"/>
                <w:sz w:val="24"/>
                <w:highlight w:val="none"/>
                <w:lang w:val="en-US" w:eastAsia="zh-CN"/>
              </w:rPr>
              <w:t>信誉分</w:t>
            </w:r>
          </w:p>
        </w:tc>
        <w:tc>
          <w:tcPr>
            <w:tcW w:w="7110" w:type="dxa"/>
            <w:noWrap w:val="0"/>
            <w:vAlign w:val="center"/>
          </w:tcPr>
          <w:p w14:paraId="6857CAE2">
            <w:pPr>
              <w:adjustRightInd w:val="0"/>
              <w:spacing w:line="360" w:lineRule="auto"/>
              <w:jc w:val="both"/>
              <w:textAlignment w:val="baseline"/>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1.采购人信访系统均基于国产达梦数据库建设，磋商供应商投入本项目的运维系统（运维软件）具有与国产达梦数据库”兼容互认证书”的，每提供一个得2分，最多得2分。</w:t>
            </w:r>
          </w:p>
          <w:p w14:paraId="349F3B70">
            <w:pPr>
              <w:adjustRightInd w:val="0"/>
              <w:spacing w:line="360" w:lineRule="auto"/>
              <w:jc w:val="both"/>
              <w:textAlignment w:val="baseline"/>
              <w:rPr>
                <w:rFonts w:hint="eastAsia"/>
                <w:color w:val="auto"/>
                <w:highlight w:val="none"/>
              </w:rPr>
            </w:pPr>
            <w:r>
              <w:rPr>
                <w:rFonts w:hint="eastAsia" w:ascii="宋体" w:hAnsi="宋体" w:eastAsia="宋体" w:cs="宋体"/>
                <w:bCs w:val="0"/>
                <w:color w:val="auto"/>
                <w:sz w:val="21"/>
                <w:szCs w:val="21"/>
                <w:highlight w:val="none"/>
              </w:rPr>
              <w:t>2.</w:t>
            </w:r>
            <w:r>
              <w:rPr>
                <w:rFonts w:hint="eastAsia" w:ascii="宋体" w:hAnsi="宋体" w:eastAsia="宋体" w:cs="宋体"/>
                <w:bCs w:val="0"/>
                <w:color w:val="auto"/>
                <w:sz w:val="21"/>
                <w:szCs w:val="21"/>
                <w:highlight w:val="none"/>
              </w:rPr>
              <w:t>磋商供应商具有与</w:t>
            </w:r>
            <w:r>
              <w:rPr>
                <w:rFonts w:hint="eastAsia" w:ascii="宋体" w:hAnsi="宋体" w:eastAsia="宋体" w:cs="宋体"/>
                <w:bCs w:val="0"/>
                <w:color w:val="auto"/>
                <w:sz w:val="21"/>
                <w:szCs w:val="21"/>
                <w:highlight w:val="none"/>
              </w:rPr>
              <w:t>本运维项目类似</w:t>
            </w:r>
            <w:r>
              <w:rPr>
                <w:rFonts w:hint="eastAsia" w:ascii="宋体" w:hAnsi="宋体" w:cs="宋体"/>
                <w:bCs w:val="0"/>
                <w:color w:val="auto"/>
                <w:sz w:val="21"/>
                <w:szCs w:val="21"/>
                <w:highlight w:val="none"/>
                <w:lang w:eastAsia="zh-CN"/>
              </w:rPr>
              <w:t>的</w:t>
            </w:r>
            <w:r>
              <w:rPr>
                <w:rFonts w:hint="eastAsia" w:ascii="宋体" w:hAnsi="宋体" w:eastAsia="宋体" w:cs="宋体"/>
                <w:bCs w:val="0"/>
                <w:color w:val="auto"/>
                <w:sz w:val="21"/>
                <w:szCs w:val="21"/>
                <w:highlight w:val="none"/>
              </w:rPr>
              <w:t>系统（包括但不限于信访</w:t>
            </w:r>
            <w:r>
              <w:rPr>
                <w:rFonts w:hint="eastAsia" w:ascii="宋体" w:hAnsi="宋体" w:cs="宋体"/>
                <w:bCs w:val="0"/>
                <w:color w:val="auto"/>
                <w:sz w:val="21"/>
                <w:szCs w:val="21"/>
                <w:highlight w:val="none"/>
                <w:lang w:eastAsia="zh-CN"/>
              </w:rPr>
              <w:t>业务办理</w:t>
            </w:r>
            <w:r>
              <w:rPr>
                <w:rFonts w:hint="eastAsia" w:ascii="宋体" w:hAnsi="宋体" w:eastAsia="宋体" w:cs="宋体"/>
                <w:bCs w:val="0"/>
                <w:color w:val="auto"/>
                <w:sz w:val="21"/>
                <w:szCs w:val="21"/>
                <w:highlight w:val="none"/>
              </w:rPr>
              <w:t>类、</w:t>
            </w:r>
            <w:r>
              <w:rPr>
                <w:rFonts w:hint="eastAsia" w:ascii="宋体" w:hAnsi="宋体" w:cs="宋体"/>
                <w:bCs w:val="0"/>
                <w:color w:val="auto"/>
                <w:sz w:val="21"/>
                <w:szCs w:val="21"/>
                <w:highlight w:val="none"/>
                <w:lang w:eastAsia="zh-CN"/>
              </w:rPr>
              <w:t>信访数据分析类、信访数据管理类以及</w:t>
            </w:r>
            <w:r>
              <w:rPr>
                <w:rFonts w:hint="eastAsia" w:ascii="宋体" w:hAnsi="宋体" w:eastAsia="宋体" w:cs="宋体"/>
                <w:bCs w:val="0"/>
                <w:color w:val="auto"/>
                <w:sz w:val="21"/>
                <w:szCs w:val="21"/>
                <w:highlight w:val="none"/>
              </w:rPr>
              <w:t>政法类业务信息系统等）的计算机软件开发著作权的</w:t>
            </w:r>
            <w:r>
              <w:rPr>
                <w:rFonts w:hint="eastAsia" w:ascii="宋体" w:hAnsi="宋体" w:eastAsia="宋体" w:cs="宋体"/>
                <w:bCs w:val="0"/>
                <w:color w:val="auto"/>
                <w:sz w:val="21"/>
                <w:szCs w:val="21"/>
                <w:highlight w:val="none"/>
              </w:rPr>
              <w:t>，每个得2分，满分10分。（需提供软件著作权登记证书加盖供应商公章）</w:t>
            </w:r>
          </w:p>
        </w:tc>
        <w:tc>
          <w:tcPr>
            <w:tcW w:w="867" w:type="dxa"/>
            <w:noWrap w:val="0"/>
            <w:vAlign w:val="center"/>
          </w:tcPr>
          <w:p w14:paraId="1E05DEB2">
            <w:pPr>
              <w:widowControl/>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12</w:t>
            </w:r>
            <w:r>
              <w:rPr>
                <w:rFonts w:hint="eastAsia" w:ascii="宋体" w:hAnsi="宋体" w:cs="宋体"/>
                <w:color w:val="auto"/>
                <w:kern w:val="0"/>
                <w:sz w:val="24"/>
                <w:highlight w:val="none"/>
              </w:rPr>
              <w:t xml:space="preserve">分 </w:t>
            </w:r>
          </w:p>
        </w:tc>
      </w:tr>
      <w:tr w14:paraId="2099D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660" w:type="dxa"/>
            <w:noWrap w:val="0"/>
            <w:vAlign w:val="center"/>
          </w:tcPr>
          <w:p w14:paraId="01B29CD6">
            <w:pPr>
              <w:spacing w:line="360" w:lineRule="auto"/>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3.2</w:t>
            </w:r>
          </w:p>
        </w:tc>
        <w:tc>
          <w:tcPr>
            <w:tcW w:w="1418" w:type="dxa"/>
            <w:noWrap w:val="0"/>
            <w:vAlign w:val="center"/>
          </w:tcPr>
          <w:p w14:paraId="41F2EC5A">
            <w:pPr>
              <w:adjustRightInd w:val="0"/>
              <w:spacing w:line="360" w:lineRule="auto"/>
              <w:jc w:val="center"/>
              <w:textAlignment w:val="baseline"/>
              <w:rPr>
                <w:rFonts w:hint="eastAsia" w:ascii="宋体" w:hAnsi="宋体" w:eastAsia="宋体" w:cs="宋体"/>
                <w:bCs/>
                <w:color w:val="auto"/>
                <w:sz w:val="24"/>
                <w:highlight w:val="none"/>
                <w:lang w:val="en-US" w:eastAsia="zh-CN"/>
              </w:rPr>
            </w:pPr>
            <w:r>
              <w:rPr>
                <w:rFonts w:hint="eastAsia" w:ascii="宋体" w:hAnsi="宋体" w:cs="宋体"/>
                <w:bCs/>
                <w:color w:val="auto"/>
                <w:sz w:val="24"/>
                <w:highlight w:val="none"/>
                <w:lang w:val="en-US" w:eastAsia="zh-CN"/>
              </w:rPr>
              <w:t>业绩分</w:t>
            </w:r>
          </w:p>
        </w:tc>
        <w:tc>
          <w:tcPr>
            <w:tcW w:w="7110" w:type="dxa"/>
            <w:noWrap w:val="0"/>
            <w:vAlign w:val="center"/>
          </w:tcPr>
          <w:p w14:paraId="27F1794C">
            <w:pPr>
              <w:adjustRightInd w:val="0"/>
              <w:spacing w:line="360" w:lineRule="auto"/>
              <w:jc w:val="both"/>
              <w:textAlignment w:val="baseline"/>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磋商供应商具有2022年1月以来有同类业绩的，得1分，满分3分。</w:t>
            </w:r>
          </w:p>
          <w:p w14:paraId="35D5CB36">
            <w:pPr>
              <w:adjustRightInd w:val="0"/>
              <w:spacing w:line="360" w:lineRule="auto"/>
              <w:jc w:val="both"/>
              <w:textAlignment w:val="baseline"/>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（响应文件中提供合同复印件或中标（成交）通知书等证明材料，不提供不得分）。</w:t>
            </w:r>
          </w:p>
        </w:tc>
        <w:tc>
          <w:tcPr>
            <w:tcW w:w="867" w:type="dxa"/>
            <w:noWrap w:val="0"/>
            <w:vAlign w:val="center"/>
          </w:tcPr>
          <w:p w14:paraId="5F4FFE95">
            <w:pPr>
              <w:widowControl/>
              <w:spacing w:line="360" w:lineRule="auto"/>
              <w:jc w:val="center"/>
              <w:rPr>
                <w:rFonts w:hint="default"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3分</w:t>
            </w:r>
          </w:p>
        </w:tc>
      </w:tr>
      <w:tr w14:paraId="1FFDA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0055" w:type="dxa"/>
            <w:gridSpan w:val="4"/>
            <w:noWrap w:val="0"/>
            <w:vAlign w:val="top"/>
          </w:tcPr>
          <w:p w14:paraId="2F6EB7B2">
            <w:pPr>
              <w:widowControl/>
              <w:spacing w:line="360" w:lineRule="auto"/>
              <w:ind w:firstLine="480" w:firstLineChars="200"/>
              <w:jc w:val="both"/>
              <w:rPr>
                <w:rFonts w:hint="eastAsia" w:ascii="宋体" w:hAnsi="宋体" w:cs="宋体"/>
                <w:color w:val="auto"/>
                <w:kern w:val="0"/>
                <w:sz w:val="24"/>
                <w:highlight w:val="none"/>
              </w:rPr>
            </w:pPr>
            <w:r>
              <w:rPr>
                <w:rFonts w:hint="eastAsia" w:hAnsi="宋体" w:cs="宋体"/>
                <w:bCs/>
                <w:color w:val="auto"/>
                <w:kern w:val="2"/>
                <w:sz w:val="24"/>
                <w:szCs w:val="24"/>
                <w:highlight w:val="none"/>
              </w:rPr>
              <w:t>总得分＝1＋2＋3</w:t>
            </w:r>
          </w:p>
        </w:tc>
      </w:tr>
    </w:tbl>
    <w:p w14:paraId="1FAF01C6">
      <w:pPr>
        <w:pStyle w:val="22"/>
        <w:rPr>
          <w:color w:val="auto"/>
          <w:highlight w:val="none"/>
        </w:rPr>
      </w:pPr>
    </w:p>
    <w:p w14:paraId="4C5E7FB2">
      <w:pPr>
        <w:spacing w:line="360" w:lineRule="auto"/>
        <w:ind w:firstLine="420" w:firstLineChars="200"/>
        <w:rPr>
          <w:rFonts w:ascii="宋体" w:hAnsi="宋体" w:cs="宋体"/>
          <w:color w:val="auto"/>
          <w:highlight w:val="none"/>
        </w:rPr>
      </w:pPr>
      <w:bookmarkStart w:id="123" w:name="_Toc80205935"/>
    </w:p>
    <w:p w14:paraId="43C066EE">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7.2终止竞争性磋商采购活动</w:t>
      </w:r>
    </w:p>
    <w:p w14:paraId="42D75BE2">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77E29357">
      <w:pPr>
        <w:spacing w:line="360" w:lineRule="auto"/>
        <w:ind w:firstLine="420" w:firstLineChars="200"/>
        <w:rPr>
          <w:rFonts w:hint="eastAsia" w:ascii="宋体" w:hAnsi="宋体" w:cs="宋体"/>
          <w:color w:val="auto"/>
          <w:highlight w:val="none"/>
        </w:rPr>
      </w:pPr>
    </w:p>
    <w:p w14:paraId="210BEC57">
      <w:pPr>
        <w:pStyle w:val="3"/>
        <w:spacing w:before="0" w:after="0" w:line="360" w:lineRule="auto"/>
        <w:ind w:firstLine="640" w:firstLineChars="200"/>
        <w:jc w:val="center"/>
        <w:rPr>
          <w:rFonts w:ascii="宋体" w:hAnsi="宋体"/>
          <w:b w:val="0"/>
          <w:color w:val="auto"/>
          <w:highlight w:val="none"/>
        </w:rPr>
      </w:pPr>
      <w:bookmarkStart w:id="124" w:name="_Toc22545"/>
      <w:bookmarkStart w:id="125" w:name="_Toc80886939"/>
      <w:bookmarkStart w:id="126" w:name="_Toc11595"/>
      <w:r>
        <w:rPr>
          <w:rFonts w:hint="eastAsia" w:ascii="宋体" w:hAnsi="宋体"/>
          <w:b w:val="0"/>
          <w:color w:val="auto"/>
          <w:highlight w:val="none"/>
        </w:rPr>
        <w:t>第二节 评审报告</w:t>
      </w:r>
      <w:bookmarkEnd w:id="123"/>
      <w:bookmarkEnd w:id="124"/>
      <w:bookmarkEnd w:id="125"/>
      <w:bookmarkEnd w:id="126"/>
    </w:p>
    <w:p w14:paraId="23ECE88D">
      <w:pPr>
        <w:spacing w:line="360" w:lineRule="auto"/>
        <w:ind w:firstLine="480" w:firstLineChars="200"/>
        <w:rPr>
          <w:rFonts w:hint="eastAsia" w:ascii="黑体" w:hAnsi="黑体" w:eastAsia="黑体" w:cs="宋体"/>
          <w:color w:val="auto"/>
          <w:sz w:val="24"/>
          <w:szCs w:val="32"/>
          <w:highlight w:val="none"/>
        </w:rPr>
      </w:pPr>
      <w:r>
        <w:rPr>
          <w:rFonts w:hint="eastAsia" w:ascii="黑体" w:hAnsi="黑体" w:eastAsia="黑体" w:cs="宋体"/>
          <w:color w:val="auto"/>
          <w:sz w:val="24"/>
          <w:szCs w:val="32"/>
          <w:highlight w:val="none"/>
        </w:rPr>
        <w:t>1.成交标准</w:t>
      </w:r>
    </w:p>
    <w:p w14:paraId="7F50BEF9">
      <w:pPr>
        <w:spacing w:line="360" w:lineRule="auto"/>
        <w:ind w:firstLine="420" w:firstLineChars="200"/>
        <w:rPr>
          <w:rFonts w:hint="eastAsia" w:ascii="宋体" w:hAnsi="宋体" w:eastAsia="宋体" w:cs="宋体"/>
          <w:bCs w:val="0"/>
          <w:color w:val="auto"/>
          <w:kern w:val="0"/>
          <w:szCs w:val="21"/>
          <w:highlight w:val="none"/>
        </w:rPr>
      </w:pPr>
      <w:r>
        <w:rPr>
          <w:rFonts w:hint="eastAsia" w:ascii="宋体" w:hAnsi="宋体" w:eastAsia="宋体" w:cs="宋体"/>
          <w:color w:val="auto"/>
          <w:kern w:val="0"/>
          <w:sz w:val="21"/>
          <w:szCs w:val="21"/>
          <w:highlight w:val="none"/>
        </w:rPr>
        <w:t>磋商小组根据综合评分情况，按照评审得分由高到低顺序推荐3名以上成交候选供应商，并编写评审报告。</w:t>
      </w:r>
      <w:r>
        <w:rPr>
          <w:rFonts w:hint="eastAsia" w:ascii="宋体" w:hAnsi="宋体" w:eastAsia="宋体" w:cs="宋体"/>
          <w:color w:val="auto"/>
          <w:kern w:val="0"/>
          <w:szCs w:val="21"/>
          <w:highlight w:val="none"/>
        </w:rPr>
        <w:t>符合本章第</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.3条情形的</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 w:val="21"/>
          <w:szCs w:val="21"/>
          <w:highlight w:val="none"/>
        </w:rPr>
        <w:t>可以推荐2家成交候选供应商。评审得分相同的，按照最后报价由低到高的顺序推荐</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评审得分且最后报价相同的，按照</w:t>
      </w:r>
      <w:r>
        <w:rPr>
          <w:rFonts w:hint="eastAsia" w:ascii="宋体" w:hAnsi="宋体" w:eastAsia="宋体" w:cs="宋体"/>
          <w:color w:val="auto"/>
          <w:kern w:val="0"/>
          <w:sz w:val="21"/>
          <w:szCs w:val="21"/>
          <w:highlight w:val="none"/>
          <w:u w:val="none"/>
        </w:rPr>
        <w:t>技术指标</w:t>
      </w:r>
      <w:r>
        <w:rPr>
          <w:rFonts w:hint="eastAsia" w:ascii="宋体" w:hAnsi="宋体" w:eastAsia="宋体" w:cs="宋体"/>
          <w:color w:val="auto"/>
          <w:kern w:val="0"/>
          <w:sz w:val="21"/>
          <w:szCs w:val="21"/>
          <w:highlight w:val="none"/>
        </w:rPr>
        <w:t>优劣顺序推荐</w:t>
      </w:r>
      <w:r>
        <w:rPr>
          <w:rFonts w:hint="eastAsia" w:ascii="宋体" w:hAnsi="宋体" w:eastAsia="宋体" w:cs="宋体"/>
          <w:color w:val="auto"/>
          <w:kern w:val="0"/>
          <w:sz w:val="21"/>
          <w:szCs w:val="21"/>
          <w:highlight w:val="none"/>
          <w:lang w:eastAsia="zh-CN"/>
        </w:rPr>
        <w:t>；</w:t>
      </w:r>
      <w:r>
        <w:rPr>
          <w:rFonts w:hint="eastAsia" w:ascii="宋体" w:hAnsi="宋体" w:eastAsia="宋体" w:cs="宋体"/>
          <w:bCs w:val="0"/>
          <w:color w:val="auto"/>
          <w:kern w:val="0"/>
          <w:szCs w:val="21"/>
          <w:highlight w:val="none"/>
          <w:lang w:eastAsia="zh-CN"/>
        </w:rPr>
        <w:t>技术</w:t>
      </w:r>
      <w:r>
        <w:rPr>
          <w:rFonts w:hint="eastAsia" w:ascii="宋体" w:hAnsi="宋体" w:eastAsia="宋体" w:cs="宋体"/>
          <w:bCs w:val="0"/>
          <w:strike w:val="0"/>
          <w:color w:val="auto"/>
          <w:kern w:val="0"/>
          <w:szCs w:val="21"/>
          <w:highlight w:val="none"/>
          <w:lang w:eastAsia="zh-CN"/>
        </w:rPr>
        <w:t>指标仍相同的</w:t>
      </w:r>
      <w:r>
        <w:rPr>
          <w:rFonts w:hint="eastAsia" w:ascii="宋体" w:hAnsi="宋体" w:eastAsia="宋体" w:cs="宋体"/>
          <w:bCs w:val="0"/>
          <w:color w:val="auto"/>
          <w:kern w:val="0"/>
          <w:szCs w:val="21"/>
          <w:highlight w:val="none"/>
        </w:rPr>
        <w:t>，由磋商小组随机抽取推荐。</w:t>
      </w:r>
    </w:p>
    <w:p w14:paraId="5C82738A">
      <w:pPr>
        <w:spacing w:line="360" w:lineRule="auto"/>
        <w:ind w:firstLine="480" w:firstLineChars="200"/>
        <w:rPr>
          <w:rFonts w:hint="eastAsia" w:ascii="黑体" w:hAnsi="黑体" w:eastAsia="黑体" w:cs="宋体"/>
          <w:color w:val="auto"/>
          <w:sz w:val="24"/>
          <w:szCs w:val="32"/>
          <w:highlight w:val="none"/>
        </w:rPr>
      </w:pPr>
      <w:r>
        <w:rPr>
          <w:rFonts w:hint="eastAsia" w:ascii="黑体" w:hAnsi="黑体" w:eastAsia="黑体" w:cs="宋体"/>
          <w:color w:val="auto"/>
          <w:sz w:val="24"/>
          <w:szCs w:val="32"/>
          <w:highlight w:val="none"/>
        </w:rPr>
        <w:t>2.</w:t>
      </w:r>
      <w:r>
        <w:rPr>
          <w:rFonts w:hint="eastAsia" w:ascii="黑体" w:hAnsi="黑体" w:eastAsia="黑体" w:cs="宋体"/>
          <w:color w:val="auto"/>
          <w:sz w:val="24"/>
          <w:szCs w:val="32"/>
          <w:highlight w:val="none"/>
          <w:lang w:eastAsia="zh-CN"/>
        </w:rPr>
        <w:t>评审</w:t>
      </w:r>
      <w:r>
        <w:rPr>
          <w:rFonts w:hint="eastAsia" w:ascii="黑体" w:hAnsi="黑体" w:eastAsia="黑体" w:cs="宋体"/>
          <w:color w:val="auto"/>
          <w:sz w:val="24"/>
          <w:szCs w:val="32"/>
          <w:highlight w:val="none"/>
        </w:rPr>
        <w:t>争议</w:t>
      </w:r>
      <w:r>
        <w:rPr>
          <w:rFonts w:ascii="黑体" w:hAnsi="黑体" w:eastAsia="黑体" w:cs="宋体"/>
          <w:color w:val="auto"/>
          <w:sz w:val="24"/>
          <w:szCs w:val="32"/>
          <w:highlight w:val="none"/>
        </w:rPr>
        <w:t>事项</w:t>
      </w:r>
      <w:r>
        <w:rPr>
          <w:rFonts w:hint="eastAsia" w:ascii="黑体" w:hAnsi="黑体" w:eastAsia="黑体" w:cs="宋体"/>
          <w:color w:val="auto"/>
          <w:sz w:val="24"/>
          <w:szCs w:val="32"/>
          <w:highlight w:val="none"/>
        </w:rPr>
        <w:t>处理</w:t>
      </w:r>
    </w:p>
    <w:p w14:paraId="7F9F46E9">
      <w:pPr>
        <w:pStyle w:val="69"/>
        <w:spacing w:before="0"/>
        <w:ind w:firstLine="420"/>
        <w:rPr>
          <w:rFonts w:ascii="宋体" w:hAnsi="宋体" w:cs="宋体"/>
          <w:color w:val="auto"/>
          <w:kern w:val="2"/>
          <w:sz w:val="21"/>
          <w:szCs w:val="24"/>
          <w:highlight w:val="none"/>
        </w:rPr>
      </w:pPr>
      <w:r>
        <w:rPr>
          <w:rFonts w:hint="eastAsia" w:ascii="宋体" w:hAnsi="宋体" w:eastAsia="宋体" w:cs="宋体"/>
          <w:color w:val="auto"/>
          <w:kern w:val="2"/>
          <w:sz w:val="21"/>
          <w:szCs w:val="24"/>
          <w:highlight w:val="none"/>
          <w:lang w:val="en-US" w:eastAsia="zh-CN" w:bidi="ar-SA"/>
        </w:rPr>
        <w:t>磋商小组成员对需要共同认定的事项存在争议的，应当按照少数服从多数的原则作出结论。持不同意见的磋商小组成员应当在评审报告上签署不同意见及理由，否则视为同意评审报告。</w:t>
      </w:r>
    </w:p>
    <w:p w14:paraId="73BD8D34">
      <w:pPr>
        <w:pStyle w:val="69"/>
        <w:spacing w:before="0"/>
        <w:ind w:firstLine="420"/>
        <w:rPr>
          <w:rFonts w:cs="宋体"/>
          <w:color w:val="auto"/>
          <w:kern w:val="2"/>
          <w:sz w:val="21"/>
          <w:szCs w:val="24"/>
          <w:highlight w:val="none"/>
        </w:rPr>
      </w:pPr>
    </w:p>
    <w:p w14:paraId="28E0BDEE">
      <w:pPr>
        <w:pStyle w:val="3"/>
        <w:spacing w:before="0" w:after="0" w:line="360" w:lineRule="auto"/>
        <w:ind w:firstLine="640" w:firstLineChars="200"/>
        <w:jc w:val="center"/>
        <w:rPr>
          <w:rFonts w:ascii="宋体" w:hAnsi="宋体"/>
          <w:b w:val="0"/>
          <w:color w:val="auto"/>
          <w:highlight w:val="none"/>
        </w:rPr>
      </w:pPr>
      <w:bookmarkStart w:id="127" w:name="_Toc80886940"/>
      <w:bookmarkStart w:id="128" w:name="_Toc2025"/>
      <w:bookmarkStart w:id="129" w:name="_Toc20045"/>
      <w:bookmarkStart w:id="130" w:name="_Toc80205936"/>
      <w:r>
        <w:rPr>
          <w:rFonts w:hint="eastAsia" w:ascii="宋体" w:hAnsi="宋体"/>
          <w:b w:val="0"/>
          <w:color w:val="auto"/>
          <w:highlight w:val="none"/>
        </w:rPr>
        <w:t>第三节 评审过程的保密与录像</w:t>
      </w:r>
      <w:bookmarkEnd w:id="127"/>
      <w:bookmarkEnd w:id="128"/>
      <w:bookmarkEnd w:id="129"/>
      <w:bookmarkEnd w:id="130"/>
    </w:p>
    <w:p w14:paraId="2D816F8B">
      <w:pPr>
        <w:spacing w:line="360" w:lineRule="auto"/>
        <w:ind w:firstLine="480" w:firstLineChars="200"/>
        <w:rPr>
          <w:rFonts w:hint="eastAsia" w:ascii="黑体" w:hAnsi="黑体" w:eastAsia="黑体" w:cs="宋体"/>
          <w:color w:val="auto"/>
          <w:sz w:val="24"/>
          <w:szCs w:val="32"/>
          <w:highlight w:val="none"/>
        </w:rPr>
      </w:pPr>
      <w:r>
        <w:rPr>
          <w:rFonts w:hint="eastAsia" w:ascii="黑体" w:hAnsi="黑体" w:eastAsia="黑体" w:cs="宋体"/>
          <w:color w:val="auto"/>
          <w:sz w:val="24"/>
          <w:szCs w:val="32"/>
          <w:highlight w:val="none"/>
        </w:rPr>
        <w:t>1.保密。</w:t>
      </w:r>
    </w:p>
    <w:p w14:paraId="4E643D56">
      <w:pPr>
        <w:widowControl/>
        <w:spacing w:line="360" w:lineRule="auto"/>
        <w:ind w:firstLine="420" w:firstLineChars="200"/>
        <w:rPr>
          <w:rFonts w:eastAsia="宋体" w:cs="宋体"/>
          <w:color w:val="auto"/>
          <w:highlight w:val="none"/>
        </w:rPr>
      </w:pPr>
      <w:r>
        <w:rPr>
          <w:rFonts w:eastAsia="宋体" w:cs="宋体"/>
          <w:color w:val="auto"/>
          <w:highlight w:val="none"/>
        </w:rPr>
        <w:t>评审活动在严格保密的情况下进行。评审过程中凡是与响应文件评审和比较、成交供应商推荐等评审有关的情况，以及涉及国家秘密和商业秘密等信息，</w:t>
      </w:r>
      <w:r>
        <w:rPr>
          <w:rFonts w:hint="eastAsia" w:eastAsia="宋体" w:cs="宋体"/>
          <w:color w:val="auto"/>
          <w:kern w:val="2"/>
          <w:sz w:val="21"/>
          <w:szCs w:val="24"/>
          <w:highlight w:val="none"/>
        </w:rPr>
        <w:t>磋商小组</w:t>
      </w:r>
      <w:r>
        <w:rPr>
          <w:rFonts w:eastAsia="宋体" w:cs="宋体"/>
          <w:color w:val="auto"/>
          <w:kern w:val="2"/>
          <w:sz w:val="21"/>
          <w:szCs w:val="24"/>
          <w:highlight w:val="none"/>
        </w:rPr>
        <w:t>成员</w:t>
      </w:r>
      <w:r>
        <w:rPr>
          <w:rFonts w:eastAsia="宋体" w:cs="宋体"/>
          <w:color w:val="auto"/>
          <w:highlight w:val="none"/>
        </w:rPr>
        <w:t>、采购人和采购</w:t>
      </w:r>
      <w:r>
        <w:rPr>
          <w:rFonts w:hint="eastAsia" w:eastAsia="宋体" w:cs="宋体"/>
          <w:color w:val="auto"/>
          <w:highlight w:val="none"/>
          <w:lang w:eastAsia="zh-CN"/>
        </w:rPr>
        <w:t>代理</w:t>
      </w:r>
      <w:r>
        <w:rPr>
          <w:rFonts w:eastAsia="宋体" w:cs="宋体"/>
          <w:color w:val="auto"/>
          <w:highlight w:val="none"/>
        </w:rPr>
        <w:t>机构工作人员、相关监督人员等与评审有关的人员应当予以保密。</w:t>
      </w:r>
    </w:p>
    <w:p w14:paraId="2D7D447D">
      <w:pPr>
        <w:widowControl/>
        <w:spacing w:line="360" w:lineRule="auto"/>
        <w:ind w:firstLine="480" w:firstLineChars="200"/>
        <w:rPr>
          <w:rFonts w:hint="eastAsia" w:ascii="黑体" w:hAnsi="黑体" w:eastAsia="黑体" w:cs="宋体"/>
          <w:color w:val="auto"/>
          <w:sz w:val="24"/>
          <w:szCs w:val="32"/>
          <w:highlight w:val="none"/>
        </w:rPr>
      </w:pPr>
      <w:r>
        <w:rPr>
          <w:rFonts w:hint="eastAsia" w:ascii="黑体" w:hAnsi="黑体" w:eastAsia="黑体" w:cs="宋体"/>
          <w:color w:val="auto"/>
          <w:sz w:val="24"/>
          <w:szCs w:val="32"/>
          <w:highlight w:val="none"/>
        </w:rPr>
        <w:t>2.录音录像。</w:t>
      </w:r>
    </w:p>
    <w:p w14:paraId="7689E97B">
      <w:pPr>
        <w:spacing w:line="360" w:lineRule="auto"/>
        <w:ind w:firstLine="420" w:firstLineChars="200"/>
        <w:rPr>
          <w:rFonts w:hint="eastAsia" w:eastAsia="宋体" w:cs="宋体"/>
          <w:color w:val="auto"/>
          <w:highlight w:val="none"/>
        </w:rPr>
      </w:pPr>
      <w:r>
        <w:rPr>
          <w:rFonts w:hint="eastAsia" w:eastAsia="宋体" w:cs="宋体"/>
          <w:color w:val="auto"/>
          <w:highlight w:val="none"/>
        </w:rPr>
        <w:t>采购代理机构对评审工作现场及操作屏幕进行全过程录音录像，录音录像资料作为采购项目文件随其他文件一并存档。</w:t>
      </w:r>
    </w:p>
    <w:p w14:paraId="29557109">
      <w:pPr>
        <w:spacing w:line="360" w:lineRule="auto"/>
        <w:ind w:firstLine="420" w:firstLineChars="200"/>
        <w:rPr>
          <w:color w:val="auto"/>
          <w:highlight w:val="none"/>
        </w:rPr>
      </w:pPr>
    </w:p>
    <w:p w14:paraId="715DD55B">
      <w:pPr>
        <w:pStyle w:val="3"/>
        <w:jc w:val="center"/>
        <w:rPr>
          <w:color w:val="auto"/>
          <w:highlight w:val="none"/>
        </w:rPr>
      </w:pPr>
      <w:r>
        <w:rPr>
          <w:color w:val="auto"/>
          <w:highlight w:val="none"/>
        </w:rPr>
        <w:br w:type="page"/>
      </w:r>
    </w:p>
    <w:p w14:paraId="3B480AFC">
      <w:pPr>
        <w:pStyle w:val="3"/>
        <w:jc w:val="center"/>
        <w:rPr>
          <w:color w:val="auto"/>
          <w:highlight w:val="none"/>
        </w:rPr>
      </w:pPr>
    </w:p>
    <w:p w14:paraId="09FC78CA">
      <w:pPr>
        <w:pStyle w:val="3"/>
        <w:jc w:val="center"/>
        <w:rPr>
          <w:color w:val="auto"/>
          <w:highlight w:val="none"/>
        </w:rPr>
      </w:pPr>
    </w:p>
    <w:p w14:paraId="0E82C705">
      <w:pPr>
        <w:pStyle w:val="3"/>
        <w:jc w:val="center"/>
        <w:rPr>
          <w:color w:val="auto"/>
          <w:highlight w:val="none"/>
        </w:rPr>
      </w:pPr>
    </w:p>
    <w:p w14:paraId="418763F6">
      <w:pPr>
        <w:rPr>
          <w:color w:val="auto"/>
          <w:highlight w:val="none"/>
        </w:rPr>
      </w:pPr>
    </w:p>
    <w:p w14:paraId="47D8097D">
      <w:pPr>
        <w:pStyle w:val="2"/>
        <w:rPr>
          <w:color w:val="auto"/>
          <w:highlight w:val="none"/>
        </w:rPr>
      </w:pPr>
    </w:p>
    <w:p w14:paraId="3490AF67">
      <w:pPr>
        <w:rPr>
          <w:color w:val="auto"/>
          <w:highlight w:val="none"/>
        </w:rPr>
      </w:pPr>
    </w:p>
    <w:p w14:paraId="4DB2C448">
      <w:pPr>
        <w:pStyle w:val="2"/>
        <w:jc w:val="center"/>
        <w:rPr>
          <w:color w:val="auto"/>
          <w:highlight w:val="none"/>
        </w:rPr>
        <w:sectPr>
          <w:headerReference r:id="rId10" w:type="default"/>
          <w:footerReference r:id="rId11" w:type="default"/>
          <w:pgSz w:w="11911" w:h="16838"/>
          <w:pgMar w:top="1134" w:right="1134" w:bottom="1134" w:left="1134" w:header="720" w:footer="720" w:gutter="0"/>
          <w:pgBorders>
            <w:top w:val="none" w:sz="0" w:space="0"/>
            <w:left w:val="none" w:sz="0" w:space="0"/>
            <w:bottom w:val="none" w:sz="0" w:space="0"/>
            <w:right w:val="none" w:sz="0" w:space="0"/>
          </w:pgBorders>
          <w:cols w:space="720" w:num="1"/>
        </w:sectPr>
      </w:pPr>
      <w:bookmarkStart w:id="131" w:name="_Toc7776"/>
      <w:bookmarkStart w:id="132" w:name="_Toc17404"/>
      <w:bookmarkStart w:id="133" w:name="_Toc26272"/>
      <w:bookmarkStart w:id="134" w:name="_Toc22302"/>
      <w:bookmarkStart w:id="135" w:name="_Toc27282"/>
      <w:bookmarkStart w:id="136" w:name="_Toc5005"/>
      <w:bookmarkStart w:id="137" w:name="_Toc80886941"/>
      <w:bookmarkStart w:id="138" w:name="_Toc12890"/>
      <w:r>
        <w:rPr>
          <w:rFonts w:hint="eastAsia" w:ascii="Calibri" w:hAnsi="Calibri"/>
          <w:color w:val="auto"/>
          <w:highlight w:val="none"/>
        </w:rPr>
        <w:t>第五章 响应文件格式</w:t>
      </w:r>
      <w:bookmarkEnd w:id="131"/>
      <w:bookmarkEnd w:id="132"/>
      <w:bookmarkEnd w:id="133"/>
      <w:bookmarkEnd w:id="134"/>
      <w:bookmarkEnd w:id="135"/>
      <w:bookmarkEnd w:id="136"/>
      <w:bookmarkEnd w:id="137"/>
      <w:bookmarkEnd w:id="138"/>
    </w:p>
    <w:p w14:paraId="4B3C82D9">
      <w:pPr>
        <w:keepNext/>
        <w:keepLines/>
        <w:widowControl w:val="0"/>
        <w:spacing w:before="260" w:after="260" w:line="416" w:lineRule="auto"/>
        <w:jc w:val="center"/>
        <w:outlineLvl w:val="1"/>
        <w:rPr>
          <w:rFonts w:hint="eastAsia" w:ascii="宋体" w:hAnsi="宋体" w:eastAsia="宋体" w:cs="Times New Roman"/>
          <w:b/>
          <w:bCs w:val="0"/>
          <w:color w:val="auto"/>
          <w:kern w:val="2"/>
          <w:sz w:val="32"/>
          <w:szCs w:val="32"/>
          <w:highlight w:val="none"/>
          <w:lang w:val="en-US" w:eastAsia="zh-CN" w:bidi="ar-SA"/>
        </w:rPr>
      </w:pPr>
      <w:bookmarkStart w:id="139" w:name="_Toc80205939"/>
      <w:bookmarkStart w:id="140" w:name="_Toc22245"/>
      <w:bookmarkStart w:id="141" w:name="_Toc12994"/>
      <w:bookmarkStart w:id="142" w:name="_Toc80886943"/>
      <w:r>
        <w:rPr>
          <w:rFonts w:hint="eastAsia" w:ascii="宋体" w:hAnsi="宋体" w:eastAsia="宋体" w:cs="Times New Roman"/>
          <w:b/>
          <w:bCs w:val="0"/>
          <w:color w:val="auto"/>
          <w:kern w:val="2"/>
          <w:sz w:val="32"/>
          <w:szCs w:val="32"/>
          <w:highlight w:val="none"/>
          <w:lang w:val="en-US" w:eastAsia="zh-CN" w:bidi="ar-SA"/>
        </w:rPr>
        <w:t>第一节 资格文件格式</w:t>
      </w:r>
      <w:bookmarkEnd w:id="139"/>
      <w:bookmarkEnd w:id="140"/>
      <w:bookmarkEnd w:id="141"/>
      <w:bookmarkEnd w:id="142"/>
    </w:p>
    <w:p w14:paraId="4CB6BC22">
      <w:pPr>
        <w:snapToGrid w:val="0"/>
        <w:spacing w:before="120" w:beforeLines="50" w:after="50"/>
        <w:jc w:val="left"/>
        <w:rPr>
          <w:rFonts w:hint="eastAsia" w:eastAsia="宋体"/>
          <w:color w:val="auto"/>
          <w:sz w:val="24"/>
          <w:highlight w:val="none"/>
        </w:rPr>
      </w:pPr>
      <w:r>
        <w:rPr>
          <w:rFonts w:hint="eastAsia" w:hAnsi="宋体" w:eastAsia="宋体" w:cs="宋体"/>
          <w:b/>
          <w:bCs/>
          <w:color w:val="auto"/>
          <w:sz w:val="28"/>
          <w:szCs w:val="28"/>
          <w:highlight w:val="none"/>
          <w:lang w:val="en-US" w:eastAsia="zh-CN"/>
        </w:rPr>
        <w:t>1.资格文件封面的格式</w:t>
      </w:r>
      <w:r>
        <w:rPr>
          <w:rFonts w:hint="eastAsia" w:ascii="宋体" w:hAnsi="宋体" w:eastAsia="宋体" w:cs="宋体"/>
          <w:b/>
          <w:color w:val="auto"/>
          <w:sz w:val="28"/>
          <w:szCs w:val="28"/>
          <w:highlight w:val="none"/>
        </w:rPr>
        <w:t>（参照此格式自拟）</w:t>
      </w:r>
      <w:r>
        <w:rPr>
          <w:rFonts w:hint="eastAsia" w:hAnsi="宋体" w:eastAsia="宋体" w:cs="宋体"/>
          <w:b/>
          <w:bCs/>
          <w:color w:val="auto"/>
          <w:sz w:val="28"/>
          <w:szCs w:val="28"/>
          <w:highlight w:val="none"/>
          <w:lang w:val="en-US" w:eastAsia="zh-CN"/>
        </w:rPr>
        <w:t>：</w:t>
      </w:r>
      <w:r>
        <w:rPr>
          <w:rFonts w:hint="eastAsia" w:eastAsia="宋体"/>
          <w:color w:val="auto"/>
          <w:sz w:val="24"/>
          <w:highlight w:val="none"/>
        </w:rPr>
        <w:t xml:space="preserve">                                      </w:t>
      </w:r>
    </w:p>
    <w:p w14:paraId="2B007C72">
      <w:pPr>
        <w:snapToGrid w:val="0"/>
        <w:spacing w:before="120" w:beforeLines="50" w:after="50"/>
        <w:ind w:firstLine="6930" w:firstLineChars="3300"/>
        <w:rPr>
          <w:rFonts w:hint="eastAsia" w:eastAsia="宋体"/>
          <w:bCs/>
          <w:color w:val="auto"/>
          <w:sz w:val="32"/>
          <w:szCs w:val="20"/>
          <w:highlight w:val="none"/>
        </w:rPr>
      </w:pPr>
      <w:r>
        <w:rPr>
          <w:rFonts w:hint="eastAsia" w:eastAsia="宋体"/>
          <w:bCs/>
          <w:color w:val="auto"/>
          <w:highlight w:val="none"/>
        </w:rPr>
        <w:t>全流程电子文件</w:t>
      </w:r>
    </w:p>
    <w:p w14:paraId="7153AB8E">
      <w:pPr>
        <w:snapToGrid w:val="0"/>
        <w:spacing w:before="120" w:beforeLines="50" w:after="50"/>
        <w:rPr>
          <w:rFonts w:hint="eastAsia" w:eastAsia="宋体"/>
          <w:color w:val="auto"/>
          <w:sz w:val="24"/>
          <w:szCs w:val="20"/>
          <w:highlight w:val="none"/>
        </w:rPr>
      </w:pPr>
    </w:p>
    <w:p w14:paraId="37135884">
      <w:pPr>
        <w:snapToGrid w:val="0"/>
        <w:spacing w:before="120" w:beforeLines="50" w:after="50"/>
        <w:rPr>
          <w:rFonts w:hint="eastAsia" w:eastAsia="宋体"/>
          <w:color w:val="auto"/>
          <w:sz w:val="24"/>
          <w:szCs w:val="20"/>
          <w:highlight w:val="none"/>
        </w:rPr>
      </w:pPr>
    </w:p>
    <w:p w14:paraId="4473BC40">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资  格  文  件</w:t>
      </w:r>
    </w:p>
    <w:p w14:paraId="3E9E9055">
      <w:pPr>
        <w:snapToGrid w:val="0"/>
        <w:spacing w:before="120" w:beforeLines="50" w:after="50"/>
        <w:rPr>
          <w:rFonts w:hint="eastAsia" w:eastAsia="宋体"/>
          <w:bCs/>
          <w:color w:val="auto"/>
          <w:sz w:val="24"/>
          <w:szCs w:val="20"/>
          <w:highlight w:val="none"/>
        </w:rPr>
      </w:pPr>
    </w:p>
    <w:p w14:paraId="27FAC737">
      <w:pPr>
        <w:snapToGrid w:val="0"/>
        <w:spacing w:before="120" w:beforeLines="50" w:after="50"/>
        <w:rPr>
          <w:rFonts w:hint="eastAsia" w:eastAsia="宋体"/>
          <w:bCs/>
          <w:color w:val="auto"/>
          <w:sz w:val="24"/>
          <w:szCs w:val="20"/>
          <w:highlight w:val="none"/>
        </w:rPr>
      </w:pPr>
    </w:p>
    <w:p w14:paraId="26B168D4">
      <w:pPr>
        <w:snapToGrid w:val="0"/>
        <w:spacing w:before="120" w:beforeLines="50" w:after="50"/>
        <w:rPr>
          <w:rFonts w:hint="eastAsia" w:eastAsia="宋体"/>
          <w:bCs/>
          <w:color w:val="auto"/>
          <w:sz w:val="24"/>
          <w:szCs w:val="20"/>
          <w:highlight w:val="none"/>
        </w:rPr>
      </w:pPr>
    </w:p>
    <w:p w14:paraId="446C1D6E">
      <w:pPr>
        <w:snapToGrid w:val="0"/>
        <w:spacing w:before="120" w:beforeLines="50" w:after="50"/>
        <w:rPr>
          <w:rFonts w:hint="eastAsia" w:eastAsia="宋体"/>
          <w:bCs/>
          <w:color w:val="auto"/>
          <w:sz w:val="24"/>
          <w:szCs w:val="20"/>
          <w:highlight w:val="none"/>
        </w:rPr>
      </w:pPr>
    </w:p>
    <w:p w14:paraId="5750B434">
      <w:pPr>
        <w:snapToGrid w:val="0"/>
        <w:spacing w:before="120" w:beforeLines="50" w:after="50"/>
        <w:rPr>
          <w:rFonts w:hint="eastAsia" w:eastAsia="宋体"/>
          <w:bCs/>
          <w:color w:val="auto"/>
          <w:sz w:val="24"/>
          <w:szCs w:val="20"/>
          <w:highlight w:val="none"/>
        </w:rPr>
      </w:pPr>
    </w:p>
    <w:p w14:paraId="3915CF1E">
      <w:pPr>
        <w:snapToGrid w:val="0"/>
        <w:spacing w:before="120" w:beforeLines="50" w:after="50"/>
        <w:ind w:firstLine="640" w:firstLineChars="200"/>
        <w:rPr>
          <w:rFonts w:hint="eastAsia" w:eastAsia="宋体" w:cs="仿宋_GB2312"/>
          <w:bCs/>
          <w:color w:val="auto"/>
          <w:sz w:val="32"/>
          <w:szCs w:val="32"/>
          <w:highlight w:val="none"/>
        </w:rPr>
      </w:pPr>
      <w:r>
        <w:rPr>
          <w:rFonts w:hint="eastAsia" w:eastAsia="宋体" w:cs="仿宋_GB2312"/>
          <w:bCs/>
          <w:color w:val="auto"/>
          <w:sz w:val="32"/>
          <w:szCs w:val="32"/>
          <w:highlight w:val="none"/>
        </w:rPr>
        <w:t>项目名称：</w:t>
      </w:r>
    </w:p>
    <w:p w14:paraId="38B78C97">
      <w:pPr>
        <w:snapToGrid w:val="0"/>
        <w:spacing w:before="120" w:beforeLines="50" w:after="50"/>
        <w:ind w:firstLine="720" w:firstLineChars="225"/>
        <w:rPr>
          <w:rFonts w:hint="eastAsia" w:eastAsia="宋体" w:cs="仿宋_GB2312"/>
          <w:bCs/>
          <w:color w:val="auto"/>
          <w:sz w:val="32"/>
          <w:szCs w:val="32"/>
          <w:highlight w:val="none"/>
        </w:rPr>
      </w:pPr>
    </w:p>
    <w:p w14:paraId="47656727">
      <w:pPr>
        <w:snapToGrid w:val="0"/>
        <w:spacing w:before="120" w:beforeLines="50" w:after="50"/>
        <w:ind w:firstLine="720" w:firstLineChars="225"/>
        <w:rPr>
          <w:rFonts w:hint="eastAsia" w:eastAsia="宋体" w:cs="仿宋_GB2312"/>
          <w:bCs/>
          <w:color w:val="auto"/>
          <w:sz w:val="32"/>
          <w:szCs w:val="32"/>
          <w:highlight w:val="none"/>
        </w:rPr>
      </w:pPr>
      <w:r>
        <w:rPr>
          <w:rFonts w:hint="eastAsia" w:eastAsia="宋体" w:cs="仿宋_GB2312"/>
          <w:bCs/>
          <w:color w:val="auto"/>
          <w:sz w:val="32"/>
          <w:szCs w:val="32"/>
          <w:highlight w:val="none"/>
        </w:rPr>
        <w:t>项目编号：</w:t>
      </w:r>
    </w:p>
    <w:p w14:paraId="7C6F9EA3">
      <w:pPr>
        <w:snapToGrid w:val="0"/>
        <w:spacing w:before="120" w:beforeLines="50" w:after="50"/>
        <w:ind w:firstLine="720" w:firstLineChars="225"/>
        <w:rPr>
          <w:rFonts w:hint="eastAsia" w:eastAsia="宋体" w:cs="仿宋_GB2312"/>
          <w:bCs/>
          <w:color w:val="auto"/>
          <w:sz w:val="32"/>
          <w:szCs w:val="32"/>
          <w:highlight w:val="none"/>
        </w:rPr>
      </w:pPr>
      <w:r>
        <w:rPr>
          <w:rFonts w:hint="eastAsia" w:eastAsia="宋体" w:cs="仿宋_GB2312"/>
          <w:bCs/>
          <w:color w:val="auto"/>
          <w:sz w:val="32"/>
          <w:szCs w:val="32"/>
          <w:highlight w:val="none"/>
        </w:rPr>
        <w:t xml:space="preserve"> </w:t>
      </w:r>
    </w:p>
    <w:p w14:paraId="7BB12228">
      <w:pPr>
        <w:snapToGrid w:val="0"/>
        <w:spacing w:before="120" w:beforeLines="50" w:after="50"/>
        <w:ind w:firstLine="720" w:firstLineChars="225"/>
        <w:rPr>
          <w:rFonts w:hint="eastAsia" w:eastAsia="宋体" w:cs="仿宋_GB2312"/>
          <w:bCs/>
          <w:color w:val="auto"/>
          <w:sz w:val="32"/>
          <w:szCs w:val="32"/>
          <w:highlight w:val="none"/>
        </w:rPr>
      </w:pPr>
      <w:r>
        <w:rPr>
          <w:rFonts w:hint="eastAsia" w:eastAsia="宋体" w:cs="仿宋_GB2312"/>
          <w:bCs/>
          <w:color w:val="auto"/>
          <w:sz w:val="32"/>
          <w:szCs w:val="32"/>
          <w:highlight w:val="none"/>
        </w:rPr>
        <w:t>所竞分标（如有则填写，无分标时填写“无”或者留空）：</w:t>
      </w:r>
    </w:p>
    <w:p w14:paraId="761E385D">
      <w:pPr>
        <w:snapToGrid w:val="0"/>
        <w:spacing w:before="120" w:beforeLines="50" w:after="50"/>
        <w:ind w:firstLine="720" w:firstLineChars="225"/>
        <w:rPr>
          <w:rFonts w:hint="eastAsia" w:eastAsia="宋体" w:cs="仿宋_GB2312"/>
          <w:bCs/>
          <w:color w:val="auto"/>
          <w:sz w:val="32"/>
          <w:szCs w:val="32"/>
          <w:highlight w:val="none"/>
        </w:rPr>
      </w:pPr>
    </w:p>
    <w:p w14:paraId="52AED2B5">
      <w:pPr>
        <w:widowControl w:val="0"/>
        <w:snapToGrid w:val="0"/>
        <w:spacing w:before="50" w:after="50"/>
        <w:ind w:firstLine="720" w:firstLineChars="225"/>
        <w:jc w:val="both"/>
        <w:rPr>
          <w:rFonts w:hint="eastAsia" w:ascii="Times New Roman" w:hAnsi="Times New Roman" w:eastAsia="宋体" w:cs="仿宋_GB2312"/>
          <w:bCs/>
          <w:color w:val="auto"/>
          <w:kern w:val="2"/>
          <w:sz w:val="32"/>
          <w:szCs w:val="32"/>
          <w:highlight w:val="none"/>
          <w:lang w:val="en-US" w:eastAsia="zh-CN" w:bidi="ar-SA"/>
        </w:rPr>
      </w:pPr>
      <w:r>
        <w:rPr>
          <w:rFonts w:hint="eastAsia" w:ascii="Times New Roman" w:hAnsi="Times New Roman" w:eastAsia="宋体" w:cs="仿宋_GB2312"/>
          <w:bCs/>
          <w:color w:val="auto"/>
          <w:kern w:val="2"/>
          <w:sz w:val="32"/>
          <w:szCs w:val="32"/>
          <w:highlight w:val="none"/>
          <w:lang w:val="en-US" w:eastAsia="zh-CN" w:bidi="ar-SA"/>
        </w:rPr>
        <w:t>供应商名称：</w:t>
      </w:r>
    </w:p>
    <w:p w14:paraId="354D96FD">
      <w:pPr>
        <w:widowControl w:val="0"/>
        <w:snapToGrid w:val="0"/>
        <w:spacing w:before="50" w:after="50"/>
        <w:ind w:firstLine="720" w:firstLineChars="225"/>
        <w:jc w:val="both"/>
        <w:rPr>
          <w:rFonts w:hint="eastAsia" w:ascii="Times New Roman" w:hAnsi="Times New Roman" w:eastAsia="宋体" w:cs="仿宋_GB2312"/>
          <w:bCs/>
          <w:color w:val="auto"/>
          <w:kern w:val="2"/>
          <w:sz w:val="32"/>
          <w:szCs w:val="32"/>
          <w:highlight w:val="none"/>
          <w:lang w:val="en-US" w:eastAsia="zh-CN" w:bidi="ar-SA"/>
        </w:rPr>
      </w:pPr>
    </w:p>
    <w:p w14:paraId="18F5BE29">
      <w:pPr>
        <w:widowControl w:val="0"/>
        <w:snapToGrid w:val="0"/>
        <w:spacing w:before="50" w:after="50"/>
        <w:ind w:firstLine="720" w:firstLineChars="225"/>
        <w:jc w:val="both"/>
        <w:rPr>
          <w:rFonts w:hint="eastAsia" w:ascii="Times New Roman" w:hAnsi="Times New Roman" w:eastAsia="宋体" w:cs="仿宋_GB2312"/>
          <w:bCs/>
          <w:color w:val="auto"/>
          <w:kern w:val="2"/>
          <w:sz w:val="32"/>
          <w:szCs w:val="32"/>
          <w:highlight w:val="none"/>
          <w:lang w:val="en-US" w:eastAsia="zh-CN" w:bidi="ar-SA"/>
        </w:rPr>
      </w:pPr>
    </w:p>
    <w:p w14:paraId="74773766">
      <w:pPr>
        <w:widowControl w:val="0"/>
        <w:snapToGrid w:val="0"/>
        <w:spacing w:before="50" w:after="50"/>
        <w:ind w:firstLine="720" w:firstLineChars="225"/>
        <w:jc w:val="both"/>
        <w:rPr>
          <w:rFonts w:hint="eastAsia" w:ascii="Times New Roman" w:hAnsi="Times New Roman" w:eastAsia="宋体" w:cs="仿宋_GB2312"/>
          <w:bCs/>
          <w:color w:val="auto"/>
          <w:kern w:val="2"/>
          <w:sz w:val="32"/>
          <w:szCs w:val="32"/>
          <w:highlight w:val="none"/>
          <w:lang w:val="en-US" w:eastAsia="zh-CN" w:bidi="ar-SA"/>
        </w:rPr>
      </w:pPr>
    </w:p>
    <w:p w14:paraId="5BDD23B3">
      <w:pPr>
        <w:widowControl w:val="0"/>
        <w:snapToGrid w:val="0"/>
        <w:spacing w:before="50" w:after="50"/>
        <w:ind w:firstLine="1280" w:firstLineChars="400"/>
        <w:jc w:val="both"/>
        <w:rPr>
          <w:rFonts w:hint="eastAsia" w:ascii="Times New Roman" w:hAnsi="Times New Roman" w:eastAsia="宋体" w:cs="仿宋_GB2312"/>
          <w:bCs/>
          <w:color w:val="auto"/>
          <w:kern w:val="2"/>
          <w:sz w:val="32"/>
          <w:szCs w:val="32"/>
          <w:highlight w:val="none"/>
          <w:lang w:val="en-US" w:eastAsia="zh-CN" w:bidi="ar-SA"/>
        </w:rPr>
      </w:pPr>
    </w:p>
    <w:p w14:paraId="5DF345DD">
      <w:pPr>
        <w:snapToGrid w:val="0"/>
        <w:spacing w:before="120" w:beforeLines="50" w:after="50"/>
        <w:jc w:val="center"/>
        <w:rPr>
          <w:rFonts w:hint="eastAsia" w:eastAsia="宋体" w:cs="仿宋_GB2312"/>
          <w:color w:val="auto"/>
          <w:sz w:val="32"/>
          <w:szCs w:val="32"/>
          <w:highlight w:val="none"/>
        </w:rPr>
      </w:pPr>
      <w:r>
        <w:rPr>
          <w:rFonts w:hint="eastAsia" w:eastAsia="宋体" w:cs="仿宋_GB2312"/>
          <w:color w:val="auto"/>
          <w:sz w:val="32"/>
          <w:szCs w:val="32"/>
          <w:highlight w:val="none"/>
        </w:rPr>
        <w:t>年    月    日</w:t>
      </w:r>
    </w:p>
    <w:p w14:paraId="4CD576A2">
      <w:pPr>
        <w:snapToGrid w:val="0"/>
        <w:spacing w:before="156" w:beforeLines="50" w:after="50" w:line="360" w:lineRule="auto"/>
        <w:ind w:left="0"/>
        <w:jc w:val="left"/>
        <w:rPr>
          <w:rFonts w:hint="eastAsia" w:ascii="宋体" w:hAnsi="宋体" w:eastAsia="宋体" w:cs="宋体"/>
          <w:b/>
          <w:bCs/>
          <w:color w:val="auto"/>
          <w:sz w:val="28"/>
          <w:szCs w:val="28"/>
          <w:highlight w:val="none"/>
        </w:rPr>
      </w:pPr>
      <w:r>
        <w:rPr>
          <w:rFonts w:eastAsia="宋体"/>
          <w:color w:val="auto"/>
          <w:sz w:val="24"/>
          <w:highlight w:val="none"/>
        </w:rPr>
        <w:br w:type="page"/>
      </w:r>
      <w:r>
        <w:rPr>
          <w:rFonts w:hint="eastAsia" w:ascii="宋体" w:hAnsi="宋体" w:eastAsia="宋体" w:cs="宋体"/>
          <w:b/>
          <w:bCs/>
          <w:color w:val="auto"/>
          <w:sz w:val="28"/>
          <w:szCs w:val="28"/>
          <w:highlight w:val="none"/>
        </w:rPr>
        <w:t>2.资格文件目录</w:t>
      </w:r>
    </w:p>
    <w:p w14:paraId="5AED79FE">
      <w:pPr>
        <w:spacing w:line="360" w:lineRule="auto"/>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根据竞争性磋商文件规定及供应商提供的材料自行编写目录（部分格式后附）。</w:t>
      </w:r>
    </w:p>
    <w:p w14:paraId="3830123A">
      <w:pPr>
        <w:spacing w:line="320" w:lineRule="exact"/>
        <w:ind w:firstLine="0" w:firstLineChars="0"/>
        <w:jc w:val="left"/>
        <w:rPr>
          <w:rFonts w:hint="eastAsia"/>
          <w:color w:val="auto"/>
          <w:szCs w:val="21"/>
          <w:highlight w:val="none"/>
        </w:rPr>
        <w:sectPr>
          <w:pgSz w:w="11911" w:h="16838"/>
          <w:pgMar w:top="1134" w:right="1134" w:bottom="1134" w:left="1134" w:header="720" w:footer="720" w:gutter="0"/>
          <w:pgBorders>
            <w:top w:val="none" w:sz="0" w:space="0"/>
            <w:left w:val="none" w:sz="0" w:space="0"/>
            <w:bottom w:val="none" w:sz="0" w:space="0"/>
            <w:right w:val="none" w:sz="0" w:space="0"/>
          </w:pgBorders>
          <w:pgNumType w:fmt="decimal"/>
          <w:cols w:space="720" w:num="1"/>
        </w:sectPr>
      </w:pPr>
    </w:p>
    <w:p w14:paraId="67BE60B3">
      <w:pPr>
        <w:snapToGrid w:val="0"/>
        <w:spacing w:before="50" w:after="120" w:afterLines="50" w:line="360" w:lineRule="auto"/>
        <w:jc w:val="both"/>
        <w:rPr>
          <w:rFonts w:hint="eastAsia" w:ascii="仿宋_GB2312" w:hAnsi="仿宋" w:eastAsia="仿宋_GB2312" w:cs="仿宋_GB2312"/>
          <w:b/>
          <w:color w:val="auto"/>
          <w:kern w:val="0"/>
          <w:sz w:val="32"/>
          <w:szCs w:val="32"/>
          <w:highlight w:val="none"/>
        </w:rPr>
      </w:pPr>
      <w:r>
        <w:rPr>
          <w:rFonts w:hint="eastAsia" w:ascii="宋体" w:hAnsi="宋体" w:eastAsia="宋体" w:cs="宋体"/>
          <w:b/>
          <w:color w:val="auto"/>
          <w:kern w:val="0"/>
          <w:sz w:val="32"/>
          <w:szCs w:val="32"/>
          <w:highlight w:val="none"/>
          <w:lang w:val="en-US" w:eastAsia="zh-CN"/>
        </w:rPr>
        <w:t>3.</w:t>
      </w:r>
      <w:r>
        <w:rPr>
          <w:rFonts w:hint="eastAsia" w:ascii="宋体" w:hAnsi="宋体" w:eastAsia="宋体" w:cs="宋体"/>
          <w:b/>
          <w:color w:val="auto"/>
          <w:kern w:val="2"/>
          <w:sz w:val="28"/>
          <w:szCs w:val="28"/>
          <w:highlight w:val="none"/>
          <w:lang w:eastAsia="zh-CN"/>
        </w:rPr>
        <w:t>供应商</w:t>
      </w:r>
      <w:r>
        <w:rPr>
          <w:rFonts w:hint="eastAsia" w:ascii="宋体" w:hAnsi="宋体" w:eastAsia="宋体" w:cs="宋体"/>
          <w:b/>
          <w:color w:val="auto"/>
          <w:kern w:val="2"/>
          <w:sz w:val="28"/>
          <w:szCs w:val="28"/>
          <w:highlight w:val="none"/>
        </w:rPr>
        <w:t>直接控股股东信息表</w:t>
      </w:r>
      <w:r>
        <w:rPr>
          <w:rFonts w:hint="eastAsia" w:ascii="宋体" w:hAnsi="宋体" w:eastAsia="宋体" w:cs="宋体"/>
          <w:b/>
          <w:color w:val="auto"/>
          <w:sz w:val="28"/>
          <w:szCs w:val="28"/>
          <w:highlight w:val="none"/>
          <w:lang w:eastAsia="zh-CN"/>
        </w:rPr>
        <w:t>格式</w:t>
      </w:r>
      <w:r>
        <w:rPr>
          <w:rFonts w:hint="eastAsia" w:eastAsia="宋体"/>
          <w:color w:val="auto"/>
          <w:sz w:val="28"/>
          <w:szCs w:val="28"/>
          <w:highlight w:val="none"/>
          <w:lang w:eastAsia="zh-CN"/>
        </w:rPr>
        <w:t>：</w:t>
      </w:r>
    </w:p>
    <w:p w14:paraId="545D716C">
      <w:pPr>
        <w:snapToGrid w:val="0"/>
        <w:spacing w:before="50" w:after="120" w:afterLines="50" w:line="360" w:lineRule="auto"/>
        <w:jc w:val="center"/>
        <w:rPr>
          <w:rFonts w:hint="eastAsia" w:ascii="仿宋_GB2312" w:hAnsi="仿宋" w:eastAsia="仿宋_GB2312" w:cs="仿宋_GB2312"/>
          <w:b/>
          <w:color w:val="auto"/>
          <w:kern w:val="0"/>
          <w:sz w:val="32"/>
          <w:szCs w:val="32"/>
          <w:highlight w:val="none"/>
        </w:rPr>
      </w:pPr>
      <w:r>
        <w:rPr>
          <w:rFonts w:hint="eastAsia" w:ascii="宋体" w:hAnsi="宋体" w:eastAsia="宋体" w:cs="宋体"/>
          <w:b/>
          <w:color w:val="auto"/>
          <w:kern w:val="2"/>
          <w:sz w:val="28"/>
          <w:szCs w:val="28"/>
          <w:highlight w:val="none"/>
          <w:lang w:eastAsia="zh-CN"/>
        </w:rPr>
        <w:t>供应商</w:t>
      </w:r>
      <w:r>
        <w:rPr>
          <w:rFonts w:hint="eastAsia" w:ascii="宋体" w:hAnsi="宋体" w:eastAsia="宋体" w:cs="宋体"/>
          <w:b/>
          <w:color w:val="auto"/>
          <w:kern w:val="2"/>
          <w:sz w:val="28"/>
          <w:szCs w:val="28"/>
          <w:highlight w:val="none"/>
        </w:rPr>
        <w:t>直接控股股东信息表</w:t>
      </w:r>
    </w:p>
    <w:tbl>
      <w:tblPr>
        <w:tblStyle w:val="32"/>
        <w:tblW w:w="0" w:type="auto"/>
        <w:tblInd w:w="125" w:type="dxa"/>
        <w:shd w:val="clear" w:color="auto" w:fill="FBFBFB"/>
        <w:tblLayout w:type="fixed"/>
        <w:tblCellMar>
          <w:top w:w="0" w:type="dxa"/>
          <w:left w:w="0" w:type="dxa"/>
          <w:bottom w:w="0" w:type="dxa"/>
          <w:right w:w="0" w:type="dxa"/>
        </w:tblCellMar>
      </w:tblPr>
      <w:tblGrid>
        <w:gridCol w:w="828"/>
        <w:gridCol w:w="2269"/>
        <w:gridCol w:w="1239"/>
        <w:gridCol w:w="3879"/>
        <w:gridCol w:w="1261"/>
      </w:tblGrid>
      <w:tr w14:paraId="67A1A2DC">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F59EABA">
            <w:pPr>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79E6027">
            <w:pPr>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331B2DB">
            <w:pPr>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出资比例</w:t>
            </w:r>
          </w:p>
        </w:tc>
        <w:tc>
          <w:tcPr>
            <w:tcW w:w="387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4A2CD56">
            <w:pPr>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身份证号码或者统一社会信用代码</w:t>
            </w:r>
          </w:p>
        </w:tc>
        <w:tc>
          <w:tcPr>
            <w:tcW w:w="1261"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899638F">
            <w:pPr>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1DEE3F6A">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B22DE7F">
            <w:pPr>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4C22547">
            <w:pPr>
              <w:spacing w:line="360" w:lineRule="auto"/>
              <w:jc w:val="center"/>
              <w:rPr>
                <w:rFonts w:hint="eastAsia" w:ascii="宋体" w:hAnsi="宋体" w:eastAsia="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EE3442C">
            <w:pPr>
              <w:spacing w:line="360" w:lineRule="auto"/>
              <w:jc w:val="center"/>
              <w:rPr>
                <w:rFonts w:hint="eastAsia" w:ascii="宋体" w:hAnsi="宋体" w:eastAsia="宋体" w:cs="宋体"/>
                <w:color w:val="auto"/>
                <w:kern w:val="0"/>
                <w:sz w:val="24"/>
                <w:highlight w:val="none"/>
              </w:rPr>
            </w:pPr>
          </w:p>
        </w:tc>
        <w:tc>
          <w:tcPr>
            <w:tcW w:w="387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A392DD5">
            <w:pPr>
              <w:spacing w:line="360" w:lineRule="auto"/>
              <w:jc w:val="center"/>
              <w:rPr>
                <w:rFonts w:hint="eastAsia" w:ascii="宋体" w:hAnsi="宋体" w:eastAsia="宋体" w:cs="宋体"/>
                <w:color w:val="auto"/>
                <w:kern w:val="0"/>
                <w:sz w:val="24"/>
                <w:highlight w:val="none"/>
              </w:rPr>
            </w:pPr>
          </w:p>
        </w:tc>
        <w:tc>
          <w:tcPr>
            <w:tcW w:w="1261"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F8A01F1">
            <w:pPr>
              <w:spacing w:line="360" w:lineRule="auto"/>
              <w:jc w:val="center"/>
              <w:rPr>
                <w:rFonts w:hint="eastAsia" w:ascii="宋体" w:hAnsi="宋体" w:eastAsia="宋体" w:cs="宋体"/>
                <w:color w:val="auto"/>
                <w:kern w:val="0"/>
                <w:sz w:val="24"/>
                <w:highlight w:val="none"/>
              </w:rPr>
            </w:pPr>
          </w:p>
        </w:tc>
      </w:tr>
      <w:tr w14:paraId="73F1EC0D">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F831A2D">
            <w:pPr>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2825398">
            <w:pPr>
              <w:spacing w:line="360" w:lineRule="auto"/>
              <w:jc w:val="center"/>
              <w:rPr>
                <w:rFonts w:hint="eastAsia" w:ascii="宋体" w:hAnsi="宋体" w:eastAsia="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2A876A4">
            <w:pPr>
              <w:spacing w:line="360" w:lineRule="auto"/>
              <w:jc w:val="center"/>
              <w:rPr>
                <w:rFonts w:hint="eastAsia" w:ascii="宋体" w:hAnsi="宋体" w:eastAsia="宋体" w:cs="宋体"/>
                <w:color w:val="auto"/>
                <w:kern w:val="0"/>
                <w:sz w:val="24"/>
                <w:highlight w:val="none"/>
              </w:rPr>
            </w:pPr>
          </w:p>
        </w:tc>
        <w:tc>
          <w:tcPr>
            <w:tcW w:w="387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048CF9A">
            <w:pPr>
              <w:spacing w:line="360" w:lineRule="auto"/>
              <w:jc w:val="center"/>
              <w:rPr>
                <w:rFonts w:hint="eastAsia" w:ascii="宋体" w:hAnsi="宋体" w:eastAsia="宋体" w:cs="宋体"/>
                <w:color w:val="auto"/>
                <w:kern w:val="0"/>
                <w:sz w:val="24"/>
                <w:highlight w:val="none"/>
              </w:rPr>
            </w:pPr>
          </w:p>
        </w:tc>
        <w:tc>
          <w:tcPr>
            <w:tcW w:w="1261"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4CB2157">
            <w:pPr>
              <w:spacing w:line="360" w:lineRule="auto"/>
              <w:jc w:val="center"/>
              <w:rPr>
                <w:rFonts w:hint="eastAsia" w:ascii="宋体" w:hAnsi="宋体" w:eastAsia="宋体" w:cs="宋体"/>
                <w:color w:val="auto"/>
                <w:kern w:val="0"/>
                <w:sz w:val="24"/>
                <w:highlight w:val="none"/>
              </w:rPr>
            </w:pPr>
          </w:p>
        </w:tc>
      </w:tr>
      <w:tr w14:paraId="1E1397F9">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350EFC3">
            <w:pPr>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4627E2B">
            <w:pPr>
              <w:spacing w:line="360" w:lineRule="auto"/>
              <w:jc w:val="center"/>
              <w:rPr>
                <w:rFonts w:hint="eastAsia" w:ascii="宋体" w:hAnsi="宋体" w:eastAsia="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AE8B9B1">
            <w:pPr>
              <w:spacing w:line="360" w:lineRule="auto"/>
              <w:jc w:val="center"/>
              <w:rPr>
                <w:rFonts w:hint="eastAsia" w:ascii="宋体" w:hAnsi="宋体" w:eastAsia="宋体" w:cs="宋体"/>
                <w:color w:val="auto"/>
                <w:kern w:val="0"/>
                <w:sz w:val="24"/>
                <w:highlight w:val="none"/>
              </w:rPr>
            </w:pPr>
          </w:p>
        </w:tc>
        <w:tc>
          <w:tcPr>
            <w:tcW w:w="387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866F072">
            <w:pPr>
              <w:spacing w:line="360" w:lineRule="auto"/>
              <w:jc w:val="center"/>
              <w:rPr>
                <w:rFonts w:hint="eastAsia" w:ascii="宋体" w:hAnsi="宋体" w:eastAsia="宋体" w:cs="宋体"/>
                <w:color w:val="auto"/>
                <w:kern w:val="0"/>
                <w:sz w:val="24"/>
                <w:highlight w:val="none"/>
              </w:rPr>
            </w:pPr>
          </w:p>
        </w:tc>
        <w:tc>
          <w:tcPr>
            <w:tcW w:w="1261"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6DBAFCC">
            <w:pPr>
              <w:spacing w:line="360" w:lineRule="auto"/>
              <w:jc w:val="center"/>
              <w:rPr>
                <w:rFonts w:hint="eastAsia" w:ascii="宋体" w:hAnsi="宋体" w:eastAsia="宋体" w:cs="宋体"/>
                <w:color w:val="auto"/>
                <w:kern w:val="0"/>
                <w:sz w:val="24"/>
                <w:highlight w:val="none"/>
              </w:rPr>
            </w:pPr>
          </w:p>
        </w:tc>
      </w:tr>
      <w:tr w14:paraId="6EFA088A">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19F2E0D">
            <w:pPr>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864DA27">
            <w:pPr>
              <w:spacing w:line="360" w:lineRule="auto"/>
              <w:jc w:val="center"/>
              <w:rPr>
                <w:rFonts w:hint="eastAsia" w:ascii="宋体" w:hAnsi="宋体" w:eastAsia="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A19FD94">
            <w:pPr>
              <w:spacing w:line="360" w:lineRule="auto"/>
              <w:jc w:val="center"/>
              <w:rPr>
                <w:rFonts w:hint="eastAsia" w:ascii="宋体" w:hAnsi="宋体" w:eastAsia="宋体" w:cs="宋体"/>
                <w:color w:val="auto"/>
                <w:kern w:val="0"/>
                <w:sz w:val="24"/>
                <w:highlight w:val="none"/>
              </w:rPr>
            </w:pPr>
          </w:p>
        </w:tc>
        <w:tc>
          <w:tcPr>
            <w:tcW w:w="387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FB0C870">
            <w:pPr>
              <w:spacing w:line="360" w:lineRule="auto"/>
              <w:jc w:val="center"/>
              <w:rPr>
                <w:rFonts w:hint="eastAsia" w:ascii="宋体" w:hAnsi="宋体" w:eastAsia="宋体" w:cs="宋体"/>
                <w:color w:val="auto"/>
                <w:kern w:val="0"/>
                <w:sz w:val="24"/>
                <w:highlight w:val="none"/>
              </w:rPr>
            </w:pPr>
          </w:p>
        </w:tc>
        <w:tc>
          <w:tcPr>
            <w:tcW w:w="1261"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5B233B4">
            <w:pPr>
              <w:spacing w:line="360" w:lineRule="auto"/>
              <w:jc w:val="center"/>
              <w:rPr>
                <w:rFonts w:hint="eastAsia" w:ascii="宋体" w:hAnsi="宋体" w:eastAsia="宋体" w:cs="宋体"/>
                <w:color w:val="auto"/>
                <w:kern w:val="0"/>
                <w:sz w:val="24"/>
                <w:highlight w:val="none"/>
              </w:rPr>
            </w:pPr>
          </w:p>
        </w:tc>
      </w:tr>
    </w:tbl>
    <w:p w14:paraId="35BB5B28">
      <w:pPr>
        <w:snapToGrid w:val="0"/>
        <w:spacing w:line="360" w:lineRule="auto"/>
        <w:jc w:val="left"/>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注：</w:t>
      </w:r>
    </w:p>
    <w:p w14:paraId="10942B00">
      <w:pPr>
        <w:snapToGrid w:val="0"/>
        <w:spacing w:line="360" w:lineRule="auto"/>
        <w:ind w:firstLine="420" w:firstLineChars="200"/>
        <w:jc w:val="left"/>
        <w:rPr>
          <w:rFonts w:hint="eastAsia" w:ascii="宋体" w:hAnsi="宋体" w:eastAsia="宋体"/>
          <w:color w:val="auto"/>
          <w:sz w:val="21"/>
          <w:szCs w:val="21"/>
          <w:highlight w:val="none"/>
        </w:rPr>
      </w:pPr>
      <w:r>
        <w:rPr>
          <w:rFonts w:hint="eastAsia" w:ascii="宋体" w:hAnsi="宋体" w:eastAsia="宋体"/>
          <w:color w:val="auto"/>
          <w:sz w:val="21"/>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D6C29E6">
      <w:pPr>
        <w:snapToGrid w:val="0"/>
        <w:spacing w:line="360" w:lineRule="auto"/>
        <w:ind w:firstLine="420" w:firstLineChars="200"/>
        <w:jc w:val="left"/>
        <w:rPr>
          <w:rFonts w:hint="eastAsia" w:ascii="宋体" w:hAnsi="宋体" w:eastAsia="宋体"/>
          <w:color w:val="auto"/>
          <w:sz w:val="21"/>
          <w:szCs w:val="21"/>
          <w:highlight w:val="none"/>
        </w:rPr>
      </w:pPr>
      <w:r>
        <w:rPr>
          <w:rFonts w:hint="eastAsia" w:ascii="宋体" w:hAnsi="宋体" w:eastAsia="宋体"/>
          <w:color w:val="auto"/>
          <w:sz w:val="21"/>
          <w:szCs w:val="21"/>
          <w:highlight w:val="none"/>
        </w:rPr>
        <w:t>2.本表所指的控股关系仅限于直接控股关系，不包括间接的控股关系。公司实际控制人与公司之间的关系不属于本表所指的直接控股关系。</w:t>
      </w:r>
    </w:p>
    <w:p w14:paraId="3F4A96E8">
      <w:pPr>
        <w:snapToGrid w:val="0"/>
        <w:spacing w:line="360" w:lineRule="auto"/>
        <w:ind w:firstLine="420" w:firstLineChars="200"/>
        <w:jc w:val="left"/>
        <w:rPr>
          <w:rFonts w:hint="eastAsia" w:ascii="宋体" w:hAnsi="宋体" w:eastAsia="宋体"/>
          <w:color w:val="auto"/>
          <w:sz w:val="24"/>
          <w:highlight w:val="none"/>
        </w:rPr>
      </w:pPr>
      <w:r>
        <w:rPr>
          <w:rFonts w:hint="eastAsia" w:ascii="宋体" w:hAnsi="宋体" w:eastAsia="宋体"/>
          <w:color w:val="auto"/>
          <w:sz w:val="21"/>
          <w:szCs w:val="21"/>
          <w:highlight w:val="none"/>
        </w:rPr>
        <w:t>3.供应商不存在直接控股股东的，则填“无”。</w:t>
      </w:r>
    </w:p>
    <w:p w14:paraId="00000CB0">
      <w:pPr>
        <w:snapToGrid w:val="0"/>
        <w:spacing w:line="360" w:lineRule="auto"/>
        <w:jc w:val="left"/>
        <w:rPr>
          <w:rFonts w:hint="eastAsia" w:ascii="宋体" w:hAnsi="宋体" w:eastAsia="宋体"/>
          <w:color w:val="auto"/>
          <w:sz w:val="24"/>
          <w:highlight w:val="none"/>
        </w:rPr>
      </w:pPr>
    </w:p>
    <w:p w14:paraId="0E626E78">
      <w:pPr>
        <w:snapToGrid w:val="0"/>
        <w:spacing w:line="360" w:lineRule="auto"/>
        <w:jc w:val="left"/>
        <w:rPr>
          <w:rFonts w:hint="eastAsia" w:ascii="宋体" w:hAnsi="宋体" w:eastAsia="宋体"/>
          <w:color w:val="auto"/>
          <w:sz w:val="24"/>
          <w:highlight w:val="none"/>
        </w:rPr>
      </w:pPr>
    </w:p>
    <w:p w14:paraId="056C6C8E">
      <w:pPr>
        <w:snapToGrid w:val="0"/>
        <w:spacing w:line="360" w:lineRule="auto"/>
        <w:ind w:firstLine="0" w:firstLineChars="0"/>
        <w:jc w:val="center"/>
        <w:rPr>
          <w:rFonts w:hint="eastAsia" w:ascii="宋体" w:hAnsi="宋体" w:eastAsia="宋体" w:cs="Times New Roman"/>
          <w:color w:val="auto"/>
          <w:kern w:val="2"/>
          <w:sz w:val="24"/>
          <w:highlight w:val="none"/>
        </w:rPr>
      </w:pPr>
      <w:r>
        <w:rPr>
          <w:rFonts w:hint="eastAsia" w:ascii="宋体" w:hAnsi="宋体" w:eastAsia="宋体" w:cs="Times New Roman"/>
          <w:color w:val="auto"/>
          <w:kern w:val="2"/>
          <w:sz w:val="24"/>
          <w:highlight w:val="none"/>
          <w:lang w:val="zh-CN"/>
        </w:rPr>
        <w:t>供应商名称(盖公章)：</w:t>
      </w:r>
    </w:p>
    <w:p w14:paraId="479EF5F4">
      <w:pPr>
        <w:snapToGrid w:val="0"/>
        <w:spacing w:line="360" w:lineRule="auto"/>
        <w:ind w:firstLine="0" w:firstLineChars="0"/>
        <w:jc w:val="center"/>
        <w:rPr>
          <w:rFonts w:hint="eastAsia" w:ascii="宋体" w:hAnsi="宋体" w:eastAsia="宋体" w:cs="Times New Roman"/>
          <w:color w:val="auto"/>
          <w:kern w:val="2"/>
          <w:sz w:val="24"/>
          <w:highlight w:val="none"/>
          <w:lang w:val="zh-CN"/>
        </w:rPr>
      </w:pPr>
      <w:r>
        <w:rPr>
          <w:rFonts w:hint="eastAsia" w:ascii="宋体" w:hAnsi="宋体" w:eastAsia="宋体" w:cs="Times New Roman"/>
          <w:color w:val="auto"/>
          <w:kern w:val="2"/>
          <w:sz w:val="24"/>
          <w:highlight w:val="none"/>
          <w:lang w:val="zh-CN"/>
        </w:rPr>
        <w:t>日期</w:t>
      </w:r>
      <w:r>
        <w:rPr>
          <w:rFonts w:hint="eastAsia" w:ascii="宋体" w:hAnsi="宋体" w:eastAsia="宋体" w:cs="Times New Roman"/>
          <w:color w:val="auto"/>
          <w:kern w:val="2"/>
          <w:sz w:val="24"/>
          <w:highlight w:val="none"/>
        </w:rPr>
        <w:t xml:space="preserve">：  年  </w:t>
      </w:r>
      <w:r>
        <w:rPr>
          <w:rFonts w:hint="eastAsia" w:ascii="宋体" w:hAnsi="宋体" w:eastAsia="宋体" w:cs="Times New Roman"/>
          <w:color w:val="auto"/>
          <w:kern w:val="2"/>
          <w:sz w:val="24"/>
          <w:highlight w:val="none"/>
          <w:lang w:val="zh-CN"/>
        </w:rPr>
        <w:t>月</w:t>
      </w:r>
      <w:r>
        <w:rPr>
          <w:rFonts w:hint="eastAsia" w:ascii="宋体" w:hAnsi="宋体" w:eastAsia="宋体" w:cs="Times New Roman"/>
          <w:color w:val="auto"/>
          <w:kern w:val="2"/>
          <w:sz w:val="24"/>
          <w:highlight w:val="none"/>
        </w:rPr>
        <w:t xml:space="preserve">   </w:t>
      </w:r>
      <w:r>
        <w:rPr>
          <w:rFonts w:hint="eastAsia" w:ascii="宋体" w:hAnsi="宋体" w:eastAsia="宋体" w:cs="Times New Roman"/>
          <w:color w:val="auto"/>
          <w:kern w:val="2"/>
          <w:sz w:val="24"/>
          <w:highlight w:val="none"/>
          <w:lang w:val="zh-CN"/>
        </w:rPr>
        <w:t>日</w:t>
      </w:r>
    </w:p>
    <w:p w14:paraId="5C2E31D6">
      <w:pPr>
        <w:spacing w:line="360" w:lineRule="auto"/>
        <w:rPr>
          <w:rFonts w:hint="eastAsia" w:ascii="宋体" w:hAnsi="宋体" w:eastAsia="宋体" w:cs="宋体"/>
          <w:color w:val="auto"/>
          <w:sz w:val="28"/>
          <w:szCs w:val="28"/>
          <w:highlight w:val="none"/>
        </w:rPr>
        <w:sectPr>
          <w:pgSz w:w="11911" w:h="16838"/>
          <w:pgMar w:top="1134" w:right="1134" w:bottom="1134" w:left="1134" w:header="720" w:footer="720" w:gutter="0"/>
          <w:pgBorders>
            <w:top w:val="none" w:sz="0" w:space="0"/>
            <w:left w:val="none" w:sz="0" w:space="0"/>
            <w:bottom w:val="none" w:sz="0" w:space="0"/>
            <w:right w:val="none" w:sz="0" w:space="0"/>
          </w:pgBorders>
          <w:pgNumType w:fmt="decimal"/>
          <w:cols w:space="720" w:num="1"/>
        </w:sectPr>
      </w:pPr>
    </w:p>
    <w:p w14:paraId="6B07A92C">
      <w:pPr>
        <w:snapToGrid w:val="0"/>
        <w:jc w:val="both"/>
        <w:rPr>
          <w:rFonts w:hint="eastAsia" w:ascii="宋体" w:hAnsi="宋体" w:eastAsia="宋体"/>
          <w:b/>
          <w:color w:val="auto"/>
          <w:sz w:val="28"/>
          <w:szCs w:val="28"/>
          <w:highlight w:val="none"/>
        </w:rPr>
      </w:pPr>
      <w:r>
        <w:rPr>
          <w:rFonts w:hint="eastAsia" w:ascii="宋体" w:hAnsi="宋体" w:eastAsia="宋体" w:cs="宋体"/>
          <w:b/>
          <w:color w:val="auto"/>
          <w:kern w:val="0"/>
          <w:sz w:val="32"/>
          <w:szCs w:val="32"/>
          <w:highlight w:val="none"/>
          <w:lang w:val="en-US" w:eastAsia="zh-CN"/>
        </w:rPr>
        <w:t>4.</w:t>
      </w:r>
      <w:r>
        <w:rPr>
          <w:rFonts w:hint="eastAsia" w:ascii="宋体" w:hAnsi="宋体" w:eastAsia="宋体"/>
          <w:b/>
          <w:color w:val="auto"/>
          <w:sz w:val="28"/>
          <w:szCs w:val="28"/>
          <w:highlight w:val="none"/>
          <w:lang w:eastAsia="zh-CN"/>
        </w:rPr>
        <w:t>供应商</w:t>
      </w:r>
      <w:r>
        <w:rPr>
          <w:rFonts w:hint="eastAsia" w:ascii="宋体" w:hAnsi="宋体" w:eastAsia="宋体"/>
          <w:b/>
          <w:color w:val="auto"/>
          <w:sz w:val="28"/>
          <w:szCs w:val="28"/>
          <w:highlight w:val="none"/>
        </w:rPr>
        <w:t>直接管理关系信息表</w:t>
      </w:r>
      <w:r>
        <w:rPr>
          <w:rFonts w:hint="eastAsia" w:ascii="宋体" w:hAnsi="宋体" w:eastAsia="宋体" w:cs="宋体"/>
          <w:b/>
          <w:color w:val="auto"/>
          <w:sz w:val="28"/>
          <w:szCs w:val="28"/>
          <w:highlight w:val="none"/>
          <w:lang w:eastAsia="zh-CN"/>
        </w:rPr>
        <w:t>格式</w:t>
      </w:r>
      <w:r>
        <w:rPr>
          <w:rFonts w:hint="eastAsia" w:eastAsia="宋体"/>
          <w:color w:val="auto"/>
          <w:sz w:val="28"/>
          <w:szCs w:val="28"/>
          <w:highlight w:val="none"/>
          <w:lang w:eastAsia="zh-CN"/>
        </w:rPr>
        <w:t>：</w:t>
      </w:r>
    </w:p>
    <w:p w14:paraId="5435956F">
      <w:pPr>
        <w:snapToGrid w:val="0"/>
        <w:spacing w:line="360" w:lineRule="auto"/>
        <w:jc w:val="center"/>
        <w:rPr>
          <w:rFonts w:hint="eastAsia" w:ascii="宋体" w:hAnsi="宋体" w:eastAsia="宋体"/>
          <w:b/>
          <w:color w:val="auto"/>
          <w:sz w:val="32"/>
          <w:szCs w:val="32"/>
          <w:highlight w:val="none"/>
        </w:rPr>
      </w:pPr>
    </w:p>
    <w:p w14:paraId="069A7D6A">
      <w:pPr>
        <w:snapToGrid w:val="0"/>
        <w:spacing w:line="360" w:lineRule="auto"/>
        <w:jc w:val="center"/>
        <w:rPr>
          <w:rFonts w:hint="eastAsia" w:ascii="宋体" w:hAnsi="宋体" w:eastAsia="宋体"/>
          <w:color w:val="auto"/>
          <w:sz w:val="32"/>
          <w:szCs w:val="32"/>
          <w:highlight w:val="none"/>
        </w:rPr>
      </w:pPr>
      <w:r>
        <w:rPr>
          <w:rFonts w:hint="eastAsia" w:ascii="宋体" w:hAnsi="宋体" w:eastAsia="宋体"/>
          <w:b/>
          <w:color w:val="auto"/>
          <w:sz w:val="28"/>
          <w:szCs w:val="28"/>
          <w:highlight w:val="none"/>
          <w:lang w:eastAsia="zh-CN"/>
        </w:rPr>
        <w:t>供应商</w:t>
      </w:r>
      <w:r>
        <w:rPr>
          <w:rFonts w:hint="eastAsia" w:ascii="宋体" w:hAnsi="宋体" w:eastAsia="宋体"/>
          <w:b/>
          <w:color w:val="auto"/>
          <w:sz w:val="28"/>
          <w:szCs w:val="28"/>
          <w:highlight w:val="none"/>
        </w:rPr>
        <w:t>直接管理关系信息表</w:t>
      </w:r>
    </w:p>
    <w:tbl>
      <w:tblPr>
        <w:tblStyle w:val="32"/>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5128404A">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020B7CA">
            <w:pPr>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5C1DDC4">
            <w:pPr>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4E44AAE">
            <w:pPr>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DE4ABD9">
            <w:pPr>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3A6396EE">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3C1E0D8">
            <w:pPr>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7E003BA">
            <w:pPr>
              <w:spacing w:line="360" w:lineRule="auto"/>
              <w:jc w:val="center"/>
              <w:rPr>
                <w:rFonts w:hint="eastAsia" w:ascii="宋体" w:hAnsi="宋体" w:eastAsia="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2DD5294">
            <w:pPr>
              <w:spacing w:line="360" w:lineRule="auto"/>
              <w:jc w:val="center"/>
              <w:rPr>
                <w:rFonts w:hint="eastAsia" w:ascii="宋体" w:hAnsi="宋体" w:eastAsia="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71AF8CE">
            <w:pPr>
              <w:spacing w:line="360" w:lineRule="auto"/>
              <w:jc w:val="center"/>
              <w:rPr>
                <w:rFonts w:hint="eastAsia" w:ascii="宋体" w:hAnsi="宋体" w:eastAsia="宋体" w:cs="宋体"/>
                <w:color w:val="auto"/>
                <w:kern w:val="0"/>
                <w:sz w:val="24"/>
                <w:highlight w:val="none"/>
              </w:rPr>
            </w:pPr>
          </w:p>
        </w:tc>
      </w:tr>
      <w:tr w14:paraId="72E02A3D">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B4A2420">
            <w:pPr>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542DC07">
            <w:pPr>
              <w:spacing w:line="360" w:lineRule="auto"/>
              <w:jc w:val="center"/>
              <w:rPr>
                <w:rFonts w:hint="eastAsia" w:ascii="宋体" w:hAnsi="宋体" w:eastAsia="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294F2DA">
            <w:pPr>
              <w:spacing w:line="360" w:lineRule="auto"/>
              <w:jc w:val="center"/>
              <w:rPr>
                <w:rFonts w:hint="eastAsia" w:ascii="宋体" w:hAnsi="宋体" w:eastAsia="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C7152AA">
            <w:pPr>
              <w:spacing w:line="360" w:lineRule="auto"/>
              <w:jc w:val="center"/>
              <w:rPr>
                <w:rFonts w:hint="eastAsia" w:ascii="宋体" w:hAnsi="宋体" w:eastAsia="宋体" w:cs="宋体"/>
                <w:color w:val="auto"/>
                <w:kern w:val="0"/>
                <w:sz w:val="24"/>
                <w:highlight w:val="none"/>
              </w:rPr>
            </w:pPr>
          </w:p>
        </w:tc>
      </w:tr>
      <w:tr w14:paraId="71DF396B">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34EADD3">
            <w:pPr>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7B0884D">
            <w:pPr>
              <w:spacing w:line="360" w:lineRule="auto"/>
              <w:jc w:val="center"/>
              <w:rPr>
                <w:rFonts w:hint="eastAsia" w:ascii="宋体" w:hAnsi="宋体" w:eastAsia="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82797F0">
            <w:pPr>
              <w:spacing w:line="360" w:lineRule="auto"/>
              <w:jc w:val="center"/>
              <w:rPr>
                <w:rFonts w:hint="eastAsia" w:ascii="宋体" w:hAnsi="宋体" w:eastAsia="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D71C34C">
            <w:pPr>
              <w:spacing w:line="360" w:lineRule="auto"/>
              <w:jc w:val="center"/>
              <w:rPr>
                <w:rFonts w:hint="eastAsia" w:ascii="宋体" w:hAnsi="宋体" w:eastAsia="宋体" w:cs="宋体"/>
                <w:color w:val="auto"/>
                <w:kern w:val="0"/>
                <w:sz w:val="24"/>
                <w:highlight w:val="none"/>
              </w:rPr>
            </w:pPr>
          </w:p>
        </w:tc>
      </w:tr>
      <w:tr w14:paraId="4CDC896D">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CDBD852">
            <w:pPr>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8D05A27">
            <w:pPr>
              <w:spacing w:line="360" w:lineRule="auto"/>
              <w:jc w:val="center"/>
              <w:rPr>
                <w:rFonts w:hint="eastAsia" w:ascii="宋体" w:hAnsi="宋体" w:eastAsia="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62B07EE">
            <w:pPr>
              <w:spacing w:line="360" w:lineRule="auto"/>
              <w:jc w:val="center"/>
              <w:rPr>
                <w:rFonts w:hint="eastAsia" w:ascii="宋体" w:hAnsi="宋体" w:eastAsia="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0E18BE1">
            <w:pPr>
              <w:spacing w:line="360" w:lineRule="auto"/>
              <w:jc w:val="center"/>
              <w:rPr>
                <w:rFonts w:hint="eastAsia" w:ascii="宋体" w:hAnsi="宋体" w:eastAsia="宋体" w:cs="宋体"/>
                <w:color w:val="auto"/>
                <w:kern w:val="0"/>
                <w:sz w:val="24"/>
                <w:highlight w:val="none"/>
              </w:rPr>
            </w:pPr>
          </w:p>
        </w:tc>
      </w:tr>
    </w:tbl>
    <w:p w14:paraId="5FE169C5">
      <w:pPr>
        <w:snapToGrid w:val="0"/>
        <w:spacing w:line="360" w:lineRule="auto"/>
        <w:jc w:val="left"/>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注：</w:t>
      </w:r>
    </w:p>
    <w:p w14:paraId="53ADC8A3">
      <w:pPr>
        <w:snapToGrid w:val="0"/>
        <w:spacing w:line="360" w:lineRule="auto"/>
        <w:ind w:firstLine="420" w:firstLineChars="200"/>
        <w:jc w:val="left"/>
        <w:rPr>
          <w:rFonts w:hint="eastAsia" w:ascii="宋体" w:hAnsi="宋体" w:eastAsia="宋体"/>
          <w:color w:val="auto"/>
          <w:sz w:val="21"/>
          <w:szCs w:val="21"/>
          <w:highlight w:val="none"/>
        </w:rPr>
      </w:pPr>
      <w:r>
        <w:rPr>
          <w:rFonts w:hint="eastAsia" w:ascii="宋体" w:hAnsi="宋体" w:eastAsia="宋体"/>
          <w:color w:val="auto"/>
          <w:sz w:val="21"/>
          <w:szCs w:val="21"/>
          <w:highlight w:val="none"/>
        </w:rPr>
        <w:t>1.管理关系：是指不具有出资持股关系的其他单位之间存在的管理与被管理关系，如一些上下级关系的事业单位和团体组织。</w:t>
      </w:r>
    </w:p>
    <w:p w14:paraId="0DF8857D">
      <w:pPr>
        <w:snapToGrid w:val="0"/>
        <w:spacing w:line="360" w:lineRule="auto"/>
        <w:ind w:firstLine="420" w:firstLineChars="200"/>
        <w:jc w:val="left"/>
        <w:rPr>
          <w:rFonts w:hint="eastAsia" w:ascii="宋体" w:hAnsi="宋体" w:eastAsia="宋体"/>
          <w:color w:val="auto"/>
          <w:sz w:val="21"/>
          <w:szCs w:val="21"/>
          <w:highlight w:val="none"/>
        </w:rPr>
      </w:pPr>
      <w:r>
        <w:rPr>
          <w:rFonts w:hint="eastAsia" w:ascii="宋体" w:hAnsi="宋体" w:eastAsia="宋体"/>
          <w:color w:val="auto"/>
          <w:sz w:val="21"/>
          <w:szCs w:val="21"/>
          <w:highlight w:val="none"/>
        </w:rPr>
        <w:t>2.</w:t>
      </w:r>
      <w:r>
        <w:rPr>
          <w:rFonts w:hint="eastAsia" w:ascii="宋体" w:hAnsi="宋体" w:eastAsia="宋体"/>
          <w:color w:val="auto"/>
          <w:spacing w:val="-6"/>
          <w:sz w:val="21"/>
          <w:szCs w:val="21"/>
          <w:highlight w:val="none"/>
        </w:rPr>
        <w:t>本表所指的管理关系仅限于直接管理关系，不包括间接的管理关系。</w:t>
      </w:r>
    </w:p>
    <w:p w14:paraId="0588D0F4">
      <w:pPr>
        <w:snapToGrid w:val="0"/>
        <w:spacing w:line="360" w:lineRule="auto"/>
        <w:ind w:firstLine="420" w:firstLineChars="200"/>
        <w:jc w:val="left"/>
        <w:rPr>
          <w:rFonts w:hint="eastAsia" w:ascii="宋体" w:hAnsi="宋体" w:eastAsia="宋体"/>
          <w:color w:val="auto"/>
          <w:sz w:val="21"/>
          <w:szCs w:val="21"/>
          <w:highlight w:val="none"/>
        </w:rPr>
      </w:pPr>
      <w:r>
        <w:rPr>
          <w:rFonts w:hint="eastAsia" w:ascii="宋体" w:hAnsi="宋体" w:eastAsia="宋体"/>
          <w:color w:val="auto"/>
          <w:sz w:val="21"/>
          <w:szCs w:val="21"/>
          <w:highlight w:val="none"/>
        </w:rPr>
        <w:t>3.供应商不存在直接管理关系的，则填“无”。</w:t>
      </w:r>
    </w:p>
    <w:p w14:paraId="2F52B233">
      <w:pPr>
        <w:snapToGrid w:val="0"/>
        <w:spacing w:line="360" w:lineRule="auto"/>
        <w:jc w:val="left"/>
        <w:rPr>
          <w:rFonts w:eastAsia="宋体"/>
          <w:color w:val="auto"/>
          <w:sz w:val="24"/>
          <w:highlight w:val="none"/>
        </w:rPr>
      </w:pPr>
    </w:p>
    <w:p w14:paraId="7AB57C60">
      <w:pPr>
        <w:snapToGrid w:val="0"/>
        <w:spacing w:line="360" w:lineRule="auto"/>
        <w:jc w:val="left"/>
        <w:rPr>
          <w:rFonts w:ascii="宋体" w:hAnsi="宋体" w:eastAsia="宋体"/>
          <w:color w:val="auto"/>
          <w:sz w:val="24"/>
          <w:highlight w:val="none"/>
        </w:rPr>
      </w:pPr>
    </w:p>
    <w:p w14:paraId="3424FDD2">
      <w:pPr>
        <w:snapToGrid w:val="0"/>
        <w:spacing w:line="360" w:lineRule="auto"/>
        <w:jc w:val="left"/>
        <w:rPr>
          <w:rFonts w:hint="eastAsia" w:ascii="宋体" w:hAnsi="宋体" w:eastAsia="宋体"/>
          <w:color w:val="auto"/>
          <w:sz w:val="24"/>
          <w:highlight w:val="none"/>
        </w:rPr>
      </w:pPr>
    </w:p>
    <w:p w14:paraId="0D02918C">
      <w:pPr>
        <w:snapToGrid/>
        <w:spacing w:line="360" w:lineRule="auto"/>
        <w:ind w:firstLine="0" w:firstLineChars="0"/>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lang w:val="zh-CN"/>
        </w:rPr>
        <w:t>供应商名称(盖公章)：</w:t>
      </w:r>
    </w:p>
    <w:p w14:paraId="3F3E7C8E">
      <w:pPr>
        <w:snapToGrid/>
        <w:spacing w:line="360" w:lineRule="auto"/>
        <w:ind w:firstLine="0" w:firstLineChars="0"/>
        <w:jc w:val="center"/>
        <w:rPr>
          <w:rFonts w:hint="eastAsia" w:ascii="宋体" w:hAnsi="宋体" w:eastAsia="宋体" w:cs="宋体"/>
          <w:b/>
          <w:bCs/>
          <w:color w:val="auto"/>
          <w:kern w:val="0"/>
          <w:sz w:val="24"/>
          <w:highlight w:val="none"/>
          <w:lang w:val="zh-CN"/>
        </w:rPr>
      </w:pPr>
      <w:r>
        <w:rPr>
          <w:rFonts w:hint="eastAsia" w:ascii="宋体" w:hAnsi="宋体" w:eastAsia="宋体" w:cs="宋体"/>
          <w:b/>
          <w:bCs/>
          <w:color w:val="auto"/>
          <w:kern w:val="0"/>
          <w:sz w:val="24"/>
          <w:highlight w:val="none"/>
          <w:lang w:val="zh-CN"/>
        </w:rPr>
        <w:t>日期</w:t>
      </w:r>
      <w:r>
        <w:rPr>
          <w:rFonts w:hint="eastAsia" w:ascii="宋体" w:hAnsi="宋体" w:eastAsia="宋体" w:cs="宋体"/>
          <w:b/>
          <w:bCs/>
          <w:color w:val="auto"/>
          <w:kern w:val="0"/>
          <w:sz w:val="24"/>
          <w:highlight w:val="none"/>
        </w:rPr>
        <w:t xml:space="preserve">：  年  </w:t>
      </w:r>
      <w:r>
        <w:rPr>
          <w:rFonts w:hint="eastAsia" w:ascii="宋体" w:hAnsi="宋体" w:eastAsia="宋体" w:cs="宋体"/>
          <w:b/>
          <w:bCs/>
          <w:color w:val="auto"/>
          <w:kern w:val="0"/>
          <w:sz w:val="24"/>
          <w:highlight w:val="none"/>
          <w:lang w:val="zh-CN"/>
        </w:rPr>
        <w:t>月</w:t>
      </w:r>
      <w:r>
        <w:rPr>
          <w:rFonts w:hint="eastAsia" w:ascii="宋体" w:hAnsi="宋体" w:eastAsia="宋体" w:cs="宋体"/>
          <w:b/>
          <w:bCs/>
          <w:color w:val="auto"/>
          <w:kern w:val="0"/>
          <w:sz w:val="24"/>
          <w:highlight w:val="none"/>
        </w:rPr>
        <w:t xml:space="preserve">   </w:t>
      </w:r>
      <w:r>
        <w:rPr>
          <w:rFonts w:hint="eastAsia" w:ascii="宋体" w:hAnsi="宋体" w:eastAsia="宋体" w:cs="宋体"/>
          <w:b/>
          <w:bCs/>
          <w:color w:val="auto"/>
          <w:kern w:val="0"/>
          <w:sz w:val="24"/>
          <w:highlight w:val="none"/>
          <w:lang w:val="zh-CN"/>
        </w:rPr>
        <w:t>日</w:t>
      </w:r>
    </w:p>
    <w:p w14:paraId="28D340DC">
      <w:pPr>
        <w:spacing w:line="360" w:lineRule="auto"/>
        <w:rPr>
          <w:rFonts w:hint="eastAsia" w:ascii="宋体" w:hAnsi="宋体" w:eastAsia="宋体" w:cs="宋体"/>
          <w:color w:val="auto"/>
          <w:sz w:val="28"/>
          <w:szCs w:val="28"/>
          <w:highlight w:val="none"/>
        </w:rPr>
      </w:pPr>
    </w:p>
    <w:p w14:paraId="01CB7DB7">
      <w:pPr>
        <w:spacing w:line="320" w:lineRule="exact"/>
        <w:ind w:firstLine="0" w:firstLineChars="0"/>
        <w:jc w:val="left"/>
        <w:rPr>
          <w:rFonts w:hint="eastAsia"/>
          <w:color w:val="auto"/>
          <w:szCs w:val="21"/>
          <w:highlight w:val="none"/>
        </w:rPr>
        <w:sectPr>
          <w:pgSz w:w="11911" w:h="16838"/>
          <w:pgMar w:top="1134" w:right="1134" w:bottom="1134" w:left="1134" w:header="720" w:footer="720" w:gutter="0"/>
          <w:pgBorders>
            <w:top w:val="none" w:sz="0" w:space="0"/>
            <w:left w:val="none" w:sz="0" w:space="0"/>
            <w:bottom w:val="none" w:sz="0" w:space="0"/>
            <w:right w:val="none" w:sz="0" w:space="0"/>
          </w:pgBorders>
          <w:pgNumType w:fmt="decimal"/>
          <w:cols w:space="720" w:num="1"/>
        </w:sectPr>
      </w:pPr>
    </w:p>
    <w:p w14:paraId="6E13C6F2">
      <w:pPr>
        <w:spacing w:line="320" w:lineRule="exact"/>
        <w:ind w:firstLine="0" w:firstLineChars="0"/>
        <w:jc w:val="left"/>
        <w:rPr>
          <w:rFonts w:hint="eastAsia" w:ascii="宋体" w:hAnsi="宋体" w:eastAsia="宋体" w:cs="宋体"/>
          <w:b/>
          <w:bCs/>
          <w:color w:val="auto"/>
          <w:sz w:val="28"/>
          <w:szCs w:val="28"/>
          <w:highlight w:val="none"/>
        </w:rPr>
      </w:pPr>
      <w:r>
        <w:rPr>
          <w:rFonts w:hint="eastAsia" w:eastAsia="宋体"/>
          <w:color w:val="auto"/>
          <w:szCs w:val="21"/>
          <w:highlight w:val="none"/>
          <w:lang w:val="en-US" w:eastAsia="zh-CN"/>
        </w:rPr>
        <w:t>5</w:t>
      </w:r>
      <w:r>
        <w:rPr>
          <w:rFonts w:hint="eastAsia" w:ascii="宋体" w:hAnsi="宋体" w:eastAsia="宋体" w:cs="宋体"/>
          <w:b/>
          <w:bCs/>
          <w:color w:val="auto"/>
          <w:kern w:val="0"/>
          <w:sz w:val="28"/>
          <w:szCs w:val="28"/>
          <w:highlight w:val="none"/>
          <w:lang w:val="en-US" w:eastAsia="zh-CN"/>
        </w:rPr>
        <w:t>.</w:t>
      </w:r>
      <w:r>
        <w:rPr>
          <w:rFonts w:hint="eastAsia" w:ascii="宋体" w:hAnsi="宋体" w:eastAsia="宋体" w:cs="宋体"/>
          <w:b/>
          <w:bCs/>
          <w:color w:val="auto"/>
          <w:kern w:val="0"/>
          <w:sz w:val="28"/>
          <w:szCs w:val="28"/>
          <w:highlight w:val="none"/>
        </w:rPr>
        <w:t>声明函</w:t>
      </w:r>
      <w:r>
        <w:rPr>
          <w:rFonts w:hint="eastAsia" w:ascii="宋体" w:hAnsi="宋体" w:eastAsia="宋体" w:cs="宋体"/>
          <w:b/>
          <w:bCs/>
          <w:color w:val="auto"/>
          <w:kern w:val="0"/>
          <w:sz w:val="28"/>
          <w:szCs w:val="28"/>
          <w:highlight w:val="none"/>
          <w:lang w:eastAsia="zh-CN"/>
        </w:rPr>
        <w:t>的格式：</w:t>
      </w:r>
    </w:p>
    <w:p w14:paraId="13D19682">
      <w:pPr>
        <w:spacing w:line="320" w:lineRule="exact"/>
        <w:jc w:val="center"/>
        <w:rPr>
          <w:rFonts w:hint="eastAsia" w:eastAsia="宋体"/>
          <w:b/>
          <w:color w:val="auto"/>
          <w:sz w:val="32"/>
          <w:szCs w:val="32"/>
          <w:highlight w:val="none"/>
        </w:rPr>
      </w:pPr>
    </w:p>
    <w:p w14:paraId="6C28B4BB">
      <w:pPr>
        <w:spacing w:line="320" w:lineRule="exact"/>
        <w:jc w:val="center"/>
        <w:rPr>
          <w:rFonts w:hint="eastAsia" w:eastAsia="宋体"/>
          <w:b/>
          <w:color w:val="auto"/>
          <w:sz w:val="32"/>
          <w:szCs w:val="32"/>
          <w:highlight w:val="none"/>
        </w:rPr>
      </w:pPr>
      <w:r>
        <w:rPr>
          <w:rFonts w:hint="eastAsia" w:eastAsia="宋体"/>
          <w:b/>
          <w:color w:val="auto"/>
          <w:sz w:val="32"/>
          <w:szCs w:val="32"/>
          <w:highlight w:val="none"/>
        </w:rPr>
        <w:t>声明函</w:t>
      </w:r>
    </w:p>
    <w:p w14:paraId="43AE8013">
      <w:pPr>
        <w:spacing w:line="320" w:lineRule="exact"/>
        <w:jc w:val="center"/>
        <w:rPr>
          <w:rFonts w:hint="eastAsia" w:eastAsia="宋体"/>
          <w:color w:val="auto"/>
          <w:sz w:val="24"/>
          <w:szCs w:val="20"/>
          <w:highlight w:val="none"/>
        </w:rPr>
      </w:pPr>
    </w:p>
    <w:p w14:paraId="7D024D5D">
      <w:pPr>
        <w:spacing w:line="400" w:lineRule="exact"/>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（采购代理机构名称）</w:t>
      </w:r>
      <w:r>
        <w:rPr>
          <w:rFonts w:hint="eastAsia" w:ascii="宋体" w:hAnsi="宋体" w:eastAsia="宋体" w:cs="宋体"/>
          <w:color w:val="auto"/>
          <w:sz w:val="24"/>
          <w:highlight w:val="none"/>
        </w:rPr>
        <w:t>：</w:t>
      </w:r>
    </w:p>
    <w:p w14:paraId="48D7107A">
      <w:pPr>
        <w:spacing w:line="40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i/>
          <w:iCs/>
          <w:color w:val="auto"/>
          <w:sz w:val="24"/>
          <w:highlight w:val="none"/>
          <w:u w:val="single"/>
        </w:rPr>
        <w:t>（供应商名称）</w:t>
      </w:r>
      <w:r>
        <w:rPr>
          <w:rFonts w:hint="eastAsia" w:ascii="宋体" w:hAnsi="宋体" w:eastAsia="宋体" w:cs="宋体"/>
          <w:color w:val="auto"/>
          <w:sz w:val="24"/>
          <w:highlight w:val="none"/>
        </w:rPr>
        <w:t>系中华人民共和国合法供应商，经营地址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30EC4C8D">
      <w:pPr>
        <w:spacing w:line="40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我方愿意参加贵方组织的</w:t>
      </w:r>
      <w:r>
        <w:rPr>
          <w:rFonts w:hint="eastAsia" w:ascii="宋体" w:hAnsi="宋体" w:eastAsia="宋体" w:cs="宋体"/>
          <w:i/>
          <w:iCs/>
          <w:color w:val="auto"/>
          <w:sz w:val="24"/>
          <w:highlight w:val="none"/>
          <w:u w:val="single"/>
        </w:rPr>
        <w:t>（项目名称）</w:t>
      </w:r>
      <w:r>
        <w:rPr>
          <w:rFonts w:hint="eastAsia" w:ascii="宋体" w:hAnsi="宋体" w:eastAsia="宋体" w:cs="宋体"/>
          <w:color w:val="auto"/>
          <w:sz w:val="24"/>
          <w:highlight w:val="none"/>
        </w:rPr>
        <w:t>项目的竞标，为便于贵方公正、择优地确定成交供应商及其竞标产品和服务，我方就本次竞标有关事项郑重声明如下：</w:t>
      </w:r>
    </w:p>
    <w:p w14:paraId="3A1FBE62">
      <w:pPr>
        <w:spacing w:line="40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1.我方向贵方提交的所有响应文件、资料都是准确的和真实的。</w:t>
      </w:r>
    </w:p>
    <w:p w14:paraId="543E190A">
      <w:pPr>
        <w:spacing w:line="40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1D04E584">
      <w:pPr>
        <w:spacing w:line="40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3.在此，我方宣布同意如下：</w:t>
      </w:r>
    </w:p>
    <w:p w14:paraId="6C0A941E">
      <w:pPr>
        <w:spacing w:line="40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（1）将按磋商文件的约定履行合同责任和义务；</w:t>
      </w:r>
    </w:p>
    <w:p w14:paraId="6DC60C0B">
      <w:pPr>
        <w:spacing w:line="40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（2）已详细审查</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全部</w:t>
      </w:r>
      <w:r>
        <w:rPr>
          <w:rFonts w:hint="eastAsia" w:ascii="宋体" w:hAnsi="宋体" w:eastAsia="宋体" w:cs="宋体"/>
          <w:color w:val="auto"/>
          <w:sz w:val="24"/>
          <w:szCs w:val="24"/>
          <w:highlight w:val="none"/>
          <w:lang w:val="en-US" w:eastAsia="zh-CN"/>
        </w:rPr>
        <w:t>内容</w:t>
      </w:r>
      <w:r>
        <w:rPr>
          <w:rFonts w:hint="eastAsia" w:ascii="宋体" w:hAnsi="宋体" w:eastAsia="宋体" w:cs="宋体"/>
          <w:color w:val="auto"/>
          <w:sz w:val="24"/>
          <w:highlight w:val="none"/>
        </w:rPr>
        <w:t>，包括澄清或者更正公告（如有）；</w:t>
      </w:r>
    </w:p>
    <w:p w14:paraId="725B9253">
      <w:pPr>
        <w:spacing w:line="40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（3）同意提供按照贵方可能要求的与磋商有关的一切数据或者资料。</w:t>
      </w:r>
    </w:p>
    <w:p w14:paraId="5F181886">
      <w:pPr>
        <w:spacing w:line="40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w:t>
      </w:r>
      <w:r>
        <w:rPr>
          <w:rFonts w:hint="eastAsia" w:ascii="宋体" w:hAnsi="宋体" w:eastAsia="宋体" w:cs="宋体"/>
          <w:color w:val="auto"/>
          <w:sz w:val="24"/>
          <w:highlight w:val="none"/>
          <w:lang w:eastAsia="zh-CN"/>
        </w:rPr>
        <w:t>重大税收违法失信主体</w:t>
      </w:r>
      <w:r>
        <w:rPr>
          <w:rFonts w:hint="eastAsia" w:ascii="宋体" w:hAnsi="宋体" w:eastAsia="宋体" w:cs="宋体"/>
          <w:color w:val="auto"/>
          <w:sz w:val="24"/>
          <w:highlight w:val="none"/>
        </w:rPr>
        <w:t>、政府采购严重违法失信行为记录名单。</w:t>
      </w:r>
    </w:p>
    <w:p w14:paraId="75909210">
      <w:pPr>
        <w:spacing w:line="40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根据《中华人民共和国政府采购法实施条例》第五十条要求对政府采购合同进行公告，但政府采购合同中涉及国家秘密、商业秘密的内容除外。我方就对本次响应文件进行注明如下：（两项内容中必须选择一项）</w:t>
      </w:r>
    </w:p>
    <w:p w14:paraId="46C22A3F">
      <w:pPr>
        <w:spacing w:line="40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□我方本次响应文件</w:t>
      </w:r>
      <w:r>
        <w:rPr>
          <w:rFonts w:hint="eastAsia" w:ascii="宋体" w:hAnsi="宋体" w:eastAsia="宋体" w:cs="宋体"/>
          <w:color w:val="auto"/>
          <w:kern w:val="0"/>
          <w:sz w:val="24"/>
          <w:highlight w:val="none"/>
        </w:rPr>
        <w:t>内容中</w:t>
      </w:r>
      <w:r>
        <w:rPr>
          <w:rFonts w:hint="eastAsia" w:ascii="宋体" w:hAnsi="宋体" w:eastAsia="宋体" w:cs="宋体"/>
          <w:color w:val="auto"/>
          <w:sz w:val="24"/>
          <w:highlight w:val="none"/>
        </w:rPr>
        <w:t>未</w:t>
      </w:r>
      <w:r>
        <w:rPr>
          <w:rFonts w:hint="eastAsia" w:ascii="宋体" w:hAnsi="宋体" w:eastAsia="宋体" w:cs="宋体"/>
          <w:color w:val="auto"/>
          <w:kern w:val="0"/>
          <w:sz w:val="24"/>
          <w:highlight w:val="none"/>
        </w:rPr>
        <w:t>涉及商业秘密；</w:t>
      </w:r>
    </w:p>
    <w:p w14:paraId="544767DD">
      <w:pPr>
        <w:spacing w:line="40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□我方本次响应文件</w:t>
      </w:r>
      <w:r>
        <w:rPr>
          <w:rFonts w:hint="eastAsia" w:ascii="宋体" w:hAnsi="宋体" w:eastAsia="宋体" w:cs="宋体"/>
          <w:color w:val="auto"/>
          <w:kern w:val="0"/>
          <w:sz w:val="24"/>
          <w:highlight w:val="none"/>
        </w:rPr>
        <w:t>涉及商业秘密的内容有：</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w:t>
      </w:r>
    </w:p>
    <w:p w14:paraId="24A0E895">
      <w:pPr>
        <w:widowControl w:val="0"/>
        <w:tabs>
          <w:tab w:val="left" w:pos="939"/>
        </w:tabs>
        <w:spacing w:line="400" w:lineRule="exact"/>
        <w:ind w:left="0" w:leftChars="0" w:firstLine="480" w:firstLineChars="200"/>
        <w:contextualSpacing/>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6.</w:t>
      </w:r>
      <w:r>
        <w:rPr>
          <w:rFonts w:hint="eastAsia" w:ascii="宋体" w:hAnsi="宋体" w:eastAsia="宋体" w:cs="宋体"/>
          <w:color w:val="auto"/>
          <w:kern w:val="2"/>
          <w:sz w:val="24"/>
          <w:szCs w:val="24"/>
          <w:highlight w:val="none"/>
          <w:lang w:val="en-US" w:eastAsia="zh-CN" w:bidi="ar-SA"/>
        </w:rPr>
        <w:t>以上事项如有虚假或者隐瞒，我方愿意承担一切后果，并不再寻求任何旨在减轻或者免除法律责任的辩解。</w:t>
      </w:r>
    </w:p>
    <w:p w14:paraId="6488BAE1">
      <w:pPr>
        <w:widowControl w:val="0"/>
        <w:tabs>
          <w:tab w:val="left" w:pos="939"/>
        </w:tabs>
        <w:spacing w:line="400" w:lineRule="exact"/>
        <w:ind w:left="141" w:leftChars="67" w:firstLine="360" w:firstLineChars="150"/>
        <w:contextualSpacing/>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特此承诺。</w:t>
      </w:r>
    </w:p>
    <w:p w14:paraId="521AAF89">
      <w:pPr>
        <w:widowControl w:val="0"/>
        <w:tabs>
          <w:tab w:val="left" w:pos="939"/>
        </w:tabs>
        <w:spacing w:line="400" w:lineRule="exact"/>
        <w:ind w:left="0" w:leftChars="0" w:firstLine="480" w:firstLineChars="200"/>
        <w:contextualSpacing/>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注：如为联合体竞标，盖章处须加盖联合体各方公章，否则其响应文件按无效响应处理。</w:t>
      </w:r>
    </w:p>
    <w:p w14:paraId="1A0D4B7A">
      <w:pPr>
        <w:widowControl w:val="0"/>
        <w:tabs>
          <w:tab w:val="left" w:pos="939"/>
        </w:tabs>
        <w:spacing w:line="400" w:lineRule="exact"/>
        <w:ind w:left="0" w:leftChars="0" w:firstLine="480" w:firstLineChars="200"/>
        <w:contextualSpacing/>
        <w:jc w:val="both"/>
        <w:rPr>
          <w:rFonts w:hint="eastAsia" w:ascii="宋体" w:hAnsi="宋体" w:eastAsia="宋体" w:cs="宋体"/>
          <w:color w:val="auto"/>
          <w:kern w:val="2"/>
          <w:sz w:val="24"/>
          <w:szCs w:val="24"/>
          <w:highlight w:val="none"/>
          <w:lang w:val="en-US" w:eastAsia="zh-CN" w:bidi="ar-SA"/>
        </w:rPr>
      </w:pPr>
    </w:p>
    <w:p w14:paraId="7EA81C7F">
      <w:pPr>
        <w:autoSpaceDE w:val="0"/>
        <w:autoSpaceDN w:val="0"/>
        <w:spacing w:line="240" w:lineRule="auto"/>
        <w:ind w:left="4365" w:leftChars="1850" w:hanging="480" w:hangingChars="200"/>
        <w:rPr>
          <w:rFonts w:hint="eastAsia" w:ascii="宋体" w:hAnsi="宋体" w:eastAsia="宋体" w:cs="宋体"/>
          <w:color w:val="auto"/>
          <w:kern w:val="0"/>
          <w:sz w:val="24"/>
          <w:highlight w:val="none"/>
        </w:rPr>
      </w:pPr>
    </w:p>
    <w:p w14:paraId="171EF991">
      <w:pPr>
        <w:autoSpaceDE w:val="0"/>
        <w:autoSpaceDN w:val="0"/>
        <w:spacing w:line="240" w:lineRule="auto"/>
        <w:ind w:left="4365" w:leftChars="1850" w:hanging="480" w:hangingChars="200"/>
        <w:rPr>
          <w:rFonts w:hint="eastAsia" w:ascii="宋体" w:hAnsi="宋体" w:eastAsia="宋体" w:cs="宋体"/>
          <w:color w:val="auto"/>
          <w:kern w:val="0"/>
          <w:sz w:val="24"/>
          <w:highlight w:val="none"/>
        </w:rPr>
      </w:pPr>
    </w:p>
    <w:p w14:paraId="4BA7B794">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w:t>
      </w:r>
      <w:r>
        <w:rPr>
          <w:rFonts w:hint="eastAsia" w:ascii="宋体" w:hAnsi="宋体" w:eastAsia="宋体" w:cs="宋体"/>
          <w:color w:val="auto"/>
          <w:kern w:val="0"/>
          <w:sz w:val="24"/>
          <w:highlight w:val="none"/>
          <w:lang w:eastAsia="zh-CN"/>
        </w:rPr>
        <w:t>盖公章</w:t>
      </w:r>
      <w:r>
        <w:rPr>
          <w:rFonts w:hint="eastAsia" w:ascii="宋体" w:hAnsi="宋体" w:eastAsia="宋体" w:cs="宋体"/>
          <w:color w:val="auto"/>
          <w:kern w:val="0"/>
          <w:sz w:val="24"/>
          <w:highlight w:val="none"/>
        </w:rPr>
        <w:t>）：</w:t>
      </w:r>
    </w:p>
    <w:p w14:paraId="34BE769F">
      <w:pPr>
        <w:autoSpaceDE w:val="0"/>
        <w:autoSpaceDN w:val="0"/>
        <w:spacing w:line="360" w:lineRule="auto"/>
        <w:ind w:firstLine="6120" w:firstLineChars="2550"/>
        <w:rPr>
          <w:rFonts w:hint="eastAsia" w:ascii="宋体" w:hAnsi="宋体" w:eastAsia="宋体" w:cs="宋体"/>
          <w:color w:val="auto"/>
          <w:kern w:val="0"/>
          <w:sz w:val="24"/>
          <w:highlight w:val="none"/>
          <w:lang w:val="zh-CN"/>
        </w:rPr>
        <w:sectPr>
          <w:pgSz w:w="11911" w:h="16838"/>
          <w:pgMar w:top="1134" w:right="1134" w:bottom="1134" w:left="1134" w:header="720" w:footer="720"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color w:val="auto"/>
          <w:kern w:val="0"/>
          <w:sz w:val="24"/>
          <w:highlight w:val="none"/>
          <w:lang w:val="zh-CN"/>
        </w:rPr>
        <w:t>日期：  年  月   日</w:t>
      </w:r>
    </w:p>
    <w:p w14:paraId="74196542">
      <w:pPr>
        <w:widowControl w:val="0"/>
        <w:overflowPunct w:val="0"/>
        <w:spacing w:line="520" w:lineRule="exact"/>
        <w:ind w:firstLine="0"/>
        <w:jc w:val="both"/>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color w:val="auto"/>
          <w:kern w:val="0"/>
          <w:sz w:val="28"/>
          <w:szCs w:val="28"/>
          <w:highlight w:val="none"/>
          <w:lang w:val="en-US" w:eastAsia="zh-CN" w:bidi="ar-SA"/>
        </w:rPr>
        <w:t>6.联合体竞标协议书的格式：</w:t>
      </w:r>
    </w:p>
    <w:p w14:paraId="22784532">
      <w:pPr>
        <w:spacing w:line="600" w:lineRule="exact"/>
        <w:jc w:val="center"/>
        <w:rPr>
          <w:rFonts w:hint="eastAsia" w:ascii="方正小标宋简体" w:hAnsi="方正小标宋简体" w:eastAsia="方正小标宋简体" w:cs="方正小标宋简体"/>
          <w:color w:val="auto"/>
          <w:sz w:val="44"/>
          <w:szCs w:val="44"/>
          <w:highlight w:val="none"/>
        </w:rPr>
      </w:pPr>
    </w:p>
    <w:p w14:paraId="72791095">
      <w:pPr>
        <w:spacing w:line="60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联合体竞标协议书</w:t>
      </w:r>
    </w:p>
    <w:p w14:paraId="458A8A5C">
      <w:pPr>
        <w:autoSpaceDE w:val="0"/>
        <w:autoSpaceDN w:val="0"/>
        <w:adjustRightInd w:val="0"/>
        <w:spacing w:line="360" w:lineRule="auto"/>
        <w:jc w:val="left"/>
        <w:rPr>
          <w:rFonts w:hAnsi="Calibri" w:eastAsia="宋体" w:cs="宋体"/>
          <w:color w:val="auto"/>
          <w:kern w:val="0"/>
          <w:szCs w:val="21"/>
          <w:highlight w:val="none"/>
          <w:u w:val="single"/>
        </w:rPr>
      </w:pPr>
    </w:p>
    <w:p w14:paraId="236C04FC">
      <w:pPr>
        <w:autoSpaceDE w:val="0"/>
        <w:autoSpaceDN w:val="0"/>
        <w:adjustRightInd w:val="0"/>
        <w:spacing w:line="36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（所有成员单位名称）自愿组成联合体，共同参加</w:t>
      </w:r>
      <w:r>
        <w:rPr>
          <w:rFonts w:hint="eastAsia" w:ascii="宋体" w:hAnsi="宋体" w:eastAsia="宋体" w:cs="宋体"/>
          <w:color w:val="auto"/>
          <w:kern w:val="0"/>
          <w:sz w:val="24"/>
          <w:highlight w:val="none"/>
          <w:u w:val="single"/>
        </w:rPr>
        <w:t xml:space="preserve">     </w:t>
      </w:r>
      <w:r>
        <w:rPr>
          <w:rFonts w:hint="eastAsia" w:ascii="宋体" w:hAnsi="宋体" w:eastAsia="宋体" w:cs="宋体"/>
          <w:i/>
          <w:iCs/>
          <w:color w:val="auto"/>
          <w:kern w:val="0"/>
          <w:sz w:val="24"/>
          <w:highlight w:val="none"/>
          <w:u w:val="single"/>
        </w:rPr>
        <w:t>（采购代理机构名称）</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组织的</w:t>
      </w:r>
      <w:r>
        <w:rPr>
          <w:rFonts w:hint="eastAsia" w:ascii="宋体" w:hAnsi="宋体" w:eastAsia="宋体" w:cs="宋体"/>
          <w:color w:val="auto"/>
          <w:kern w:val="0"/>
          <w:sz w:val="24"/>
          <w:highlight w:val="none"/>
          <w:u w:val="single"/>
        </w:rPr>
        <w:t xml:space="preserve">        </w:t>
      </w:r>
      <w:r>
        <w:rPr>
          <w:rFonts w:hint="eastAsia" w:ascii="宋体" w:hAnsi="宋体" w:eastAsia="宋体" w:cs="宋体"/>
          <w:i/>
          <w:iCs/>
          <w:color w:val="auto"/>
          <w:kern w:val="0"/>
          <w:sz w:val="24"/>
          <w:highlight w:val="none"/>
          <w:u w:val="single"/>
        </w:rPr>
        <w:t xml:space="preserve"> （项目名称）</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（项目编号：</w:t>
      </w:r>
      <w:r>
        <w:rPr>
          <w:rFonts w:hint="eastAsia" w:ascii="宋体" w:hAnsi="宋体" w:eastAsia="宋体" w:cs="宋体"/>
          <w:i/>
          <w:iCs/>
          <w:color w:val="auto"/>
          <w:kern w:val="0"/>
          <w:sz w:val="24"/>
          <w:highlight w:val="none"/>
          <w:u w:val="single"/>
          <w:lang w:eastAsia="zh-CN"/>
        </w:rPr>
        <w:t>（项目编号）</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）竞争性磋商采购。现就联合体竞标事宜订立如下协议：</w:t>
      </w:r>
    </w:p>
    <w:p w14:paraId="6D54493A">
      <w:pPr>
        <w:autoSpaceDE w:val="0"/>
        <w:autoSpaceDN w:val="0"/>
        <w:adjustRightInd w:val="0"/>
        <w:spacing w:line="360" w:lineRule="exact"/>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（某成员单位名称）为联合体名称牵头人。</w:t>
      </w:r>
    </w:p>
    <w:p w14:paraId="218AB01F">
      <w:pPr>
        <w:autoSpaceDE w:val="0"/>
        <w:autoSpaceDN w:val="0"/>
        <w:adjustRightInd w:val="0"/>
        <w:spacing w:line="360" w:lineRule="exact"/>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联合体牵头人合法代表联合体各成员负责本磋商项目响应文件编制和合同谈判活动，并代表联合体提交和接收相关的资料、信息及指示，并处理与之有关的一切事务，负责合同实施阶段的主办、组织和协调工作。</w:t>
      </w:r>
    </w:p>
    <w:p w14:paraId="16DCDDAE">
      <w:pPr>
        <w:autoSpaceDE w:val="0"/>
        <w:autoSpaceDN w:val="0"/>
        <w:adjustRightInd w:val="0"/>
        <w:spacing w:line="360" w:lineRule="exact"/>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3、联合体牵头人在本项目中签署和盖章的一切文件和处理的一切事宜，联合体各成员均予以承认。 联合体各成员将严格按照磋商文件、响应文件和合同的要求全面履行义务，并向采购人承担连带责任。</w:t>
      </w:r>
    </w:p>
    <w:p w14:paraId="2A95B311">
      <w:pPr>
        <w:autoSpaceDE w:val="0"/>
        <w:autoSpaceDN w:val="0"/>
        <w:adjustRightInd w:val="0"/>
        <w:spacing w:line="360" w:lineRule="exact"/>
        <w:ind w:left="479" w:leftChars="228" w:firstLine="0" w:firstLineChars="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4、联合体各成员单位内部的职责分工如下</w:t>
      </w:r>
      <w:r>
        <w:rPr>
          <w:rFonts w:hint="eastAsia" w:ascii="宋体" w:hAnsi="宋体" w:eastAsia="宋体" w:cs="宋体"/>
          <w:color w:val="auto"/>
          <w:kern w:val="0"/>
          <w:sz w:val="24"/>
          <w:highlight w:val="none"/>
          <w:u w:val="none"/>
        </w:rPr>
        <w:t>：</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w:t>
      </w:r>
    </w:p>
    <w:p w14:paraId="5ED367B8">
      <w:pPr>
        <w:spacing w:line="36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5、本联合体中</w:t>
      </w:r>
      <w:r>
        <w:rPr>
          <w:rFonts w:hint="eastAsia" w:ascii="宋体" w:hAnsi="宋体" w:eastAsia="宋体" w:cs="宋体"/>
          <w:color w:val="auto"/>
          <w:kern w:val="0"/>
          <w:sz w:val="24"/>
          <w:highlight w:val="none"/>
          <w:u w:val="none"/>
        </w:rPr>
        <w:t>，</w:t>
      </w:r>
      <w:r>
        <w:rPr>
          <w:rFonts w:hint="eastAsia" w:ascii="宋体" w:hAnsi="宋体" w:eastAsia="宋体" w:cs="宋体"/>
          <w:color w:val="auto"/>
          <w:kern w:val="0"/>
          <w:sz w:val="24"/>
          <w:highlight w:val="none"/>
          <w:u w:val="single"/>
        </w:rPr>
        <w:t xml:space="preserve">                         （某成员单位名称）为       </w:t>
      </w:r>
      <w:r>
        <w:rPr>
          <w:rFonts w:hint="eastAsia" w:ascii="宋体" w:hAnsi="宋体" w:eastAsia="宋体" w:cs="宋体"/>
          <w:color w:val="auto"/>
          <w:kern w:val="0"/>
          <w:sz w:val="24"/>
          <w:highlight w:val="none"/>
        </w:rPr>
        <w:t>（请填写：中型、小型、微型）企业，其协议合同金额占联合体协议合同总金额的</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%。【如联合体成员中有小型、微型企业的，请填写此条，否则无需填写；如联合体成员中有多个小型、微型企业的，请逐一列出。】</w:t>
      </w:r>
    </w:p>
    <w:p w14:paraId="09386767">
      <w:pPr>
        <w:autoSpaceDE w:val="0"/>
        <w:autoSpaceDN w:val="0"/>
        <w:adjustRightInd w:val="0"/>
        <w:spacing w:line="360" w:lineRule="exact"/>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6、本协议书自签署之日起生效，合同履行完毕后自动失效。</w:t>
      </w:r>
    </w:p>
    <w:p w14:paraId="2C5AA45B">
      <w:pPr>
        <w:autoSpaceDE w:val="0"/>
        <w:autoSpaceDN w:val="0"/>
        <w:adjustRightInd w:val="0"/>
        <w:spacing w:line="360" w:lineRule="exact"/>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7、本协议书一式</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份，联合体成员和采购代理机构各执一份。</w:t>
      </w:r>
    </w:p>
    <w:p w14:paraId="4BF3EF76">
      <w:pPr>
        <w:autoSpaceDE w:val="0"/>
        <w:autoSpaceDN w:val="0"/>
        <w:adjustRightInd w:val="0"/>
        <w:spacing w:line="360" w:lineRule="exact"/>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注：本协议书由法定代表人签字的，应附法定代表人身份证明；本协议书由委托代理人签字的，应附法定代表人授权委托书。</w:t>
      </w:r>
    </w:p>
    <w:p w14:paraId="6B7AD0B6">
      <w:pPr>
        <w:autoSpaceDE w:val="0"/>
        <w:autoSpaceDN w:val="0"/>
        <w:adjustRightInd w:val="0"/>
        <w:spacing w:line="36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牵头人名称：</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（盖公章）</w:t>
      </w:r>
    </w:p>
    <w:p w14:paraId="217D5E05">
      <w:pPr>
        <w:autoSpaceDE w:val="0"/>
        <w:autoSpaceDN w:val="0"/>
        <w:adjustRightInd w:val="0"/>
        <w:spacing w:line="36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法定代表人或其委托代理人：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（签字）</w:t>
      </w:r>
    </w:p>
    <w:p w14:paraId="76C3A564">
      <w:pPr>
        <w:autoSpaceDE w:val="0"/>
        <w:autoSpaceDN w:val="0"/>
        <w:adjustRightInd w:val="0"/>
        <w:spacing w:line="360" w:lineRule="exact"/>
        <w:jc w:val="left"/>
        <w:rPr>
          <w:rFonts w:hint="eastAsia" w:ascii="宋体" w:hAnsi="宋体" w:eastAsia="宋体" w:cs="宋体"/>
          <w:color w:val="auto"/>
          <w:kern w:val="0"/>
          <w:sz w:val="24"/>
          <w:highlight w:val="none"/>
        </w:rPr>
      </w:pPr>
    </w:p>
    <w:p w14:paraId="7A0E3CA7">
      <w:pPr>
        <w:autoSpaceDE w:val="0"/>
        <w:autoSpaceDN w:val="0"/>
        <w:adjustRightInd w:val="0"/>
        <w:spacing w:line="36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成员一名称：</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（盖公章）</w:t>
      </w:r>
    </w:p>
    <w:p w14:paraId="2CD7E4F0">
      <w:pPr>
        <w:autoSpaceDE w:val="0"/>
        <w:autoSpaceDN w:val="0"/>
        <w:adjustRightInd w:val="0"/>
        <w:spacing w:line="36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法定代表人或其委托代理人：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（签字）</w:t>
      </w:r>
    </w:p>
    <w:p w14:paraId="1532F3D6">
      <w:pPr>
        <w:autoSpaceDE w:val="0"/>
        <w:autoSpaceDN w:val="0"/>
        <w:adjustRightInd w:val="0"/>
        <w:spacing w:line="360" w:lineRule="exact"/>
        <w:jc w:val="left"/>
        <w:rPr>
          <w:rFonts w:hint="eastAsia" w:ascii="宋体" w:hAnsi="宋体" w:eastAsia="宋体" w:cs="宋体"/>
          <w:color w:val="auto"/>
          <w:kern w:val="0"/>
          <w:szCs w:val="21"/>
          <w:highlight w:val="none"/>
        </w:rPr>
      </w:pPr>
    </w:p>
    <w:p w14:paraId="4F5225FE">
      <w:pPr>
        <w:autoSpaceDE w:val="0"/>
        <w:autoSpaceDN w:val="0"/>
        <w:adjustRightInd w:val="0"/>
        <w:spacing w:line="36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成员二名称：</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（盖公章）</w:t>
      </w:r>
    </w:p>
    <w:p w14:paraId="4A72713C">
      <w:pPr>
        <w:autoSpaceDE w:val="0"/>
        <w:autoSpaceDN w:val="0"/>
        <w:adjustRightInd w:val="0"/>
        <w:spacing w:line="36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法定代表人或其委托代理人：                         （签字）</w:t>
      </w:r>
    </w:p>
    <w:p w14:paraId="36B4B1E8">
      <w:pPr>
        <w:autoSpaceDE w:val="0"/>
        <w:autoSpaceDN w:val="0"/>
        <w:adjustRightInd w:val="0"/>
        <w:spacing w:line="360" w:lineRule="exact"/>
        <w:jc w:val="left"/>
        <w:rPr>
          <w:rFonts w:hint="eastAsia" w:ascii="宋体" w:hAnsi="宋体" w:eastAsia="宋体" w:cs="宋体"/>
          <w:color w:val="auto"/>
          <w:kern w:val="0"/>
          <w:sz w:val="24"/>
          <w:highlight w:val="none"/>
        </w:rPr>
      </w:pPr>
    </w:p>
    <w:p w14:paraId="17F2FC5B">
      <w:pPr>
        <w:autoSpaceDE w:val="0"/>
        <w:autoSpaceDN w:val="0"/>
        <w:adjustRightInd w:val="0"/>
        <w:spacing w:line="360" w:lineRule="exact"/>
        <w:jc w:val="left"/>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w:t>
      </w:r>
    </w:p>
    <w:p w14:paraId="6FD48BB2">
      <w:pPr>
        <w:autoSpaceDE w:val="0"/>
        <w:autoSpaceDN w:val="0"/>
        <w:spacing w:line="360" w:lineRule="exact"/>
        <w:ind w:left="4365" w:leftChars="1850" w:hanging="480" w:hangingChars="200"/>
        <w:rPr>
          <w:rFonts w:hint="eastAsia" w:ascii="宋体" w:hAnsi="宋体" w:eastAsia="宋体" w:cs="宋体"/>
          <w:color w:val="auto"/>
          <w:kern w:val="0"/>
          <w:sz w:val="24"/>
          <w:highlight w:val="none"/>
        </w:rPr>
      </w:pPr>
    </w:p>
    <w:p w14:paraId="26893475">
      <w:pPr>
        <w:autoSpaceDE w:val="0"/>
        <w:autoSpaceDN w:val="0"/>
        <w:spacing w:line="360" w:lineRule="exact"/>
        <w:ind w:firstLine="6120" w:firstLineChars="25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7AF83245">
      <w:pPr>
        <w:autoSpaceDE w:val="0"/>
        <w:autoSpaceDN w:val="0"/>
        <w:spacing w:line="360" w:lineRule="auto"/>
        <w:ind w:firstLine="6120" w:firstLineChars="2550"/>
        <w:rPr>
          <w:rFonts w:hint="eastAsia" w:ascii="仿宋_GB2312" w:hAnsi="仿宋" w:eastAsia="仿宋_GB2312" w:cs="仿宋_GB2312"/>
          <w:color w:val="auto"/>
          <w:kern w:val="0"/>
          <w:sz w:val="24"/>
          <w:highlight w:val="none"/>
          <w:lang w:val="zh-CN"/>
        </w:rPr>
      </w:pPr>
    </w:p>
    <w:p w14:paraId="16D90798">
      <w:pPr>
        <w:autoSpaceDE w:val="0"/>
        <w:autoSpaceDN w:val="0"/>
        <w:spacing w:line="360" w:lineRule="auto"/>
        <w:ind w:firstLine="6120" w:firstLineChars="2550"/>
        <w:rPr>
          <w:rFonts w:hint="eastAsia" w:ascii="仿宋_GB2312" w:hAnsi="仿宋" w:eastAsia="仿宋_GB2312" w:cs="仿宋_GB2312"/>
          <w:color w:val="auto"/>
          <w:kern w:val="0"/>
          <w:sz w:val="24"/>
          <w:highlight w:val="none"/>
          <w:lang w:val="zh-CN"/>
        </w:rPr>
      </w:pPr>
    </w:p>
    <w:p w14:paraId="2EDB072A">
      <w:pPr>
        <w:keepNext/>
        <w:keepLines/>
        <w:widowControl w:val="0"/>
        <w:spacing w:before="260" w:after="260" w:line="416" w:lineRule="auto"/>
        <w:jc w:val="center"/>
        <w:outlineLvl w:val="1"/>
        <w:rPr>
          <w:rFonts w:hint="eastAsia" w:ascii="宋体" w:hAnsi="宋体" w:eastAsia="宋体" w:cs="Times New Roman"/>
          <w:b w:val="0"/>
          <w:bCs/>
          <w:color w:val="auto"/>
          <w:kern w:val="2"/>
          <w:sz w:val="32"/>
          <w:szCs w:val="32"/>
          <w:highlight w:val="none"/>
          <w:lang w:val="en-US" w:eastAsia="zh-CN" w:bidi="ar-SA"/>
        </w:rPr>
      </w:pPr>
      <w:bookmarkStart w:id="143" w:name="_Toc80205940"/>
      <w:bookmarkStart w:id="144" w:name="_Toc20562"/>
      <w:bookmarkStart w:id="145" w:name="_Toc15951"/>
      <w:bookmarkStart w:id="146" w:name="_Toc80886944"/>
      <w:r>
        <w:rPr>
          <w:rFonts w:hint="eastAsia" w:ascii="宋体" w:hAnsi="宋体" w:eastAsia="宋体" w:cs="Times New Roman"/>
          <w:b w:val="0"/>
          <w:bCs w:val="0"/>
          <w:color w:val="auto"/>
          <w:kern w:val="2"/>
          <w:sz w:val="32"/>
          <w:szCs w:val="32"/>
          <w:highlight w:val="none"/>
          <w:lang w:val="en-US" w:eastAsia="zh-CN" w:bidi="ar-SA"/>
        </w:rPr>
        <w:t xml:space="preserve">第二节 </w:t>
      </w:r>
      <w:r>
        <w:rPr>
          <w:rFonts w:hint="eastAsia" w:ascii="宋体" w:hAnsi="宋体" w:eastAsia="宋体" w:cs="Times New Roman"/>
          <w:b w:val="0"/>
          <w:bCs/>
          <w:color w:val="auto"/>
          <w:kern w:val="2"/>
          <w:sz w:val="32"/>
          <w:szCs w:val="32"/>
          <w:highlight w:val="none"/>
          <w:lang w:val="en-US" w:eastAsia="zh-CN" w:bidi="ar-SA"/>
        </w:rPr>
        <w:t>商务技术文件格式</w:t>
      </w:r>
      <w:bookmarkEnd w:id="143"/>
      <w:bookmarkEnd w:id="144"/>
      <w:bookmarkEnd w:id="145"/>
      <w:bookmarkEnd w:id="146"/>
    </w:p>
    <w:p w14:paraId="13291D76">
      <w:pPr>
        <w:snapToGrid w:val="0"/>
        <w:spacing w:before="156" w:beforeLines="50" w:after="50" w:line="360" w:lineRule="auto"/>
        <w:jc w:val="left"/>
        <w:rPr>
          <w:rFonts w:hint="eastAsia" w:ascii="宋体" w:hAnsi="宋体" w:eastAsia="宋体"/>
          <w:b/>
          <w:color w:val="auto"/>
          <w:sz w:val="32"/>
          <w:szCs w:val="32"/>
          <w:highlight w:val="none"/>
          <w:lang w:eastAsia="zh-CN"/>
        </w:rPr>
      </w:pPr>
      <w:r>
        <w:rPr>
          <w:rFonts w:hint="eastAsia" w:ascii="宋体" w:hAnsi="宋体" w:eastAsia="宋体"/>
          <w:b/>
          <w:color w:val="auto"/>
          <w:sz w:val="28"/>
          <w:szCs w:val="28"/>
          <w:highlight w:val="none"/>
        </w:rPr>
        <w:t>1.商务技术文件封面</w:t>
      </w:r>
      <w:r>
        <w:rPr>
          <w:rFonts w:hint="eastAsia" w:ascii="宋体" w:hAnsi="宋体" w:eastAsia="宋体"/>
          <w:b/>
          <w:color w:val="auto"/>
          <w:sz w:val="28"/>
          <w:szCs w:val="28"/>
          <w:highlight w:val="none"/>
          <w:lang w:eastAsia="zh-CN"/>
        </w:rPr>
        <w:t>的</w:t>
      </w:r>
      <w:r>
        <w:rPr>
          <w:rFonts w:hint="eastAsia" w:ascii="宋体" w:hAnsi="宋体" w:eastAsia="宋体"/>
          <w:b/>
          <w:color w:val="auto"/>
          <w:sz w:val="28"/>
          <w:szCs w:val="28"/>
          <w:highlight w:val="none"/>
        </w:rPr>
        <w:t>格式</w:t>
      </w:r>
      <w:r>
        <w:rPr>
          <w:rFonts w:hint="eastAsia" w:ascii="宋体" w:hAnsi="宋体" w:eastAsia="宋体" w:cs="宋体"/>
          <w:b/>
          <w:color w:val="auto"/>
          <w:sz w:val="28"/>
          <w:szCs w:val="28"/>
          <w:highlight w:val="none"/>
        </w:rPr>
        <w:t>（参照此格式自拟）</w:t>
      </w:r>
      <w:r>
        <w:rPr>
          <w:rFonts w:hint="eastAsia" w:ascii="宋体" w:hAnsi="宋体" w:eastAsia="宋体"/>
          <w:b/>
          <w:color w:val="auto"/>
          <w:sz w:val="28"/>
          <w:szCs w:val="28"/>
          <w:highlight w:val="none"/>
          <w:lang w:eastAsia="zh-CN"/>
        </w:rPr>
        <w:t>：</w:t>
      </w:r>
    </w:p>
    <w:p w14:paraId="7091F6A5">
      <w:pPr>
        <w:snapToGrid w:val="0"/>
        <w:spacing w:before="120" w:beforeLines="50" w:after="50"/>
        <w:rPr>
          <w:rFonts w:hint="eastAsia" w:eastAsia="宋体"/>
          <w:color w:val="auto"/>
          <w:sz w:val="24"/>
          <w:highlight w:val="none"/>
        </w:rPr>
      </w:pPr>
      <w:r>
        <w:rPr>
          <w:rFonts w:hint="eastAsia" w:eastAsia="宋体"/>
          <w:color w:val="auto"/>
          <w:sz w:val="24"/>
          <w:highlight w:val="none"/>
        </w:rPr>
        <w:t xml:space="preserve">                                             </w:t>
      </w:r>
    </w:p>
    <w:p w14:paraId="1A4D62AE">
      <w:pPr>
        <w:snapToGrid w:val="0"/>
        <w:spacing w:before="120" w:beforeLines="50" w:after="50"/>
        <w:ind w:firstLine="6720" w:firstLineChars="3200"/>
        <w:rPr>
          <w:rFonts w:hint="eastAsia" w:eastAsia="宋体"/>
          <w:bCs/>
          <w:color w:val="auto"/>
          <w:sz w:val="32"/>
          <w:szCs w:val="20"/>
          <w:highlight w:val="none"/>
        </w:rPr>
      </w:pPr>
      <w:r>
        <w:rPr>
          <w:rFonts w:hint="eastAsia" w:eastAsia="宋体"/>
          <w:bCs/>
          <w:color w:val="auto"/>
          <w:highlight w:val="none"/>
        </w:rPr>
        <w:t>全流程电子文件</w:t>
      </w:r>
    </w:p>
    <w:p w14:paraId="78DB729B">
      <w:pPr>
        <w:snapToGrid w:val="0"/>
        <w:spacing w:before="120" w:beforeLines="50" w:after="50"/>
        <w:rPr>
          <w:rFonts w:hint="eastAsia" w:eastAsia="宋体"/>
          <w:color w:val="auto"/>
          <w:sz w:val="24"/>
          <w:szCs w:val="20"/>
          <w:highlight w:val="none"/>
        </w:rPr>
      </w:pPr>
    </w:p>
    <w:p w14:paraId="5B63445C">
      <w:pPr>
        <w:snapToGrid w:val="0"/>
        <w:spacing w:before="120" w:beforeLines="50" w:after="50"/>
        <w:rPr>
          <w:rFonts w:hint="eastAsia" w:eastAsia="宋体"/>
          <w:color w:val="auto"/>
          <w:sz w:val="24"/>
          <w:szCs w:val="20"/>
          <w:highlight w:val="none"/>
        </w:rPr>
      </w:pPr>
    </w:p>
    <w:p w14:paraId="05328E03">
      <w:pPr>
        <w:snapToGrid w:val="0"/>
        <w:spacing w:before="120" w:beforeLines="50" w:after="50"/>
        <w:rPr>
          <w:rFonts w:hint="eastAsia" w:eastAsia="宋体"/>
          <w:color w:val="auto"/>
          <w:sz w:val="24"/>
          <w:szCs w:val="20"/>
          <w:highlight w:val="none"/>
        </w:rPr>
      </w:pPr>
    </w:p>
    <w:p w14:paraId="4179775B">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  务  技  术  文  件</w:t>
      </w:r>
    </w:p>
    <w:p w14:paraId="6B2C8A4A">
      <w:pPr>
        <w:snapToGrid w:val="0"/>
        <w:spacing w:before="120" w:beforeLines="50" w:after="50"/>
        <w:rPr>
          <w:rFonts w:hint="eastAsia" w:eastAsia="宋体"/>
          <w:bCs/>
          <w:color w:val="auto"/>
          <w:sz w:val="24"/>
          <w:szCs w:val="20"/>
          <w:highlight w:val="none"/>
        </w:rPr>
      </w:pPr>
    </w:p>
    <w:p w14:paraId="75C77EC2">
      <w:pPr>
        <w:snapToGrid w:val="0"/>
        <w:spacing w:before="120" w:beforeLines="50" w:after="50"/>
        <w:rPr>
          <w:rFonts w:hint="eastAsia" w:eastAsia="宋体"/>
          <w:bCs/>
          <w:color w:val="auto"/>
          <w:sz w:val="24"/>
          <w:szCs w:val="20"/>
          <w:highlight w:val="none"/>
        </w:rPr>
      </w:pPr>
    </w:p>
    <w:p w14:paraId="713DFCBD">
      <w:pPr>
        <w:snapToGrid w:val="0"/>
        <w:spacing w:before="120" w:beforeLines="50" w:after="50"/>
        <w:rPr>
          <w:rFonts w:hint="eastAsia" w:eastAsia="宋体"/>
          <w:bCs/>
          <w:color w:val="auto"/>
          <w:sz w:val="24"/>
          <w:szCs w:val="20"/>
          <w:highlight w:val="none"/>
        </w:rPr>
      </w:pPr>
    </w:p>
    <w:p w14:paraId="23A387BC">
      <w:pPr>
        <w:snapToGrid w:val="0"/>
        <w:spacing w:before="120" w:beforeLines="50" w:after="50"/>
        <w:rPr>
          <w:rFonts w:hint="eastAsia" w:eastAsia="宋体"/>
          <w:bCs/>
          <w:color w:val="auto"/>
          <w:sz w:val="24"/>
          <w:szCs w:val="20"/>
          <w:highlight w:val="none"/>
        </w:rPr>
      </w:pPr>
    </w:p>
    <w:p w14:paraId="0F67A398">
      <w:pPr>
        <w:snapToGrid w:val="0"/>
        <w:spacing w:before="120" w:beforeLines="50" w:after="50"/>
        <w:rPr>
          <w:rFonts w:hint="eastAsia" w:eastAsia="宋体"/>
          <w:bCs/>
          <w:color w:val="auto"/>
          <w:sz w:val="24"/>
          <w:szCs w:val="20"/>
          <w:highlight w:val="none"/>
        </w:rPr>
      </w:pPr>
    </w:p>
    <w:p w14:paraId="411A2AA3">
      <w:pPr>
        <w:snapToGrid w:val="0"/>
        <w:spacing w:before="120" w:beforeLines="50" w:after="50"/>
        <w:ind w:firstLine="640" w:firstLineChars="200"/>
        <w:rPr>
          <w:rFonts w:hint="eastAsia" w:eastAsia="宋体" w:cs="仿宋_GB2312"/>
          <w:bCs/>
          <w:color w:val="auto"/>
          <w:sz w:val="32"/>
          <w:szCs w:val="32"/>
          <w:highlight w:val="none"/>
        </w:rPr>
      </w:pPr>
      <w:r>
        <w:rPr>
          <w:rFonts w:hint="eastAsia" w:eastAsia="宋体" w:cs="仿宋_GB2312"/>
          <w:bCs/>
          <w:color w:val="auto"/>
          <w:sz w:val="32"/>
          <w:szCs w:val="32"/>
          <w:highlight w:val="none"/>
        </w:rPr>
        <w:t>项目名称：</w:t>
      </w:r>
    </w:p>
    <w:p w14:paraId="08D57038">
      <w:pPr>
        <w:snapToGrid w:val="0"/>
        <w:spacing w:before="120" w:beforeLines="50" w:after="50"/>
        <w:ind w:firstLine="720" w:firstLineChars="225"/>
        <w:rPr>
          <w:rFonts w:hint="eastAsia" w:eastAsia="宋体" w:cs="仿宋_GB2312"/>
          <w:bCs/>
          <w:color w:val="auto"/>
          <w:sz w:val="32"/>
          <w:szCs w:val="32"/>
          <w:highlight w:val="none"/>
        </w:rPr>
      </w:pPr>
    </w:p>
    <w:p w14:paraId="4542DDB2">
      <w:pPr>
        <w:snapToGrid w:val="0"/>
        <w:spacing w:before="120" w:beforeLines="50" w:after="50"/>
        <w:ind w:firstLine="640" w:firstLineChars="200"/>
        <w:rPr>
          <w:rFonts w:hint="eastAsia" w:eastAsia="宋体" w:cs="仿宋_GB2312"/>
          <w:bCs/>
          <w:color w:val="auto"/>
          <w:sz w:val="32"/>
          <w:szCs w:val="32"/>
          <w:highlight w:val="none"/>
        </w:rPr>
      </w:pPr>
      <w:r>
        <w:rPr>
          <w:rFonts w:hint="eastAsia" w:eastAsia="宋体" w:cs="仿宋_GB2312"/>
          <w:bCs/>
          <w:color w:val="auto"/>
          <w:sz w:val="32"/>
          <w:szCs w:val="32"/>
          <w:highlight w:val="none"/>
        </w:rPr>
        <w:t>项目编号：</w:t>
      </w:r>
    </w:p>
    <w:p w14:paraId="365D3CCB">
      <w:pPr>
        <w:snapToGrid w:val="0"/>
        <w:spacing w:before="120" w:beforeLines="50" w:after="50"/>
        <w:ind w:firstLine="720" w:firstLineChars="225"/>
        <w:rPr>
          <w:rFonts w:hint="eastAsia" w:eastAsia="宋体" w:cs="仿宋_GB2312"/>
          <w:bCs/>
          <w:color w:val="auto"/>
          <w:sz w:val="32"/>
          <w:szCs w:val="32"/>
          <w:highlight w:val="none"/>
        </w:rPr>
      </w:pPr>
      <w:r>
        <w:rPr>
          <w:rFonts w:hint="eastAsia" w:eastAsia="宋体" w:cs="仿宋_GB2312"/>
          <w:bCs/>
          <w:color w:val="auto"/>
          <w:sz w:val="32"/>
          <w:szCs w:val="32"/>
          <w:highlight w:val="none"/>
        </w:rPr>
        <w:t xml:space="preserve"> </w:t>
      </w:r>
    </w:p>
    <w:p w14:paraId="68314FE7">
      <w:pPr>
        <w:snapToGrid w:val="0"/>
        <w:spacing w:before="120" w:beforeLines="50" w:after="50"/>
        <w:ind w:firstLine="640" w:firstLineChars="200"/>
        <w:rPr>
          <w:rFonts w:hint="eastAsia" w:eastAsia="宋体" w:cs="仿宋_GB2312"/>
          <w:bCs/>
          <w:color w:val="auto"/>
          <w:sz w:val="32"/>
          <w:szCs w:val="32"/>
          <w:highlight w:val="none"/>
        </w:rPr>
      </w:pPr>
      <w:r>
        <w:rPr>
          <w:rFonts w:hint="eastAsia" w:eastAsia="宋体" w:cs="仿宋_GB2312"/>
          <w:bCs/>
          <w:color w:val="auto"/>
          <w:sz w:val="32"/>
          <w:szCs w:val="32"/>
          <w:highlight w:val="none"/>
        </w:rPr>
        <w:t>所竞分标（如有则填写，无分标时填写“无”或者留空）：</w:t>
      </w:r>
    </w:p>
    <w:p w14:paraId="0E962300">
      <w:pPr>
        <w:snapToGrid w:val="0"/>
        <w:spacing w:before="120" w:beforeLines="50" w:after="50"/>
        <w:ind w:firstLine="720" w:firstLineChars="225"/>
        <w:rPr>
          <w:rFonts w:hint="eastAsia" w:eastAsia="宋体" w:cs="仿宋_GB2312"/>
          <w:bCs/>
          <w:color w:val="auto"/>
          <w:sz w:val="32"/>
          <w:szCs w:val="32"/>
          <w:highlight w:val="none"/>
        </w:rPr>
      </w:pPr>
    </w:p>
    <w:p w14:paraId="3872107A">
      <w:pPr>
        <w:widowControl w:val="0"/>
        <w:snapToGrid w:val="0"/>
        <w:spacing w:before="50" w:after="50"/>
        <w:ind w:firstLine="640" w:firstLineChars="200"/>
        <w:jc w:val="both"/>
        <w:rPr>
          <w:rFonts w:hint="eastAsia" w:ascii="Times New Roman" w:hAnsi="Times New Roman" w:eastAsia="宋体" w:cs="仿宋_GB2312"/>
          <w:bCs/>
          <w:color w:val="auto"/>
          <w:kern w:val="2"/>
          <w:sz w:val="32"/>
          <w:szCs w:val="32"/>
          <w:highlight w:val="none"/>
          <w:lang w:val="en-US" w:eastAsia="zh-CN" w:bidi="ar-SA"/>
        </w:rPr>
      </w:pPr>
      <w:r>
        <w:rPr>
          <w:rFonts w:hint="eastAsia" w:ascii="Times New Roman" w:hAnsi="Times New Roman" w:eastAsia="宋体" w:cs="仿宋_GB2312"/>
          <w:bCs/>
          <w:color w:val="auto"/>
          <w:kern w:val="2"/>
          <w:sz w:val="32"/>
          <w:szCs w:val="32"/>
          <w:highlight w:val="none"/>
          <w:lang w:val="en-US" w:eastAsia="zh-CN" w:bidi="ar-SA"/>
        </w:rPr>
        <w:t>供应商名称：</w:t>
      </w:r>
    </w:p>
    <w:p w14:paraId="741D36FC">
      <w:pPr>
        <w:widowControl w:val="0"/>
        <w:snapToGrid w:val="0"/>
        <w:spacing w:before="50" w:after="50"/>
        <w:ind w:firstLine="720" w:firstLineChars="225"/>
        <w:jc w:val="both"/>
        <w:rPr>
          <w:rFonts w:hint="eastAsia" w:ascii="Times New Roman" w:hAnsi="Times New Roman" w:eastAsia="宋体" w:cs="仿宋_GB2312"/>
          <w:bCs/>
          <w:color w:val="auto"/>
          <w:kern w:val="2"/>
          <w:sz w:val="32"/>
          <w:szCs w:val="32"/>
          <w:highlight w:val="none"/>
          <w:lang w:val="en-US" w:eastAsia="zh-CN" w:bidi="ar-SA"/>
        </w:rPr>
      </w:pPr>
    </w:p>
    <w:p w14:paraId="505FE4EC">
      <w:pPr>
        <w:widowControl w:val="0"/>
        <w:snapToGrid w:val="0"/>
        <w:spacing w:before="50" w:after="50"/>
        <w:ind w:firstLine="720" w:firstLineChars="225"/>
        <w:jc w:val="both"/>
        <w:rPr>
          <w:rFonts w:hint="eastAsia" w:ascii="Times New Roman" w:hAnsi="Times New Roman" w:eastAsia="宋体" w:cs="仿宋_GB2312"/>
          <w:bCs/>
          <w:color w:val="auto"/>
          <w:kern w:val="2"/>
          <w:sz w:val="32"/>
          <w:szCs w:val="32"/>
          <w:highlight w:val="none"/>
          <w:lang w:val="en-US" w:eastAsia="zh-CN" w:bidi="ar-SA"/>
        </w:rPr>
      </w:pPr>
    </w:p>
    <w:p w14:paraId="29416117">
      <w:pPr>
        <w:widowControl w:val="0"/>
        <w:snapToGrid w:val="0"/>
        <w:spacing w:before="50" w:after="50"/>
        <w:ind w:firstLine="1280" w:firstLineChars="400"/>
        <w:jc w:val="both"/>
        <w:rPr>
          <w:rFonts w:hint="eastAsia" w:ascii="Times New Roman" w:hAnsi="Times New Roman" w:eastAsia="宋体" w:cs="仿宋_GB2312"/>
          <w:bCs/>
          <w:color w:val="auto"/>
          <w:kern w:val="2"/>
          <w:sz w:val="32"/>
          <w:szCs w:val="32"/>
          <w:highlight w:val="none"/>
          <w:lang w:val="en-US" w:eastAsia="zh-CN" w:bidi="ar-SA"/>
        </w:rPr>
      </w:pPr>
    </w:p>
    <w:p w14:paraId="01E58A99">
      <w:pPr>
        <w:snapToGrid w:val="0"/>
        <w:spacing w:before="120" w:beforeLines="50" w:after="50"/>
        <w:jc w:val="center"/>
        <w:rPr>
          <w:rFonts w:hint="eastAsia" w:eastAsia="宋体" w:cs="仿宋_GB2312"/>
          <w:color w:val="auto"/>
          <w:sz w:val="32"/>
          <w:szCs w:val="32"/>
          <w:highlight w:val="none"/>
        </w:rPr>
      </w:pPr>
      <w:r>
        <w:rPr>
          <w:rFonts w:hint="eastAsia" w:eastAsia="宋体" w:cs="仿宋_GB2312"/>
          <w:color w:val="auto"/>
          <w:sz w:val="32"/>
          <w:szCs w:val="32"/>
          <w:highlight w:val="none"/>
        </w:rPr>
        <w:t>年    月    日</w:t>
      </w:r>
    </w:p>
    <w:p w14:paraId="04BFFFBE">
      <w:pPr>
        <w:snapToGrid w:val="0"/>
        <w:spacing w:before="120" w:beforeLines="50" w:after="50" w:line="360" w:lineRule="auto"/>
        <w:ind w:left="142" w:firstLine="643" w:firstLineChars="200"/>
        <w:jc w:val="left"/>
        <w:rPr>
          <w:b/>
          <w:bCs/>
          <w:color w:val="auto"/>
          <w:sz w:val="32"/>
          <w:szCs w:val="32"/>
          <w:highlight w:val="none"/>
        </w:rPr>
        <w:sectPr>
          <w:pgSz w:w="11911" w:h="16838"/>
          <w:pgMar w:top="1134" w:right="1134" w:bottom="1134" w:left="1134" w:header="720" w:footer="720" w:gutter="0"/>
          <w:pgBorders>
            <w:top w:val="none" w:sz="0" w:space="0"/>
            <w:left w:val="none" w:sz="0" w:space="0"/>
            <w:bottom w:val="none" w:sz="0" w:space="0"/>
            <w:right w:val="none" w:sz="0" w:space="0"/>
          </w:pgBorders>
          <w:pgNumType w:fmt="decimal"/>
          <w:cols w:space="720" w:num="1"/>
        </w:sectPr>
      </w:pPr>
    </w:p>
    <w:p w14:paraId="1028E16A">
      <w:pPr>
        <w:spacing w:line="360" w:lineRule="auto"/>
        <w:ind w:right="420"/>
        <w:rPr>
          <w:rFonts w:hint="eastAsia" w:ascii="宋体" w:hAnsi="宋体" w:eastAsia="宋体" w:cs="宋体"/>
          <w:color w:val="auto"/>
          <w:sz w:val="24"/>
          <w:szCs w:val="20"/>
          <w:highlight w:val="none"/>
        </w:rPr>
      </w:pPr>
      <w:r>
        <w:rPr>
          <w:rFonts w:hint="eastAsia" w:ascii="宋体" w:hAnsi="宋体" w:eastAsia="宋体" w:cs="宋体"/>
          <w:b/>
          <w:bCs/>
          <w:color w:val="auto"/>
          <w:sz w:val="28"/>
          <w:szCs w:val="28"/>
          <w:highlight w:val="none"/>
          <w:lang w:val="en-US"/>
        </w:rPr>
        <w:t>2</w:t>
      </w:r>
      <w:r>
        <w:rPr>
          <w:rFonts w:hint="eastAsia" w:ascii="宋体" w:hAnsi="宋体" w:eastAsia="宋体" w:cs="宋体"/>
          <w:b/>
          <w:bCs/>
          <w:color w:val="auto"/>
          <w:sz w:val="28"/>
          <w:szCs w:val="28"/>
          <w:highlight w:val="none"/>
        </w:rPr>
        <w:t>.商务</w:t>
      </w:r>
      <w:r>
        <w:rPr>
          <w:rFonts w:hint="eastAsia" w:ascii="宋体" w:hAnsi="宋体" w:eastAsia="宋体" w:cs="宋体"/>
          <w:b/>
          <w:bCs/>
          <w:color w:val="auto"/>
          <w:sz w:val="28"/>
          <w:szCs w:val="28"/>
          <w:highlight w:val="none"/>
          <w:lang w:eastAsia="zh-CN"/>
        </w:rPr>
        <w:t>技术</w:t>
      </w:r>
      <w:r>
        <w:rPr>
          <w:rFonts w:hint="eastAsia" w:ascii="宋体" w:hAnsi="宋体" w:eastAsia="宋体" w:cs="宋体"/>
          <w:b/>
          <w:bCs/>
          <w:color w:val="auto"/>
          <w:sz w:val="28"/>
          <w:szCs w:val="28"/>
          <w:highlight w:val="none"/>
        </w:rPr>
        <w:t>文件目录</w:t>
      </w:r>
    </w:p>
    <w:p w14:paraId="52C0777F">
      <w:pPr>
        <w:spacing w:line="400" w:lineRule="exact"/>
        <w:rPr>
          <w:rFonts w:hint="eastAsia" w:ascii="仿宋_GB2312" w:hAnsi="仿宋_GB2312" w:eastAsia="仿宋_GB2312" w:cs="仿宋_GB2312"/>
          <w:color w:val="auto"/>
          <w:sz w:val="32"/>
          <w:szCs w:val="32"/>
          <w:highlight w:val="none"/>
        </w:rPr>
      </w:pP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根据竞争性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文件规定及</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提供的材料自行编写目录（部分格式后附）。</w:t>
      </w:r>
    </w:p>
    <w:p w14:paraId="552E3040">
      <w:pPr>
        <w:spacing w:line="520" w:lineRule="exact"/>
        <w:ind w:firstLine="0" w:firstLineChars="0"/>
        <w:jc w:val="left"/>
        <w:rPr>
          <w:rFonts w:hint="eastAsia" w:ascii="宋体" w:hAnsi="宋体" w:eastAsia="宋体" w:cs="宋体"/>
          <w:color w:val="auto"/>
          <w:sz w:val="28"/>
          <w:szCs w:val="28"/>
          <w:highlight w:val="none"/>
          <w:lang w:eastAsia="zh-CN"/>
        </w:rPr>
      </w:pPr>
      <w:r>
        <w:rPr>
          <w:rFonts w:hint="eastAsia" w:ascii="方正小标宋简体" w:hAnsi="方正小标宋简体" w:eastAsia="方正小标宋简体" w:cs="方正小标宋简体"/>
          <w:color w:val="auto"/>
          <w:sz w:val="44"/>
          <w:szCs w:val="44"/>
          <w:highlight w:val="none"/>
        </w:rPr>
        <w:br w:type="page"/>
      </w:r>
      <w:r>
        <w:rPr>
          <w:rFonts w:hint="eastAsia" w:ascii="宋体" w:hAnsi="宋体" w:eastAsia="宋体" w:cs="宋体"/>
          <w:b/>
          <w:color w:val="auto"/>
          <w:sz w:val="28"/>
          <w:szCs w:val="28"/>
          <w:highlight w:val="none"/>
          <w:lang w:val="en-US" w:eastAsia="zh-CN"/>
        </w:rPr>
        <w:t>3.</w:t>
      </w:r>
      <w:r>
        <w:rPr>
          <w:rFonts w:hint="eastAsia" w:ascii="宋体" w:hAnsi="宋体" w:eastAsia="宋体" w:cs="宋体"/>
          <w:b/>
          <w:color w:val="auto"/>
          <w:sz w:val="28"/>
          <w:szCs w:val="28"/>
          <w:highlight w:val="none"/>
        </w:rPr>
        <w:t>无串</w:t>
      </w:r>
      <w:r>
        <w:rPr>
          <w:rFonts w:hint="eastAsia" w:ascii="宋体" w:hAnsi="宋体" w:eastAsia="宋体" w:cs="宋体"/>
          <w:b/>
          <w:color w:val="auto"/>
          <w:sz w:val="28"/>
          <w:szCs w:val="28"/>
          <w:highlight w:val="none"/>
          <w:lang w:eastAsia="zh-CN"/>
        </w:rPr>
        <w:t>通竞标</w:t>
      </w:r>
      <w:r>
        <w:rPr>
          <w:rFonts w:hint="eastAsia" w:ascii="宋体" w:hAnsi="宋体" w:eastAsia="宋体" w:cs="宋体"/>
          <w:b/>
          <w:color w:val="auto"/>
          <w:sz w:val="28"/>
          <w:szCs w:val="28"/>
          <w:highlight w:val="none"/>
        </w:rPr>
        <w:t>行为</w:t>
      </w:r>
      <w:r>
        <w:rPr>
          <w:rFonts w:hint="eastAsia" w:ascii="宋体" w:hAnsi="宋体" w:eastAsia="宋体" w:cs="宋体"/>
          <w:b/>
          <w:color w:val="auto"/>
          <w:sz w:val="28"/>
          <w:szCs w:val="28"/>
          <w:highlight w:val="none"/>
          <w:lang w:eastAsia="zh-CN"/>
        </w:rPr>
        <w:t>的</w:t>
      </w:r>
      <w:r>
        <w:rPr>
          <w:rFonts w:hint="eastAsia" w:ascii="宋体" w:hAnsi="宋体" w:eastAsia="宋体" w:cs="宋体"/>
          <w:b/>
          <w:color w:val="auto"/>
          <w:sz w:val="28"/>
          <w:szCs w:val="28"/>
          <w:highlight w:val="none"/>
        </w:rPr>
        <w:t>承诺函</w:t>
      </w:r>
      <w:r>
        <w:rPr>
          <w:rFonts w:hint="eastAsia" w:ascii="宋体" w:hAnsi="宋体" w:eastAsia="宋体" w:cs="宋体"/>
          <w:b/>
          <w:color w:val="auto"/>
          <w:sz w:val="28"/>
          <w:szCs w:val="28"/>
          <w:highlight w:val="none"/>
          <w:lang w:eastAsia="zh-CN"/>
        </w:rPr>
        <w:t>的格式：</w:t>
      </w:r>
    </w:p>
    <w:p w14:paraId="68141006">
      <w:pPr>
        <w:spacing w:line="520" w:lineRule="exact"/>
        <w:jc w:val="center"/>
        <w:rPr>
          <w:rFonts w:hint="eastAsia" w:ascii="方正小标宋简体" w:hAnsi="方正小标宋简体" w:eastAsia="方正小标宋简体" w:cs="方正小标宋简体"/>
          <w:color w:val="auto"/>
          <w:sz w:val="44"/>
          <w:szCs w:val="44"/>
          <w:highlight w:val="none"/>
        </w:rPr>
      </w:pPr>
    </w:p>
    <w:p w14:paraId="0CAC35F2">
      <w:pPr>
        <w:spacing w:line="52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无串通竞标行为的承诺函</w:t>
      </w:r>
    </w:p>
    <w:p w14:paraId="795CE9E4">
      <w:pPr>
        <w:spacing w:line="520" w:lineRule="exact"/>
        <w:ind w:firstLine="640" w:firstLineChars="200"/>
        <w:rPr>
          <w:rFonts w:hint="eastAsia" w:ascii="仿宋_GB2312" w:hAnsi="仿宋_GB2312" w:eastAsia="仿宋_GB2312" w:cs="仿宋_GB2312"/>
          <w:color w:val="auto"/>
          <w:sz w:val="32"/>
          <w:szCs w:val="32"/>
          <w:highlight w:val="none"/>
        </w:rPr>
      </w:pPr>
    </w:p>
    <w:p w14:paraId="672CBCF4">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一、我方承诺无下列相互串通竞标的情形：</w:t>
      </w:r>
    </w:p>
    <w:p w14:paraId="7FEEE21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1.不同供应商的响应文件由同一单位或者个人编制；或不同</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报名的IP地址一致的；</w:t>
      </w:r>
    </w:p>
    <w:p w14:paraId="7118BDE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2.不同供应商委托同一单位或者个人办理竞标事宜；</w:t>
      </w:r>
    </w:p>
    <w:p w14:paraId="3A57B2E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3.不同供应商的响应文件载明的项目管理员为同一个人；</w:t>
      </w:r>
    </w:p>
    <w:p w14:paraId="07E0BE4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4.不</w:t>
      </w:r>
      <w:r>
        <w:rPr>
          <w:rFonts w:hint="eastAsia" w:ascii="宋体" w:hAnsi="宋体" w:eastAsia="宋体" w:cs="宋体"/>
          <w:color w:val="auto"/>
          <w:spacing w:val="-6"/>
          <w:sz w:val="24"/>
          <w:highlight w:val="none"/>
        </w:rPr>
        <w:t>同供应商的响应文件异常一致或者响应报价呈规律性差异；</w:t>
      </w:r>
    </w:p>
    <w:p w14:paraId="74CFFF8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14:paraId="06DBCA9C">
      <w:pPr>
        <w:widowControl w:val="0"/>
        <w:spacing w:after="120"/>
        <w:ind w:firstLine="480" w:firstLineChars="200"/>
        <w:jc w:val="both"/>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6.不同供应商的磋商保证金从同一单位或者个人账户转出。</w:t>
      </w:r>
    </w:p>
    <w:p w14:paraId="1D7A6B2C">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二、我方承诺无下列恶意串通的情形：</w:t>
      </w:r>
    </w:p>
    <w:p w14:paraId="3859475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1.供应商直接或者间接从采购人或者采购代理机构处获得其他供应商的相关信息并修改其响应文件；</w:t>
      </w:r>
    </w:p>
    <w:p w14:paraId="3B77FD9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2.供应商按照采购人或者采购代理机构的授意撤换、修改响应文件；</w:t>
      </w:r>
    </w:p>
    <w:p w14:paraId="574B776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3.供</w:t>
      </w:r>
      <w:r>
        <w:rPr>
          <w:rFonts w:hint="eastAsia" w:ascii="宋体" w:hAnsi="宋体" w:eastAsia="宋体" w:cs="宋体"/>
          <w:color w:val="auto"/>
          <w:spacing w:val="-6"/>
          <w:sz w:val="24"/>
          <w:highlight w:val="none"/>
        </w:rPr>
        <w:t>应商之间协商报价、技术方案等响应文件的实质性内容；</w:t>
      </w:r>
    </w:p>
    <w:p w14:paraId="667FCB7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14:paraId="3DBF3B5C">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5.供应商之间事先约定一致抬高或者压低响应报价，或者在竞争性磋商项目中事先约定轮流以高价位或者低价位成交，或者事先约定由某一特定供应商成交，然后再参加竞标；</w:t>
      </w:r>
    </w:p>
    <w:p w14:paraId="4400120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6.供应商之间商定部分供应商放弃参加政府采购活动或者放弃成交；</w:t>
      </w:r>
    </w:p>
    <w:p w14:paraId="797A931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w:t>
      </w:r>
      <w:r>
        <w:rPr>
          <w:rFonts w:hint="eastAsia" w:ascii="宋体" w:hAnsi="宋体" w:eastAsia="宋体" w:cs="宋体"/>
          <w:color w:val="auto"/>
          <w:spacing w:val="-6"/>
          <w:sz w:val="24"/>
          <w:highlight w:val="none"/>
        </w:rPr>
        <w:t>谋求特定供应商成交或者排斥其他供应商的其他串通行为。</w:t>
      </w:r>
    </w:p>
    <w:p w14:paraId="7041CD44">
      <w:pPr>
        <w:spacing w:line="360" w:lineRule="auto"/>
        <w:ind w:firstLine="480" w:firstLineChars="200"/>
        <w:contextualSpacing/>
        <w:rPr>
          <w:rFonts w:hint="eastAsia" w:ascii="宋体" w:hAnsi="宋体" w:eastAsia="宋体" w:cs="宋体"/>
          <w:color w:val="auto"/>
          <w:sz w:val="24"/>
          <w:highlight w:val="none"/>
        </w:rPr>
      </w:pPr>
    </w:p>
    <w:p w14:paraId="10F7434A">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szCs w:val="24"/>
          <w:highlight w:val="none"/>
        </w:rPr>
        <w:t>以上情形一经核查属实，接受政府采购监管部门对我方认定存在围标串标行为，我方愿意承担一切后果，并不再寻求任何旨在减轻或者免除法律责任的辩解</w:t>
      </w:r>
      <w:r>
        <w:rPr>
          <w:rFonts w:hint="eastAsia" w:ascii="宋体" w:hAnsi="宋体" w:eastAsia="宋体" w:cs="宋体"/>
          <w:b/>
          <w:bCs/>
          <w:color w:val="auto"/>
          <w:sz w:val="24"/>
          <w:highlight w:val="none"/>
        </w:rPr>
        <w:t>。</w:t>
      </w:r>
    </w:p>
    <w:p w14:paraId="31C5303D">
      <w:pPr>
        <w:widowControl w:val="0"/>
        <w:snapToGrid w:val="0"/>
        <w:jc w:val="left"/>
        <w:rPr>
          <w:rFonts w:hint="eastAsia" w:ascii="宋体" w:hAnsi="宋体" w:eastAsia="宋体" w:cs="宋体"/>
          <w:b/>
          <w:bCs/>
          <w:color w:val="auto"/>
          <w:kern w:val="0"/>
          <w:sz w:val="24"/>
          <w:szCs w:val="18"/>
          <w:highlight w:val="none"/>
          <w:lang w:val="en-US" w:eastAsia="zh-CN" w:bidi="ar-SA"/>
        </w:rPr>
      </w:pPr>
    </w:p>
    <w:p w14:paraId="4167B3B9">
      <w:pPr>
        <w:widowControl w:val="0"/>
        <w:snapToGrid w:val="0"/>
        <w:jc w:val="left"/>
        <w:rPr>
          <w:rFonts w:hint="eastAsia" w:ascii="宋体" w:hAnsi="宋体" w:eastAsia="宋体" w:cs="宋体"/>
          <w:b/>
          <w:bCs/>
          <w:color w:val="auto"/>
          <w:kern w:val="0"/>
          <w:sz w:val="24"/>
          <w:szCs w:val="18"/>
          <w:highlight w:val="none"/>
          <w:lang w:val="en-US" w:eastAsia="zh-CN" w:bidi="ar-SA"/>
        </w:rPr>
      </w:pPr>
    </w:p>
    <w:p w14:paraId="09431569">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w:t>
      </w:r>
      <w:r>
        <w:rPr>
          <w:rFonts w:hint="eastAsia" w:ascii="宋体" w:hAnsi="宋体" w:eastAsia="宋体" w:cs="宋体"/>
          <w:color w:val="auto"/>
          <w:kern w:val="0"/>
          <w:sz w:val="24"/>
          <w:highlight w:val="none"/>
          <w:lang w:eastAsia="zh-CN"/>
        </w:rPr>
        <w:t>盖公章</w:t>
      </w:r>
      <w:r>
        <w:rPr>
          <w:rFonts w:hint="eastAsia" w:ascii="宋体" w:hAnsi="宋体" w:eastAsia="宋体" w:cs="宋体"/>
          <w:color w:val="auto"/>
          <w:kern w:val="0"/>
          <w:sz w:val="24"/>
          <w:highlight w:val="none"/>
        </w:rPr>
        <w:t>）：</w:t>
      </w:r>
    </w:p>
    <w:p w14:paraId="59E1D6C3">
      <w:pPr>
        <w:keepNext w:val="0"/>
        <w:keepLines w:val="0"/>
        <w:pageBreakBefore w:val="0"/>
        <w:widowControl w:val="0"/>
        <w:kinsoku/>
        <w:wordWrap/>
        <w:overflowPunct/>
        <w:topLinePunct w:val="0"/>
        <w:autoSpaceDE/>
        <w:autoSpaceDN/>
        <w:bidi w:val="0"/>
        <w:adjustRightInd/>
        <w:spacing w:line="480" w:lineRule="auto"/>
        <w:ind w:firstLine="5040" w:firstLineChars="2100"/>
        <w:jc w:val="left"/>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color w:val="auto"/>
          <w:kern w:val="0"/>
          <w:sz w:val="24"/>
          <w:highlight w:val="none"/>
          <w:lang w:val="zh-CN"/>
        </w:rPr>
        <w:t xml:space="preserve">日期：  年  月   日   </w:t>
      </w:r>
      <w:r>
        <w:rPr>
          <w:rFonts w:eastAsia="宋体"/>
          <w:b/>
          <w:bCs/>
          <w:color w:val="auto"/>
          <w:sz w:val="32"/>
          <w:szCs w:val="32"/>
          <w:highlight w:val="none"/>
        </w:rPr>
        <w:br w:type="page"/>
      </w:r>
      <w:r>
        <w:rPr>
          <w:rFonts w:hint="eastAsia" w:ascii="宋体" w:hAnsi="宋体" w:eastAsia="宋体" w:cs="宋体"/>
          <w:b/>
          <w:bCs/>
          <w:color w:val="auto"/>
          <w:sz w:val="28"/>
          <w:szCs w:val="28"/>
          <w:highlight w:val="none"/>
          <w:lang w:val="en-US" w:eastAsia="zh-CN"/>
        </w:rPr>
        <w:t>4.</w:t>
      </w:r>
      <w:r>
        <w:rPr>
          <w:rFonts w:hint="eastAsia" w:ascii="宋体" w:hAnsi="宋体" w:eastAsia="宋体" w:cs="宋体"/>
          <w:b/>
          <w:bCs/>
          <w:color w:val="auto"/>
          <w:sz w:val="28"/>
          <w:szCs w:val="28"/>
          <w:highlight w:val="none"/>
        </w:rPr>
        <w:t>法定代表人身份证明</w:t>
      </w:r>
      <w:r>
        <w:rPr>
          <w:rFonts w:hint="eastAsia" w:ascii="宋体" w:hAnsi="宋体" w:eastAsia="宋体" w:cs="宋体"/>
          <w:b/>
          <w:bCs/>
          <w:color w:val="auto"/>
          <w:sz w:val="28"/>
          <w:szCs w:val="28"/>
          <w:highlight w:val="none"/>
          <w:lang w:eastAsia="zh-CN"/>
        </w:rPr>
        <w:t>的格式：</w:t>
      </w:r>
    </w:p>
    <w:p w14:paraId="06BA9D80">
      <w:pPr>
        <w:spacing w:line="520" w:lineRule="exact"/>
        <w:jc w:val="center"/>
        <w:rPr>
          <w:rFonts w:hint="eastAsia" w:ascii="仿宋_GB2312" w:hAnsi="仿宋_GB2312" w:eastAsia="仿宋_GB2312" w:cs="仿宋_GB2312"/>
          <w:color w:val="auto"/>
          <w:sz w:val="32"/>
          <w:szCs w:val="32"/>
          <w:highlight w:val="none"/>
        </w:rPr>
      </w:pPr>
      <w:r>
        <w:rPr>
          <w:rFonts w:hint="eastAsia" w:ascii="宋体" w:hAnsi="宋体" w:eastAsia="宋体" w:cs="宋体"/>
          <w:bCs/>
          <w:color w:val="auto"/>
          <w:sz w:val="32"/>
          <w:szCs w:val="32"/>
          <w:highlight w:val="none"/>
        </w:rPr>
        <w:t>法定代表人</w:t>
      </w:r>
      <w:r>
        <w:rPr>
          <w:rFonts w:hint="eastAsia" w:ascii="宋体" w:hAnsi="宋体" w:eastAsia="宋体" w:cs="宋体"/>
          <w:bCs/>
          <w:color w:val="auto"/>
          <w:sz w:val="32"/>
          <w:szCs w:val="32"/>
          <w:highlight w:val="none"/>
          <w:lang w:eastAsia="zh-CN"/>
        </w:rPr>
        <w:t>身份</w:t>
      </w:r>
      <w:r>
        <w:rPr>
          <w:rFonts w:hint="eastAsia" w:ascii="宋体" w:hAnsi="宋体" w:eastAsia="宋体" w:cs="宋体"/>
          <w:bCs/>
          <w:color w:val="auto"/>
          <w:sz w:val="32"/>
          <w:szCs w:val="32"/>
          <w:highlight w:val="none"/>
        </w:rPr>
        <w:t>证明</w:t>
      </w:r>
    </w:p>
    <w:p w14:paraId="3FFFF299">
      <w:pPr>
        <w:spacing w:line="360" w:lineRule="auto"/>
        <w:ind w:left="540"/>
        <w:contextualSpacing/>
        <w:rPr>
          <w:rFonts w:hint="eastAsia" w:ascii="仿宋_GB2312" w:hAnsi="仿宋_GB2312" w:eastAsia="仿宋_GB2312" w:cs="仿宋_GB2312"/>
          <w:color w:val="auto"/>
          <w:sz w:val="32"/>
          <w:szCs w:val="32"/>
          <w:highlight w:val="none"/>
        </w:rPr>
      </w:pPr>
    </w:p>
    <w:p w14:paraId="2E23885A">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p>
    <w:p w14:paraId="7C6B7584">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7F2774D6">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     别：</w:t>
      </w:r>
      <w:r>
        <w:rPr>
          <w:rFonts w:hint="eastAsia" w:ascii="宋体" w:hAnsi="宋体" w:eastAsia="宋体" w:cs="宋体"/>
          <w:color w:val="auto"/>
          <w:sz w:val="24"/>
          <w:highlight w:val="none"/>
          <w:u w:val="single"/>
        </w:rPr>
        <w:t xml:space="preserve">                </w:t>
      </w:r>
    </w:p>
    <w:p w14:paraId="03EECF34">
      <w:pPr>
        <w:spacing w:line="360" w:lineRule="auto"/>
        <w:ind w:left="54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14:paraId="1B0BFDA5">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320EACCE">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的法定代表人。</w:t>
      </w:r>
    </w:p>
    <w:p w14:paraId="6EE9BE3D">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0DEA5E51">
      <w:pPr>
        <w:spacing w:line="360" w:lineRule="auto"/>
        <w:ind w:left="540"/>
        <w:contextualSpacing/>
        <w:rPr>
          <w:rFonts w:hint="eastAsia" w:ascii="宋体" w:hAnsi="宋体" w:eastAsia="宋体" w:cs="宋体"/>
          <w:color w:val="auto"/>
          <w:sz w:val="24"/>
          <w:highlight w:val="none"/>
        </w:rPr>
      </w:pPr>
    </w:p>
    <w:p w14:paraId="441A93FF">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附件：法定代表人有效身份证正反面复印件</w:t>
      </w:r>
    </w:p>
    <w:p w14:paraId="64231F67">
      <w:pPr>
        <w:spacing w:line="360" w:lineRule="auto"/>
        <w:ind w:left="540"/>
        <w:contextualSpacing/>
        <w:rPr>
          <w:rFonts w:hint="eastAsia" w:ascii="宋体" w:hAnsi="宋体" w:eastAsia="宋体" w:cs="宋体"/>
          <w:color w:val="auto"/>
          <w:sz w:val="24"/>
          <w:highlight w:val="none"/>
        </w:rPr>
      </w:pPr>
    </w:p>
    <w:p w14:paraId="779E08D7">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w:t>
      </w:r>
      <w:r>
        <w:rPr>
          <w:rFonts w:hint="eastAsia" w:ascii="宋体" w:hAnsi="宋体" w:eastAsia="宋体" w:cs="宋体"/>
          <w:color w:val="auto"/>
          <w:kern w:val="0"/>
          <w:sz w:val="24"/>
          <w:highlight w:val="none"/>
          <w:lang w:eastAsia="zh-CN"/>
        </w:rPr>
        <w:t>盖公章</w:t>
      </w:r>
      <w:r>
        <w:rPr>
          <w:rFonts w:hint="eastAsia" w:ascii="宋体" w:hAnsi="宋体" w:eastAsia="宋体" w:cs="宋体"/>
          <w:color w:val="auto"/>
          <w:kern w:val="0"/>
          <w:sz w:val="24"/>
          <w:highlight w:val="none"/>
        </w:rPr>
        <w:t>）：</w:t>
      </w:r>
    </w:p>
    <w:p w14:paraId="33974061">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6E57DBA4">
      <w:pPr>
        <w:spacing w:line="360" w:lineRule="auto"/>
        <w:contextualSpacing/>
        <w:jc w:val="left"/>
        <w:rPr>
          <w:rFonts w:hint="eastAsia" w:ascii="宋体" w:hAnsi="宋体" w:eastAsia="宋体" w:cs="宋体"/>
          <w:color w:val="auto"/>
          <w:sz w:val="24"/>
          <w:highlight w:val="none"/>
        </w:rPr>
      </w:pPr>
    </w:p>
    <w:p w14:paraId="7D3C862E">
      <w:pPr>
        <w:spacing w:line="360" w:lineRule="auto"/>
        <w:ind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12CEB36C">
      <w:pPr>
        <w:spacing w:line="360" w:lineRule="auto"/>
        <w:ind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1.自然人竞标的无需提供，联合体竞标的只需牵头人出具。</w:t>
      </w:r>
    </w:p>
    <w:p w14:paraId="0C3ADBF0">
      <w:pPr>
        <w:spacing w:line="360" w:lineRule="auto"/>
        <w:ind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2D83A1C9">
      <w:pPr>
        <w:spacing w:line="360" w:lineRule="auto"/>
        <w:ind w:firstLine="482" w:firstLineChars="200"/>
        <w:contextualSpacing/>
        <w:jc w:val="left"/>
        <w:rPr>
          <w:rFonts w:hint="eastAsia" w:ascii="仿宋_GB2312" w:hAnsi="仿宋_GB2312" w:eastAsia="仿宋_GB2312" w:cs="仿宋_GB2312"/>
          <w:b/>
          <w:color w:val="auto"/>
          <w:sz w:val="32"/>
          <w:szCs w:val="32"/>
          <w:highlight w:val="none"/>
        </w:rPr>
      </w:pPr>
      <w:r>
        <w:rPr>
          <w:rFonts w:hint="eastAsia" w:ascii="Calibri" w:eastAsia="宋体"/>
          <w:b/>
          <w:color w:val="auto"/>
          <w:sz w:val="24"/>
          <w:highlight w:val="none"/>
        </w:rPr>
        <w:t>附件：</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1"/>
      </w:tblGrid>
      <w:tr w14:paraId="5B877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2" w:hRule="atLeast"/>
          <w:jc w:val="center"/>
        </w:trPr>
        <w:tc>
          <w:tcPr>
            <w:tcW w:w="9391" w:type="dxa"/>
            <w:noWrap w:val="0"/>
            <w:vAlign w:val="top"/>
          </w:tcPr>
          <w:p w14:paraId="3558D981">
            <w:pPr>
              <w:spacing w:line="360" w:lineRule="auto"/>
              <w:rPr>
                <w:rFonts w:hAnsi="Calibri" w:eastAsia="宋体"/>
                <w:b/>
                <w:color w:val="auto"/>
                <w:sz w:val="24"/>
                <w:highlight w:val="none"/>
              </w:rPr>
            </w:pPr>
            <w:r>
              <w:rPr>
                <w:rFonts w:hint="eastAsia" w:hAnsi="Calibri" w:eastAsia="宋体"/>
                <w:b/>
                <w:color w:val="auto"/>
                <w:sz w:val="24"/>
                <w:highlight w:val="none"/>
              </w:rPr>
              <w:t>法定代表</w:t>
            </w:r>
            <w:r>
              <w:rPr>
                <w:rFonts w:hint="eastAsia" w:hAnsi="Calibri" w:eastAsia="宋体"/>
                <w:b/>
                <w:color w:val="auto"/>
                <w:sz w:val="24"/>
                <w:highlight w:val="none"/>
                <w:lang w:eastAsia="zh-CN"/>
              </w:rPr>
              <w:t>人</w:t>
            </w:r>
            <w:r>
              <w:rPr>
                <w:rFonts w:hint="eastAsia" w:hAnsi="Calibri" w:eastAsia="宋体"/>
                <w:b/>
                <w:color w:val="auto"/>
                <w:sz w:val="24"/>
                <w:highlight w:val="none"/>
              </w:rPr>
              <w:t>身份证复印件粘</w:t>
            </w:r>
            <w:r>
              <w:rPr>
                <w:rFonts w:hint="eastAsia" w:hAnsi="Calibri" w:eastAsia="宋体"/>
                <w:b/>
                <w:color w:val="auto"/>
                <w:sz w:val="24"/>
                <w:highlight w:val="none"/>
                <w:lang w:eastAsia="zh-CN"/>
              </w:rPr>
              <w:t>贴</w:t>
            </w:r>
            <w:r>
              <w:rPr>
                <w:rFonts w:hint="eastAsia" w:hAnsi="Calibri" w:eastAsia="宋体"/>
                <w:b/>
                <w:color w:val="auto"/>
                <w:sz w:val="24"/>
                <w:highlight w:val="none"/>
              </w:rPr>
              <w:t>处（正、反面）</w:t>
            </w:r>
          </w:p>
        </w:tc>
      </w:tr>
    </w:tbl>
    <w:p w14:paraId="17042186">
      <w:pPr>
        <w:spacing w:line="240" w:lineRule="auto"/>
        <w:ind w:firstLine="880"/>
        <w:jc w:val="left"/>
        <w:rPr>
          <w:rFonts w:hint="eastAsia" w:ascii="宋体" w:hAnsi="宋体" w:eastAsia="宋体" w:cs="宋体"/>
          <w:color w:val="auto"/>
          <w:szCs w:val="21"/>
          <w:highlight w:val="none"/>
        </w:rPr>
      </w:pPr>
    </w:p>
    <w:p w14:paraId="635E48A1">
      <w:pPr>
        <w:spacing w:line="520" w:lineRule="exact"/>
        <w:ind w:firstLine="0"/>
        <w:jc w:val="left"/>
        <w:rPr>
          <w:rFonts w:hint="eastAsia" w:ascii="方正小标宋简体" w:hAnsi="方正小标宋简体" w:eastAsia="仿宋" w:cs="方正小标宋简体"/>
          <w:bCs/>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rPr>
        <w:br w:type="page"/>
      </w:r>
      <w:r>
        <w:rPr>
          <w:rFonts w:hint="eastAsia" w:ascii="宋体" w:hAnsi="宋体" w:eastAsia="宋体" w:cs="宋体"/>
          <w:b/>
          <w:bCs/>
          <w:color w:val="auto"/>
          <w:sz w:val="28"/>
          <w:szCs w:val="28"/>
          <w:highlight w:val="none"/>
          <w:lang w:val="en-US" w:eastAsia="zh-CN"/>
        </w:rPr>
        <w:t>5.</w:t>
      </w:r>
      <w:r>
        <w:rPr>
          <w:rFonts w:hint="eastAsia" w:ascii="宋体" w:hAnsi="宋体" w:eastAsia="宋体" w:cs="宋体"/>
          <w:b/>
          <w:bCs/>
          <w:color w:val="auto"/>
          <w:sz w:val="28"/>
          <w:szCs w:val="28"/>
          <w:highlight w:val="none"/>
        </w:rPr>
        <w:t>法定代表人授权委托书</w:t>
      </w:r>
      <w:r>
        <w:rPr>
          <w:rFonts w:hint="eastAsia" w:ascii="宋体" w:hAnsi="宋体" w:eastAsia="宋体" w:cs="宋体"/>
          <w:b/>
          <w:bCs/>
          <w:color w:val="auto"/>
          <w:sz w:val="28"/>
          <w:szCs w:val="28"/>
          <w:highlight w:val="none"/>
          <w:lang w:eastAsia="zh-CN"/>
        </w:rPr>
        <w:t>的格式：</w:t>
      </w:r>
    </w:p>
    <w:p w14:paraId="15BA0F28">
      <w:pPr>
        <w:spacing w:line="500" w:lineRule="exact"/>
        <w:jc w:val="center"/>
        <w:rPr>
          <w:rFonts w:hint="eastAsia" w:ascii="方正小标宋简体" w:hAnsi="方正小标宋简体" w:eastAsia="方正小标宋简体" w:cs="方正小标宋简体"/>
          <w:color w:val="auto"/>
          <w:sz w:val="44"/>
          <w:szCs w:val="44"/>
          <w:highlight w:val="none"/>
        </w:rPr>
      </w:pPr>
    </w:p>
    <w:p w14:paraId="5CA22F1F">
      <w:pPr>
        <w:spacing w:line="52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授权委托书（非联合体竞标格式）</w:t>
      </w:r>
    </w:p>
    <w:p w14:paraId="3DE0B65E">
      <w:pPr>
        <w:spacing w:line="52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（如有委托时）</w:t>
      </w:r>
    </w:p>
    <w:p w14:paraId="76BCDDEB">
      <w:pPr>
        <w:spacing w:line="520" w:lineRule="exact"/>
        <w:rPr>
          <w:rFonts w:hint="eastAsia" w:ascii="仿宋_GB2312" w:hAnsi="仿宋_GB2312" w:eastAsia="仿宋_GB2312" w:cs="仿宋_GB2312"/>
          <w:color w:val="auto"/>
          <w:sz w:val="32"/>
          <w:szCs w:val="32"/>
          <w:highlight w:val="none"/>
        </w:rPr>
      </w:pPr>
    </w:p>
    <w:p w14:paraId="1FFB67D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w:t>
      </w:r>
      <w:r>
        <w:rPr>
          <w:rFonts w:hint="eastAsia" w:ascii="宋体" w:hAnsi="宋体" w:eastAsia="宋体" w:cs="宋体"/>
          <w:color w:val="auto"/>
          <w:sz w:val="24"/>
          <w:highlight w:val="none"/>
        </w:rPr>
        <w:t>：</w:t>
      </w:r>
    </w:p>
    <w:p w14:paraId="75FE710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w:t>
      </w:r>
      <w:r>
        <w:rPr>
          <w:rFonts w:hint="eastAsia" w:ascii="宋体" w:hAnsi="宋体" w:eastAsia="宋体" w:cs="宋体"/>
          <w:color w:val="auto"/>
          <w:sz w:val="24"/>
          <w:highlight w:val="none"/>
          <w:u w:val="single"/>
        </w:rPr>
        <w:t xml:space="preserve">  </w:t>
      </w:r>
      <w:r>
        <w:rPr>
          <w:rFonts w:hint="eastAsia" w:ascii="宋体" w:hAnsi="宋体" w:eastAsia="宋体" w:cs="宋体"/>
          <w:i/>
          <w:iCs/>
          <w:color w:val="auto"/>
          <w:sz w:val="24"/>
          <w:highlight w:val="none"/>
          <w:u w:val="single"/>
        </w:rPr>
        <w:t>（姓名）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w:t>
      </w:r>
      <w:r>
        <w:rPr>
          <w:rFonts w:hint="eastAsia" w:ascii="宋体" w:hAnsi="宋体" w:eastAsia="宋体" w:cs="宋体"/>
          <w:i/>
          <w:iCs/>
          <w:color w:val="auto"/>
          <w:sz w:val="24"/>
          <w:highlight w:val="none"/>
          <w:u w:val="singl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□法定代表人/□负责人/□自然人本人</w:t>
      </w:r>
      <w:r>
        <w:rPr>
          <w:rFonts w:hint="eastAsia" w:ascii="宋体" w:hAnsi="宋体" w:eastAsia="宋体" w:cs="宋体"/>
          <w:color w:val="auto"/>
          <w:sz w:val="24"/>
          <w:highlight w:val="none"/>
        </w:rPr>
        <w:t>），现授权</w:t>
      </w:r>
      <w:r>
        <w:rPr>
          <w:rFonts w:hint="eastAsia" w:ascii="宋体" w:hAnsi="宋体" w:eastAsia="宋体" w:cs="宋体"/>
          <w:color w:val="auto"/>
          <w:sz w:val="24"/>
          <w:highlight w:val="none"/>
          <w:u w:val="single"/>
        </w:rPr>
        <w:t xml:space="preserve"> </w:t>
      </w:r>
      <w:r>
        <w:rPr>
          <w:rFonts w:hint="eastAsia" w:ascii="宋体" w:hAnsi="宋体" w:eastAsia="宋体" w:cs="宋体"/>
          <w:i/>
          <w:iCs/>
          <w:color w:val="auto"/>
          <w:sz w:val="24"/>
          <w:highlight w:val="none"/>
          <w:u w:val="single"/>
        </w:rPr>
        <w:t>（姓名）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以我方的名义参加</w:t>
      </w:r>
      <w:r>
        <w:rPr>
          <w:rFonts w:hint="eastAsia" w:ascii="宋体" w:hAnsi="宋体" w:eastAsia="宋体" w:cs="宋体"/>
          <w:color w:val="auto"/>
          <w:sz w:val="24"/>
          <w:highlight w:val="none"/>
          <w:u w:val="single"/>
        </w:rPr>
        <w:t xml:space="preserve">      </w:t>
      </w:r>
      <w:r>
        <w:rPr>
          <w:rFonts w:hint="eastAsia" w:ascii="宋体" w:hAnsi="宋体" w:eastAsia="宋体" w:cs="宋体"/>
          <w:i/>
          <w:iCs/>
          <w:color w:val="auto"/>
          <w:sz w:val="24"/>
          <w:szCs w:val="24"/>
          <w:highlight w:val="none"/>
          <w:u w:val="single"/>
          <w:lang w:eastAsia="zh-CN"/>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项目的竞标活动，并代表我方全权办理针对上述项目的所有采购程序和环节的具体事务和签署相关文件。</w:t>
      </w:r>
    </w:p>
    <w:p w14:paraId="0583601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我方对委托代理人的签字事项负全部责任。</w:t>
      </w:r>
    </w:p>
    <w:p w14:paraId="2370864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7C98BD9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734432F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附：委托代理人有效身份证正反面复印件</w:t>
      </w:r>
    </w:p>
    <w:p w14:paraId="7848993F">
      <w:pPr>
        <w:spacing w:line="360" w:lineRule="auto"/>
        <w:rPr>
          <w:rFonts w:hint="eastAsia" w:ascii="宋体" w:hAnsi="宋体" w:eastAsia="宋体" w:cs="宋体"/>
          <w:color w:val="auto"/>
          <w:sz w:val="24"/>
          <w:highlight w:val="none"/>
        </w:rPr>
      </w:pPr>
    </w:p>
    <w:p w14:paraId="6B28EAD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委托代理人（签字）：         法定代表人（签字）：                    </w:t>
      </w:r>
    </w:p>
    <w:p w14:paraId="716907D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委托代理人身份证号码：                              </w:t>
      </w:r>
    </w:p>
    <w:p w14:paraId="472573FD">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43D5B5D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t>供应商名称（</w:t>
      </w:r>
      <w:r>
        <w:rPr>
          <w:rFonts w:hint="eastAsia" w:ascii="宋体" w:hAnsi="宋体" w:eastAsia="宋体" w:cs="宋体"/>
          <w:color w:val="auto"/>
          <w:kern w:val="0"/>
          <w:sz w:val="24"/>
          <w:highlight w:val="none"/>
          <w:lang w:eastAsia="zh-CN"/>
        </w:rPr>
        <w:t>盖公章</w:t>
      </w:r>
      <w:r>
        <w:rPr>
          <w:rFonts w:hint="eastAsia" w:ascii="宋体" w:hAnsi="宋体" w:eastAsia="宋体" w:cs="宋体"/>
          <w:color w:val="auto"/>
          <w:kern w:val="0"/>
          <w:sz w:val="24"/>
          <w:highlight w:val="none"/>
        </w:rPr>
        <w:t>）：</w:t>
      </w:r>
    </w:p>
    <w:p w14:paraId="1213A2C6">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14C57B84">
      <w:pPr>
        <w:spacing w:line="360" w:lineRule="auto"/>
        <w:rPr>
          <w:rFonts w:hint="eastAsia" w:ascii="宋体" w:hAnsi="宋体" w:eastAsia="宋体" w:cs="宋体"/>
          <w:color w:val="auto"/>
          <w:sz w:val="24"/>
          <w:highlight w:val="none"/>
        </w:rPr>
      </w:pPr>
    </w:p>
    <w:p w14:paraId="34C205F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25B8E8F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法定代表人</w:t>
      </w:r>
      <w:r>
        <w:rPr>
          <w:rFonts w:hint="eastAsia" w:ascii="宋体" w:hAnsi="宋体" w:eastAsia="宋体" w:cs="宋体"/>
          <w:color w:val="auto"/>
          <w:sz w:val="21"/>
          <w:szCs w:val="21"/>
          <w:highlight w:val="none"/>
          <w:lang w:val="en-US" w:eastAsia="zh-CN"/>
        </w:rPr>
        <w:t>和</w:t>
      </w:r>
      <w:r>
        <w:rPr>
          <w:rFonts w:hint="eastAsia" w:ascii="宋体" w:hAnsi="宋体" w:eastAsia="宋体" w:cs="宋体"/>
          <w:color w:val="auto"/>
          <w:sz w:val="21"/>
          <w:szCs w:val="21"/>
          <w:highlight w:val="none"/>
        </w:rPr>
        <w:t>委托代理人必须在授权委托书上签字，</w:t>
      </w:r>
      <w:r>
        <w:rPr>
          <w:rFonts w:hint="eastAsia" w:ascii="宋体" w:hAnsi="宋体" w:eastAsia="宋体" w:cs="宋体"/>
          <w:b/>
          <w:color w:val="auto"/>
          <w:sz w:val="21"/>
          <w:szCs w:val="21"/>
          <w:highlight w:val="none"/>
        </w:rPr>
        <w:t>否则其响应文件按无效响应处理。</w:t>
      </w:r>
    </w:p>
    <w:p w14:paraId="0CE64B72">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077410A5">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3. 法人、其他组织竞标时“我方”是指“我单位”，自然人竞标时“我方”是指“本人”。</w:t>
      </w:r>
    </w:p>
    <w:p w14:paraId="7198C47A">
      <w:pPr>
        <w:spacing w:line="500" w:lineRule="exact"/>
        <w:jc w:val="center"/>
        <w:rPr>
          <w:rFonts w:hint="eastAsia" w:ascii="宋体" w:hAnsi="宋体" w:eastAsia="宋体" w:cs="宋体"/>
          <w:b/>
          <w:bCs/>
          <w:color w:val="auto"/>
          <w:sz w:val="32"/>
          <w:szCs w:val="32"/>
          <w:highlight w:val="none"/>
        </w:rPr>
      </w:pPr>
      <w:r>
        <w:rPr>
          <w:rFonts w:ascii="仿宋_GB2312" w:hAnsi="仿宋_GB2312" w:eastAsia="仿宋_GB2312" w:cs="仿宋_GB2312"/>
          <w:color w:val="auto"/>
          <w:szCs w:val="21"/>
          <w:highlight w:val="none"/>
        </w:rPr>
        <w:br w:type="page"/>
      </w:r>
      <w:r>
        <w:rPr>
          <w:rFonts w:hint="eastAsia" w:ascii="宋体" w:hAnsi="宋体" w:eastAsia="宋体" w:cs="宋体"/>
          <w:b/>
          <w:bCs/>
          <w:color w:val="auto"/>
          <w:sz w:val="32"/>
          <w:szCs w:val="32"/>
          <w:highlight w:val="none"/>
        </w:rPr>
        <w:t>授权委托书（联合体竞标格式）</w:t>
      </w:r>
    </w:p>
    <w:p w14:paraId="4DA8864A">
      <w:pPr>
        <w:spacing w:line="50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（如有委托时）</w:t>
      </w:r>
    </w:p>
    <w:p w14:paraId="20FDB39E">
      <w:pPr>
        <w:spacing w:line="500" w:lineRule="exact"/>
        <w:jc w:val="center"/>
        <w:rPr>
          <w:rFonts w:hint="eastAsia" w:ascii="仿宋_GB2312" w:hAnsi="仿宋_GB2312" w:eastAsia="仿宋_GB2312" w:cs="仿宋_GB2312"/>
          <w:color w:val="auto"/>
          <w:sz w:val="32"/>
          <w:szCs w:val="32"/>
          <w:highlight w:val="none"/>
        </w:rPr>
      </w:pPr>
    </w:p>
    <w:p w14:paraId="222FF606">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本授权委托书声明：根据</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（牵头人名称）与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（联合体其他成员名称）签订的《联合体竞标协议书》的内容，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（牵头人名称）的法定代表人</w:t>
      </w:r>
      <w:r>
        <w:rPr>
          <w:rFonts w:hint="eastAsia" w:ascii="宋体" w:hAnsi="宋体" w:eastAsia="宋体" w:cs="宋体"/>
          <w:color w:val="auto"/>
          <w:sz w:val="24"/>
          <w:highlight w:val="none"/>
          <w:u w:val="single"/>
        </w:rPr>
        <w:t xml:space="preserve">      </w:t>
      </w:r>
      <w:r>
        <w:rPr>
          <w:rFonts w:hint="eastAsia" w:ascii="宋体" w:hAnsi="宋体" w:eastAsia="宋体" w:cs="宋体"/>
          <w:i/>
          <w:iCs/>
          <w:color w:val="auto"/>
          <w:sz w:val="24"/>
          <w:highlight w:val="none"/>
          <w:u w:val="single"/>
        </w:rPr>
        <w:t>（姓名）</w:t>
      </w:r>
      <w:r>
        <w:rPr>
          <w:rFonts w:hint="eastAsia" w:ascii="宋体" w:hAnsi="宋体" w:eastAsia="宋体" w:cs="宋体"/>
          <w:color w:val="auto"/>
          <w:sz w:val="24"/>
          <w:highlight w:val="none"/>
        </w:rPr>
        <w:t>现授权</w:t>
      </w:r>
      <w:r>
        <w:rPr>
          <w:rFonts w:hint="eastAsia" w:ascii="宋体" w:hAnsi="宋体" w:eastAsia="宋体" w:cs="宋体"/>
          <w:color w:val="auto"/>
          <w:sz w:val="24"/>
          <w:highlight w:val="none"/>
          <w:u w:val="single"/>
        </w:rPr>
        <w:t xml:space="preserve">     </w:t>
      </w:r>
      <w:r>
        <w:rPr>
          <w:rFonts w:hint="eastAsia" w:ascii="宋体" w:hAnsi="宋体" w:eastAsia="宋体" w:cs="宋体"/>
          <w:i/>
          <w:iCs/>
          <w:color w:val="auto"/>
          <w:sz w:val="24"/>
          <w:highlight w:val="none"/>
          <w:u w:val="single"/>
        </w:rPr>
        <w:t xml:space="preserve"> （姓名）</w:t>
      </w:r>
      <w:r>
        <w:rPr>
          <w:rFonts w:hint="eastAsia" w:ascii="宋体" w:hAnsi="宋体" w:eastAsia="宋体" w:cs="宋体"/>
          <w:color w:val="auto"/>
          <w:sz w:val="24"/>
          <w:highlight w:val="none"/>
        </w:rPr>
        <w:t>为联合委托代理人，并代表我方全权办理针对上述项目的所有采购程序和环节的具体事务和签署相关文件。</w:t>
      </w:r>
    </w:p>
    <w:p w14:paraId="6E9382A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我方对委托代理人的签字事项负全部责任。</w:t>
      </w:r>
    </w:p>
    <w:p w14:paraId="46E9A77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77669B9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6E13B09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附：委托代理人有效身份证正反面复印件</w:t>
      </w:r>
    </w:p>
    <w:p w14:paraId="54AB7E78">
      <w:pPr>
        <w:spacing w:line="360" w:lineRule="auto"/>
        <w:rPr>
          <w:rFonts w:hint="eastAsia" w:ascii="宋体" w:hAnsi="宋体" w:eastAsia="宋体" w:cs="宋体"/>
          <w:color w:val="auto"/>
          <w:sz w:val="24"/>
          <w:highlight w:val="none"/>
        </w:rPr>
      </w:pPr>
    </w:p>
    <w:p w14:paraId="5A96EF63">
      <w:pPr>
        <w:spacing w:line="360" w:lineRule="auto"/>
        <w:ind w:firstLine="1560" w:firstLineChars="650"/>
        <w:rPr>
          <w:rFonts w:hint="eastAsia" w:ascii="宋体" w:hAnsi="宋体" w:eastAsia="宋体" w:cs="宋体"/>
          <w:color w:val="auto"/>
          <w:sz w:val="24"/>
          <w:highlight w:val="none"/>
        </w:rPr>
      </w:pPr>
      <w:r>
        <w:rPr>
          <w:rFonts w:hint="eastAsia" w:ascii="宋体" w:hAnsi="宋体" w:eastAsia="宋体" w:cs="宋体"/>
          <w:color w:val="auto"/>
          <w:sz w:val="24"/>
          <w:highlight w:val="none"/>
        </w:rPr>
        <w:t>牵头人法定代表人（签字）：</w:t>
      </w:r>
    </w:p>
    <w:p w14:paraId="0654D120">
      <w:pPr>
        <w:spacing w:line="360" w:lineRule="auto"/>
        <w:ind w:firstLine="3120" w:firstLineChars="1300"/>
        <w:rPr>
          <w:rFonts w:hint="eastAsia" w:ascii="宋体" w:hAnsi="宋体" w:eastAsia="宋体" w:cs="宋体"/>
          <w:color w:val="auto"/>
          <w:sz w:val="24"/>
          <w:highlight w:val="none"/>
        </w:rPr>
      </w:pPr>
      <w:r>
        <w:rPr>
          <w:rFonts w:hint="eastAsia" w:ascii="宋体" w:hAnsi="宋体" w:eastAsia="宋体" w:cs="宋体"/>
          <w:color w:val="auto"/>
          <w:sz w:val="24"/>
          <w:highlight w:val="none"/>
        </w:rPr>
        <w:t>牵头人</w:t>
      </w:r>
      <w:r>
        <w:rPr>
          <w:rFonts w:hint="eastAsia" w:ascii="宋体" w:hAnsi="宋体" w:eastAsia="宋体" w:cs="宋体"/>
          <w:color w:val="auto"/>
          <w:sz w:val="24"/>
          <w:highlight w:val="none"/>
          <w:lang w:eastAsia="zh-CN"/>
        </w:rPr>
        <w:t>名称</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盖公章</w:t>
      </w:r>
      <w:r>
        <w:rPr>
          <w:rFonts w:hint="eastAsia" w:ascii="宋体" w:hAnsi="宋体" w:eastAsia="宋体" w:cs="宋体"/>
          <w:color w:val="auto"/>
          <w:sz w:val="24"/>
          <w:highlight w:val="none"/>
        </w:rPr>
        <w:t>）：</w:t>
      </w:r>
    </w:p>
    <w:p w14:paraId="7B502F68">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5DDAFF47">
      <w:pPr>
        <w:spacing w:line="360" w:lineRule="auto"/>
        <w:rPr>
          <w:rFonts w:hint="eastAsia" w:ascii="宋体" w:hAnsi="宋体" w:eastAsia="宋体" w:cs="宋体"/>
          <w:color w:val="auto"/>
          <w:sz w:val="24"/>
          <w:highlight w:val="none"/>
        </w:rPr>
      </w:pPr>
    </w:p>
    <w:p w14:paraId="3B1F9697">
      <w:pPr>
        <w:spacing w:line="360" w:lineRule="auto"/>
        <w:ind w:firstLine="3120" w:firstLineChars="13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委托代理人（签字）：</w:t>
      </w:r>
    </w:p>
    <w:p w14:paraId="44D801D1">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078929D2">
      <w:pPr>
        <w:spacing w:line="360" w:lineRule="auto"/>
        <w:rPr>
          <w:rFonts w:hint="eastAsia" w:ascii="宋体" w:hAnsi="宋体" w:eastAsia="宋体" w:cs="宋体"/>
          <w:color w:val="auto"/>
          <w:sz w:val="24"/>
          <w:highlight w:val="none"/>
        </w:rPr>
      </w:pPr>
    </w:p>
    <w:p w14:paraId="0B57552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6B9D6B4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法定代表人</w:t>
      </w:r>
      <w:r>
        <w:rPr>
          <w:rFonts w:hint="eastAsia" w:ascii="宋体" w:hAnsi="宋体" w:eastAsia="宋体" w:cs="宋体"/>
          <w:color w:val="auto"/>
          <w:sz w:val="21"/>
          <w:szCs w:val="21"/>
          <w:highlight w:val="none"/>
          <w:lang w:eastAsia="zh-CN"/>
        </w:rPr>
        <w:t>和</w:t>
      </w:r>
      <w:r>
        <w:rPr>
          <w:rFonts w:hint="eastAsia" w:ascii="宋体" w:hAnsi="宋体" w:eastAsia="宋体" w:cs="宋体"/>
          <w:color w:val="auto"/>
          <w:sz w:val="21"/>
          <w:szCs w:val="21"/>
          <w:highlight w:val="none"/>
        </w:rPr>
        <w:t>委托代理人必须在授权委托书上签字，</w:t>
      </w:r>
      <w:r>
        <w:rPr>
          <w:rFonts w:hint="eastAsia" w:ascii="宋体" w:hAnsi="宋体" w:eastAsia="宋体" w:cs="宋体"/>
          <w:b/>
          <w:color w:val="auto"/>
          <w:sz w:val="21"/>
          <w:szCs w:val="21"/>
          <w:highlight w:val="none"/>
        </w:rPr>
        <w:t>否则其响应文件按无效响应处理。</w:t>
      </w:r>
    </w:p>
    <w:p w14:paraId="26878B70">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2.本授权委托书应由联合体牵头人的法定代表人按上述规定签署。</w:t>
      </w:r>
    </w:p>
    <w:p w14:paraId="680683C7">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628C0279">
      <w:pPr>
        <w:spacing w:line="360" w:lineRule="auto"/>
        <w:ind w:firstLine="420" w:firstLineChars="200"/>
        <w:jc w:val="left"/>
        <w:rPr>
          <w:rFonts w:hint="eastAsia" w:ascii="宋体" w:hAnsi="宋体" w:eastAsia="宋体" w:cs="宋体"/>
          <w:color w:val="auto"/>
          <w:sz w:val="24"/>
          <w:highlight w:val="none"/>
        </w:rPr>
      </w:pPr>
      <w:r>
        <w:rPr>
          <w:rFonts w:hint="eastAsia" w:ascii="宋体" w:hAnsi="宋体" w:eastAsia="宋体" w:cs="宋体"/>
          <w:color w:val="auto"/>
          <w:sz w:val="21"/>
          <w:szCs w:val="21"/>
          <w:highlight w:val="none"/>
        </w:rPr>
        <w:t>4.法人、其他组织竞标时“我方”是指“我单位”，自然人竞标时“我方”是指“本人”。</w:t>
      </w:r>
    </w:p>
    <w:p w14:paraId="66FB2F04">
      <w:pPr>
        <w:spacing w:line="360" w:lineRule="auto"/>
        <w:ind w:firstLine="420" w:firstLineChars="200"/>
        <w:jc w:val="left"/>
        <w:rPr>
          <w:rFonts w:hint="eastAsia" w:ascii="仿宋_GB2312" w:hAnsi="仿宋_GB2312" w:eastAsia="仿宋_GB2312" w:cs="仿宋_GB2312"/>
          <w:color w:val="auto"/>
          <w:szCs w:val="21"/>
          <w:highlight w:val="none"/>
        </w:rPr>
      </w:pPr>
    </w:p>
    <w:p w14:paraId="644A6483">
      <w:pPr>
        <w:spacing w:line="360" w:lineRule="auto"/>
        <w:rPr>
          <w:rFonts w:hint="eastAsia" w:ascii="宋体" w:hAnsi="宋体" w:eastAsia="宋体" w:cs="宋体"/>
          <w:b/>
          <w:color w:val="auto"/>
          <w:sz w:val="24"/>
          <w:highlight w:val="none"/>
        </w:rPr>
      </w:pPr>
      <w:r>
        <w:rPr>
          <w:rFonts w:hint="eastAsia" w:ascii="仿宋_GB2312" w:hAnsi="仿宋_GB2312" w:eastAsia="仿宋_GB2312" w:cs="仿宋_GB2312"/>
          <w:color w:val="auto"/>
          <w:sz w:val="32"/>
          <w:szCs w:val="32"/>
          <w:highlight w:val="none"/>
        </w:rPr>
        <w:br w:type="page"/>
      </w:r>
      <w:r>
        <w:rPr>
          <w:rFonts w:hint="eastAsia" w:ascii="宋体" w:hAnsi="宋体" w:eastAsia="宋体" w:cs="宋体"/>
          <w:b/>
          <w:color w:val="auto"/>
          <w:sz w:val="24"/>
          <w:highlight w:val="none"/>
        </w:rPr>
        <w:t>附件：</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4"/>
      </w:tblGrid>
      <w:tr w14:paraId="24D5A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8" w:hRule="atLeast"/>
        </w:trPr>
        <w:tc>
          <w:tcPr>
            <w:tcW w:w="9744" w:type="dxa"/>
            <w:tcBorders>
              <w:top w:val="single" w:color="auto" w:sz="4" w:space="0"/>
              <w:left w:val="single" w:color="auto" w:sz="4" w:space="0"/>
              <w:bottom w:val="single" w:color="auto" w:sz="4" w:space="0"/>
              <w:right w:val="single" w:color="auto" w:sz="4" w:space="0"/>
            </w:tcBorders>
            <w:noWrap w:val="0"/>
            <w:vAlign w:val="top"/>
          </w:tcPr>
          <w:p w14:paraId="4796DF69">
            <w:pPr>
              <w:spacing w:line="360" w:lineRule="auto"/>
              <w:rPr>
                <w:rFonts w:hint="eastAsia" w:ascii="宋体" w:hAnsi="宋体" w:eastAsia="宋体" w:cs="宋体"/>
                <w:b/>
                <w:color w:val="auto"/>
                <w:sz w:val="24"/>
                <w:highlight w:val="none"/>
              </w:rPr>
            </w:pPr>
            <w:r>
              <w:rPr>
                <w:rFonts w:hint="eastAsia" w:ascii="宋体" w:hAnsi="宋体" w:eastAsia="宋体" w:cs="宋体"/>
                <w:b/>
                <w:bCs/>
                <w:color w:val="auto"/>
                <w:sz w:val="24"/>
                <w:szCs w:val="24"/>
                <w:highlight w:val="none"/>
              </w:rPr>
              <w:t>委托代理人有效</w:t>
            </w:r>
            <w:r>
              <w:rPr>
                <w:rFonts w:hint="eastAsia" w:ascii="宋体" w:hAnsi="宋体" w:eastAsia="宋体" w:cs="宋体"/>
                <w:b/>
                <w:color w:val="auto"/>
                <w:sz w:val="24"/>
                <w:highlight w:val="none"/>
              </w:rPr>
              <w:t>身份证复印件粘</w:t>
            </w:r>
            <w:r>
              <w:rPr>
                <w:rFonts w:hint="eastAsia" w:ascii="宋体" w:hAnsi="宋体" w:eastAsia="宋体" w:cs="宋体"/>
                <w:b/>
                <w:color w:val="auto"/>
                <w:sz w:val="24"/>
                <w:highlight w:val="none"/>
                <w:lang w:val="en-US" w:eastAsia="zh-CN"/>
              </w:rPr>
              <w:t>贴</w:t>
            </w:r>
            <w:r>
              <w:rPr>
                <w:rFonts w:hint="eastAsia" w:ascii="宋体" w:hAnsi="宋体" w:eastAsia="宋体" w:cs="宋体"/>
                <w:b/>
                <w:color w:val="auto"/>
                <w:sz w:val="24"/>
                <w:highlight w:val="none"/>
              </w:rPr>
              <w:t>处（正、反面）</w:t>
            </w:r>
          </w:p>
        </w:tc>
      </w:tr>
    </w:tbl>
    <w:p w14:paraId="06566D34">
      <w:pPr>
        <w:spacing w:line="520" w:lineRule="exact"/>
        <w:ind w:firstLine="0" w:firstLineChars="0"/>
        <w:jc w:val="left"/>
        <w:rPr>
          <w:rFonts w:hint="eastAsia" w:ascii="仿宋" w:hAnsi="仿宋" w:eastAsia="仿宋" w:cs="仿宋_GB2312"/>
          <w:b/>
          <w:color w:val="auto"/>
          <w:sz w:val="30"/>
          <w:szCs w:val="30"/>
          <w:highlight w:val="none"/>
          <w:lang w:eastAsia="zh-CN"/>
        </w:rPr>
      </w:pPr>
      <w:r>
        <w:rPr>
          <w:rFonts w:hint="eastAsia" w:ascii="仿宋_GB2312" w:hAnsi="仿宋_GB2312" w:eastAsia="仿宋_GB2312" w:cs="仿宋_GB2312"/>
          <w:color w:val="auto"/>
          <w:sz w:val="32"/>
          <w:szCs w:val="32"/>
          <w:highlight w:val="none"/>
        </w:rPr>
        <w:br w:type="page"/>
      </w:r>
      <w:r>
        <w:rPr>
          <w:rFonts w:hint="eastAsia" w:ascii="宋体" w:hAnsi="宋体" w:eastAsia="宋体" w:cs="宋体"/>
          <w:b/>
          <w:color w:val="auto"/>
          <w:sz w:val="28"/>
          <w:szCs w:val="28"/>
          <w:highlight w:val="none"/>
          <w:lang w:val="en-US" w:eastAsia="zh-CN"/>
        </w:rPr>
        <w:t>6.</w:t>
      </w:r>
      <w:r>
        <w:rPr>
          <w:rFonts w:hint="eastAsia" w:ascii="宋体" w:hAnsi="宋体" w:eastAsia="宋体" w:cs="宋体"/>
          <w:b/>
          <w:color w:val="auto"/>
          <w:sz w:val="28"/>
          <w:szCs w:val="28"/>
          <w:highlight w:val="none"/>
        </w:rPr>
        <w:t>商务条款偏离表</w:t>
      </w:r>
      <w:r>
        <w:rPr>
          <w:rFonts w:hint="eastAsia" w:ascii="宋体" w:hAnsi="宋体" w:eastAsia="宋体" w:cs="宋体"/>
          <w:b/>
          <w:color w:val="auto"/>
          <w:sz w:val="28"/>
          <w:szCs w:val="28"/>
          <w:highlight w:val="none"/>
          <w:lang w:eastAsia="zh-CN"/>
        </w:rPr>
        <w:t>的格式：</w:t>
      </w:r>
    </w:p>
    <w:p w14:paraId="13911DD1">
      <w:pPr>
        <w:widowControl w:val="0"/>
        <w:snapToGrid w:val="0"/>
        <w:jc w:val="left"/>
        <w:rPr>
          <w:rFonts w:hint="eastAsia" w:ascii="Times New Roman" w:hAnsi="Times New Roman" w:eastAsia="宋体" w:cs="Times New Roman"/>
          <w:color w:val="auto"/>
          <w:kern w:val="0"/>
          <w:sz w:val="18"/>
          <w:szCs w:val="18"/>
          <w:highlight w:val="none"/>
          <w:lang w:val="en-US" w:eastAsia="zh-CN" w:bidi="ar-SA"/>
        </w:rPr>
      </w:pPr>
    </w:p>
    <w:p w14:paraId="3AC721BA">
      <w:pPr>
        <w:spacing w:line="500" w:lineRule="exact"/>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商务条款偏离表</w:t>
      </w:r>
    </w:p>
    <w:p w14:paraId="426F3193">
      <w:pPr>
        <w:spacing w:line="520" w:lineRule="exact"/>
        <w:rPr>
          <w:rFonts w:hint="eastAsia" w:ascii="宋体" w:hAnsi="宋体" w:eastAsia="宋体" w:cs="宋体"/>
          <w:color w:val="auto"/>
          <w:sz w:val="32"/>
          <w:szCs w:val="32"/>
          <w:highlight w:val="none"/>
        </w:rPr>
      </w:pPr>
    </w:p>
    <w:p w14:paraId="02A853BF">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w:t>
      </w:r>
      <w:r>
        <w:rPr>
          <w:rFonts w:hint="eastAsia" w:ascii="宋体" w:hAnsi="宋体" w:eastAsia="宋体" w:cs="宋体"/>
          <w:color w:val="auto"/>
          <w:sz w:val="24"/>
          <w:highlight w:val="none"/>
          <w:lang w:eastAsia="zh-CN"/>
        </w:rPr>
        <w:t>名称</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1D03D49C">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项目</w:t>
      </w:r>
      <w:r>
        <w:rPr>
          <w:rFonts w:hint="eastAsia" w:ascii="宋体" w:hAnsi="宋体" w:eastAsia="宋体" w:cs="宋体"/>
          <w:color w:val="auto"/>
          <w:sz w:val="24"/>
          <w:highlight w:val="none"/>
          <w:lang w:eastAsia="zh-CN"/>
        </w:rPr>
        <w:t>编号</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0682E8F6">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所竞分标（如有则填写，无分标时填写“无”或者留空）：</w:t>
      </w:r>
      <w:r>
        <w:rPr>
          <w:rFonts w:hint="eastAsia" w:ascii="宋体" w:hAnsi="宋体" w:eastAsia="宋体" w:cs="宋体"/>
          <w:color w:val="auto"/>
          <w:sz w:val="24"/>
          <w:highlight w:val="none"/>
          <w:u w:val="single"/>
        </w:rPr>
        <w:t xml:space="preserve">                </w:t>
      </w:r>
    </w:p>
    <w:tbl>
      <w:tblPr>
        <w:tblStyle w:val="32"/>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2E48A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3E69B84B">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13F4A1ED">
            <w:pPr>
              <w:spacing w:line="340" w:lineRule="exact"/>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竞争性磋商文件的商务</w:t>
            </w:r>
            <w:r>
              <w:rPr>
                <w:rFonts w:hint="eastAsia" w:ascii="宋体" w:hAnsi="宋体" w:eastAsia="宋体" w:cs="宋体"/>
                <w:color w:val="auto"/>
                <w:szCs w:val="21"/>
                <w:highlight w:val="none"/>
                <w:lang w:val="en-US" w:eastAsia="zh-CN"/>
              </w:rPr>
              <w:t>条款</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74C21D6E">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523DECD6">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6E607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5FABE4AD">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15E3ACAB">
            <w:pPr>
              <w:spacing w:line="340" w:lineRule="exact"/>
              <w:rPr>
                <w:rFonts w:hint="eastAsia" w:ascii="宋体" w:hAnsi="宋体" w:eastAsia="宋体" w:cs="宋体"/>
                <w:color w:val="auto"/>
                <w:szCs w:val="21"/>
                <w:highlight w:val="none"/>
              </w:rPr>
            </w:pPr>
          </w:p>
        </w:tc>
        <w:tc>
          <w:tcPr>
            <w:tcW w:w="3589" w:type="dxa"/>
            <w:tcBorders>
              <w:top w:val="single" w:color="auto" w:sz="4" w:space="0"/>
              <w:left w:val="single" w:color="auto" w:sz="4" w:space="0"/>
              <w:bottom w:val="single" w:color="auto" w:sz="4" w:space="0"/>
              <w:right w:val="single" w:color="auto" w:sz="4" w:space="0"/>
            </w:tcBorders>
            <w:noWrap w:val="0"/>
            <w:vAlign w:val="top"/>
          </w:tcPr>
          <w:p w14:paraId="791093CB">
            <w:pPr>
              <w:spacing w:line="340" w:lineRule="exact"/>
              <w:rPr>
                <w:rFonts w:hint="eastAsia" w:ascii="宋体" w:hAnsi="宋体" w:eastAsia="宋体" w:cs="宋体"/>
                <w:color w:val="auto"/>
                <w:szCs w:val="21"/>
                <w:highlight w:val="none"/>
              </w:rPr>
            </w:pPr>
          </w:p>
        </w:tc>
        <w:tc>
          <w:tcPr>
            <w:tcW w:w="1274" w:type="dxa"/>
            <w:tcBorders>
              <w:top w:val="single" w:color="auto" w:sz="4" w:space="0"/>
              <w:left w:val="single" w:color="auto" w:sz="4" w:space="0"/>
              <w:bottom w:val="single" w:color="auto" w:sz="4" w:space="0"/>
              <w:right w:val="single" w:color="auto" w:sz="4" w:space="0"/>
            </w:tcBorders>
            <w:noWrap w:val="0"/>
            <w:vAlign w:val="top"/>
          </w:tcPr>
          <w:p w14:paraId="4D333B01">
            <w:pPr>
              <w:spacing w:line="300" w:lineRule="exact"/>
              <w:rPr>
                <w:rFonts w:hint="eastAsia" w:ascii="宋体" w:hAnsi="宋体" w:eastAsia="宋体" w:cs="宋体"/>
                <w:color w:val="auto"/>
                <w:szCs w:val="21"/>
                <w:highlight w:val="none"/>
              </w:rPr>
            </w:pPr>
          </w:p>
        </w:tc>
      </w:tr>
      <w:tr w14:paraId="2833C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32D2862A">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5EBC50D1">
            <w:pPr>
              <w:spacing w:line="340" w:lineRule="exact"/>
              <w:rPr>
                <w:rFonts w:hint="eastAsia" w:ascii="宋体" w:hAnsi="宋体" w:eastAsia="宋体" w:cs="宋体"/>
                <w:color w:val="auto"/>
                <w:szCs w:val="21"/>
                <w:highlight w:val="none"/>
              </w:rPr>
            </w:pPr>
          </w:p>
        </w:tc>
        <w:tc>
          <w:tcPr>
            <w:tcW w:w="3589" w:type="dxa"/>
            <w:tcBorders>
              <w:top w:val="single" w:color="auto" w:sz="4" w:space="0"/>
              <w:left w:val="single" w:color="auto" w:sz="4" w:space="0"/>
              <w:bottom w:val="single" w:color="auto" w:sz="4" w:space="0"/>
              <w:right w:val="single" w:color="auto" w:sz="4" w:space="0"/>
            </w:tcBorders>
            <w:noWrap w:val="0"/>
            <w:vAlign w:val="top"/>
          </w:tcPr>
          <w:p w14:paraId="0C2B6A2D">
            <w:pPr>
              <w:spacing w:line="340" w:lineRule="exact"/>
              <w:rPr>
                <w:rFonts w:hint="eastAsia" w:ascii="宋体" w:hAnsi="宋体" w:eastAsia="宋体" w:cs="宋体"/>
                <w:color w:val="auto"/>
                <w:szCs w:val="21"/>
                <w:highlight w:val="none"/>
              </w:rPr>
            </w:pPr>
          </w:p>
        </w:tc>
        <w:tc>
          <w:tcPr>
            <w:tcW w:w="1274" w:type="dxa"/>
            <w:tcBorders>
              <w:top w:val="single" w:color="auto" w:sz="4" w:space="0"/>
              <w:left w:val="single" w:color="auto" w:sz="4" w:space="0"/>
              <w:bottom w:val="single" w:color="auto" w:sz="4" w:space="0"/>
              <w:right w:val="single" w:color="auto" w:sz="4" w:space="0"/>
            </w:tcBorders>
            <w:noWrap w:val="0"/>
            <w:vAlign w:val="top"/>
          </w:tcPr>
          <w:p w14:paraId="235CECEB">
            <w:pPr>
              <w:spacing w:line="300" w:lineRule="exact"/>
              <w:rPr>
                <w:rFonts w:hint="eastAsia" w:ascii="宋体" w:hAnsi="宋体" w:eastAsia="宋体" w:cs="宋体"/>
                <w:color w:val="auto"/>
                <w:szCs w:val="21"/>
                <w:highlight w:val="none"/>
              </w:rPr>
            </w:pPr>
          </w:p>
        </w:tc>
      </w:tr>
      <w:tr w14:paraId="41025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1973BE78">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3C8F89A0">
            <w:pPr>
              <w:spacing w:line="340" w:lineRule="exact"/>
              <w:rPr>
                <w:rFonts w:hint="eastAsia" w:ascii="宋体" w:hAnsi="宋体" w:eastAsia="宋体" w:cs="宋体"/>
                <w:color w:val="auto"/>
                <w:szCs w:val="21"/>
                <w:highlight w:val="none"/>
              </w:rPr>
            </w:pPr>
          </w:p>
        </w:tc>
        <w:tc>
          <w:tcPr>
            <w:tcW w:w="3589" w:type="dxa"/>
            <w:tcBorders>
              <w:top w:val="single" w:color="auto" w:sz="4" w:space="0"/>
              <w:left w:val="single" w:color="auto" w:sz="4" w:space="0"/>
              <w:bottom w:val="single" w:color="auto" w:sz="4" w:space="0"/>
              <w:right w:val="single" w:color="auto" w:sz="4" w:space="0"/>
            </w:tcBorders>
            <w:noWrap w:val="0"/>
            <w:vAlign w:val="top"/>
          </w:tcPr>
          <w:p w14:paraId="353E4DAE">
            <w:pPr>
              <w:spacing w:line="340" w:lineRule="exact"/>
              <w:rPr>
                <w:rFonts w:hint="eastAsia" w:ascii="宋体" w:hAnsi="宋体" w:eastAsia="宋体" w:cs="宋体"/>
                <w:color w:val="auto"/>
                <w:szCs w:val="21"/>
                <w:highlight w:val="none"/>
              </w:rPr>
            </w:pPr>
          </w:p>
        </w:tc>
        <w:tc>
          <w:tcPr>
            <w:tcW w:w="1274" w:type="dxa"/>
            <w:tcBorders>
              <w:top w:val="single" w:color="auto" w:sz="4" w:space="0"/>
              <w:left w:val="single" w:color="auto" w:sz="4" w:space="0"/>
              <w:bottom w:val="single" w:color="auto" w:sz="4" w:space="0"/>
              <w:right w:val="single" w:color="auto" w:sz="4" w:space="0"/>
            </w:tcBorders>
            <w:noWrap w:val="0"/>
            <w:vAlign w:val="top"/>
          </w:tcPr>
          <w:p w14:paraId="4D28931E">
            <w:pPr>
              <w:spacing w:line="300" w:lineRule="exact"/>
              <w:rPr>
                <w:rFonts w:hint="eastAsia" w:ascii="宋体" w:hAnsi="宋体" w:eastAsia="宋体" w:cs="宋体"/>
                <w:color w:val="auto"/>
                <w:szCs w:val="21"/>
                <w:highlight w:val="none"/>
              </w:rPr>
            </w:pPr>
          </w:p>
        </w:tc>
      </w:tr>
    </w:tbl>
    <w:p w14:paraId="6B57335F">
      <w:pPr>
        <w:widowControl w:val="0"/>
        <w:spacing w:line="400" w:lineRule="exact"/>
        <w:ind w:firstLine="0" w:firstLineChars="0"/>
        <w:contextualSpacing/>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注：</w:t>
      </w:r>
    </w:p>
    <w:p w14:paraId="49CA0E1A">
      <w:pPr>
        <w:widowControl w:val="0"/>
        <w:spacing w:line="360" w:lineRule="auto"/>
        <w:ind w:firstLine="420" w:firstLineChars="200"/>
        <w:contextualSpacing/>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▲1.必须对磋商文件“第二章 采购需求”中的商务条款的全部条款，详细填写响应的具体内容，并作出偏离说明。</w:t>
      </w:r>
      <w:r>
        <w:rPr>
          <w:rFonts w:hint="eastAsia" w:ascii="宋体" w:hAnsi="宋体" w:eastAsia="宋体" w:cs="宋体"/>
          <w:color w:val="auto"/>
          <w:kern w:val="0"/>
          <w:sz w:val="21"/>
          <w:szCs w:val="21"/>
          <w:highlight w:val="none"/>
          <w:lang w:val="en-US" w:eastAsia="zh-CN" w:bidi="ar-SA"/>
        </w:rPr>
        <w:t>“偏离说明”一栏应当选择“正偏离”或“负偏离”或“无偏离”进行填写。</w:t>
      </w:r>
    </w:p>
    <w:p w14:paraId="68112EB4">
      <w:pPr>
        <w:widowControl w:val="0"/>
        <w:spacing w:line="360" w:lineRule="auto"/>
        <w:ind w:firstLine="420" w:firstLineChars="200"/>
        <w:contextualSpacing/>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2.表格内容均需按要求填写</w:t>
      </w:r>
      <w:r>
        <w:rPr>
          <w:rFonts w:hint="eastAsia" w:ascii="宋体" w:hAnsi="宋体" w:eastAsia="宋体" w:cs="宋体"/>
          <w:color w:val="auto"/>
          <w:kern w:val="0"/>
          <w:sz w:val="21"/>
          <w:szCs w:val="21"/>
          <w:highlight w:val="none"/>
          <w:lang w:val="en-US" w:eastAsia="zh-CN" w:bidi="ar-SA"/>
        </w:rPr>
        <w:t>并加盖供应商公章</w:t>
      </w:r>
      <w:r>
        <w:rPr>
          <w:rFonts w:hint="eastAsia" w:ascii="宋体" w:hAnsi="宋体" w:eastAsia="宋体" w:cs="宋体"/>
          <w:color w:val="auto"/>
          <w:kern w:val="0"/>
          <w:sz w:val="21"/>
          <w:szCs w:val="21"/>
          <w:highlight w:val="none"/>
          <w:lang w:val="en-US" w:eastAsia="zh-CN" w:bidi="ar-SA"/>
        </w:rPr>
        <w:t>，不得留空，</w:t>
      </w:r>
      <w:r>
        <w:rPr>
          <w:rFonts w:hint="eastAsia" w:ascii="宋体" w:hAnsi="宋体" w:eastAsia="宋体" w:cs="宋体"/>
          <w:b w:val="0"/>
          <w:bCs w:val="0"/>
          <w:color w:val="auto"/>
          <w:kern w:val="0"/>
          <w:sz w:val="21"/>
          <w:szCs w:val="21"/>
          <w:highlight w:val="none"/>
          <w:lang w:val="en-US" w:eastAsia="zh-CN" w:bidi="ar-SA"/>
        </w:rPr>
        <w:t>否则按响应无效处理。</w:t>
      </w:r>
    </w:p>
    <w:p w14:paraId="06367E10">
      <w:pPr>
        <w:spacing w:line="400" w:lineRule="exact"/>
        <w:ind w:firstLine="420" w:firstLineChars="200"/>
        <w:rPr>
          <w:rFonts w:hint="eastAsia" w:ascii="宋体" w:hAnsi="宋体" w:eastAsia="宋体" w:cs="宋体"/>
          <w:color w:val="auto"/>
          <w:kern w:val="0"/>
          <w:sz w:val="21"/>
          <w:szCs w:val="21"/>
          <w:highlight w:val="none"/>
        </w:rPr>
      </w:pPr>
    </w:p>
    <w:p w14:paraId="52D8C944">
      <w:pPr>
        <w:spacing w:line="400" w:lineRule="exact"/>
        <w:ind w:firstLine="420" w:firstLineChars="200"/>
        <w:contextualSpacing/>
        <w:rPr>
          <w:rFonts w:hint="eastAsia" w:ascii="宋体" w:hAnsi="宋体" w:eastAsia="宋体" w:cs="宋体"/>
          <w:color w:val="auto"/>
          <w:kern w:val="0"/>
          <w:sz w:val="21"/>
          <w:szCs w:val="21"/>
          <w:highlight w:val="none"/>
        </w:rPr>
      </w:pPr>
    </w:p>
    <w:p w14:paraId="4D3B8DFA">
      <w:pPr>
        <w:spacing w:line="360" w:lineRule="auto"/>
        <w:ind w:firstLine="3360" w:firstLineChars="16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供应商名称（</w:t>
      </w:r>
      <w:r>
        <w:rPr>
          <w:rFonts w:hint="eastAsia" w:ascii="宋体" w:hAnsi="宋体" w:eastAsia="宋体" w:cs="宋体"/>
          <w:color w:val="auto"/>
          <w:kern w:val="0"/>
          <w:sz w:val="21"/>
          <w:szCs w:val="21"/>
          <w:highlight w:val="none"/>
          <w:lang w:eastAsia="zh-CN"/>
        </w:rPr>
        <w:t>盖公章</w:t>
      </w:r>
      <w:r>
        <w:rPr>
          <w:rFonts w:hint="eastAsia" w:ascii="宋体" w:hAnsi="宋体" w:eastAsia="宋体" w:cs="宋体"/>
          <w:color w:val="auto"/>
          <w:kern w:val="0"/>
          <w:sz w:val="21"/>
          <w:szCs w:val="21"/>
          <w:highlight w:val="none"/>
        </w:rPr>
        <w:t>）：</w:t>
      </w:r>
    </w:p>
    <w:p w14:paraId="02FE38EA">
      <w:pPr>
        <w:spacing w:line="360" w:lineRule="auto"/>
        <w:contextualSpacing/>
        <w:jc w:val="center"/>
        <w:rPr>
          <w:rFonts w:hint="eastAsia" w:ascii="宋体" w:hAnsi="宋体" w:eastAsia="宋体" w:cs="宋体"/>
          <w:b/>
          <w:color w:val="auto"/>
          <w:sz w:val="21"/>
          <w:szCs w:val="21"/>
          <w:highlight w:val="none"/>
        </w:rPr>
      </w:pPr>
      <w:r>
        <w:rPr>
          <w:rFonts w:hint="eastAsia" w:ascii="宋体" w:hAnsi="宋体" w:eastAsia="宋体" w:cs="宋体"/>
          <w:color w:val="auto"/>
          <w:kern w:val="0"/>
          <w:sz w:val="21"/>
          <w:szCs w:val="21"/>
          <w:highlight w:val="none"/>
          <w:lang w:val="zh-CN"/>
        </w:rPr>
        <w:t xml:space="preserve">                                                   日期：  年  月   日</w:t>
      </w:r>
    </w:p>
    <w:p w14:paraId="3DBEDC0E">
      <w:pPr>
        <w:rPr>
          <w:color w:val="auto"/>
          <w:highlight w:val="none"/>
        </w:rPr>
        <w:sectPr>
          <w:pgSz w:w="11911" w:h="16838"/>
          <w:pgMar w:top="1134" w:right="1134" w:bottom="1134" w:left="1134" w:header="720" w:footer="720" w:gutter="0"/>
          <w:pgBorders>
            <w:top w:val="none" w:sz="0" w:space="0"/>
            <w:left w:val="none" w:sz="0" w:space="0"/>
            <w:bottom w:val="none" w:sz="0" w:space="0"/>
            <w:right w:val="none" w:sz="0" w:space="0"/>
          </w:pgBorders>
          <w:pgNumType w:fmt="decimal"/>
          <w:cols w:space="720" w:num="1"/>
        </w:sectPr>
      </w:pPr>
    </w:p>
    <w:p w14:paraId="4C7F225C">
      <w:pPr>
        <w:widowControl w:val="0"/>
        <w:snapToGrid w:val="0"/>
        <w:ind w:left="0" w:firstLine="0" w:firstLineChars="0"/>
        <w:contextualSpacing/>
        <w:jc w:val="both"/>
        <w:rPr>
          <w:rFonts w:hint="eastAsia" w:ascii="宋体" w:hAnsi="宋体" w:eastAsia="宋体" w:cs="宋体"/>
          <w:i/>
          <w:iCs/>
          <w:color w:val="auto"/>
          <w:kern w:val="2"/>
          <w:sz w:val="24"/>
          <w:szCs w:val="24"/>
          <w:highlight w:val="none"/>
          <w:lang w:val="en-US" w:eastAsia="zh-CN" w:bidi="ar-SA"/>
        </w:rPr>
      </w:pPr>
      <w:r>
        <w:rPr>
          <w:rFonts w:hint="eastAsia" w:ascii="宋体" w:hAnsi="宋体" w:eastAsia="宋体" w:cs="宋体"/>
          <w:b/>
          <w:color w:val="auto"/>
          <w:kern w:val="2"/>
          <w:sz w:val="28"/>
          <w:szCs w:val="28"/>
          <w:highlight w:val="none"/>
          <w:lang w:val="en-US" w:eastAsia="zh-CN" w:bidi="ar-SA"/>
        </w:rPr>
        <w:t>7.供应商类似的业绩证明文件</w:t>
      </w:r>
      <w:r>
        <w:rPr>
          <w:rFonts w:hint="eastAsia" w:ascii="宋体" w:hAnsi="宋体" w:eastAsia="宋体" w:cs="宋体"/>
          <w:b/>
          <w:bCs/>
          <w:color w:val="auto"/>
          <w:kern w:val="2"/>
          <w:sz w:val="30"/>
          <w:szCs w:val="30"/>
          <w:highlight w:val="none"/>
          <w:lang w:val="en-US" w:eastAsia="zh-CN" w:bidi="ar-SA"/>
        </w:rPr>
        <w:t>（如有要求）：</w:t>
      </w:r>
    </w:p>
    <w:p w14:paraId="6B0C89E4">
      <w:pPr>
        <w:spacing w:line="360" w:lineRule="auto"/>
        <w:ind w:firstLine="2880" w:firstLineChars="900"/>
        <w:contextualSpacing/>
        <w:rPr>
          <w:rFonts w:hint="eastAsia" w:ascii="宋体" w:hAnsi="宋体" w:eastAsia="宋体" w:cs="宋体"/>
          <w:color w:val="auto"/>
          <w:sz w:val="32"/>
          <w:szCs w:val="32"/>
          <w:highlight w:val="none"/>
          <w:lang w:eastAsia="zh-CN"/>
        </w:rPr>
      </w:pPr>
    </w:p>
    <w:p w14:paraId="2167F493">
      <w:pPr>
        <w:spacing w:line="360" w:lineRule="auto"/>
        <w:ind w:firstLine="2880" w:firstLineChars="900"/>
        <w:contextualSpacing/>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类似项目的业绩一览表</w:t>
      </w:r>
    </w:p>
    <w:p w14:paraId="5947F7D4">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所竞分标（如有则填写，无分标时填写“无”或者留空）：</w:t>
      </w:r>
      <w:r>
        <w:rPr>
          <w:rFonts w:hint="eastAsia" w:ascii="宋体" w:hAnsi="宋体" w:eastAsia="宋体" w:cs="宋体"/>
          <w:color w:val="auto"/>
          <w:sz w:val="24"/>
          <w:highlight w:val="none"/>
          <w:u w:val="single"/>
        </w:rPr>
        <w:t xml:space="preserve">                </w:t>
      </w:r>
    </w:p>
    <w:tbl>
      <w:tblPr>
        <w:tblStyle w:val="32"/>
        <w:tblpPr w:leftFromText="180" w:rightFromText="180" w:vertAnchor="page" w:horzAnchor="page" w:tblpX="1255" w:tblpY="364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63"/>
        <w:gridCol w:w="2164"/>
        <w:gridCol w:w="1134"/>
        <w:gridCol w:w="1134"/>
        <w:gridCol w:w="1701"/>
        <w:gridCol w:w="1276"/>
        <w:gridCol w:w="1842"/>
      </w:tblGrid>
      <w:tr w14:paraId="42CBCF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063" w:type="dxa"/>
            <w:vMerge w:val="restart"/>
            <w:tcBorders>
              <w:top w:val="single" w:color="auto" w:sz="4" w:space="0"/>
              <w:left w:val="single" w:color="auto" w:sz="4" w:space="0"/>
              <w:bottom w:val="single" w:color="auto" w:sz="4" w:space="0"/>
              <w:right w:val="single" w:color="auto" w:sz="4" w:space="0"/>
            </w:tcBorders>
            <w:noWrap w:val="0"/>
            <w:vAlign w:val="center"/>
          </w:tcPr>
          <w:p w14:paraId="72A25A4B">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采购人名称</w:t>
            </w:r>
          </w:p>
        </w:tc>
        <w:tc>
          <w:tcPr>
            <w:tcW w:w="2164" w:type="dxa"/>
            <w:vMerge w:val="restart"/>
            <w:tcBorders>
              <w:top w:val="single" w:color="auto" w:sz="4" w:space="0"/>
              <w:left w:val="single" w:color="auto" w:sz="4" w:space="0"/>
              <w:bottom w:val="single" w:color="auto" w:sz="4" w:space="0"/>
              <w:right w:val="single" w:color="auto" w:sz="4" w:space="0"/>
            </w:tcBorders>
            <w:noWrap w:val="0"/>
            <w:vAlign w:val="center"/>
          </w:tcPr>
          <w:p w14:paraId="289A5C16">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14:paraId="0DE5F5EE">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合同</w:t>
            </w:r>
          </w:p>
          <w:p w14:paraId="27056D32">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金额</w:t>
            </w:r>
          </w:p>
          <w:p w14:paraId="0F1B9FE4">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（万元）</w:t>
            </w:r>
          </w:p>
        </w:tc>
        <w:tc>
          <w:tcPr>
            <w:tcW w:w="4111" w:type="dxa"/>
            <w:gridSpan w:val="3"/>
            <w:tcBorders>
              <w:top w:val="single" w:color="auto" w:sz="4" w:space="0"/>
              <w:left w:val="single" w:color="auto" w:sz="4" w:space="0"/>
              <w:bottom w:val="single" w:color="auto" w:sz="4" w:space="0"/>
              <w:right w:val="single" w:color="auto" w:sz="4" w:space="0"/>
            </w:tcBorders>
            <w:noWrap w:val="0"/>
            <w:vAlign w:val="center"/>
          </w:tcPr>
          <w:p w14:paraId="1D7A1617">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附件在响应文件中页码</w:t>
            </w:r>
          </w:p>
        </w:tc>
        <w:tc>
          <w:tcPr>
            <w:tcW w:w="1842" w:type="dxa"/>
            <w:vMerge w:val="restart"/>
            <w:tcBorders>
              <w:top w:val="single" w:color="auto" w:sz="4" w:space="0"/>
              <w:left w:val="single" w:color="auto" w:sz="4" w:space="0"/>
              <w:bottom w:val="single" w:color="auto" w:sz="4" w:space="0"/>
              <w:right w:val="single" w:color="auto" w:sz="4" w:space="0"/>
            </w:tcBorders>
            <w:noWrap w:val="0"/>
            <w:vAlign w:val="center"/>
          </w:tcPr>
          <w:p w14:paraId="1EE1C097">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采购人联系人及联系电话</w:t>
            </w:r>
          </w:p>
        </w:tc>
      </w:tr>
      <w:tr w14:paraId="51A881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063" w:type="dxa"/>
            <w:vMerge w:val="continue"/>
            <w:tcBorders>
              <w:top w:val="single" w:color="auto" w:sz="4" w:space="0"/>
              <w:left w:val="single" w:color="auto" w:sz="4" w:space="0"/>
              <w:bottom w:val="single" w:color="auto" w:sz="4" w:space="0"/>
              <w:right w:val="single" w:color="auto" w:sz="4" w:space="0"/>
            </w:tcBorders>
            <w:noWrap w:val="0"/>
            <w:vAlign w:val="center"/>
          </w:tcPr>
          <w:p w14:paraId="2BF4E02D">
            <w:pPr>
              <w:jc w:val="left"/>
              <w:rPr>
                <w:rFonts w:hint="eastAsia" w:ascii="宋体" w:hAnsi="宋体" w:eastAsia="宋体" w:cs="宋体"/>
                <w:color w:val="auto"/>
                <w:sz w:val="24"/>
                <w:highlight w:val="none"/>
              </w:rPr>
            </w:pPr>
          </w:p>
        </w:tc>
        <w:tc>
          <w:tcPr>
            <w:tcW w:w="2164" w:type="dxa"/>
            <w:vMerge w:val="continue"/>
            <w:tcBorders>
              <w:top w:val="single" w:color="auto" w:sz="4" w:space="0"/>
              <w:left w:val="single" w:color="auto" w:sz="4" w:space="0"/>
              <w:bottom w:val="single" w:color="auto" w:sz="4" w:space="0"/>
              <w:right w:val="single" w:color="auto" w:sz="4" w:space="0"/>
            </w:tcBorders>
            <w:noWrap w:val="0"/>
            <w:vAlign w:val="center"/>
          </w:tcPr>
          <w:p w14:paraId="0C4E2157">
            <w:pPr>
              <w:jc w:val="left"/>
              <w:rPr>
                <w:rFonts w:hint="eastAsia" w:ascii="宋体" w:hAnsi="宋体" w:eastAsia="宋体" w:cs="宋体"/>
                <w:color w:val="auto"/>
                <w:sz w:val="24"/>
                <w:highlight w:val="none"/>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06606D92">
            <w:pPr>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EF0AE15">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合同</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485F4CA">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验收报告</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5E8C204">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用户评价</w:t>
            </w:r>
          </w:p>
        </w:tc>
        <w:tc>
          <w:tcPr>
            <w:tcW w:w="1842" w:type="dxa"/>
            <w:vMerge w:val="continue"/>
            <w:tcBorders>
              <w:top w:val="single" w:color="auto" w:sz="4" w:space="0"/>
              <w:left w:val="single" w:color="auto" w:sz="4" w:space="0"/>
              <w:bottom w:val="single" w:color="auto" w:sz="4" w:space="0"/>
              <w:right w:val="single" w:color="auto" w:sz="4" w:space="0"/>
            </w:tcBorders>
            <w:noWrap w:val="0"/>
            <w:vAlign w:val="center"/>
          </w:tcPr>
          <w:p w14:paraId="526D6760">
            <w:pPr>
              <w:jc w:val="left"/>
              <w:rPr>
                <w:rFonts w:hint="eastAsia" w:ascii="宋体" w:hAnsi="宋体" w:eastAsia="宋体" w:cs="宋体"/>
                <w:color w:val="auto"/>
                <w:sz w:val="24"/>
                <w:highlight w:val="none"/>
              </w:rPr>
            </w:pPr>
          </w:p>
        </w:tc>
      </w:tr>
      <w:tr w14:paraId="0E9CDC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063" w:type="dxa"/>
            <w:tcBorders>
              <w:top w:val="single" w:color="auto" w:sz="4" w:space="0"/>
              <w:left w:val="single" w:color="auto" w:sz="4" w:space="0"/>
              <w:bottom w:val="single" w:color="auto" w:sz="4" w:space="0"/>
              <w:right w:val="single" w:color="auto" w:sz="4" w:space="0"/>
            </w:tcBorders>
            <w:noWrap w:val="0"/>
            <w:vAlign w:val="top"/>
          </w:tcPr>
          <w:p w14:paraId="1FD2D047">
            <w:pPr>
              <w:snapToGrid w:val="0"/>
              <w:spacing w:line="240" w:lineRule="exact"/>
              <w:jc w:val="left"/>
              <w:rPr>
                <w:rFonts w:hint="eastAsia" w:ascii="宋体" w:hAnsi="宋体" w:eastAsia="宋体" w:cs="宋体"/>
                <w:color w:val="auto"/>
                <w:sz w:val="24"/>
                <w:highlight w:val="none"/>
              </w:rPr>
            </w:pPr>
          </w:p>
        </w:tc>
        <w:tc>
          <w:tcPr>
            <w:tcW w:w="2164" w:type="dxa"/>
            <w:tcBorders>
              <w:top w:val="single" w:color="auto" w:sz="4" w:space="0"/>
              <w:left w:val="single" w:color="auto" w:sz="4" w:space="0"/>
              <w:bottom w:val="single" w:color="auto" w:sz="4" w:space="0"/>
              <w:right w:val="single" w:color="auto" w:sz="4" w:space="0"/>
            </w:tcBorders>
            <w:noWrap w:val="0"/>
            <w:vAlign w:val="top"/>
          </w:tcPr>
          <w:p w14:paraId="7A925EB7">
            <w:pPr>
              <w:snapToGrid w:val="0"/>
              <w:spacing w:line="24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4068FB1B">
            <w:pPr>
              <w:snapToGrid w:val="0"/>
              <w:spacing w:line="24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078B748E">
            <w:pPr>
              <w:snapToGrid w:val="0"/>
              <w:spacing w:line="240" w:lineRule="exact"/>
              <w:jc w:val="left"/>
              <w:rPr>
                <w:rFonts w:hint="eastAsia" w:ascii="宋体" w:hAnsi="宋体" w:eastAsia="宋体" w:cs="宋体"/>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04EA42CA">
            <w:pPr>
              <w:snapToGrid w:val="0"/>
              <w:spacing w:line="240" w:lineRule="exact"/>
              <w:jc w:val="left"/>
              <w:rPr>
                <w:rFonts w:hint="eastAsia" w:ascii="宋体" w:hAnsi="宋体" w:eastAsia="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A2D649D">
            <w:pPr>
              <w:snapToGrid w:val="0"/>
              <w:spacing w:line="240" w:lineRule="exact"/>
              <w:jc w:val="left"/>
              <w:rPr>
                <w:rFonts w:hint="eastAsia" w:ascii="宋体" w:hAnsi="宋体" w:eastAsia="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top"/>
          </w:tcPr>
          <w:p w14:paraId="649A4627">
            <w:pPr>
              <w:snapToGrid w:val="0"/>
              <w:spacing w:line="240" w:lineRule="exact"/>
              <w:jc w:val="left"/>
              <w:rPr>
                <w:rFonts w:hint="eastAsia" w:ascii="宋体" w:hAnsi="宋体" w:eastAsia="宋体" w:cs="宋体"/>
                <w:color w:val="auto"/>
                <w:sz w:val="24"/>
                <w:highlight w:val="none"/>
              </w:rPr>
            </w:pPr>
          </w:p>
        </w:tc>
      </w:tr>
      <w:tr w14:paraId="63EA32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3" w:type="dxa"/>
            <w:tcBorders>
              <w:top w:val="single" w:color="auto" w:sz="4" w:space="0"/>
              <w:left w:val="single" w:color="auto" w:sz="4" w:space="0"/>
              <w:bottom w:val="single" w:color="auto" w:sz="4" w:space="0"/>
              <w:right w:val="single" w:color="auto" w:sz="4" w:space="0"/>
            </w:tcBorders>
            <w:noWrap w:val="0"/>
            <w:vAlign w:val="top"/>
          </w:tcPr>
          <w:p w14:paraId="534A5BF1">
            <w:pPr>
              <w:snapToGrid w:val="0"/>
              <w:spacing w:before="50" w:after="120" w:afterLines="50" w:line="400" w:lineRule="exact"/>
              <w:jc w:val="left"/>
              <w:rPr>
                <w:rFonts w:hint="eastAsia" w:ascii="宋体" w:hAnsi="宋体" w:eastAsia="宋体" w:cs="宋体"/>
                <w:color w:val="auto"/>
                <w:sz w:val="24"/>
                <w:highlight w:val="none"/>
              </w:rPr>
            </w:pPr>
          </w:p>
        </w:tc>
        <w:tc>
          <w:tcPr>
            <w:tcW w:w="2164" w:type="dxa"/>
            <w:tcBorders>
              <w:top w:val="single" w:color="auto" w:sz="4" w:space="0"/>
              <w:left w:val="single" w:color="auto" w:sz="4" w:space="0"/>
              <w:bottom w:val="single" w:color="auto" w:sz="4" w:space="0"/>
              <w:right w:val="single" w:color="auto" w:sz="4" w:space="0"/>
            </w:tcBorders>
            <w:noWrap w:val="0"/>
            <w:vAlign w:val="top"/>
          </w:tcPr>
          <w:p w14:paraId="724DEBA1">
            <w:pPr>
              <w:snapToGrid w:val="0"/>
              <w:spacing w:before="50" w:after="120" w:afterLines="50" w:line="40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1A7D6752">
            <w:pPr>
              <w:snapToGrid w:val="0"/>
              <w:spacing w:before="50" w:after="120" w:afterLines="50" w:line="40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4E4ADA09">
            <w:pPr>
              <w:snapToGrid w:val="0"/>
              <w:spacing w:before="50" w:after="120" w:afterLines="50" w:line="400" w:lineRule="exact"/>
              <w:jc w:val="left"/>
              <w:rPr>
                <w:rFonts w:hint="eastAsia" w:ascii="宋体" w:hAnsi="宋体" w:eastAsia="宋体" w:cs="宋体"/>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7761E0D3">
            <w:pPr>
              <w:snapToGrid w:val="0"/>
              <w:spacing w:before="50" w:after="120" w:afterLines="50" w:line="400" w:lineRule="exact"/>
              <w:jc w:val="left"/>
              <w:rPr>
                <w:rFonts w:hint="eastAsia" w:ascii="宋体" w:hAnsi="宋体" w:eastAsia="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A38CCC7">
            <w:pPr>
              <w:snapToGrid w:val="0"/>
              <w:spacing w:before="50" w:after="120" w:afterLines="50" w:line="400" w:lineRule="exact"/>
              <w:jc w:val="left"/>
              <w:rPr>
                <w:rFonts w:hint="eastAsia" w:ascii="宋体" w:hAnsi="宋体" w:eastAsia="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top"/>
          </w:tcPr>
          <w:p w14:paraId="474B0D18">
            <w:pPr>
              <w:snapToGrid w:val="0"/>
              <w:spacing w:before="50" w:after="120" w:afterLines="50" w:line="400" w:lineRule="exact"/>
              <w:jc w:val="left"/>
              <w:rPr>
                <w:rFonts w:hint="eastAsia" w:ascii="宋体" w:hAnsi="宋体" w:eastAsia="宋体" w:cs="宋体"/>
                <w:color w:val="auto"/>
                <w:sz w:val="24"/>
                <w:highlight w:val="none"/>
              </w:rPr>
            </w:pPr>
          </w:p>
        </w:tc>
      </w:tr>
      <w:tr w14:paraId="17118C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063" w:type="dxa"/>
            <w:tcBorders>
              <w:top w:val="single" w:color="auto" w:sz="4" w:space="0"/>
              <w:left w:val="single" w:color="auto" w:sz="4" w:space="0"/>
              <w:bottom w:val="single" w:color="auto" w:sz="4" w:space="0"/>
              <w:right w:val="single" w:color="auto" w:sz="4" w:space="0"/>
            </w:tcBorders>
            <w:noWrap w:val="0"/>
            <w:vAlign w:val="top"/>
          </w:tcPr>
          <w:p w14:paraId="7D306385">
            <w:pPr>
              <w:snapToGrid w:val="0"/>
              <w:spacing w:before="50" w:after="120" w:afterLines="50" w:line="400" w:lineRule="exact"/>
              <w:jc w:val="left"/>
              <w:rPr>
                <w:rFonts w:hint="eastAsia" w:ascii="宋体" w:hAnsi="宋体" w:eastAsia="宋体" w:cs="宋体"/>
                <w:color w:val="auto"/>
                <w:sz w:val="24"/>
                <w:highlight w:val="none"/>
              </w:rPr>
            </w:pPr>
          </w:p>
        </w:tc>
        <w:tc>
          <w:tcPr>
            <w:tcW w:w="2164" w:type="dxa"/>
            <w:tcBorders>
              <w:top w:val="single" w:color="auto" w:sz="4" w:space="0"/>
              <w:left w:val="single" w:color="auto" w:sz="4" w:space="0"/>
              <w:bottom w:val="single" w:color="auto" w:sz="4" w:space="0"/>
              <w:right w:val="single" w:color="auto" w:sz="4" w:space="0"/>
            </w:tcBorders>
            <w:noWrap w:val="0"/>
            <w:vAlign w:val="top"/>
          </w:tcPr>
          <w:p w14:paraId="2743FE79">
            <w:pPr>
              <w:snapToGrid w:val="0"/>
              <w:spacing w:before="50" w:after="120" w:afterLines="50" w:line="40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4B8A5098">
            <w:pPr>
              <w:snapToGrid w:val="0"/>
              <w:spacing w:before="50" w:after="120" w:afterLines="50" w:line="40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40FDD8ED">
            <w:pPr>
              <w:snapToGrid w:val="0"/>
              <w:spacing w:before="50" w:after="120" w:afterLines="50" w:line="400" w:lineRule="exact"/>
              <w:jc w:val="left"/>
              <w:rPr>
                <w:rFonts w:hint="eastAsia" w:ascii="宋体" w:hAnsi="宋体" w:eastAsia="宋体" w:cs="宋体"/>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1E21122E">
            <w:pPr>
              <w:snapToGrid w:val="0"/>
              <w:spacing w:before="50" w:after="120" w:afterLines="50" w:line="400" w:lineRule="exact"/>
              <w:jc w:val="left"/>
              <w:rPr>
                <w:rFonts w:hint="eastAsia" w:ascii="宋体" w:hAnsi="宋体" w:eastAsia="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9517DC9">
            <w:pPr>
              <w:snapToGrid w:val="0"/>
              <w:spacing w:before="50" w:after="120" w:afterLines="50" w:line="400" w:lineRule="exact"/>
              <w:jc w:val="left"/>
              <w:rPr>
                <w:rFonts w:hint="eastAsia" w:ascii="宋体" w:hAnsi="宋体" w:eastAsia="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top"/>
          </w:tcPr>
          <w:p w14:paraId="759CF297">
            <w:pPr>
              <w:snapToGrid w:val="0"/>
              <w:spacing w:before="50" w:after="120" w:afterLines="50" w:line="400" w:lineRule="exact"/>
              <w:jc w:val="left"/>
              <w:rPr>
                <w:rFonts w:hint="eastAsia" w:ascii="宋体" w:hAnsi="宋体" w:eastAsia="宋体" w:cs="宋体"/>
                <w:color w:val="auto"/>
                <w:sz w:val="24"/>
                <w:highlight w:val="none"/>
              </w:rPr>
            </w:pPr>
          </w:p>
        </w:tc>
      </w:tr>
      <w:tr w14:paraId="2B93F7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3" w:type="dxa"/>
            <w:tcBorders>
              <w:top w:val="single" w:color="auto" w:sz="4" w:space="0"/>
              <w:left w:val="single" w:color="auto" w:sz="4" w:space="0"/>
              <w:bottom w:val="single" w:color="auto" w:sz="4" w:space="0"/>
              <w:right w:val="single" w:color="auto" w:sz="4" w:space="0"/>
            </w:tcBorders>
            <w:noWrap w:val="0"/>
            <w:vAlign w:val="top"/>
          </w:tcPr>
          <w:p w14:paraId="45888A4A">
            <w:pPr>
              <w:snapToGrid w:val="0"/>
              <w:spacing w:before="50" w:after="120" w:afterLines="50" w:line="400" w:lineRule="exact"/>
              <w:jc w:val="left"/>
              <w:rPr>
                <w:rFonts w:hint="eastAsia" w:ascii="宋体" w:hAnsi="宋体" w:eastAsia="宋体" w:cs="宋体"/>
                <w:color w:val="auto"/>
                <w:sz w:val="24"/>
                <w:highlight w:val="none"/>
              </w:rPr>
            </w:pPr>
          </w:p>
        </w:tc>
        <w:tc>
          <w:tcPr>
            <w:tcW w:w="2164" w:type="dxa"/>
            <w:tcBorders>
              <w:top w:val="single" w:color="auto" w:sz="4" w:space="0"/>
              <w:left w:val="single" w:color="auto" w:sz="4" w:space="0"/>
              <w:bottom w:val="single" w:color="auto" w:sz="4" w:space="0"/>
              <w:right w:val="single" w:color="auto" w:sz="4" w:space="0"/>
            </w:tcBorders>
            <w:noWrap w:val="0"/>
            <w:vAlign w:val="top"/>
          </w:tcPr>
          <w:p w14:paraId="53FB3F37">
            <w:pPr>
              <w:snapToGrid w:val="0"/>
              <w:spacing w:before="50" w:after="120" w:afterLines="50" w:line="40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67FD30E7">
            <w:pPr>
              <w:snapToGrid w:val="0"/>
              <w:spacing w:before="50" w:after="120" w:afterLines="50" w:line="40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0EEB9528">
            <w:pPr>
              <w:snapToGrid w:val="0"/>
              <w:spacing w:before="50" w:after="120" w:afterLines="50" w:line="400" w:lineRule="exact"/>
              <w:jc w:val="left"/>
              <w:rPr>
                <w:rFonts w:hint="eastAsia" w:ascii="宋体" w:hAnsi="宋体" w:eastAsia="宋体" w:cs="宋体"/>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5A372094">
            <w:pPr>
              <w:snapToGrid w:val="0"/>
              <w:spacing w:before="50" w:after="120" w:afterLines="50" w:line="400" w:lineRule="exact"/>
              <w:jc w:val="left"/>
              <w:rPr>
                <w:rFonts w:hint="eastAsia" w:ascii="宋体" w:hAnsi="宋体" w:eastAsia="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6B96D89">
            <w:pPr>
              <w:snapToGrid w:val="0"/>
              <w:spacing w:before="50" w:after="120" w:afterLines="50" w:line="400" w:lineRule="exact"/>
              <w:jc w:val="left"/>
              <w:rPr>
                <w:rFonts w:hint="eastAsia" w:ascii="宋体" w:hAnsi="宋体" w:eastAsia="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top"/>
          </w:tcPr>
          <w:p w14:paraId="4FCDA92B">
            <w:pPr>
              <w:snapToGrid w:val="0"/>
              <w:spacing w:before="50" w:after="120" w:afterLines="50" w:line="400" w:lineRule="exact"/>
              <w:jc w:val="left"/>
              <w:rPr>
                <w:rFonts w:hint="eastAsia" w:ascii="宋体" w:hAnsi="宋体" w:eastAsia="宋体" w:cs="宋体"/>
                <w:color w:val="auto"/>
                <w:sz w:val="24"/>
                <w:highlight w:val="none"/>
              </w:rPr>
            </w:pPr>
          </w:p>
        </w:tc>
      </w:tr>
      <w:tr w14:paraId="1E0370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3" w:type="dxa"/>
            <w:tcBorders>
              <w:top w:val="single" w:color="auto" w:sz="4" w:space="0"/>
              <w:left w:val="single" w:color="auto" w:sz="4" w:space="0"/>
              <w:bottom w:val="single" w:color="auto" w:sz="4" w:space="0"/>
              <w:right w:val="single" w:color="auto" w:sz="4" w:space="0"/>
            </w:tcBorders>
            <w:noWrap w:val="0"/>
            <w:vAlign w:val="top"/>
          </w:tcPr>
          <w:p w14:paraId="72962BA6">
            <w:pPr>
              <w:snapToGrid w:val="0"/>
              <w:spacing w:before="50" w:after="120" w:afterLines="50" w:line="400" w:lineRule="exact"/>
              <w:jc w:val="left"/>
              <w:rPr>
                <w:rFonts w:hint="eastAsia" w:ascii="宋体" w:hAnsi="宋体" w:eastAsia="宋体" w:cs="宋体"/>
                <w:color w:val="auto"/>
                <w:sz w:val="24"/>
                <w:highlight w:val="none"/>
              </w:rPr>
            </w:pPr>
          </w:p>
        </w:tc>
        <w:tc>
          <w:tcPr>
            <w:tcW w:w="2164" w:type="dxa"/>
            <w:tcBorders>
              <w:top w:val="single" w:color="auto" w:sz="4" w:space="0"/>
              <w:left w:val="single" w:color="auto" w:sz="4" w:space="0"/>
              <w:bottom w:val="single" w:color="auto" w:sz="4" w:space="0"/>
              <w:right w:val="single" w:color="auto" w:sz="4" w:space="0"/>
            </w:tcBorders>
            <w:noWrap w:val="0"/>
            <w:vAlign w:val="top"/>
          </w:tcPr>
          <w:p w14:paraId="1C371F52">
            <w:pPr>
              <w:snapToGrid w:val="0"/>
              <w:spacing w:before="50" w:after="120" w:afterLines="50" w:line="40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07F3A082">
            <w:pPr>
              <w:snapToGrid w:val="0"/>
              <w:spacing w:before="50" w:after="120" w:afterLines="50" w:line="40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306C40D2">
            <w:pPr>
              <w:snapToGrid w:val="0"/>
              <w:spacing w:before="50" w:after="120" w:afterLines="50" w:line="400" w:lineRule="exact"/>
              <w:jc w:val="left"/>
              <w:rPr>
                <w:rFonts w:hint="eastAsia" w:ascii="宋体" w:hAnsi="宋体" w:eastAsia="宋体" w:cs="宋体"/>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098782E4">
            <w:pPr>
              <w:snapToGrid w:val="0"/>
              <w:spacing w:before="50" w:after="120" w:afterLines="50" w:line="400" w:lineRule="exact"/>
              <w:jc w:val="left"/>
              <w:rPr>
                <w:rFonts w:hint="eastAsia" w:ascii="宋体" w:hAnsi="宋体" w:eastAsia="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589C7BA">
            <w:pPr>
              <w:snapToGrid w:val="0"/>
              <w:spacing w:before="50" w:after="120" w:afterLines="50" w:line="400" w:lineRule="exact"/>
              <w:jc w:val="left"/>
              <w:rPr>
                <w:rFonts w:hint="eastAsia" w:ascii="宋体" w:hAnsi="宋体" w:eastAsia="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top"/>
          </w:tcPr>
          <w:p w14:paraId="1F7FD3B5">
            <w:pPr>
              <w:snapToGrid w:val="0"/>
              <w:spacing w:before="50" w:after="120" w:afterLines="50" w:line="400" w:lineRule="exact"/>
              <w:jc w:val="left"/>
              <w:rPr>
                <w:rFonts w:hint="eastAsia" w:ascii="宋体" w:hAnsi="宋体" w:eastAsia="宋体" w:cs="宋体"/>
                <w:color w:val="auto"/>
                <w:sz w:val="24"/>
                <w:highlight w:val="none"/>
              </w:rPr>
            </w:pPr>
          </w:p>
        </w:tc>
      </w:tr>
    </w:tbl>
    <w:p w14:paraId="059D47A7">
      <w:pPr>
        <w:snapToGrid w:val="0"/>
        <w:spacing w:line="360" w:lineRule="auto"/>
        <w:ind w:firstLine="4935" w:firstLineChars="2350"/>
        <w:rPr>
          <w:rFonts w:hint="eastAsia" w:ascii="宋体" w:hAnsi="宋体" w:eastAsia="宋体" w:cs="宋体"/>
          <w:color w:val="auto"/>
          <w:szCs w:val="21"/>
          <w:highlight w:val="none"/>
        </w:rPr>
      </w:pPr>
    </w:p>
    <w:p w14:paraId="05667C6E">
      <w:pPr>
        <w:snapToGrid w:val="0"/>
        <w:spacing w:line="360" w:lineRule="auto"/>
        <w:ind w:firstLine="0" w:firstLineChars="0"/>
        <w:rPr>
          <w:rFonts w:hint="eastAsia" w:ascii="宋体" w:hAnsi="宋体" w:eastAsia="宋体" w:cs="宋体"/>
          <w:color w:val="auto"/>
          <w:szCs w:val="21"/>
          <w:highlight w:val="none"/>
          <w:lang w:eastAsia="zh-CN"/>
        </w:rPr>
      </w:pPr>
      <w:r>
        <w:rPr>
          <w:rFonts w:hint="eastAsia" w:ascii="宋体" w:hAnsi="宋体" w:eastAsia="宋体" w:cs="宋体"/>
          <w:color w:val="auto"/>
          <w:sz w:val="24"/>
          <w:szCs w:val="20"/>
          <w:highlight w:val="none"/>
        </w:rPr>
        <w:t>注：在填写时，如本表格不适合</w:t>
      </w:r>
      <w:r>
        <w:rPr>
          <w:rFonts w:hint="eastAsia" w:ascii="宋体" w:hAnsi="宋体" w:eastAsia="宋体" w:cs="宋体"/>
          <w:color w:val="auto"/>
          <w:sz w:val="24"/>
          <w:szCs w:val="20"/>
          <w:highlight w:val="none"/>
          <w:lang w:eastAsia="zh-CN"/>
        </w:rPr>
        <w:t>供应商</w:t>
      </w:r>
      <w:r>
        <w:rPr>
          <w:rFonts w:hint="eastAsia" w:ascii="宋体" w:hAnsi="宋体" w:eastAsia="宋体" w:cs="宋体"/>
          <w:color w:val="auto"/>
          <w:sz w:val="24"/>
          <w:szCs w:val="20"/>
          <w:highlight w:val="none"/>
        </w:rPr>
        <w:t>的实际情况，可</w:t>
      </w:r>
      <w:r>
        <w:rPr>
          <w:rFonts w:hint="eastAsia" w:ascii="宋体" w:hAnsi="宋体" w:eastAsia="宋体" w:cs="宋体"/>
          <w:color w:val="auto"/>
          <w:sz w:val="24"/>
          <w:szCs w:val="20"/>
          <w:highlight w:val="none"/>
          <w:lang w:eastAsia="zh-CN"/>
        </w:rPr>
        <w:t>参照</w:t>
      </w:r>
      <w:r>
        <w:rPr>
          <w:rFonts w:hint="eastAsia" w:ascii="宋体" w:hAnsi="宋体" w:eastAsia="宋体" w:cs="宋体"/>
          <w:color w:val="auto"/>
          <w:sz w:val="24"/>
          <w:szCs w:val="20"/>
          <w:highlight w:val="none"/>
        </w:rPr>
        <w:t>本表格式自行制表填写</w:t>
      </w:r>
      <w:r>
        <w:rPr>
          <w:rFonts w:hint="eastAsia" w:ascii="宋体" w:hAnsi="宋体" w:eastAsia="宋体" w:cs="宋体"/>
          <w:color w:val="auto"/>
          <w:sz w:val="24"/>
          <w:szCs w:val="20"/>
          <w:highlight w:val="none"/>
          <w:lang w:eastAsia="zh-CN"/>
        </w:rPr>
        <w:t>，并附上相关证明材料</w:t>
      </w:r>
      <w:r>
        <w:rPr>
          <w:rFonts w:hint="eastAsia" w:eastAsia="宋体"/>
          <w:color w:val="auto"/>
          <w:highlight w:val="none"/>
          <w:lang w:eastAsia="zh-CN"/>
        </w:rPr>
        <w:t>。</w:t>
      </w:r>
    </w:p>
    <w:p w14:paraId="3C126E3A">
      <w:pPr>
        <w:snapToGrid w:val="0"/>
        <w:spacing w:line="360" w:lineRule="auto"/>
        <w:ind w:firstLine="0" w:firstLineChars="0"/>
        <w:rPr>
          <w:rFonts w:hint="eastAsia" w:ascii="宋体" w:hAnsi="宋体" w:eastAsia="宋体" w:cs="宋体"/>
          <w:color w:val="auto"/>
          <w:szCs w:val="21"/>
          <w:highlight w:val="none"/>
        </w:rPr>
      </w:pPr>
    </w:p>
    <w:p w14:paraId="6919ED77">
      <w:pPr>
        <w:snapToGrid w:val="0"/>
        <w:spacing w:line="360" w:lineRule="auto"/>
        <w:ind w:firstLine="0" w:firstLineChars="0"/>
        <w:rPr>
          <w:rFonts w:hint="eastAsia" w:ascii="宋体" w:hAnsi="宋体" w:eastAsia="宋体" w:cs="宋体"/>
          <w:color w:val="auto"/>
          <w:szCs w:val="21"/>
          <w:highlight w:val="none"/>
        </w:rPr>
      </w:pPr>
    </w:p>
    <w:p w14:paraId="49451878">
      <w:pPr>
        <w:snapToGrid w:val="0"/>
        <w:spacing w:line="360" w:lineRule="auto"/>
        <w:ind w:left="0" w:leftChars="0" w:firstLine="0" w:firstLineChars="0"/>
        <w:rPr>
          <w:rFonts w:hint="eastAsia" w:ascii="宋体" w:hAnsi="宋体" w:eastAsia="宋体" w:cs="宋体"/>
          <w:color w:val="auto"/>
          <w:kern w:val="0"/>
          <w:sz w:val="24"/>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kern w:val="0"/>
          <w:sz w:val="24"/>
          <w:highlight w:val="none"/>
          <w:lang w:val="zh-CN"/>
        </w:rPr>
        <w:t>供应商名称(盖公章)：</w:t>
      </w:r>
    </w:p>
    <w:p w14:paraId="465301EE">
      <w:pPr>
        <w:spacing w:line="500" w:lineRule="exact"/>
        <w:jc w:val="center"/>
        <w:rPr>
          <w:rFonts w:hint="eastAsia" w:ascii="宋体" w:hAnsi="宋体" w:eastAsia="宋体" w:cs="宋体"/>
          <w:color w:val="auto"/>
          <w:sz w:val="32"/>
          <w:szCs w:val="32"/>
          <w:highlight w:val="none"/>
        </w:rPr>
        <w:sectPr>
          <w:pgSz w:w="11911" w:h="16838"/>
          <w:pgMar w:top="1134" w:right="1134" w:bottom="1134" w:left="1134" w:header="720" w:footer="720"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color w:val="auto"/>
          <w:kern w:val="0"/>
          <w:sz w:val="24"/>
          <w:highlight w:val="none"/>
          <w:lang w:val="zh-CN"/>
        </w:rPr>
        <w:t xml:space="preserve">                                                     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6D1BB6BA">
      <w:pPr>
        <w:snapToGrid w:val="0"/>
        <w:spacing w:line="360" w:lineRule="auto"/>
        <w:ind w:firstLine="0" w:firstLineChars="0"/>
        <w:rPr>
          <w:rFonts w:hint="eastAsia" w:ascii="宋体" w:hAnsi="宋体" w:eastAsia="宋体" w:cs="宋体"/>
          <w:color w:val="auto"/>
          <w:sz w:val="28"/>
          <w:szCs w:val="28"/>
          <w:highlight w:val="none"/>
          <w:lang w:eastAsia="zh-CN"/>
        </w:rPr>
      </w:pPr>
      <w:r>
        <w:rPr>
          <w:rFonts w:hint="eastAsia" w:ascii="宋体" w:hAnsi="宋体" w:eastAsia="宋体" w:cs="宋体"/>
          <w:b/>
          <w:color w:val="auto"/>
          <w:sz w:val="28"/>
          <w:szCs w:val="28"/>
          <w:highlight w:val="none"/>
          <w:lang w:val="en-US" w:eastAsia="zh-CN"/>
        </w:rPr>
        <w:t>8.</w:t>
      </w:r>
      <w:r>
        <w:rPr>
          <w:rFonts w:hint="eastAsia" w:ascii="宋体" w:hAnsi="宋体" w:eastAsia="宋体" w:cs="宋体"/>
          <w:b/>
          <w:color w:val="auto"/>
          <w:sz w:val="28"/>
          <w:szCs w:val="28"/>
          <w:highlight w:val="none"/>
        </w:rPr>
        <w:t>服务</w:t>
      </w:r>
      <w:r>
        <w:rPr>
          <w:rFonts w:hint="eastAsia" w:ascii="宋体" w:hAnsi="宋体" w:eastAsia="宋体" w:cs="宋体"/>
          <w:b/>
          <w:color w:val="auto"/>
          <w:sz w:val="28"/>
          <w:szCs w:val="28"/>
          <w:highlight w:val="none"/>
          <w:lang w:eastAsia="zh-CN"/>
        </w:rPr>
        <w:t>要求</w:t>
      </w:r>
      <w:r>
        <w:rPr>
          <w:rFonts w:hint="eastAsia" w:ascii="宋体" w:hAnsi="宋体" w:eastAsia="宋体" w:cs="宋体"/>
          <w:b/>
          <w:color w:val="auto"/>
          <w:sz w:val="28"/>
          <w:szCs w:val="28"/>
          <w:highlight w:val="none"/>
        </w:rPr>
        <w:t>偏离表</w:t>
      </w:r>
      <w:r>
        <w:rPr>
          <w:rFonts w:hint="eastAsia" w:ascii="宋体" w:hAnsi="宋体" w:eastAsia="宋体" w:cs="宋体"/>
          <w:b/>
          <w:color w:val="auto"/>
          <w:sz w:val="28"/>
          <w:szCs w:val="28"/>
          <w:highlight w:val="none"/>
          <w:lang w:eastAsia="zh-CN"/>
        </w:rPr>
        <w:t>的格式：</w:t>
      </w:r>
    </w:p>
    <w:p w14:paraId="35B0B120">
      <w:pPr>
        <w:spacing w:line="500" w:lineRule="exact"/>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服务</w:t>
      </w:r>
      <w:r>
        <w:rPr>
          <w:rFonts w:hint="eastAsia" w:ascii="宋体" w:hAnsi="宋体" w:eastAsia="宋体" w:cs="宋体"/>
          <w:bCs/>
          <w:color w:val="auto"/>
          <w:sz w:val="44"/>
          <w:szCs w:val="44"/>
          <w:highlight w:val="none"/>
          <w:lang w:eastAsia="zh-CN"/>
        </w:rPr>
        <w:t>要求</w:t>
      </w:r>
      <w:r>
        <w:rPr>
          <w:rFonts w:hint="eastAsia" w:ascii="宋体" w:hAnsi="宋体" w:eastAsia="宋体" w:cs="宋体"/>
          <w:bCs/>
          <w:color w:val="auto"/>
          <w:sz w:val="44"/>
          <w:szCs w:val="44"/>
          <w:highlight w:val="none"/>
        </w:rPr>
        <w:t>偏离表</w:t>
      </w:r>
    </w:p>
    <w:p w14:paraId="3C85FFDE">
      <w:pPr>
        <w:spacing w:line="500" w:lineRule="exact"/>
        <w:jc w:val="center"/>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rPr>
        <w:t>(注：按采购需求具体条款</w:t>
      </w:r>
      <w:r>
        <w:rPr>
          <w:rFonts w:hint="eastAsia" w:ascii="宋体" w:hAnsi="宋体" w:eastAsia="宋体" w:cs="宋体"/>
          <w:bCs/>
          <w:color w:val="auto"/>
          <w:sz w:val="21"/>
          <w:szCs w:val="21"/>
          <w:highlight w:val="none"/>
          <w:lang w:val="en-US" w:eastAsia="zh-CN"/>
        </w:rPr>
        <w:t>编制</w:t>
      </w:r>
      <w:r>
        <w:rPr>
          <w:rFonts w:hint="eastAsia" w:ascii="宋体" w:hAnsi="宋体" w:eastAsia="宋体" w:cs="宋体"/>
          <w:bCs/>
          <w:color w:val="auto"/>
          <w:sz w:val="21"/>
          <w:szCs w:val="21"/>
          <w:highlight w:val="none"/>
        </w:rPr>
        <w:t>)</w:t>
      </w:r>
    </w:p>
    <w:p w14:paraId="544A785D">
      <w:pPr>
        <w:spacing w:line="360" w:lineRule="auto"/>
        <w:contextualSpacing/>
        <w:jc w:val="left"/>
        <w:rPr>
          <w:rFonts w:hint="eastAsia" w:ascii="宋体" w:hAnsi="宋体" w:eastAsia="宋体" w:cs="宋体"/>
          <w:color w:val="auto"/>
          <w:sz w:val="24"/>
          <w:highlight w:val="none"/>
        </w:rPr>
      </w:pPr>
    </w:p>
    <w:p w14:paraId="2C8A6BE8">
      <w:pPr>
        <w:spacing w:line="360" w:lineRule="auto"/>
        <w:ind w:firstLine="720" w:firstLineChars="30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w:t>
      </w:r>
      <w:r>
        <w:rPr>
          <w:rFonts w:hint="eastAsia" w:ascii="宋体" w:hAnsi="宋体" w:eastAsia="宋体" w:cs="宋体"/>
          <w:color w:val="auto"/>
          <w:sz w:val="24"/>
          <w:highlight w:val="none"/>
          <w:lang w:eastAsia="zh-CN"/>
        </w:rPr>
        <w:t>名称</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307D5F5E">
      <w:pPr>
        <w:spacing w:line="360" w:lineRule="auto"/>
        <w:ind w:firstLine="720" w:firstLineChars="3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项目</w:t>
      </w:r>
      <w:r>
        <w:rPr>
          <w:rFonts w:hint="eastAsia" w:ascii="宋体" w:hAnsi="宋体" w:eastAsia="宋体" w:cs="宋体"/>
          <w:color w:val="auto"/>
          <w:sz w:val="24"/>
          <w:highlight w:val="none"/>
          <w:lang w:eastAsia="zh-CN"/>
        </w:rPr>
        <w:t>编号</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1BC8E80A">
      <w:pPr>
        <w:spacing w:line="360" w:lineRule="auto"/>
        <w:ind w:firstLine="720" w:firstLineChars="30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所竞分标（如有则填写，无分标时填写“无”或者留空）：</w:t>
      </w:r>
      <w:r>
        <w:rPr>
          <w:rFonts w:hint="eastAsia" w:ascii="宋体" w:hAnsi="宋体" w:eastAsia="宋体" w:cs="宋体"/>
          <w:color w:val="auto"/>
          <w:sz w:val="24"/>
          <w:highlight w:val="none"/>
          <w:u w:val="single"/>
        </w:rPr>
        <w:t xml:space="preserve">              </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175"/>
        <w:gridCol w:w="2118"/>
        <w:gridCol w:w="2944"/>
        <w:gridCol w:w="1095"/>
      </w:tblGrid>
      <w:tr w14:paraId="2E019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32B0EE68">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1175" w:type="dxa"/>
            <w:tcBorders>
              <w:top w:val="single" w:color="auto" w:sz="4" w:space="0"/>
              <w:left w:val="single" w:color="auto" w:sz="4" w:space="0"/>
              <w:bottom w:val="single" w:color="auto" w:sz="4" w:space="0"/>
              <w:right w:val="single" w:color="auto" w:sz="4" w:space="0"/>
            </w:tcBorders>
            <w:noWrap w:val="0"/>
            <w:vAlign w:val="center"/>
          </w:tcPr>
          <w:p w14:paraId="221AD66A">
            <w:pPr>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标的名称</w:t>
            </w:r>
          </w:p>
        </w:tc>
        <w:tc>
          <w:tcPr>
            <w:tcW w:w="2118" w:type="dxa"/>
            <w:tcBorders>
              <w:top w:val="single" w:color="auto" w:sz="4" w:space="0"/>
              <w:left w:val="single" w:color="auto" w:sz="4" w:space="0"/>
              <w:bottom w:val="single" w:color="auto" w:sz="4" w:space="0"/>
              <w:right w:val="single" w:color="auto" w:sz="4" w:space="0"/>
            </w:tcBorders>
            <w:noWrap w:val="0"/>
            <w:vAlign w:val="center"/>
          </w:tcPr>
          <w:p w14:paraId="1C16549E">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磋商文件</w:t>
            </w:r>
            <w:r>
              <w:rPr>
                <w:rFonts w:hint="eastAsia" w:ascii="宋体" w:hAnsi="宋体" w:eastAsia="宋体" w:cs="Times New Roman"/>
                <w:color w:val="auto"/>
                <w:szCs w:val="21"/>
                <w:highlight w:val="none"/>
                <w:lang w:eastAsia="zh-CN"/>
              </w:rPr>
              <w:t>采购需求</w:t>
            </w:r>
            <w:r>
              <w:rPr>
                <w:rFonts w:hint="eastAsia" w:ascii="宋体" w:hAnsi="宋体" w:eastAsia="宋体" w:cs="Times New Roman"/>
                <w:color w:val="auto"/>
                <w:szCs w:val="21"/>
                <w:highlight w:val="none"/>
                <w:lang w:val="en-US" w:eastAsia="zh-CN"/>
              </w:rPr>
              <w:t>中的技术</w:t>
            </w:r>
            <w:r>
              <w:rPr>
                <w:rFonts w:hint="eastAsia" w:ascii="宋体" w:hAnsi="宋体" w:eastAsia="宋体" w:cs="Times New Roman"/>
                <w:color w:val="auto"/>
                <w:szCs w:val="21"/>
                <w:highlight w:val="none"/>
                <w:lang w:eastAsia="zh-CN"/>
              </w:rPr>
              <w:t>服务要求</w:t>
            </w:r>
          </w:p>
        </w:tc>
        <w:tc>
          <w:tcPr>
            <w:tcW w:w="2944" w:type="dxa"/>
            <w:tcBorders>
              <w:top w:val="single" w:color="auto" w:sz="4" w:space="0"/>
              <w:left w:val="single" w:color="auto" w:sz="4" w:space="0"/>
              <w:bottom w:val="single" w:color="auto" w:sz="4" w:space="0"/>
              <w:right w:val="single" w:color="auto" w:sz="4" w:space="0"/>
            </w:tcBorders>
            <w:noWrap w:val="0"/>
            <w:vAlign w:val="center"/>
          </w:tcPr>
          <w:p w14:paraId="3C5E158F">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响应文件</w:t>
            </w:r>
            <w:r>
              <w:rPr>
                <w:rFonts w:hint="eastAsia" w:ascii="宋体" w:hAnsi="宋体" w:eastAsia="宋体" w:cs="宋体"/>
                <w:color w:val="auto"/>
                <w:szCs w:val="21"/>
                <w:highlight w:val="none"/>
                <w:lang w:val="en-US" w:eastAsia="zh-CN"/>
              </w:rPr>
              <w:t>响应的</w:t>
            </w:r>
            <w:r>
              <w:rPr>
                <w:rFonts w:hint="eastAsia" w:ascii="宋体" w:hAnsi="宋体" w:eastAsia="宋体" w:cs="Times New Roman"/>
                <w:color w:val="auto"/>
                <w:szCs w:val="21"/>
                <w:highlight w:val="none"/>
                <w:lang w:eastAsia="zh-CN"/>
              </w:rPr>
              <w:t>服务内容</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17261484">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34052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19A014A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175" w:type="dxa"/>
            <w:tcBorders>
              <w:top w:val="single" w:color="auto" w:sz="4" w:space="0"/>
              <w:left w:val="single" w:color="auto" w:sz="4" w:space="0"/>
              <w:bottom w:val="single" w:color="auto" w:sz="4" w:space="0"/>
              <w:right w:val="single" w:color="auto" w:sz="4" w:space="0"/>
            </w:tcBorders>
            <w:noWrap w:val="0"/>
            <w:vAlign w:val="center"/>
          </w:tcPr>
          <w:p w14:paraId="05F39458">
            <w:pPr>
              <w:rPr>
                <w:rFonts w:hint="eastAsia" w:ascii="宋体" w:hAnsi="宋体" w:eastAsia="宋体" w:cs="宋体"/>
                <w:color w:val="auto"/>
                <w:szCs w:val="21"/>
                <w:highlight w:val="none"/>
              </w:rPr>
            </w:pPr>
          </w:p>
        </w:tc>
        <w:tc>
          <w:tcPr>
            <w:tcW w:w="2118" w:type="dxa"/>
            <w:tcBorders>
              <w:top w:val="single" w:color="auto" w:sz="4" w:space="0"/>
              <w:left w:val="single" w:color="auto" w:sz="4" w:space="0"/>
              <w:bottom w:val="single" w:color="auto" w:sz="4" w:space="0"/>
              <w:right w:val="single" w:color="auto" w:sz="4" w:space="0"/>
            </w:tcBorders>
            <w:noWrap w:val="0"/>
            <w:vAlign w:val="center"/>
          </w:tcPr>
          <w:p w14:paraId="0D6FC0D0">
            <w:pPr>
              <w:rPr>
                <w:rFonts w:hint="eastAsia" w:ascii="宋体" w:hAnsi="宋体" w:eastAsia="宋体" w:cs="宋体"/>
                <w:color w:val="auto"/>
                <w:szCs w:val="21"/>
                <w:highlight w:val="none"/>
              </w:rPr>
            </w:pPr>
          </w:p>
        </w:tc>
        <w:tc>
          <w:tcPr>
            <w:tcW w:w="2944" w:type="dxa"/>
            <w:tcBorders>
              <w:top w:val="single" w:color="auto" w:sz="4" w:space="0"/>
              <w:left w:val="single" w:color="auto" w:sz="4" w:space="0"/>
              <w:bottom w:val="single" w:color="auto" w:sz="4" w:space="0"/>
              <w:right w:val="single" w:color="auto" w:sz="4" w:space="0"/>
            </w:tcBorders>
            <w:noWrap w:val="0"/>
            <w:vAlign w:val="center"/>
          </w:tcPr>
          <w:p w14:paraId="318DE1C7">
            <w:pPr>
              <w:rPr>
                <w:rFonts w:hint="eastAsia" w:ascii="宋体" w:hAnsi="宋体" w:eastAsia="宋体" w:cs="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0D344703">
            <w:pPr>
              <w:rPr>
                <w:rFonts w:hint="eastAsia" w:ascii="宋体" w:hAnsi="宋体" w:eastAsia="宋体" w:cs="宋体"/>
                <w:color w:val="auto"/>
                <w:szCs w:val="21"/>
                <w:highlight w:val="none"/>
              </w:rPr>
            </w:pPr>
          </w:p>
        </w:tc>
      </w:tr>
      <w:tr w14:paraId="6C7B7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446EF9B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175" w:type="dxa"/>
            <w:tcBorders>
              <w:top w:val="single" w:color="auto" w:sz="4" w:space="0"/>
              <w:left w:val="single" w:color="auto" w:sz="4" w:space="0"/>
              <w:bottom w:val="single" w:color="auto" w:sz="4" w:space="0"/>
              <w:right w:val="single" w:color="auto" w:sz="4" w:space="0"/>
            </w:tcBorders>
            <w:noWrap w:val="0"/>
            <w:vAlign w:val="center"/>
          </w:tcPr>
          <w:p w14:paraId="5FECFE92">
            <w:pPr>
              <w:rPr>
                <w:rFonts w:hint="eastAsia" w:ascii="宋体" w:hAnsi="宋体" w:eastAsia="宋体" w:cs="宋体"/>
                <w:color w:val="auto"/>
                <w:szCs w:val="21"/>
                <w:highlight w:val="none"/>
              </w:rPr>
            </w:pPr>
          </w:p>
        </w:tc>
        <w:tc>
          <w:tcPr>
            <w:tcW w:w="2118" w:type="dxa"/>
            <w:tcBorders>
              <w:top w:val="single" w:color="auto" w:sz="4" w:space="0"/>
              <w:left w:val="single" w:color="auto" w:sz="4" w:space="0"/>
              <w:bottom w:val="single" w:color="auto" w:sz="4" w:space="0"/>
              <w:right w:val="single" w:color="auto" w:sz="4" w:space="0"/>
            </w:tcBorders>
            <w:noWrap w:val="0"/>
            <w:vAlign w:val="center"/>
          </w:tcPr>
          <w:p w14:paraId="1ED78532">
            <w:pPr>
              <w:rPr>
                <w:rFonts w:hint="eastAsia" w:ascii="宋体" w:hAnsi="宋体" w:eastAsia="宋体" w:cs="宋体"/>
                <w:color w:val="auto"/>
                <w:szCs w:val="21"/>
                <w:highlight w:val="none"/>
              </w:rPr>
            </w:pPr>
          </w:p>
        </w:tc>
        <w:tc>
          <w:tcPr>
            <w:tcW w:w="2944" w:type="dxa"/>
            <w:tcBorders>
              <w:top w:val="single" w:color="auto" w:sz="4" w:space="0"/>
              <w:left w:val="single" w:color="auto" w:sz="4" w:space="0"/>
              <w:bottom w:val="single" w:color="auto" w:sz="4" w:space="0"/>
              <w:right w:val="single" w:color="auto" w:sz="4" w:space="0"/>
            </w:tcBorders>
            <w:noWrap w:val="0"/>
            <w:vAlign w:val="center"/>
          </w:tcPr>
          <w:p w14:paraId="5B8157A1">
            <w:pPr>
              <w:rPr>
                <w:rFonts w:hint="eastAsia" w:ascii="宋体" w:hAnsi="宋体" w:eastAsia="宋体" w:cs="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1AAFFA07">
            <w:pPr>
              <w:rPr>
                <w:rFonts w:hint="eastAsia" w:ascii="宋体" w:hAnsi="宋体" w:eastAsia="宋体" w:cs="宋体"/>
                <w:color w:val="auto"/>
                <w:szCs w:val="21"/>
                <w:highlight w:val="none"/>
              </w:rPr>
            </w:pPr>
          </w:p>
        </w:tc>
      </w:tr>
      <w:tr w14:paraId="55887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32F1BC5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175" w:type="dxa"/>
            <w:tcBorders>
              <w:top w:val="single" w:color="auto" w:sz="4" w:space="0"/>
              <w:left w:val="single" w:color="auto" w:sz="4" w:space="0"/>
              <w:bottom w:val="single" w:color="auto" w:sz="4" w:space="0"/>
              <w:right w:val="single" w:color="auto" w:sz="4" w:space="0"/>
            </w:tcBorders>
            <w:noWrap w:val="0"/>
            <w:vAlign w:val="center"/>
          </w:tcPr>
          <w:p w14:paraId="03D7D246">
            <w:pPr>
              <w:rPr>
                <w:rFonts w:hint="eastAsia" w:ascii="宋体" w:hAnsi="宋体" w:eastAsia="宋体" w:cs="宋体"/>
                <w:color w:val="auto"/>
                <w:szCs w:val="21"/>
                <w:highlight w:val="none"/>
              </w:rPr>
            </w:pPr>
          </w:p>
        </w:tc>
        <w:tc>
          <w:tcPr>
            <w:tcW w:w="2118" w:type="dxa"/>
            <w:tcBorders>
              <w:top w:val="single" w:color="auto" w:sz="4" w:space="0"/>
              <w:left w:val="single" w:color="auto" w:sz="4" w:space="0"/>
              <w:bottom w:val="single" w:color="auto" w:sz="4" w:space="0"/>
              <w:right w:val="single" w:color="auto" w:sz="4" w:space="0"/>
            </w:tcBorders>
            <w:noWrap w:val="0"/>
            <w:vAlign w:val="center"/>
          </w:tcPr>
          <w:p w14:paraId="6FF6B05D">
            <w:pPr>
              <w:rPr>
                <w:rFonts w:hint="eastAsia" w:ascii="宋体" w:hAnsi="宋体" w:eastAsia="宋体" w:cs="宋体"/>
                <w:color w:val="auto"/>
                <w:szCs w:val="21"/>
                <w:highlight w:val="none"/>
              </w:rPr>
            </w:pPr>
          </w:p>
        </w:tc>
        <w:tc>
          <w:tcPr>
            <w:tcW w:w="2944" w:type="dxa"/>
            <w:tcBorders>
              <w:top w:val="single" w:color="auto" w:sz="4" w:space="0"/>
              <w:left w:val="single" w:color="auto" w:sz="4" w:space="0"/>
              <w:bottom w:val="single" w:color="auto" w:sz="4" w:space="0"/>
              <w:right w:val="single" w:color="auto" w:sz="4" w:space="0"/>
            </w:tcBorders>
            <w:noWrap w:val="0"/>
            <w:vAlign w:val="center"/>
          </w:tcPr>
          <w:p w14:paraId="36BE85C1">
            <w:pPr>
              <w:rPr>
                <w:rFonts w:hint="eastAsia" w:ascii="宋体" w:hAnsi="宋体" w:eastAsia="宋体" w:cs="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5F11AFFA">
            <w:pPr>
              <w:rPr>
                <w:rFonts w:hint="eastAsia" w:ascii="宋体" w:hAnsi="宋体" w:eastAsia="宋体" w:cs="宋体"/>
                <w:color w:val="auto"/>
                <w:szCs w:val="21"/>
                <w:highlight w:val="none"/>
              </w:rPr>
            </w:pPr>
          </w:p>
        </w:tc>
      </w:tr>
    </w:tbl>
    <w:p w14:paraId="4CA2872D">
      <w:pPr>
        <w:widowControl w:val="0"/>
        <w:spacing w:after="0" w:line="360" w:lineRule="auto"/>
        <w:contextualSpacing/>
        <w:jc w:val="both"/>
        <w:rPr>
          <w:rFonts w:hint="eastAsia" w:ascii="宋体" w:hAnsi="宋体" w:eastAsia="宋体" w:cs="宋体"/>
          <w:color w:val="auto"/>
          <w:kern w:val="0"/>
          <w:sz w:val="24"/>
          <w:szCs w:val="24"/>
          <w:highlight w:val="none"/>
          <w:lang w:val="en-US" w:eastAsia="zh-CN" w:bidi="ar-SA"/>
        </w:rPr>
      </w:pPr>
    </w:p>
    <w:p w14:paraId="22623043">
      <w:pPr>
        <w:widowControl w:val="0"/>
        <w:spacing w:after="0" w:line="480" w:lineRule="auto"/>
        <w:ind w:firstLine="420" w:firstLineChars="200"/>
        <w:contextualSpacing/>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注：</w:t>
      </w:r>
    </w:p>
    <w:p w14:paraId="20CEE673">
      <w:pPr>
        <w:widowControl w:val="0"/>
        <w:spacing w:line="360" w:lineRule="auto"/>
        <w:ind w:firstLine="420" w:firstLineChars="200"/>
        <w:contextualSpacing/>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▲1.必须对磋商文件“第二章 采购需求”中“</w:t>
      </w:r>
      <w:r>
        <w:rPr>
          <w:rFonts w:hint="eastAsia" w:ascii="宋体" w:hAnsi="宋体" w:cs="宋体"/>
          <w:color w:val="auto"/>
          <w:kern w:val="0"/>
          <w:sz w:val="21"/>
          <w:szCs w:val="21"/>
          <w:highlight w:val="none"/>
          <w:lang w:val="en-US" w:eastAsia="zh-CN" w:bidi="ar-SA"/>
        </w:rPr>
        <w:t>技术</w:t>
      </w:r>
      <w:r>
        <w:rPr>
          <w:rFonts w:hint="eastAsia" w:ascii="宋体" w:hAnsi="宋体" w:eastAsia="宋体" w:cs="宋体"/>
          <w:color w:val="auto"/>
          <w:kern w:val="0"/>
          <w:sz w:val="21"/>
          <w:szCs w:val="21"/>
          <w:highlight w:val="none"/>
          <w:lang w:val="en-US" w:eastAsia="zh-CN" w:bidi="ar-SA"/>
        </w:rPr>
        <w:t>服务要求”的全部条款，详细填写响应的具体内容，并作出偏离说明。</w:t>
      </w:r>
      <w:r>
        <w:rPr>
          <w:rFonts w:hint="eastAsia" w:ascii="宋体" w:hAnsi="宋体" w:eastAsia="宋体" w:cs="宋体"/>
          <w:color w:val="auto"/>
          <w:kern w:val="0"/>
          <w:sz w:val="21"/>
          <w:szCs w:val="21"/>
          <w:highlight w:val="none"/>
          <w:lang w:val="en-US" w:eastAsia="zh-CN" w:bidi="ar-SA"/>
        </w:rPr>
        <w:t>“偏离说明”一栏应当选择“正偏离”或“负偏离”或“无偏离”进行填写。</w:t>
      </w:r>
    </w:p>
    <w:p w14:paraId="57DCA311">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.表格内容均需按要求填写</w:t>
      </w:r>
      <w:r>
        <w:rPr>
          <w:rFonts w:hint="eastAsia" w:ascii="宋体" w:hAnsi="宋体" w:eastAsia="宋体" w:cs="宋体"/>
          <w:color w:val="auto"/>
          <w:sz w:val="21"/>
          <w:szCs w:val="21"/>
          <w:highlight w:val="none"/>
        </w:rPr>
        <w:t>并</w:t>
      </w:r>
      <w:r>
        <w:rPr>
          <w:rFonts w:hint="eastAsia" w:ascii="宋体" w:hAnsi="宋体" w:eastAsia="宋体" w:cs="宋体"/>
          <w:color w:val="auto"/>
          <w:sz w:val="21"/>
          <w:szCs w:val="21"/>
          <w:highlight w:val="none"/>
          <w:lang w:eastAsia="zh-CN"/>
        </w:rPr>
        <w:t>加</w:t>
      </w:r>
      <w:r>
        <w:rPr>
          <w:rFonts w:hint="eastAsia" w:ascii="宋体" w:hAnsi="宋体" w:eastAsia="宋体" w:cs="宋体"/>
          <w:color w:val="auto"/>
          <w:sz w:val="21"/>
          <w:szCs w:val="21"/>
          <w:highlight w:val="none"/>
        </w:rPr>
        <w:t>盖</w:t>
      </w:r>
      <w:r>
        <w:rPr>
          <w:rFonts w:hint="eastAsia" w:ascii="宋体" w:hAnsi="宋体" w:eastAsia="宋体" w:cs="宋体"/>
          <w:color w:val="auto"/>
          <w:sz w:val="21"/>
          <w:szCs w:val="21"/>
          <w:highlight w:val="none"/>
          <w:lang w:eastAsia="zh-CN"/>
        </w:rPr>
        <w:t>供应商公</w:t>
      </w:r>
      <w:r>
        <w:rPr>
          <w:rFonts w:hint="eastAsia" w:ascii="宋体" w:hAnsi="宋体" w:eastAsia="宋体" w:cs="宋体"/>
          <w:color w:val="auto"/>
          <w:sz w:val="21"/>
          <w:szCs w:val="21"/>
          <w:highlight w:val="none"/>
        </w:rPr>
        <w:t>章</w:t>
      </w:r>
      <w:r>
        <w:rPr>
          <w:rFonts w:hint="eastAsia" w:ascii="宋体" w:hAnsi="宋体" w:eastAsia="宋体" w:cs="宋体"/>
          <w:color w:val="auto"/>
          <w:kern w:val="0"/>
          <w:sz w:val="21"/>
          <w:szCs w:val="21"/>
          <w:highlight w:val="none"/>
        </w:rPr>
        <w:t>，不得留空，</w:t>
      </w:r>
      <w:r>
        <w:rPr>
          <w:rFonts w:hint="eastAsia" w:ascii="宋体" w:hAnsi="宋体" w:eastAsia="宋体" w:cs="宋体"/>
          <w:b/>
          <w:bCs/>
          <w:color w:val="auto"/>
          <w:kern w:val="0"/>
          <w:sz w:val="21"/>
          <w:szCs w:val="21"/>
          <w:highlight w:val="none"/>
        </w:rPr>
        <w:t>否则按</w:t>
      </w:r>
      <w:r>
        <w:rPr>
          <w:rFonts w:hint="eastAsia" w:ascii="宋体" w:hAnsi="宋体" w:eastAsia="宋体" w:cs="宋体"/>
          <w:b/>
          <w:bCs/>
          <w:color w:val="auto"/>
          <w:kern w:val="0"/>
          <w:sz w:val="21"/>
          <w:szCs w:val="21"/>
          <w:highlight w:val="none"/>
          <w:lang w:eastAsia="zh-CN"/>
        </w:rPr>
        <w:t>响应</w:t>
      </w:r>
      <w:r>
        <w:rPr>
          <w:rFonts w:hint="eastAsia" w:ascii="宋体" w:hAnsi="宋体" w:eastAsia="宋体" w:cs="宋体"/>
          <w:b/>
          <w:bCs/>
          <w:color w:val="auto"/>
          <w:kern w:val="0"/>
          <w:sz w:val="21"/>
          <w:szCs w:val="21"/>
          <w:highlight w:val="none"/>
        </w:rPr>
        <w:t>无效处理。</w:t>
      </w:r>
    </w:p>
    <w:p w14:paraId="443304F5">
      <w:pPr>
        <w:widowControl w:val="0"/>
        <w:spacing w:after="0" w:line="480" w:lineRule="auto"/>
        <w:ind w:firstLine="420" w:firstLineChars="200"/>
        <w:contextualSpacing/>
        <w:jc w:val="both"/>
        <w:rPr>
          <w:rFonts w:hint="eastAsia" w:ascii="宋体" w:hAnsi="宋体" w:eastAsia="宋体" w:cs="宋体"/>
          <w:color w:val="auto"/>
          <w:kern w:val="0"/>
          <w:sz w:val="21"/>
          <w:szCs w:val="21"/>
          <w:highlight w:val="none"/>
          <w:lang w:val="en-US" w:eastAsia="zh-CN" w:bidi="ar-SA"/>
        </w:rPr>
      </w:pPr>
    </w:p>
    <w:p w14:paraId="1AAC86F0">
      <w:pPr>
        <w:spacing w:line="480" w:lineRule="auto"/>
        <w:ind w:firstLine="420" w:firstLineChars="200"/>
        <w:rPr>
          <w:rFonts w:hint="eastAsia" w:ascii="宋体" w:hAnsi="宋体" w:eastAsia="宋体" w:cs="宋体"/>
          <w:color w:val="auto"/>
          <w:kern w:val="0"/>
          <w:szCs w:val="21"/>
          <w:highlight w:val="none"/>
        </w:rPr>
      </w:pPr>
    </w:p>
    <w:p w14:paraId="28F0B00F">
      <w:pPr>
        <w:widowControl w:val="0"/>
        <w:spacing w:line="480" w:lineRule="auto"/>
        <w:ind w:firstLine="420" w:firstLineChars="200"/>
        <w:contextualSpacing/>
        <w:jc w:val="both"/>
        <w:rPr>
          <w:rFonts w:hint="eastAsia" w:ascii="宋体" w:hAnsi="宋体" w:eastAsia="宋体" w:cs="宋体"/>
          <w:color w:val="auto"/>
          <w:kern w:val="0"/>
          <w:sz w:val="21"/>
          <w:szCs w:val="21"/>
          <w:highlight w:val="none"/>
          <w:lang w:val="en-US" w:eastAsia="zh-CN" w:bidi="ar-SA"/>
        </w:rPr>
      </w:pPr>
    </w:p>
    <w:p w14:paraId="65DDE7C1">
      <w:pPr>
        <w:snapToGrid w:val="0"/>
        <w:spacing w:line="360" w:lineRule="auto"/>
        <w:ind w:firstLine="0" w:firstLineChars="0"/>
        <w:rPr>
          <w:rFonts w:hint="eastAsia" w:ascii="宋体" w:hAnsi="宋体" w:eastAsia="宋体" w:cs="宋体"/>
          <w:b/>
          <w:color w:val="auto"/>
          <w:sz w:val="30"/>
          <w:szCs w:val="30"/>
          <w:highlight w:val="none"/>
        </w:rPr>
      </w:pPr>
    </w:p>
    <w:p w14:paraId="41EF808F">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w:t>
      </w:r>
      <w:r>
        <w:rPr>
          <w:rFonts w:hint="eastAsia" w:ascii="宋体" w:hAnsi="宋体" w:eastAsia="宋体" w:cs="宋体"/>
          <w:color w:val="auto"/>
          <w:kern w:val="0"/>
          <w:sz w:val="24"/>
          <w:highlight w:val="none"/>
          <w:lang w:eastAsia="zh-CN"/>
        </w:rPr>
        <w:t>盖公章</w:t>
      </w:r>
      <w:r>
        <w:rPr>
          <w:rFonts w:hint="eastAsia" w:ascii="宋体" w:hAnsi="宋体" w:eastAsia="宋体" w:cs="宋体"/>
          <w:color w:val="auto"/>
          <w:kern w:val="0"/>
          <w:sz w:val="24"/>
          <w:highlight w:val="none"/>
        </w:rPr>
        <w:t>）：</w:t>
      </w:r>
    </w:p>
    <w:p w14:paraId="51E73577">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0413E43A">
      <w:pPr>
        <w:adjustRightInd w:val="0"/>
        <w:snapToGrid w:val="0"/>
        <w:spacing w:line="520" w:lineRule="exact"/>
        <w:jc w:val="center"/>
        <w:rPr>
          <w:rFonts w:hint="eastAsia" w:ascii="方正小标宋简体" w:hAnsi="方正小标宋简体" w:eastAsia="方正小标宋简体" w:cs="方正小标宋简体"/>
          <w:bCs/>
          <w:color w:val="auto"/>
          <w:sz w:val="44"/>
          <w:szCs w:val="44"/>
          <w:highlight w:val="none"/>
        </w:rPr>
      </w:pPr>
    </w:p>
    <w:p w14:paraId="725C30C6">
      <w:pPr>
        <w:snapToGrid w:val="0"/>
        <w:spacing w:line="360" w:lineRule="auto"/>
        <w:ind w:firstLine="0" w:firstLineChars="0"/>
        <w:rPr>
          <w:rFonts w:hint="eastAsia" w:ascii="宋体" w:hAnsi="宋体" w:eastAsia="宋体" w:cs="宋体"/>
          <w:b/>
          <w:color w:val="auto"/>
          <w:sz w:val="28"/>
          <w:szCs w:val="28"/>
          <w:highlight w:val="none"/>
          <w:lang w:val="en-US" w:eastAsia="zh-CN"/>
        </w:rPr>
      </w:pPr>
    </w:p>
    <w:p w14:paraId="597644CD">
      <w:pPr>
        <w:snapToGrid w:val="0"/>
        <w:spacing w:line="360" w:lineRule="auto"/>
        <w:ind w:firstLine="0" w:firstLineChars="0"/>
        <w:rPr>
          <w:rFonts w:hint="eastAsia" w:ascii="宋体" w:hAnsi="宋体" w:eastAsia="宋体" w:cs="宋体"/>
          <w:b/>
          <w:color w:val="auto"/>
          <w:sz w:val="28"/>
          <w:szCs w:val="28"/>
          <w:highlight w:val="none"/>
          <w:lang w:val="en-US" w:eastAsia="zh-CN"/>
        </w:rPr>
      </w:pPr>
    </w:p>
    <w:p w14:paraId="0268F8CF">
      <w:pPr>
        <w:snapToGrid w:val="0"/>
        <w:spacing w:line="360" w:lineRule="auto"/>
        <w:ind w:firstLine="0" w:firstLineChars="0"/>
        <w:rPr>
          <w:rFonts w:hint="eastAsia" w:ascii="宋体" w:hAnsi="宋体" w:eastAsia="宋体" w:cs="宋体"/>
          <w:b/>
          <w:color w:val="auto"/>
          <w:sz w:val="28"/>
          <w:szCs w:val="28"/>
          <w:highlight w:val="none"/>
          <w:lang w:val="en-US" w:eastAsia="zh-CN"/>
        </w:rPr>
      </w:pPr>
    </w:p>
    <w:p w14:paraId="091CB56F">
      <w:pPr>
        <w:snapToGrid w:val="0"/>
        <w:spacing w:line="360" w:lineRule="auto"/>
        <w:ind w:firstLine="0" w:firstLineChars="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9.</w:t>
      </w:r>
      <w:r>
        <w:rPr>
          <w:rFonts w:hint="eastAsia" w:ascii="宋体" w:hAnsi="宋体" w:eastAsia="宋体" w:cs="宋体"/>
          <w:b/>
          <w:color w:val="auto"/>
          <w:sz w:val="28"/>
          <w:szCs w:val="28"/>
          <w:highlight w:val="none"/>
        </w:rPr>
        <w:t>服务方案</w:t>
      </w:r>
    </w:p>
    <w:p w14:paraId="1F38FADE">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（由供应商根据采购文件要求编制）</w:t>
      </w:r>
    </w:p>
    <w:p w14:paraId="044CDD41">
      <w:pPr>
        <w:snapToGrid w:val="0"/>
        <w:spacing w:before="120" w:beforeLines="50" w:after="50"/>
        <w:ind w:left="143" w:leftChars="68"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其中要包含</w:t>
      </w:r>
      <w:r>
        <w:rPr>
          <w:rFonts w:hint="eastAsia" w:ascii="宋体" w:hAnsi="宋体" w:eastAsia="宋体" w:cs="宋体"/>
          <w:color w:val="auto"/>
          <w:sz w:val="24"/>
          <w:szCs w:val="24"/>
          <w:highlight w:val="none"/>
          <w:lang w:eastAsia="zh-CN"/>
        </w:rPr>
        <w:t>下列</w:t>
      </w:r>
      <w:r>
        <w:rPr>
          <w:rFonts w:hint="eastAsia" w:ascii="宋体" w:hAnsi="宋体" w:eastAsia="宋体" w:cs="宋体"/>
          <w:color w:val="auto"/>
          <w:sz w:val="24"/>
          <w:szCs w:val="24"/>
          <w:highlight w:val="none"/>
          <w:lang w:val="en-US" w:eastAsia="zh-CN"/>
        </w:rPr>
        <w:t>2个附表内容</w:t>
      </w:r>
      <w:r>
        <w:rPr>
          <w:rFonts w:hint="eastAsia" w:ascii="宋体" w:hAnsi="宋体" w:eastAsia="宋体" w:cs="宋体"/>
          <w:color w:val="auto"/>
          <w:sz w:val="24"/>
          <w:szCs w:val="24"/>
          <w:highlight w:val="none"/>
        </w:rPr>
        <w:t>。</w:t>
      </w:r>
    </w:p>
    <w:p w14:paraId="311BDFBC">
      <w:pPr>
        <w:autoSpaceDE w:val="0"/>
        <w:autoSpaceDN w:val="0"/>
        <w:spacing w:line="360" w:lineRule="auto"/>
        <w:rPr>
          <w:rFonts w:hint="eastAsia" w:ascii="宋体" w:hAnsi="宋体" w:eastAsia="宋体" w:cs="宋体"/>
          <w:b/>
          <w:color w:val="auto"/>
          <w:sz w:val="24"/>
          <w:szCs w:val="24"/>
          <w:highlight w:val="none"/>
        </w:rPr>
      </w:pPr>
    </w:p>
    <w:p w14:paraId="5FF8BE73">
      <w:pPr>
        <w:autoSpaceDE w:val="0"/>
        <w:autoSpaceDN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附表A:服务机构情况表</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参照</w:t>
      </w:r>
      <w:r>
        <w:rPr>
          <w:rFonts w:hint="eastAsia" w:ascii="宋体" w:hAnsi="宋体" w:eastAsia="宋体" w:cs="宋体"/>
          <w:color w:val="auto"/>
          <w:sz w:val="24"/>
          <w:szCs w:val="24"/>
          <w:highlight w:val="none"/>
        </w:rPr>
        <w:t>此格式自制）</w:t>
      </w:r>
    </w:p>
    <w:tbl>
      <w:tblPr>
        <w:tblStyle w:val="3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2"/>
        <w:gridCol w:w="2636"/>
        <w:gridCol w:w="1439"/>
        <w:gridCol w:w="1715"/>
        <w:gridCol w:w="1404"/>
        <w:gridCol w:w="1727"/>
      </w:tblGrid>
      <w:tr w14:paraId="6B171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pct"/>
            <w:noWrap w:val="0"/>
            <w:vAlign w:val="center"/>
          </w:tcPr>
          <w:p w14:paraId="1D029EC0">
            <w:pPr>
              <w:autoSpaceDE w:val="0"/>
              <w:autoSpaceDN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337" w:type="pct"/>
            <w:noWrap w:val="0"/>
            <w:vAlign w:val="center"/>
          </w:tcPr>
          <w:p w14:paraId="7DB18810">
            <w:pPr>
              <w:autoSpaceDE w:val="0"/>
              <w:autoSpaceDN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机构名称</w:t>
            </w:r>
          </w:p>
        </w:tc>
        <w:tc>
          <w:tcPr>
            <w:tcW w:w="730" w:type="pct"/>
            <w:noWrap w:val="0"/>
            <w:vAlign w:val="center"/>
          </w:tcPr>
          <w:p w14:paraId="31F8076A">
            <w:pPr>
              <w:autoSpaceDE w:val="0"/>
              <w:autoSpaceDN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机构性质</w:t>
            </w:r>
          </w:p>
        </w:tc>
        <w:tc>
          <w:tcPr>
            <w:tcW w:w="870" w:type="pct"/>
            <w:noWrap w:val="0"/>
            <w:vAlign w:val="center"/>
          </w:tcPr>
          <w:p w14:paraId="7C215BB1">
            <w:pPr>
              <w:autoSpaceDE w:val="0"/>
              <w:autoSpaceDN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注册地址</w:t>
            </w:r>
          </w:p>
        </w:tc>
        <w:tc>
          <w:tcPr>
            <w:tcW w:w="712" w:type="pct"/>
            <w:noWrap w:val="0"/>
            <w:vAlign w:val="center"/>
          </w:tcPr>
          <w:p w14:paraId="3C6F594F">
            <w:pPr>
              <w:autoSpaceDE w:val="0"/>
              <w:autoSpaceDN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技术</w:t>
            </w:r>
            <w:r>
              <w:rPr>
                <w:rFonts w:hint="eastAsia" w:ascii="宋体" w:hAnsi="宋体" w:eastAsia="宋体" w:cs="宋体"/>
                <w:b/>
                <w:color w:val="auto"/>
                <w:sz w:val="24"/>
                <w:szCs w:val="24"/>
                <w:highlight w:val="none"/>
                <w:lang w:eastAsia="zh-CN"/>
              </w:rPr>
              <w:t>服务</w:t>
            </w:r>
            <w:r>
              <w:rPr>
                <w:rFonts w:hint="eastAsia" w:ascii="宋体" w:hAnsi="宋体" w:eastAsia="宋体" w:cs="宋体"/>
                <w:b/>
                <w:color w:val="auto"/>
                <w:sz w:val="24"/>
                <w:szCs w:val="24"/>
                <w:highlight w:val="none"/>
              </w:rPr>
              <w:t>人员数量</w:t>
            </w:r>
          </w:p>
        </w:tc>
        <w:tc>
          <w:tcPr>
            <w:tcW w:w="876" w:type="pct"/>
            <w:noWrap w:val="0"/>
            <w:vAlign w:val="center"/>
          </w:tcPr>
          <w:p w14:paraId="54894C8F">
            <w:pPr>
              <w:autoSpaceDE w:val="0"/>
              <w:autoSpaceDN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联系电话</w:t>
            </w:r>
          </w:p>
        </w:tc>
      </w:tr>
      <w:tr w14:paraId="55403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pct"/>
            <w:noWrap w:val="0"/>
            <w:vAlign w:val="top"/>
          </w:tcPr>
          <w:p w14:paraId="4006D852">
            <w:pPr>
              <w:autoSpaceDE w:val="0"/>
              <w:autoSpaceDN w:val="0"/>
              <w:spacing w:line="360" w:lineRule="auto"/>
              <w:jc w:val="center"/>
              <w:rPr>
                <w:rFonts w:hint="eastAsia" w:ascii="宋体" w:hAnsi="宋体" w:eastAsia="宋体" w:cs="宋体"/>
                <w:color w:val="auto"/>
                <w:sz w:val="24"/>
                <w:szCs w:val="24"/>
                <w:highlight w:val="none"/>
              </w:rPr>
            </w:pPr>
          </w:p>
        </w:tc>
        <w:tc>
          <w:tcPr>
            <w:tcW w:w="1337" w:type="pct"/>
            <w:noWrap w:val="0"/>
            <w:vAlign w:val="top"/>
          </w:tcPr>
          <w:p w14:paraId="1524FA5B">
            <w:pPr>
              <w:autoSpaceDE w:val="0"/>
              <w:autoSpaceDN w:val="0"/>
              <w:spacing w:line="360" w:lineRule="auto"/>
              <w:jc w:val="center"/>
              <w:rPr>
                <w:rFonts w:hint="eastAsia" w:ascii="宋体" w:hAnsi="宋体" w:eastAsia="宋体" w:cs="宋体"/>
                <w:color w:val="auto"/>
                <w:sz w:val="24"/>
                <w:szCs w:val="24"/>
                <w:highlight w:val="none"/>
              </w:rPr>
            </w:pPr>
          </w:p>
        </w:tc>
        <w:tc>
          <w:tcPr>
            <w:tcW w:w="730" w:type="pct"/>
            <w:noWrap w:val="0"/>
            <w:vAlign w:val="top"/>
          </w:tcPr>
          <w:p w14:paraId="6F037EF9">
            <w:pPr>
              <w:autoSpaceDE w:val="0"/>
              <w:autoSpaceDN w:val="0"/>
              <w:spacing w:line="360" w:lineRule="auto"/>
              <w:jc w:val="center"/>
              <w:rPr>
                <w:rFonts w:hint="eastAsia" w:ascii="宋体" w:hAnsi="宋体" w:eastAsia="宋体" w:cs="宋体"/>
                <w:color w:val="auto"/>
                <w:sz w:val="24"/>
                <w:szCs w:val="24"/>
                <w:highlight w:val="none"/>
              </w:rPr>
            </w:pPr>
          </w:p>
        </w:tc>
        <w:tc>
          <w:tcPr>
            <w:tcW w:w="870" w:type="pct"/>
            <w:noWrap w:val="0"/>
            <w:vAlign w:val="top"/>
          </w:tcPr>
          <w:p w14:paraId="0FE65698">
            <w:pPr>
              <w:autoSpaceDE w:val="0"/>
              <w:autoSpaceDN w:val="0"/>
              <w:spacing w:line="360" w:lineRule="auto"/>
              <w:jc w:val="center"/>
              <w:rPr>
                <w:rFonts w:hint="eastAsia" w:ascii="宋体" w:hAnsi="宋体" w:eastAsia="宋体" w:cs="宋体"/>
                <w:color w:val="auto"/>
                <w:sz w:val="24"/>
                <w:szCs w:val="24"/>
                <w:highlight w:val="none"/>
              </w:rPr>
            </w:pPr>
          </w:p>
        </w:tc>
        <w:tc>
          <w:tcPr>
            <w:tcW w:w="712" w:type="pct"/>
            <w:noWrap w:val="0"/>
            <w:vAlign w:val="top"/>
          </w:tcPr>
          <w:p w14:paraId="02AAC7A4">
            <w:pPr>
              <w:autoSpaceDE w:val="0"/>
              <w:autoSpaceDN w:val="0"/>
              <w:spacing w:line="360" w:lineRule="auto"/>
              <w:jc w:val="center"/>
              <w:rPr>
                <w:rFonts w:hint="eastAsia" w:ascii="宋体" w:hAnsi="宋体" w:eastAsia="宋体" w:cs="宋体"/>
                <w:color w:val="auto"/>
                <w:sz w:val="24"/>
                <w:szCs w:val="24"/>
                <w:highlight w:val="none"/>
              </w:rPr>
            </w:pPr>
          </w:p>
        </w:tc>
        <w:tc>
          <w:tcPr>
            <w:tcW w:w="876" w:type="pct"/>
            <w:noWrap w:val="0"/>
            <w:vAlign w:val="top"/>
          </w:tcPr>
          <w:p w14:paraId="488EAB0F">
            <w:pPr>
              <w:autoSpaceDE w:val="0"/>
              <w:autoSpaceDN w:val="0"/>
              <w:spacing w:line="360" w:lineRule="auto"/>
              <w:jc w:val="center"/>
              <w:rPr>
                <w:rFonts w:hint="eastAsia" w:ascii="宋体" w:hAnsi="宋体" w:eastAsia="宋体" w:cs="宋体"/>
                <w:color w:val="auto"/>
                <w:sz w:val="24"/>
                <w:szCs w:val="24"/>
                <w:highlight w:val="none"/>
              </w:rPr>
            </w:pPr>
          </w:p>
        </w:tc>
      </w:tr>
      <w:tr w14:paraId="33E6A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pct"/>
            <w:noWrap w:val="0"/>
            <w:vAlign w:val="top"/>
          </w:tcPr>
          <w:p w14:paraId="647CDC73">
            <w:pPr>
              <w:autoSpaceDE w:val="0"/>
              <w:autoSpaceDN w:val="0"/>
              <w:spacing w:line="360" w:lineRule="auto"/>
              <w:jc w:val="center"/>
              <w:rPr>
                <w:rFonts w:hint="eastAsia" w:ascii="宋体" w:hAnsi="宋体" w:eastAsia="宋体" w:cs="宋体"/>
                <w:color w:val="auto"/>
                <w:sz w:val="24"/>
                <w:szCs w:val="24"/>
                <w:highlight w:val="none"/>
              </w:rPr>
            </w:pPr>
          </w:p>
        </w:tc>
        <w:tc>
          <w:tcPr>
            <w:tcW w:w="1337" w:type="pct"/>
            <w:noWrap w:val="0"/>
            <w:vAlign w:val="top"/>
          </w:tcPr>
          <w:p w14:paraId="2066FFF3">
            <w:pPr>
              <w:autoSpaceDE w:val="0"/>
              <w:autoSpaceDN w:val="0"/>
              <w:spacing w:line="360" w:lineRule="auto"/>
              <w:jc w:val="center"/>
              <w:rPr>
                <w:rFonts w:hint="eastAsia" w:ascii="宋体" w:hAnsi="宋体" w:eastAsia="宋体" w:cs="宋体"/>
                <w:color w:val="auto"/>
                <w:sz w:val="24"/>
                <w:szCs w:val="24"/>
                <w:highlight w:val="none"/>
              </w:rPr>
            </w:pPr>
          </w:p>
        </w:tc>
        <w:tc>
          <w:tcPr>
            <w:tcW w:w="730" w:type="pct"/>
            <w:noWrap w:val="0"/>
            <w:vAlign w:val="top"/>
          </w:tcPr>
          <w:p w14:paraId="5DA68D02">
            <w:pPr>
              <w:autoSpaceDE w:val="0"/>
              <w:autoSpaceDN w:val="0"/>
              <w:spacing w:line="360" w:lineRule="auto"/>
              <w:jc w:val="center"/>
              <w:rPr>
                <w:rFonts w:hint="eastAsia" w:ascii="宋体" w:hAnsi="宋体" w:eastAsia="宋体" w:cs="宋体"/>
                <w:color w:val="auto"/>
                <w:sz w:val="24"/>
                <w:szCs w:val="24"/>
                <w:highlight w:val="none"/>
              </w:rPr>
            </w:pPr>
          </w:p>
        </w:tc>
        <w:tc>
          <w:tcPr>
            <w:tcW w:w="870" w:type="pct"/>
            <w:noWrap w:val="0"/>
            <w:vAlign w:val="top"/>
          </w:tcPr>
          <w:p w14:paraId="202EA97F">
            <w:pPr>
              <w:autoSpaceDE w:val="0"/>
              <w:autoSpaceDN w:val="0"/>
              <w:spacing w:line="360" w:lineRule="auto"/>
              <w:jc w:val="center"/>
              <w:rPr>
                <w:rFonts w:hint="eastAsia" w:ascii="宋体" w:hAnsi="宋体" w:eastAsia="宋体" w:cs="宋体"/>
                <w:color w:val="auto"/>
                <w:sz w:val="24"/>
                <w:szCs w:val="24"/>
                <w:highlight w:val="none"/>
              </w:rPr>
            </w:pPr>
          </w:p>
        </w:tc>
        <w:tc>
          <w:tcPr>
            <w:tcW w:w="712" w:type="pct"/>
            <w:noWrap w:val="0"/>
            <w:vAlign w:val="top"/>
          </w:tcPr>
          <w:p w14:paraId="5CF63279">
            <w:pPr>
              <w:autoSpaceDE w:val="0"/>
              <w:autoSpaceDN w:val="0"/>
              <w:spacing w:line="360" w:lineRule="auto"/>
              <w:jc w:val="center"/>
              <w:rPr>
                <w:rFonts w:hint="eastAsia" w:ascii="宋体" w:hAnsi="宋体" w:eastAsia="宋体" w:cs="宋体"/>
                <w:color w:val="auto"/>
                <w:sz w:val="24"/>
                <w:szCs w:val="24"/>
                <w:highlight w:val="none"/>
              </w:rPr>
            </w:pPr>
          </w:p>
        </w:tc>
        <w:tc>
          <w:tcPr>
            <w:tcW w:w="876" w:type="pct"/>
            <w:noWrap w:val="0"/>
            <w:vAlign w:val="top"/>
          </w:tcPr>
          <w:p w14:paraId="08595722">
            <w:pPr>
              <w:autoSpaceDE w:val="0"/>
              <w:autoSpaceDN w:val="0"/>
              <w:spacing w:line="360" w:lineRule="auto"/>
              <w:jc w:val="center"/>
              <w:rPr>
                <w:rFonts w:hint="eastAsia" w:ascii="宋体" w:hAnsi="宋体" w:eastAsia="宋体" w:cs="宋体"/>
                <w:color w:val="auto"/>
                <w:sz w:val="24"/>
                <w:szCs w:val="24"/>
                <w:highlight w:val="none"/>
              </w:rPr>
            </w:pPr>
          </w:p>
        </w:tc>
      </w:tr>
      <w:tr w14:paraId="52FCD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pct"/>
            <w:noWrap w:val="0"/>
            <w:vAlign w:val="top"/>
          </w:tcPr>
          <w:p w14:paraId="18DDA4BA">
            <w:pPr>
              <w:autoSpaceDE w:val="0"/>
              <w:autoSpaceDN w:val="0"/>
              <w:spacing w:line="360" w:lineRule="auto"/>
              <w:jc w:val="center"/>
              <w:rPr>
                <w:rFonts w:hint="eastAsia" w:ascii="宋体" w:hAnsi="宋体" w:eastAsia="宋体" w:cs="宋体"/>
                <w:color w:val="auto"/>
                <w:sz w:val="24"/>
                <w:szCs w:val="24"/>
                <w:highlight w:val="none"/>
              </w:rPr>
            </w:pPr>
          </w:p>
        </w:tc>
        <w:tc>
          <w:tcPr>
            <w:tcW w:w="1337" w:type="pct"/>
            <w:noWrap w:val="0"/>
            <w:vAlign w:val="top"/>
          </w:tcPr>
          <w:p w14:paraId="1F429AD0">
            <w:pPr>
              <w:autoSpaceDE w:val="0"/>
              <w:autoSpaceDN w:val="0"/>
              <w:spacing w:line="360" w:lineRule="auto"/>
              <w:jc w:val="center"/>
              <w:rPr>
                <w:rFonts w:hint="eastAsia" w:ascii="宋体" w:hAnsi="宋体" w:eastAsia="宋体" w:cs="宋体"/>
                <w:color w:val="auto"/>
                <w:sz w:val="24"/>
                <w:szCs w:val="24"/>
                <w:highlight w:val="none"/>
              </w:rPr>
            </w:pPr>
          </w:p>
        </w:tc>
        <w:tc>
          <w:tcPr>
            <w:tcW w:w="730" w:type="pct"/>
            <w:noWrap w:val="0"/>
            <w:vAlign w:val="top"/>
          </w:tcPr>
          <w:p w14:paraId="51E20AD8">
            <w:pPr>
              <w:autoSpaceDE w:val="0"/>
              <w:autoSpaceDN w:val="0"/>
              <w:spacing w:line="360" w:lineRule="auto"/>
              <w:jc w:val="center"/>
              <w:rPr>
                <w:rFonts w:hint="eastAsia" w:ascii="宋体" w:hAnsi="宋体" w:eastAsia="宋体" w:cs="宋体"/>
                <w:color w:val="auto"/>
                <w:sz w:val="24"/>
                <w:szCs w:val="24"/>
                <w:highlight w:val="none"/>
              </w:rPr>
            </w:pPr>
          </w:p>
        </w:tc>
        <w:tc>
          <w:tcPr>
            <w:tcW w:w="870" w:type="pct"/>
            <w:noWrap w:val="0"/>
            <w:vAlign w:val="top"/>
          </w:tcPr>
          <w:p w14:paraId="0E365E81">
            <w:pPr>
              <w:autoSpaceDE w:val="0"/>
              <w:autoSpaceDN w:val="0"/>
              <w:spacing w:line="360" w:lineRule="auto"/>
              <w:jc w:val="center"/>
              <w:rPr>
                <w:rFonts w:hint="eastAsia" w:ascii="宋体" w:hAnsi="宋体" w:eastAsia="宋体" w:cs="宋体"/>
                <w:color w:val="auto"/>
                <w:sz w:val="24"/>
                <w:szCs w:val="24"/>
                <w:highlight w:val="none"/>
              </w:rPr>
            </w:pPr>
          </w:p>
        </w:tc>
        <w:tc>
          <w:tcPr>
            <w:tcW w:w="712" w:type="pct"/>
            <w:noWrap w:val="0"/>
            <w:vAlign w:val="top"/>
          </w:tcPr>
          <w:p w14:paraId="2A194CE3">
            <w:pPr>
              <w:autoSpaceDE w:val="0"/>
              <w:autoSpaceDN w:val="0"/>
              <w:spacing w:line="360" w:lineRule="auto"/>
              <w:jc w:val="center"/>
              <w:rPr>
                <w:rFonts w:hint="eastAsia" w:ascii="宋体" w:hAnsi="宋体" w:eastAsia="宋体" w:cs="宋体"/>
                <w:color w:val="auto"/>
                <w:sz w:val="24"/>
                <w:szCs w:val="24"/>
                <w:highlight w:val="none"/>
              </w:rPr>
            </w:pPr>
          </w:p>
        </w:tc>
        <w:tc>
          <w:tcPr>
            <w:tcW w:w="876" w:type="pct"/>
            <w:noWrap w:val="0"/>
            <w:vAlign w:val="top"/>
          </w:tcPr>
          <w:p w14:paraId="340A4E66">
            <w:pPr>
              <w:autoSpaceDE w:val="0"/>
              <w:autoSpaceDN w:val="0"/>
              <w:spacing w:line="360" w:lineRule="auto"/>
              <w:jc w:val="center"/>
              <w:rPr>
                <w:rFonts w:hint="eastAsia" w:ascii="宋体" w:hAnsi="宋体" w:eastAsia="宋体" w:cs="宋体"/>
                <w:color w:val="auto"/>
                <w:sz w:val="24"/>
                <w:szCs w:val="24"/>
                <w:highlight w:val="none"/>
              </w:rPr>
            </w:pPr>
          </w:p>
        </w:tc>
      </w:tr>
    </w:tbl>
    <w:p w14:paraId="04B8ABE8">
      <w:pPr>
        <w:autoSpaceDE w:val="0"/>
        <w:autoSpaceDN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注：关于项目涉及的所有服务机构均在本表注明，包括供应商本单位和符合条件的第三方</w:t>
      </w:r>
      <w:r>
        <w:rPr>
          <w:rFonts w:hint="eastAsia" w:ascii="宋体" w:hAnsi="宋体" w:eastAsia="宋体" w:cs="宋体"/>
          <w:b/>
          <w:color w:val="auto"/>
          <w:sz w:val="24"/>
          <w:szCs w:val="24"/>
          <w:highlight w:val="none"/>
          <w:lang w:val="en-US" w:eastAsia="zh-CN"/>
        </w:rPr>
        <w:t>服务</w:t>
      </w:r>
      <w:r>
        <w:rPr>
          <w:rFonts w:hint="eastAsia" w:ascii="宋体" w:hAnsi="宋体" w:eastAsia="宋体" w:cs="宋体"/>
          <w:b/>
          <w:color w:val="auto"/>
          <w:sz w:val="24"/>
          <w:szCs w:val="24"/>
          <w:highlight w:val="none"/>
        </w:rPr>
        <w:t>机构；</w:t>
      </w:r>
    </w:p>
    <w:p w14:paraId="37D3642E">
      <w:pPr>
        <w:autoSpaceDE w:val="0"/>
        <w:autoSpaceDN w:val="0"/>
        <w:spacing w:line="360" w:lineRule="auto"/>
        <w:rPr>
          <w:rFonts w:hint="eastAsia" w:ascii="宋体" w:hAnsi="宋体" w:eastAsia="宋体" w:cs="宋体"/>
          <w:color w:val="auto"/>
          <w:kern w:val="0"/>
          <w:sz w:val="24"/>
          <w:szCs w:val="24"/>
          <w:highlight w:val="none"/>
        </w:rPr>
      </w:pPr>
    </w:p>
    <w:p w14:paraId="36441F84">
      <w:pPr>
        <w:autoSpaceDE w:val="0"/>
        <w:autoSpaceDN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附表B：</w:t>
      </w:r>
      <w:r>
        <w:rPr>
          <w:rFonts w:hint="eastAsia" w:ascii="宋体" w:hAnsi="宋体" w:eastAsia="宋体" w:cs="宋体"/>
          <w:b/>
          <w:color w:val="auto"/>
          <w:kern w:val="0"/>
          <w:sz w:val="24"/>
          <w:szCs w:val="24"/>
          <w:highlight w:val="none"/>
          <w:lang w:eastAsia="zh-CN"/>
        </w:rPr>
        <w:t>技术</w:t>
      </w:r>
      <w:r>
        <w:rPr>
          <w:rFonts w:hint="eastAsia" w:ascii="宋体" w:hAnsi="宋体" w:eastAsia="宋体" w:cs="宋体"/>
          <w:b/>
          <w:color w:val="auto"/>
          <w:kern w:val="0"/>
          <w:sz w:val="24"/>
          <w:szCs w:val="24"/>
          <w:highlight w:val="none"/>
        </w:rPr>
        <w:t>服务人员情况表</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参照</w:t>
      </w:r>
      <w:r>
        <w:rPr>
          <w:rFonts w:hint="eastAsia" w:ascii="宋体" w:hAnsi="宋体" w:eastAsia="宋体" w:cs="宋体"/>
          <w:color w:val="auto"/>
          <w:sz w:val="24"/>
          <w:szCs w:val="24"/>
          <w:highlight w:val="none"/>
        </w:rPr>
        <w:t>此格式自制）</w:t>
      </w:r>
    </w:p>
    <w:tbl>
      <w:tblPr>
        <w:tblStyle w:val="32"/>
        <w:tblW w:w="10002" w:type="dxa"/>
        <w:jc w:val="center"/>
        <w:tblLayout w:type="fixed"/>
        <w:tblCellMar>
          <w:top w:w="0" w:type="dxa"/>
          <w:left w:w="108" w:type="dxa"/>
          <w:bottom w:w="0" w:type="dxa"/>
          <w:right w:w="108" w:type="dxa"/>
        </w:tblCellMar>
      </w:tblPr>
      <w:tblGrid>
        <w:gridCol w:w="646"/>
        <w:gridCol w:w="746"/>
        <w:gridCol w:w="787"/>
        <w:gridCol w:w="412"/>
        <w:gridCol w:w="900"/>
        <w:gridCol w:w="1080"/>
        <w:gridCol w:w="1080"/>
        <w:gridCol w:w="1080"/>
        <w:gridCol w:w="1260"/>
        <w:gridCol w:w="900"/>
        <w:gridCol w:w="1111"/>
      </w:tblGrid>
      <w:tr w14:paraId="312DD3AE">
        <w:tblPrEx>
          <w:tblCellMar>
            <w:top w:w="0" w:type="dxa"/>
            <w:left w:w="108" w:type="dxa"/>
            <w:bottom w:w="0" w:type="dxa"/>
            <w:right w:w="108" w:type="dxa"/>
          </w:tblCellMar>
        </w:tblPrEx>
        <w:trPr>
          <w:jc w:val="center"/>
        </w:trPr>
        <w:tc>
          <w:tcPr>
            <w:tcW w:w="646" w:type="dxa"/>
            <w:tcBorders>
              <w:top w:val="single" w:color="auto" w:sz="6" w:space="0"/>
              <w:left w:val="single" w:color="auto" w:sz="6" w:space="0"/>
              <w:bottom w:val="single" w:color="auto" w:sz="6" w:space="0"/>
              <w:right w:val="single" w:color="auto" w:sz="4" w:space="0"/>
            </w:tcBorders>
            <w:noWrap w:val="0"/>
            <w:vAlign w:val="center"/>
          </w:tcPr>
          <w:p w14:paraId="3131D76A">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746" w:type="dxa"/>
            <w:tcBorders>
              <w:top w:val="single" w:color="auto" w:sz="6" w:space="0"/>
              <w:left w:val="single" w:color="auto" w:sz="4" w:space="0"/>
              <w:bottom w:val="single" w:color="auto" w:sz="6" w:space="0"/>
              <w:right w:val="single" w:color="auto" w:sz="6" w:space="0"/>
            </w:tcBorders>
            <w:noWrap w:val="0"/>
            <w:vAlign w:val="center"/>
          </w:tcPr>
          <w:p w14:paraId="73B3C7DD">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类别</w:t>
            </w:r>
          </w:p>
        </w:tc>
        <w:tc>
          <w:tcPr>
            <w:tcW w:w="787" w:type="dxa"/>
            <w:tcBorders>
              <w:top w:val="single" w:color="auto" w:sz="6" w:space="0"/>
              <w:left w:val="single" w:color="auto" w:sz="6" w:space="0"/>
              <w:bottom w:val="single" w:color="auto" w:sz="6" w:space="0"/>
              <w:right w:val="single" w:color="auto" w:sz="6" w:space="0"/>
            </w:tcBorders>
            <w:noWrap w:val="0"/>
            <w:vAlign w:val="center"/>
          </w:tcPr>
          <w:p w14:paraId="1CEDB8C0">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412" w:type="dxa"/>
            <w:tcBorders>
              <w:top w:val="single" w:color="auto" w:sz="6" w:space="0"/>
              <w:left w:val="single" w:color="auto" w:sz="6" w:space="0"/>
              <w:bottom w:val="single" w:color="auto" w:sz="6" w:space="0"/>
              <w:right w:val="single" w:color="auto" w:sz="6" w:space="0"/>
            </w:tcBorders>
            <w:noWrap w:val="0"/>
            <w:vAlign w:val="center"/>
          </w:tcPr>
          <w:p w14:paraId="4DD8B944">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性别</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019D0CB6">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年龄</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75D64CD0">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学历</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30158AFB">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7CFD15E7">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r>
              <w:rPr>
                <w:rFonts w:hint="eastAsia" w:ascii="宋体" w:hAnsi="宋体" w:eastAsia="宋体" w:cs="宋体"/>
                <w:color w:val="auto"/>
                <w:sz w:val="24"/>
                <w:szCs w:val="24"/>
                <w:highlight w:val="none"/>
                <w:lang w:val="en-US" w:eastAsia="zh-CN"/>
              </w:rPr>
              <w:t>/职业资格证书</w:t>
            </w:r>
          </w:p>
        </w:tc>
        <w:tc>
          <w:tcPr>
            <w:tcW w:w="1260" w:type="dxa"/>
            <w:tcBorders>
              <w:top w:val="single" w:color="auto" w:sz="6" w:space="0"/>
              <w:left w:val="single" w:color="auto" w:sz="6" w:space="0"/>
              <w:bottom w:val="single" w:color="auto" w:sz="6" w:space="0"/>
              <w:right w:val="single" w:color="auto" w:sz="6" w:space="0"/>
            </w:tcBorders>
            <w:noWrap w:val="0"/>
            <w:vAlign w:val="center"/>
          </w:tcPr>
          <w:p w14:paraId="41209788">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4839BF25">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响应时间</w:t>
            </w:r>
          </w:p>
        </w:tc>
        <w:tc>
          <w:tcPr>
            <w:tcW w:w="1111" w:type="dxa"/>
            <w:tcBorders>
              <w:top w:val="single" w:color="auto" w:sz="6" w:space="0"/>
              <w:left w:val="single" w:color="auto" w:sz="6" w:space="0"/>
              <w:bottom w:val="single" w:color="auto" w:sz="6" w:space="0"/>
              <w:right w:val="single" w:color="auto" w:sz="6" w:space="0"/>
            </w:tcBorders>
            <w:noWrap w:val="0"/>
            <w:vAlign w:val="center"/>
          </w:tcPr>
          <w:p w14:paraId="6FA28BFB">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到达现场时间</w:t>
            </w:r>
          </w:p>
        </w:tc>
      </w:tr>
      <w:tr w14:paraId="7F648914">
        <w:tblPrEx>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3C2886F8">
            <w:pPr>
              <w:autoSpaceDE w:val="0"/>
              <w:autoSpaceDN w:val="0"/>
              <w:spacing w:line="360" w:lineRule="auto"/>
              <w:jc w:val="center"/>
              <w:rPr>
                <w:rFonts w:hint="eastAsia" w:ascii="宋体" w:hAnsi="宋体" w:eastAsia="宋体" w:cs="宋体"/>
                <w:color w:val="auto"/>
                <w:sz w:val="24"/>
                <w:szCs w:val="24"/>
                <w:highlight w:val="none"/>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6EA31058">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总协调人</w:t>
            </w:r>
          </w:p>
        </w:tc>
        <w:tc>
          <w:tcPr>
            <w:tcW w:w="787" w:type="dxa"/>
            <w:tcBorders>
              <w:top w:val="single" w:color="auto" w:sz="6" w:space="0"/>
              <w:left w:val="single" w:color="auto" w:sz="6" w:space="0"/>
              <w:bottom w:val="single" w:color="auto" w:sz="6" w:space="0"/>
              <w:right w:val="single" w:color="auto" w:sz="6" w:space="0"/>
            </w:tcBorders>
            <w:noWrap w:val="0"/>
            <w:vAlign w:val="top"/>
          </w:tcPr>
          <w:p w14:paraId="3B6B0791">
            <w:pPr>
              <w:autoSpaceDE w:val="0"/>
              <w:autoSpaceDN w:val="0"/>
              <w:spacing w:line="360" w:lineRule="auto"/>
              <w:rPr>
                <w:rFonts w:hint="eastAsia" w:ascii="宋体" w:hAnsi="宋体" w:eastAsia="宋体" w:cs="宋体"/>
                <w:color w:val="auto"/>
                <w:sz w:val="24"/>
                <w:szCs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4874AF75">
            <w:pPr>
              <w:autoSpaceDE w:val="0"/>
              <w:autoSpaceDN w:val="0"/>
              <w:spacing w:line="360" w:lineRule="auto"/>
              <w:rPr>
                <w:rFonts w:hint="eastAsia" w:ascii="宋体" w:hAnsi="宋体" w:eastAsia="宋体" w:cs="宋体"/>
                <w:color w:val="auto"/>
                <w:sz w:val="24"/>
                <w:szCs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36C4DE01">
            <w:pPr>
              <w:autoSpaceDE w:val="0"/>
              <w:autoSpaceDN w:val="0"/>
              <w:spacing w:line="360" w:lineRule="auto"/>
              <w:rPr>
                <w:rFonts w:hint="eastAsia" w:ascii="宋体" w:hAnsi="宋体" w:eastAsia="宋体" w:cs="宋体"/>
                <w:color w:val="auto"/>
                <w:sz w:val="24"/>
                <w:szCs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5CF3B89B">
            <w:pPr>
              <w:autoSpaceDE w:val="0"/>
              <w:autoSpaceDN w:val="0"/>
              <w:spacing w:line="360" w:lineRule="auto"/>
              <w:rPr>
                <w:rFonts w:hint="eastAsia" w:ascii="宋体" w:hAnsi="宋体" w:eastAsia="宋体" w:cs="宋体"/>
                <w:color w:val="auto"/>
                <w:sz w:val="24"/>
                <w:szCs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22EA282A">
            <w:pPr>
              <w:autoSpaceDE w:val="0"/>
              <w:autoSpaceDN w:val="0"/>
              <w:spacing w:line="360" w:lineRule="auto"/>
              <w:rPr>
                <w:rFonts w:hint="eastAsia" w:ascii="宋体" w:hAnsi="宋体" w:eastAsia="宋体" w:cs="宋体"/>
                <w:color w:val="auto"/>
                <w:sz w:val="24"/>
                <w:szCs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3A7ECCBA">
            <w:pPr>
              <w:autoSpaceDE w:val="0"/>
              <w:autoSpaceDN w:val="0"/>
              <w:spacing w:line="360" w:lineRule="auto"/>
              <w:rPr>
                <w:rFonts w:hint="eastAsia" w:ascii="宋体" w:hAnsi="宋体" w:eastAsia="宋体" w:cs="宋体"/>
                <w:color w:val="auto"/>
                <w:sz w:val="24"/>
                <w:szCs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2973B4DD">
            <w:pPr>
              <w:autoSpaceDE w:val="0"/>
              <w:autoSpaceDN w:val="0"/>
              <w:spacing w:line="360" w:lineRule="auto"/>
              <w:rPr>
                <w:rFonts w:hint="eastAsia" w:ascii="宋体" w:hAnsi="宋体" w:eastAsia="宋体" w:cs="宋体"/>
                <w:color w:val="auto"/>
                <w:sz w:val="24"/>
                <w:szCs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3DF4057A">
            <w:pPr>
              <w:autoSpaceDE w:val="0"/>
              <w:autoSpaceDN w:val="0"/>
              <w:spacing w:line="360" w:lineRule="auto"/>
              <w:rPr>
                <w:rFonts w:hint="eastAsia" w:ascii="宋体" w:hAnsi="宋体" w:eastAsia="宋体" w:cs="宋体"/>
                <w:color w:val="auto"/>
                <w:sz w:val="24"/>
                <w:szCs w:val="24"/>
                <w:highlight w:val="none"/>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7088C2FC">
            <w:pPr>
              <w:autoSpaceDE w:val="0"/>
              <w:autoSpaceDN w:val="0"/>
              <w:spacing w:line="360" w:lineRule="auto"/>
              <w:rPr>
                <w:rFonts w:hint="eastAsia" w:ascii="宋体" w:hAnsi="宋体" w:eastAsia="宋体" w:cs="宋体"/>
                <w:color w:val="auto"/>
                <w:sz w:val="24"/>
                <w:szCs w:val="24"/>
                <w:highlight w:val="none"/>
              </w:rPr>
            </w:pPr>
          </w:p>
        </w:tc>
      </w:tr>
      <w:tr w14:paraId="0FBFCD4F">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1B553501">
            <w:pPr>
              <w:autoSpaceDE w:val="0"/>
              <w:autoSpaceDN w:val="0"/>
              <w:spacing w:line="360" w:lineRule="auto"/>
              <w:jc w:val="center"/>
              <w:rPr>
                <w:rFonts w:hint="eastAsia" w:ascii="宋体" w:hAnsi="宋体" w:eastAsia="宋体" w:cs="宋体"/>
                <w:color w:val="auto"/>
                <w:sz w:val="24"/>
                <w:szCs w:val="24"/>
                <w:highlight w:val="none"/>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71B53833">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技术服务</w:t>
            </w:r>
            <w:r>
              <w:rPr>
                <w:rFonts w:hint="eastAsia" w:ascii="宋体" w:hAnsi="宋体" w:eastAsia="宋体" w:cs="宋体"/>
                <w:color w:val="auto"/>
                <w:sz w:val="24"/>
                <w:szCs w:val="24"/>
                <w:highlight w:val="none"/>
              </w:rPr>
              <w:t>人员</w:t>
            </w:r>
          </w:p>
        </w:tc>
        <w:tc>
          <w:tcPr>
            <w:tcW w:w="787" w:type="dxa"/>
            <w:tcBorders>
              <w:top w:val="single" w:color="auto" w:sz="6" w:space="0"/>
              <w:left w:val="single" w:color="auto" w:sz="6" w:space="0"/>
              <w:bottom w:val="single" w:color="auto" w:sz="6" w:space="0"/>
              <w:right w:val="single" w:color="auto" w:sz="6" w:space="0"/>
            </w:tcBorders>
            <w:noWrap w:val="0"/>
            <w:vAlign w:val="top"/>
          </w:tcPr>
          <w:p w14:paraId="291B90BF">
            <w:pPr>
              <w:autoSpaceDE w:val="0"/>
              <w:autoSpaceDN w:val="0"/>
              <w:spacing w:line="360" w:lineRule="auto"/>
              <w:rPr>
                <w:rFonts w:hint="eastAsia" w:ascii="宋体" w:hAnsi="宋体" w:eastAsia="宋体" w:cs="宋体"/>
                <w:color w:val="auto"/>
                <w:sz w:val="24"/>
                <w:szCs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1E414BA5">
            <w:pPr>
              <w:autoSpaceDE w:val="0"/>
              <w:autoSpaceDN w:val="0"/>
              <w:spacing w:line="360" w:lineRule="auto"/>
              <w:rPr>
                <w:rFonts w:hint="eastAsia" w:ascii="宋体" w:hAnsi="宋体" w:eastAsia="宋体" w:cs="宋体"/>
                <w:color w:val="auto"/>
                <w:sz w:val="24"/>
                <w:szCs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123C6FE2">
            <w:pPr>
              <w:autoSpaceDE w:val="0"/>
              <w:autoSpaceDN w:val="0"/>
              <w:spacing w:line="360" w:lineRule="auto"/>
              <w:rPr>
                <w:rFonts w:hint="eastAsia" w:ascii="宋体" w:hAnsi="宋体" w:eastAsia="宋体" w:cs="宋体"/>
                <w:color w:val="auto"/>
                <w:sz w:val="24"/>
                <w:szCs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1E56FE24">
            <w:pPr>
              <w:autoSpaceDE w:val="0"/>
              <w:autoSpaceDN w:val="0"/>
              <w:spacing w:line="360" w:lineRule="auto"/>
              <w:rPr>
                <w:rFonts w:hint="eastAsia" w:ascii="宋体" w:hAnsi="宋体" w:eastAsia="宋体" w:cs="宋体"/>
                <w:color w:val="auto"/>
                <w:sz w:val="24"/>
                <w:szCs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4CC9A754">
            <w:pPr>
              <w:autoSpaceDE w:val="0"/>
              <w:autoSpaceDN w:val="0"/>
              <w:spacing w:line="360" w:lineRule="auto"/>
              <w:rPr>
                <w:rFonts w:hint="eastAsia" w:ascii="宋体" w:hAnsi="宋体" w:eastAsia="宋体" w:cs="宋体"/>
                <w:color w:val="auto"/>
                <w:sz w:val="24"/>
                <w:szCs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336C5623">
            <w:pPr>
              <w:autoSpaceDE w:val="0"/>
              <w:autoSpaceDN w:val="0"/>
              <w:spacing w:line="360" w:lineRule="auto"/>
              <w:rPr>
                <w:rFonts w:hint="eastAsia" w:ascii="宋体" w:hAnsi="宋体" w:eastAsia="宋体" w:cs="宋体"/>
                <w:color w:val="auto"/>
                <w:sz w:val="24"/>
                <w:szCs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6325681E">
            <w:pPr>
              <w:autoSpaceDE w:val="0"/>
              <w:autoSpaceDN w:val="0"/>
              <w:spacing w:line="360" w:lineRule="auto"/>
              <w:rPr>
                <w:rFonts w:hint="eastAsia" w:ascii="宋体" w:hAnsi="宋体" w:eastAsia="宋体" w:cs="宋体"/>
                <w:color w:val="auto"/>
                <w:sz w:val="24"/>
                <w:szCs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060932A0">
            <w:pPr>
              <w:autoSpaceDE w:val="0"/>
              <w:autoSpaceDN w:val="0"/>
              <w:spacing w:line="360" w:lineRule="auto"/>
              <w:rPr>
                <w:rFonts w:hint="eastAsia" w:ascii="宋体" w:hAnsi="宋体" w:eastAsia="宋体" w:cs="宋体"/>
                <w:color w:val="auto"/>
                <w:sz w:val="24"/>
                <w:szCs w:val="24"/>
                <w:highlight w:val="none"/>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23AF9A0E">
            <w:pPr>
              <w:autoSpaceDE w:val="0"/>
              <w:autoSpaceDN w:val="0"/>
              <w:spacing w:line="360" w:lineRule="auto"/>
              <w:rPr>
                <w:rFonts w:hint="eastAsia" w:ascii="宋体" w:hAnsi="宋体" w:eastAsia="宋体" w:cs="宋体"/>
                <w:color w:val="auto"/>
                <w:sz w:val="24"/>
                <w:szCs w:val="24"/>
                <w:highlight w:val="none"/>
              </w:rPr>
            </w:pPr>
          </w:p>
        </w:tc>
      </w:tr>
      <w:tr w14:paraId="125B77DE">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182DA3D2">
            <w:pPr>
              <w:autoSpaceDE w:val="0"/>
              <w:autoSpaceDN w:val="0"/>
              <w:spacing w:line="360" w:lineRule="auto"/>
              <w:jc w:val="center"/>
              <w:rPr>
                <w:rFonts w:hint="eastAsia" w:ascii="宋体" w:hAnsi="宋体" w:eastAsia="宋体" w:cs="宋体"/>
                <w:color w:val="auto"/>
                <w:sz w:val="24"/>
                <w:szCs w:val="24"/>
                <w:highlight w:val="none"/>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0605FBDA">
            <w:pPr>
              <w:autoSpaceDE w:val="0"/>
              <w:autoSpaceDN w:val="0"/>
              <w:spacing w:line="360" w:lineRule="auto"/>
              <w:jc w:val="center"/>
              <w:rPr>
                <w:rFonts w:hint="eastAsia" w:ascii="宋体" w:hAnsi="宋体" w:eastAsia="宋体" w:cs="宋体"/>
                <w:color w:val="auto"/>
                <w:sz w:val="24"/>
                <w:szCs w:val="24"/>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51546F43">
            <w:pPr>
              <w:autoSpaceDE w:val="0"/>
              <w:autoSpaceDN w:val="0"/>
              <w:spacing w:line="360" w:lineRule="auto"/>
              <w:rPr>
                <w:rFonts w:hint="eastAsia" w:ascii="宋体" w:hAnsi="宋体" w:eastAsia="宋体" w:cs="宋体"/>
                <w:color w:val="auto"/>
                <w:sz w:val="24"/>
                <w:szCs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65AA5738">
            <w:pPr>
              <w:autoSpaceDE w:val="0"/>
              <w:autoSpaceDN w:val="0"/>
              <w:spacing w:line="360" w:lineRule="auto"/>
              <w:rPr>
                <w:rFonts w:hint="eastAsia" w:ascii="宋体" w:hAnsi="宋体" w:eastAsia="宋体" w:cs="宋体"/>
                <w:color w:val="auto"/>
                <w:sz w:val="24"/>
                <w:szCs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72D9DB3E">
            <w:pPr>
              <w:autoSpaceDE w:val="0"/>
              <w:autoSpaceDN w:val="0"/>
              <w:spacing w:line="360" w:lineRule="auto"/>
              <w:rPr>
                <w:rFonts w:hint="eastAsia" w:ascii="宋体" w:hAnsi="宋体" w:eastAsia="宋体" w:cs="宋体"/>
                <w:color w:val="auto"/>
                <w:sz w:val="24"/>
                <w:szCs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0AE8F579">
            <w:pPr>
              <w:autoSpaceDE w:val="0"/>
              <w:autoSpaceDN w:val="0"/>
              <w:spacing w:line="360" w:lineRule="auto"/>
              <w:rPr>
                <w:rFonts w:hint="eastAsia" w:ascii="宋体" w:hAnsi="宋体" w:eastAsia="宋体" w:cs="宋体"/>
                <w:color w:val="auto"/>
                <w:sz w:val="24"/>
                <w:szCs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75E8C4CB">
            <w:pPr>
              <w:autoSpaceDE w:val="0"/>
              <w:autoSpaceDN w:val="0"/>
              <w:spacing w:line="360" w:lineRule="auto"/>
              <w:rPr>
                <w:rFonts w:hint="eastAsia" w:ascii="宋体" w:hAnsi="宋体" w:eastAsia="宋体" w:cs="宋体"/>
                <w:color w:val="auto"/>
                <w:sz w:val="24"/>
                <w:szCs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35CD4481">
            <w:pPr>
              <w:autoSpaceDE w:val="0"/>
              <w:autoSpaceDN w:val="0"/>
              <w:spacing w:line="360" w:lineRule="auto"/>
              <w:rPr>
                <w:rFonts w:hint="eastAsia" w:ascii="宋体" w:hAnsi="宋体" w:eastAsia="宋体" w:cs="宋体"/>
                <w:color w:val="auto"/>
                <w:sz w:val="24"/>
                <w:szCs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5C3B29F8">
            <w:pPr>
              <w:autoSpaceDE w:val="0"/>
              <w:autoSpaceDN w:val="0"/>
              <w:spacing w:line="360" w:lineRule="auto"/>
              <w:rPr>
                <w:rFonts w:hint="eastAsia" w:ascii="宋体" w:hAnsi="宋体" w:eastAsia="宋体" w:cs="宋体"/>
                <w:color w:val="auto"/>
                <w:sz w:val="24"/>
                <w:szCs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76A05C9B">
            <w:pPr>
              <w:autoSpaceDE w:val="0"/>
              <w:autoSpaceDN w:val="0"/>
              <w:spacing w:line="360" w:lineRule="auto"/>
              <w:rPr>
                <w:rFonts w:hint="eastAsia" w:ascii="宋体" w:hAnsi="宋体" w:eastAsia="宋体" w:cs="宋体"/>
                <w:color w:val="auto"/>
                <w:sz w:val="24"/>
                <w:szCs w:val="24"/>
                <w:highlight w:val="none"/>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1F1734EF">
            <w:pPr>
              <w:autoSpaceDE w:val="0"/>
              <w:autoSpaceDN w:val="0"/>
              <w:spacing w:line="360" w:lineRule="auto"/>
              <w:rPr>
                <w:rFonts w:hint="eastAsia" w:ascii="宋体" w:hAnsi="宋体" w:eastAsia="宋体" w:cs="宋体"/>
                <w:color w:val="auto"/>
                <w:sz w:val="24"/>
                <w:szCs w:val="24"/>
                <w:highlight w:val="none"/>
              </w:rPr>
            </w:pPr>
          </w:p>
        </w:tc>
      </w:tr>
      <w:tr w14:paraId="3326B22E">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2DC7159A">
            <w:pPr>
              <w:autoSpaceDE w:val="0"/>
              <w:autoSpaceDN w:val="0"/>
              <w:spacing w:line="360" w:lineRule="auto"/>
              <w:jc w:val="center"/>
              <w:rPr>
                <w:rFonts w:hint="eastAsia" w:ascii="宋体" w:hAnsi="宋体" w:eastAsia="宋体" w:cs="宋体"/>
                <w:color w:val="auto"/>
                <w:sz w:val="24"/>
                <w:szCs w:val="24"/>
                <w:highlight w:val="none"/>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5077208C">
            <w:pPr>
              <w:autoSpaceDE w:val="0"/>
              <w:autoSpaceDN w:val="0"/>
              <w:spacing w:line="360" w:lineRule="auto"/>
              <w:jc w:val="center"/>
              <w:rPr>
                <w:rFonts w:hint="eastAsia" w:ascii="宋体" w:hAnsi="宋体" w:eastAsia="宋体" w:cs="宋体"/>
                <w:color w:val="auto"/>
                <w:sz w:val="24"/>
                <w:szCs w:val="24"/>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37554840">
            <w:pPr>
              <w:autoSpaceDE w:val="0"/>
              <w:autoSpaceDN w:val="0"/>
              <w:spacing w:line="360" w:lineRule="auto"/>
              <w:rPr>
                <w:rFonts w:hint="eastAsia" w:ascii="宋体" w:hAnsi="宋体" w:eastAsia="宋体" w:cs="宋体"/>
                <w:color w:val="auto"/>
                <w:sz w:val="24"/>
                <w:szCs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1D8E6913">
            <w:pPr>
              <w:autoSpaceDE w:val="0"/>
              <w:autoSpaceDN w:val="0"/>
              <w:spacing w:line="360" w:lineRule="auto"/>
              <w:rPr>
                <w:rFonts w:hint="eastAsia" w:ascii="宋体" w:hAnsi="宋体" w:eastAsia="宋体" w:cs="宋体"/>
                <w:color w:val="auto"/>
                <w:sz w:val="24"/>
                <w:szCs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0E239A3C">
            <w:pPr>
              <w:autoSpaceDE w:val="0"/>
              <w:autoSpaceDN w:val="0"/>
              <w:spacing w:line="360" w:lineRule="auto"/>
              <w:rPr>
                <w:rFonts w:hint="eastAsia" w:ascii="宋体" w:hAnsi="宋体" w:eastAsia="宋体" w:cs="宋体"/>
                <w:color w:val="auto"/>
                <w:sz w:val="24"/>
                <w:szCs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774A9290">
            <w:pPr>
              <w:autoSpaceDE w:val="0"/>
              <w:autoSpaceDN w:val="0"/>
              <w:spacing w:line="360" w:lineRule="auto"/>
              <w:rPr>
                <w:rFonts w:hint="eastAsia" w:ascii="宋体" w:hAnsi="宋体" w:eastAsia="宋体" w:cs="宋体"/>
                <w:color w:val="auto"/>
                <w:sz w:val="24"/>
                <w:szCs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3B1580B0">
            <w:pPr>
              <w:autoSpaceDE w:val="0"/>
              <w:autoSpaceDN w:val="0"/>
              <w:spacing w:line="360" w:lineRule="auto"/>
              <w:rPr>
                <w:rFonts w:hint="eastAsia" w:ascii="宋体" w:hAnsi="宋体" w:eastAsia="宋体" w:cs="宋体"/>
                <w:color w:val="auto"/>
                <w:sz w:val="24"/>
                <w:szCs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18B77F33">
            <w:pPr>
              <w:autoSpaceDE w:val="0"/>
              <w:autoSpaceDN w:val="0"/>
              <w:spacing w:line="360" w:lineRule="auto"/>
              <w:rPr>
                <w:rFonts w:hint="eastAsia" w:ascii="宋体" w:hAnsi="宋体" w:eastAsia="宋体" w:cs="宋体"/>
                <w:color w:val="auto"/>
                <w:sz w:val="24"/>
                <w:szCs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6341858C">
            <w:pPr>
              <w:autoSpaceDE w:val="0"/>
              <w:autoSpaceDN w:val="0"/>
              <w:spacing w:line="360" w:lineRule="auto"/>
              <w:rPr>
                <w:rFonts w:hint="eastAsia" w:ascii="宋体" w:hAnsi="宋体" w:eastAsia="宋体" w:cs="宋体"/>
                <w:color w:val="auto"/>
                <w:sz w:val="24"/>
                <w:szCs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1B87CEEB">
            <w:pPr>
              <w:autoSpaceDE w:val="0"/>
              <w:autoSpaceDN w:val="0"/>
              <w:spacing w:line="360" w:lineRule="auto"/>
              <w:rPr>
                <w:rFonts w:hint="eastAsia" w:ascii="宋体" w:hAnsi="宋体" w:eastAsia="宋体" w:cs="宋体"/>
                <w:color w:val="auto"/>
                <w:sz w:val="24"/>
                <w:szCs w:val="24"/>
                <w:highlight w:val="none"/>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4FD2AC2F">
            <w:pPr>
              <w:autoSpaceDE w:val="0"/>
              <w:autoSpaceDN w:val="0"/>
              <w:spacing w:line="360" w:lineRule="auto"/>
              <w:rPr>
                <w:rFonts w:hint="eastAsia" w:ascii="宋体" w:hAnsi="宋体" w:eastAsia="宋体" w:cs="宋体"/>
                <w:color w:val="auto"/>
                <w:sz w:val="24"/>
                <w:szCs w:val="24"/>
                <w:highlight w:val="none"/>
              </w:rPr>
            </w:pPr>
          </w:p>
        </w:tc>
      </w:tr>
    </w:tbl>
    <w:p w14:paraId="1C4ABEB4">
      <w:pPr>
        <w:spacing w:line="440" w:lineRule="exact"/>
        <w:ind w:firstLine="396" w:firstLineChars="198"/>
        <w:rPr>
          <w:rFonts w:hint="eastAsia" w:ascii="宋体" w:hAnsi="宋体" w:eastAsia="宋体" w:cs="宋体"/>
          <w:color w:val="auto"/>
          <w:kern w:val="0"/>
          <w:sz w:val="20"/>
          <w:szCs w:val="21"/>
          <w:highlight w:val="none"/>
          <w:lang w:val="zh-CN" w:eastAsia="zh-CN"/>
        </w:rPr>
      </w:pPr>
    </w:p>
    <w:p w14:paraId="3D9C9682">
      <w:pPr>
        <w:spacing w:line="500" w:lineRule="exact"/>
        <w:rPr>
          <w:rFonts w:hint="eastAsia" w:ascii="宋体" w:hAnsi="宋体" w:eastAsia="宋体" w:cs="宋体"/>
          <w:color w:val="auto"/>
          <w:sz w:val="32"/>
          <w:szCs w:val="32"/>
          <w:highlight w:val="none"/>
        </w:rPr>
      </w:pPr>
    </w:p>
    <w:p w14:paraId="5AA59C11">
      <w:pPr>
        <w:autoSpaceDE w:val="0"/>
        <w:autoSpaceDN w:val="0"/>
        <w:spacing w:line="360" w:lineRule="auto"/>
        <w:ind w:left="4335" w:leftChars="1950" w:hanging="240" w:hanging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w:t>
      </w:r>
      <w:r>
        <w:rPr>
          <w:rFonts w:hint="eastAsia" w:ascii="宋体" w:hAnsi="宋体" w:eastAsia="宋体" w:cs="宋体"/>
          <w:color w:val="auto"/>
          <w:kern w:val="0"/>
          <w:sz w:val="24"/>
          <w:szCs w:val="24"/>
          <w:highlight w:val="none"/>
          <w:lang w:eastAsia="zh-CN"/>
        </w:rPr>
        <w:t>盖公章</w:t>
      </w:r>
      <w:r>
        <w:rPr>
          <w:rFonts w:hint="eastAsia" w:ascii="宋体" w:hAnsi="宋体" w:eastAsia="宋体" w:cs="宋体"/>
          <w:color w:val="auto"/>
          <w:kern w:val="0"/>
          <w:sz w:val="24"/>
          <w:szCs w:val="24"/>
          <w:highlight w:val="none"/>
        </w:rPr>
        <w:t>）：</w:t>
      </w:r>
    </w:p>
    <w:p w14:paraId="4622F7DC">
      <w:pPr>
        <w:autoSpaceDE w:val="0"/>
        <w:autoSpaceDN w:val="0"/>
        <w:spacing w:line="360" w:lineRule="auto"/>
        <w:ind w:firstLine="6480" w:firstLineChars="270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日期：  年  月   日</w:t>
      </w:r>
    </w:p>
    <w:p w14:paraId="56580254">
      <w:pPr>
        <w:snapToGrid w:val="0"/>
        <w:spacing w:line="360" w:lineRule="auto"/>
        <w:ind w:firstLine="0" w:firstLineChars="0"/>
        <w:rPr>
          <w:rFonts w:hint="eastAsia" w:ascii="宋体" w:hAnsi="宋体" w:eastAsia="宋体" w:cs="宋体"/>
          <w:b/>
          <w:color w:val="auto"/>
          <w:sz w:val="30"/>
          <w:szCs w:val="30"/>
          <w:highlight w:val="none"/>
        </w:rPr>
      </w:pPr>
    </w:p>
    <w:p w14:paraId="03D36F2D">
      <w:pP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br w:type="page"/>
      </w:r>
    </w:p>
    <w:p w14:paraId="43B44DE9">
      <w:pPr>
        <w:snapToGrid w:val="0"/>
        <w:spacing w:line="360" w:lineRule="auto"/>
        <w:ind w:firstLine="0" w:firstLineChars="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10.</w:t>
      </w:r>
      <w:r>
        <w:rPr>
          <w:rFonts w:hint="eastAsia" w:ascii="宋体" w:hAnsi="宋体" w:eastAsia="宋体" w:cs="宋体"/>
          <w:b/>
          <w:color w:val="auto"/>
          <w:sz w:val="28"/>
          <w:szCs w:val="28"/>
          <w:highlight w:val="none"/>
        </w:rPr>
        <w:t>项目实施人员一览表</w:t>
      </w:r>
      <w:r>
        <w:rPr>
          <w:rFonts w:hint="eastAsia" w:ascii="宋体" w:hAnsi="宋体" w:eastAsia="宋体" w:cs="宋体"/>
          <w:b/>
          <w:color w:val="auto"/>
          <w:sz w:val="28"/>
          <w:szCs w:val="28"/>
          <w:highlight w:val="none"/>
        </w:rPr>
        <w:t>（如有要求）</w:t>
      </w:r>
    </w:p>
    <w:p w14:paraId="1E5A59DD">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（由供应商根据采购文件要求编制）</w:t>
      </w:r>
    </w:p>
    <w:p w14:paraId="29B870F1">
      <w:pPr>
        <w:widowControl w:val="0"/>
        <w:snapToGrid w:val="0"/>
        <w:jc w:val="left"/>
        <w:rPr>
          <w:rFonts w:hint="eastAsia" w:ascii="Times New Roman" w:hAnsi="Times New Roman" w:eastAsia="宋体" w:cs="Times New Roman"/>
          <w:color w:val="auto"/>
          <w:kern w:val="0"/>
          <w:sz w:val="18"/>
          <w:szCs w:val="18"/>
          <w:highlight w:val="none"/>
          <w:lang w:val="en-US" w:eastAsia="zh-CN" w:bidi="ar-SA"/>
        </w:rPr>
      </w:pPr>
    </w:p>
    <w:p w14:paraId="246F7AFE">
      <w:pPr>
        <w:spacing w:line="360" w:lineRule="auto"/>
        <w:ind w:firstLine="0" w:firstLineChars="0"/>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所竞分标（如有则填写，无分标时填写“无”或者留空）：</w:t>
      </w:r>
      <w:r>
        <w:rPr>
          <w:rFonts w:hint="eastAsia" w:ascii="宋体" w:hAnsi="宋体" w:eastAsia="宋体" w:cs="宋体"/>
          <w:color w:val="auto"/>
          <w:sz w:val="24"/>
          <w:highlight w:val="none"/>
          <w:u w:val="single"/>
        </w:rPr>
        <w:t xml:space="preserve">             </w:t>
      </w:r>
    </w:p>
    <w:p w14:paraId="2C95E8A2">
      <w:pPr>
        <w:keepNext/>
        <w:autoSpaceDE w:val="0"/>
        <w:autoSpaceDN w:val="0"/>
        <w:spacing w:line="360" w:lineRule="auto"/>
        <w:ind w:firstLine="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附表A:本项目的项目经理情况表</w:t>
      </w:r>
    </w:p>
    <w:tbl>
      <w:tblPr>
        <w:tblStyle w:val="32"/>
        <w:tblW w:w="9105" w:type="dxa"/>
        <w:tblInd w:w="0" w:type="dxa"/>
        <w:tblLayout w:type="fixed"/>
        <w:tblCellMar>
          <w:top w:w="0" w:type="dxa"/>
          <w:left w:w="108" w:type="dxa"/>
          <w:bottom w:w="0" w:type="dxa"/>
          <w:right w:w="108" w:type="dxa"/>
        </w:tblCellMar>
      </w:tblPr>
      <w:tblGrid>
        <w:gridCol w:w="2415"/>
        <w:gridCol w:w="930"/>
        <w:gridCol w:w="1065"/>
        <w:gridCol w:w="4695"/>
      </w:tblGrid>
      <w:tr w14:paraId="7AAC4E88">
        <w:tblPrEx>
          <w:tblCellMar>
            <w:top w:w="0" w:type="dxa"/>
            <w:left w:w="108" w:type="dxa"/>
            <w:bottom w:w="0" w:type="dxa"/>
            <w:right w:w="108" w:type="dxa"/>
          </w:tblCellMar>
        </w:tblPrEx>
        <w:trPr>
          <w:trHeight w:val="604" w:hRule="atLeast"/>
        </w:trPr>
        <w:tc>
          <w:tcPr>
            <w:tcW w:w="2415" w:type="dxa"/>
            <w:tcBorders>
              <w:top w:val="single" w:color="auto" w:sz="6" w:space="0"/>
              <w:left w:val="single" w:color="auto" w:sz="6" w:space="0"/>
              <w:bottom w:val="single" w:color="auto" w:sz="6" w:space="0"/>
              <w:right w:val="single" w:color="auto" w:sz="6" w:space="0"/>
            </w:tcBorders>
            <w:noWrap w:val="0"/>
            <w:vAlign w:val="center"/>
          </w:tcPr>
          <w:p w14:paraId="4D84A4D0">
            <w:pPr>
              <w:autoSpaceDE w:val="0"/>
              <w:autoSpaceDN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姓名</w:t>
            </w:r>
          </w:p>
        </w:tc>
        <w:tc>
          <w:tcPr>
            <w:tcW w:w="930" w:type="dxa"/>
            <w:tcBorders>
              <w:top w:val="single" w:color="auto" w:sz="6" w:space="0"/>
              <w:left w:val="single" w:color="auto" w:sz="6" w:space="0"/>
              <w:bottom w:val="single" w:color="auto" w:sz="6" w:space="0"/>
              <w:right w:val="single" w:color="auto" w:sz="6" w:space="0"/>
            </w:tcBorders>
            <w:noWrap w:val="0"/>
            <w:vAlign w:val="center"/>
          </w:tcPr>
          <w:p w14:paraId="63CD6BAD">
            <w:pPr>
              <w:autoSpaceDE w:val="0"/>
              <w:autoSpaceDN w:val="0"/>
              <w:spacing w:line="360" w:lineRule="auto"/>
              <w:jc w:val="center"/>
              <w:rPr>
                <w:rFonts w:hint="eastAsia" w:ascii="宋体" w:hAnsi="宋体" w:eastAsia="宋体" w:cs="宋体"/>
                <w:color w:val="auto"/>
                <w:sz w:val="24"/>
                <w:highlight w:val="none"/>
              </w:rPr>
            </w:pPr>
          </w:p>
        </w:tc>
        <w:tc>
          <w:tcPr>
            <w:tcW w:w="1065" w:type="dxa"/>
            <w:tcBorders>
              <w:top w:val="single" w:color="auto" w:sz="6" w:space="0"/>
              <w:left w:val="single" w:color="auto" w:sz="6" w:space="0"/>
              <w:bottom w:val="single" w:color="auto" w:sz="6" w:space="0"/>
              <w:right w:val="single" w:color="auto" w:sz="6" w:space="0"/>
            </w:tcBorders>
            <w:noWrap w:val="0"/>
            <w:vAlign w:val="center"/>
          </w:tcPr>
          <w:p w14:paraId="3DE201C0">
            <w:pPr>
              <w:autoSpaceDE w:val="0"/>
              <w:autoSpaceDN w:val="0"/>
              <w:spacing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页码</w:t>
            </w:r>
          </w:p>
        </w:tc>
        <w:tc>
          <w:tcPr>
            <w:tcW w:w="4695" w:type="dxa"/>
            <w:tcBorders>
              <w:top w:val="single" w:color="auto" w:sz="6" w:space="0"/>
              <w:left w:val="single" w:color="auto" w:sz="6" w:space="0"/>
              <w:bottom w:val="single" w:color="auto" w:sz="6" w:space="0"/>
              <w:right w:val="single" w:color="auto" w:sz="6" w:space="0"/>
            </w:tcBorders>
            <w:noWrap w:val="0"/>
            <w:vAlign w:val="center"/>
          </w:tcPr>
          <w:p w14:paraId="21EFAE76">
            <w:pPr>
              <w:autoSpaceDE w:val="0"/>
              <w:autoSpaceDN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响应截止时间前三年业绩及承担的主要工作情况，曾担任项目经理的项目应列明细</w:t>
            </w:r>
            <w:r>
              <w:rPr>
                <w:rFonts w:hint="eastAsia" w:ascii="宋体" w:hAnsi="宋体" w:eastAsia="宋体" w:cs="宋体"/>
                <w:color w:val="auto"/>
                <w:sz w:val="24"/>
                <w:highlight w:val="none"/>
                <w:lang w:eastAsia="zh-CN"/>
              </w:rPr>
              <w:t>。</w:t>
            </w:r>
          </w:p>
        </w:tc>
      </w:tr>
      <w:tr w14:paraId="0982DAFC">
        <w:tblPrEx>
          <w:tblCellMar>
            <w:top w:w="0" w:type="dxa"/>
            <w:left w:w="108" w:type="dxa"/>
            <w:bottom w:w="0" w:type="dxa"/>
            <w:right w:w="108" w:type="dxa"/>
          </w:tblCellMar>
        </w:tblPrEx>
        <w:trPr>
          <w:cantSplit/>
          <w:trHeight w:val="345" w:hRule="atLeast"/>
        </w:trPr>
        <w:tc>
          <w:tcPr>
            <w:tcW w:w="2415" w:type="dxa"/>
            <w:tcBorders>
              <w:top w:val="single" w:color="auto" w:sz="6" w:space="0"/>
              <w:left w:val="single" w:color="auto" w:sz="6" w:space="0"/>
              <w:bottom w:val="single" w:color="auto" w:sz="6" w:space="0"/>
              <w:right w:val="single" w:color="auto" w:sz="6" w:space="0"/>
            </w:tcBorders>
            <w:noWrap w:val="0"/>
            <w:vAlign w:val="center"/>
          </w:tcPr>
          <w:p w14:paraId="3F959F7F">
            <w:pPr>
              <w:autoSpaceDE w:val="0"/>
              <w:autoSpaceDN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性别</w:t>
            </w:r>
          </w:p>
        </w:tc>
        <w:tc>
          <w:tcPr>
            <w:tcW w:w="930" w:type="dxa"/>
            <w:tcBorders>
              <w:top w:val="single" w:color="auto" w:sz="6" w:space="0"/>
              <w:left w:val="single" w:color="auto" w:sz="6" w:space="0"/>
              <w:bottom w:val="single" w:color="auto" w:sz="6" w:space="0"/>
              <w:right w:val="single" w:color="auto" w:sz="6" w:space="0"/>
            </w:tcBorders>
            <w:noWrap w:val="0"/>
            <w:vAlign w:val="center"/>
          </w:tcPr>
          <w:p w14:paraId="59E0538D">
            <w:pPr>
              <w:autoSpaceDE w:val="0"/>
              <w:autoSpaceDN w:val="0"/>
              <w:spacing w:line="360" w:lineRule="auto"/>
              <w:jc w:val="center"/>
              <w:rPr>
                <w:rFonts w:hint="eastAsia" w:ascii="宋体" w:hAnsi="宋体" w:eastAsia="宋体" w:cs="宋体"/>
                <w:color w:val="auto"/>
                <w:sz w:val="24"/>
                <w:szCs w:val="24"/>
                <w:highlight w:val="none"/>
              </w:rPr>
            </w:pPr>
          </w:p>
        </w:tc>
        <w:tc>
          <w:tcPr>
            <w:tcW w:w="1065" w:type="dxa"/>
            <w:tcBorders>
              <w:top w:val="single" w:color="auto" w:sz="6" w:space="0"/>
              <w:left w:val="single" w:color="auto" w:sz="6" w:space="0"/>
              <w:bottom w:val="single" w:color="auto" w:sz="6" w:space="0"/>
              <w:right w:val="single" w:color="auto" w:sz="6" w:space="0"/>
            </w:tcBorders>
            <w:noWrap w:val="0"/>
            <w:vAlign w:val="center"/>
          </w:tcPr>
          <w:p w14:paraId="4BA5B9B8">
            <w:pPr>
              <w:autoSpaceDE w:val="0"/>
              <w:autoSpaceDN w:val="0"/>
              <w:spacing w:line="360" w:lineRule="auto"/>
              <w:jc w:val="center"/>
              <w:rPr>
                <w:rFonts w:hint="eastAsia" w:ascii="宋体" w:hAnsi="宋体" w:eastAsia="宋体" w:cs="宋体"/>
                <w:color w:val="auto"/>
                <w:sz w:val="24"/>
                <w:szCs w:val="24"/>
                <w:highlight w:val="none"/>
              </w:rPr>
            </w:pPr>
          </w:p>
        </w:tc>
        <w:tc>
          <w:tcPr>
            <w:tcW w:w="4695" w:type="dxa"/>
            <w:vMerge w:val="restart"/>
            <w:tcBorders>
              <w:top w:val="single" w:color="auto" w:sz="6" w:space="0"/>
              <w:left w:val="single" w:color="auto" w:sz="6" w:space="0"/>
              <w:bottom w:val="single" w:color="auto" w:sz="6" w:space="0"/>
              <w:right w:val="single" w:color="auto" w:sz="6" w:space="0"/>
            </w:tcBorders>
            <w:noWrap w:val="0"/>
            <w:vAlign w:val="center"/>
          </w:tcPr>
          <w:p w14:paraId="5BE64AE2">
            <w:pPr>
              <w:autoSpaceDE w:val="0"/>
              <w:autoSpaceDN w:val="0"/>
              <w:spacing w:line="360" w:lineRule="auto"/>
              <w:jc w:val="center"/>
              <w:rPr>
                <w:rFonts w:hint="eastAsia" w:ascii="宋体" w:hAnsi="宋体" w:eastAsia="宋体" w:cs="宋体"/>
                <w:color w:val="auto"/>
                <w:sz w:val="24"/>
                <w:highlight w:val="none"/>
              </w:rPr>
            </w:pPr>
          </w:p>
        </w:tc>
      </w:tr>
      <w:tr w14:paraId="4C8E7933">
        <w:tblPrEx>
          <w:tblCellMar>
            <w:top w:w="0" w:type="dxa"/>
            <w:left w:w="108" w:type="dxa"/>
            <w:bottom w:w="0" w:type="dxa"/>
            <w:right w:w="108" w:type="dxa"/>
          </w:tblCellMar>
        </w:tblPrEx>
        <w:trPr>
          <w:cantSplit/>
          <w:trHeight w:val="337" w:hRule="atLeast"/>
        </w:trPr>
        <w:tc>
          <w:tcPr>
            <w:tcW w:w="2415" w:type="dxa"/>
            <w:tcBorders>
              <w:top w:val="single" w:color="auto" w:sz="6" w:space="0"/>
              <w:left w:val="single" w:color="auto" w:sz="6" w:space="0"/>
              <w:bottom w:val="single" w:color="auto" w:sz="6" w:space="0"/>
              <w:right w:val="single" w:color="auto" w:sz="6" w:space="0"/>
            </w:tcBorders>
            <w:noWrap w:val="0"/>
            <w:vAlign w:val="center"/>
          </w:tcPr>
          <w:p w14:paraId="39FD536A">
            <w:pPr>
              <w:autoSpaceDE w:val="0"/>
              <w:autoSpaceDN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年龄</w:t>
            </w:r>
          </w:p>
        </w:tc>
        <w:tc>
          <w:tcPr>
            <w:tcW w:w="930" w:type="dxa"/>
            <w:tcBorders>
              <w:top w:val="single" w:color="auto" w:sz="6" w:space="0"/>
              <w:left w:val="single" w:color="auto" w:sz="6" w:space="0"/>
              <w:bottom w:val="single" w:color="auto" w:sz="6" w:space="0"/>
              <w:right w:val="single" w:color="auto" w:sz="6" w:space="0"/>
            </w:tcBorders>
            <w:noWrap w:val="0"/>
            <w:vAlign w:val="center"/>
          </w:tcPr>
          <w:p w14:paraId="0F89873C">
            <w:pPr>
              <w:autoSpaceDE w:val="0"/>
              <w:autoSpaceDN w:val="0"/>
              <w:spacing w:line="360" w:lineRule="auto"/>
              <w:jc w:val="center"/>
              <w:rPr>
                <w:rFonts w:hint="eastAsia" w:ascii="宋体" w:hAnsi="宋体" w:eastAsia="宋体" w:cs="宋体"/>
                <w:color w:val="auto"/>
                <w:sz w:val="24"/>
                <w:szCs w:val="24"/>
                <w:highlight w:val="none"/>
              </w:rPr>
            </w:pPr>
          </w:p>
        </w:tc>
        <w:tc>
          <w:tcPr>
            <w:tcW w:w="1065" w:type="dxa"/>
            <w:tcBorders>
              <w:top w:val="single" w:color="auto" w:sz="6" w:space="0"/>
              <w:left w:val="single" w:color="auto" w:sz="6" w:space="0"/>
              <w:bottom w:val="single" w:color="auto" w:sz="6" w:space="0"/>
              <w:right w:val="single" w:color="auto" w:sz="6" w:space="0"/>
            </w:tcBorders>
            <w:noWrap w:val="0"/>
            <w:vAlign w:val="center"/>
          </w:tcPr>
          <w:p w14:paraId="30516A73">
            <w:pPr>
              <w:autoSpaceDE w:val="0"/>
              <w:autoSpaceDN w:val="0"/>
              <w:spacing w:line="360" w:lineRule="auto"/>
              <w:jc w:val="center"/>
              <w:rPr>
                <w:rFonts w:hint="eastAsia" w:ascii="宋体" w:hAnsi="宋体" w:eastAsia="宋体" w:cs="宋体"/>
                <w:color w:val="auto"/>
                <w:sz w:val="24"/>
                <w:szCs w:val="24"/>
                <w:highlight w:val="none"/>
              </w:rPr>
            </w:pPr>
          </w:p>
        </w:tc>
        <w:tc>
          <w:tcPr>
            <w:tcW w:w="4695" w:type="dxa"/>
            <w:vMerge w:val="continue"/>
            <w:tcBorders>
              <w:top w:val="single" w:color="auto" w:sz="6" w:space="0"/>
              <w:left w:val="single" w:color="auto" w:sz="6" w:space="0"/>
              <w:bottom w:val="single" w:color="auto" w:sz="6" w:space="0"/>
              <w:right w:val="single" w:color="auto" w:sz="6" w:space="0"/>
            </w:tcBorders>
            <w:noWrap w:val="0"/>
            <w:vAlign w:val="center"/>
          </w:tcPr>
          <w:p w14:paraId="1E7BCC0B">
            <w:pPr>
              <w:autoSpaceDE w:val="0"/>
              <w:autoSpaceDN w:val="0"/>
              <w:spacing w:line="360" w:lineRule="auto"/>
              <w:jc w:val="center"/>
              <w:rPr>
                <w:rFonts w:hint="eastAsia" w:ascii="宋体" w:hAnsi="宋体" w:eastAsia="宋体" w:cs="宋体"/>
                <w:color w:val="auto"/>
                <w:sz w:val="24"/>
                <w:highlight w:val="none"/>
              </w:rPr>
            </w:pPr>
          </w:p>
        </w:tc>
      </w:tr>
      <w:tr w14:paraId="7E16C65B">
        <w:tblPrEx>
          <w:tblCellMar>
            <w:top w:w="0" w:type="dxa"/>
            <w:left w:w="108" w:type="dxa"/>
            <w:bottom w:w="0" w:type="dxa"/>
            <w:right w:w="108" w:type="dxa"/>
          </w:tblCellMar>
        </w:tblPrEx>
        <w:trPr>
          <w:cantSplit/>
          <w:trHeight w:val="345" w:hRule="atLeast"/>
        </w:trPr>
        <w:tc>
          <w:tcPr>
            <w:tcW w:w="2415" w:type="dxa"/>
            <w:tcBorders>
              <w:top w:val="single" w:color="auto" w:sz="6" w:space="0"/>
              <w:left w:val="single" w:color="auto" w:sz="6" w:space="0"/>
              <w:bottom w:val="single" w:color="auto" w:sz="6" w:space="0"/>
              <w:right w:val="single" w:color="auto" w:sz="6" w:space="0"/>
            </w:tcBorders>
            <w:noWrap w:val="0"/>
            <w:vAlign w:val="center"/>
          </w:tcPr>
          <w:p w14:paraId="2B98D411">
            <w:pPr>
              <w:autoSpaceDE w:val="0"/>
              <w:autoSpaceDN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职称</w:t>
            </w:r>
            <w:r>
              <w:rPr>
                <w:rFonts w:hint="eastAsia" w:ascii="宋体" w:hAnsi="宋体" w:eastAsia="宋体" w:cs="宋体"/>
                <w:color w:val="auto"/>
                <w:sz w:val="24"/>
                <w:szCs w:val="24"/>
                <w:highlight w:val="none"/>
                <w:lang w:eastAsia="zh-CN"/>
              </w:rPr>
              <w:t>或职业资格证</w:t>
            </w:r>
            <w:r>
              <w:rPr>
                <w:rFonts w:hint="eastAsia" w:ascii="宋体" w:hAnsi="宋体" w:eastAsia="宋体" w:cs="宋体"/>
                <w:color w:val="auto"/>
                <w:sz w:val="24"/>
                <w:szCs w:val="24"/>
                <w:highlight w:val="none"/>
                <w:lang w:val="en-US" w:eastAsia="zh-CN"/>
              </w:rPr>
              <w:t>书</w:t>
            </w:r>
          </w:p>
        </w:tc>
        <w:tc>
          <w:tcPr>
            <w:tcW w:w="930" w:type="dxa"/>
            <w:tcBorders>
              <w:top w:val="single" w:color="auto" w:sz="6" w:space="0"/>
              <w:left w:val="single" w:color="auto" w:sz="6" w:space="0"/>
              <w:bottom w:val="single" w:color="auto" w:sz="6" w:space="0"/>
              <w:right w:val="single" w:color="auto" w:sz="6" w:space="0"/>
            </w:tcBorders>
            <w:noWrap w:val="0"/>
            <w:vAlign w:val="center"/>
          </w:tcPr>
          <w:p w14:paraId="067A2681">
            <w:pPr>
              <w:autoSpaceDE w:val="0"/>
              <w:autoSpaceDN w:val="0"/>
              <w:spacing w:line="360" w:lineRule="auto"/>
              <w:jc w:val="center"/>
              <w:rPr>
                <w:rFonts w:hint="eastAsia" w:ascii="宋体" w:hAnsi="宋体" w:eastAsia="宋体" w:cs="宋体"/>
                <w:color w:val="auto"/>
                <w:sz w:val="24"/>
                <w:szCs w:val="24"/>
                <w:highlight w:val="none"/>
              </w:rPr>
            </w:pPr>
          </w:p>
        </w:tc>
        <w:tc>
          <w:tcPr>
            <w:tcW w:w="1065" w:type="dxa"/>
            <w:tcBorders>
              <w:top w:val="single" w:color="auto" w:sz="6" w:space="0"/>
              <w:left w:val="single" w:color="auto" w:sz="6" w:space="0"/>
              <w:bottom w:val="single" w:color="auto" w:sz="6" w:space="0"/>
              <w:right w:val="single" w:color="auto" w:sz="6" w:space="0"/>
            </w:tcBorders>
            <w:noWrap w:val="0"/>
            <w:vAlign w:val="center"/>
          </w:tcPr>
          <w:p w14:paraId="26065EFF">
            <w:pPr>
              <w:autoSpaceDE w:val="0"/>
              <w:autoSpaceDN w:val="0"/>
              <w:spacing w:line="360" w:lineRule="auto"/>
              <w:jc w:val="center"/>
              <w:rPr>
                <w:rFonts w:hint="eastAsia" w:ascii="宋体" w:hAnsi="宋体" w:eastAsia="宋体" w:cs="宋体"/>
                <w:color w:val="auto"/>
                <w:sz w:val="24"/>
                <w:szCs w:val="24"/>
                <w:highlight w:val="none"/>
              </w:rPr>
            </w:pPr>
          </w:p>
        </w:tc>
        <w:tc>
          <w:tcPr>
            <w:tcW w:w="4695" w:type="dxa"/>
            <w:vMerge w:val="continue"/>
            <w:tcBorders>
              <w:top w:val="single" w:color="auto" w:sz="6" w:space="0"/>
              <w:left w:val="single" w:color="auto" w:sz="6" w:space="0"/>
              <w:bottom w:val="single" w:color="auto" w:sz="6" w:space="0"/>
              <w:right w:val="single" w:color="auto" w:sz="6" w:space="0"/>
            </w:tcBorders>
            <w:noWrap w:val="0"/>
            <w:vAlign w:val="center"/>
          </w:tcPr>
          <w:p w14:paraId="7F4AAE23">
            <w:pPr>
              <w:autoSpaceDE w:val="0"/>
              <w:autoSpaceDN w:val="0"/>
              <w:spacing w:line="360" w:lineRule="auto"/>
              <w:jc w:val="center"/>
              <w:rPr>
                <w:rFonts w:hint="eastAsia" w:ascii="宋体" w:hAnsi="宋体" w:eastAsia="宋体" w:cs="宋体"/>
                <w:color w:val="auto"/>
                <w:sz w:val="24"/>
                <w:highlight w:val="none"/>
              </w:rPr>
            </w:pPr>
          </w:p>
        </w:tc>
      </w:tr>
      <w:tr w14:paraId="380BD4A9">
        <w:tblPrEx>
          <w:tblCellMar>
            <w:top w:w="0" w:type="dxa"/>
            <w:left w:w="108" w:type="dxa"/>
            <w:bottom w:w="0" w:type="dxa"/>
            <w:right w:w="108" w:type="dxa"/>
          </w:tblCellMar>
        </w:tblPrEx>
        <w:trPr>
          <w:cantSplit/>
          <w:trHeight w:val="345" w:hRule="atLeast"/>
        </w:trPr>
        <w:tc>
          <w:tcPr>
            <w:tcW w:w="2415" w:type="dxa"/>
            <w:tcBorders>
              <w:top w:val="single" w:color="auto" w:sz="6" w:space="0"/>
              <w:left w:val="single" w:color="auto" w:sz="6" w:space="0"/>
              <w:bottom w:val="single" w:color="auto" w:sz="6" w:space="0"/>
              <w:right w:val="single" w:color="auto" w:sz="6" w:space="0"/>
            </w:tcBorders>
            <w:noWrap w:val="0"/>
            <w:vAlign w:val="center"/>
          </w:tcPr>
          <w:p w14:paraId="27640BD1">
            <w:pPr>
              <w:autoSpaceDE w:val="0"/>
              <w:autoSpaceDN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学历</w:t>
            </w:r>
          </w:p>
        </w:tc>
        <w:tc>
          <w:tcPr>
            <w:tcW w:w="930" w:type="dxa"/>
            <w:tcBorders>
              <w:top w:val="single" w:color="auto" w:sz="6" w:space="0"/>
              <w:left w:val="single" w:color="auto" w:sz="6" w:space="0"/>
              <w:bottom w:val="single" w:color="auto" w:sz="6" w:space="0"/>
              <w:right w:val="single" w:color="auto" w:sz="6" w:space="0"/>
            </w:tcBorders>
            <w:noWrap w:val="0"/>
            <w:vAlign w:val="center"/>
          </w:tcPr>
          <w:p w14:paraId="1DBE4496">
            <w:pPr>
              <w:autoSpaceDE w:val="0"/>
              <w:autoSpaceDN w:val="0"/>
              <w:spacing w:line="360" w:lineRule="auto"/>
              <w:jc w:val="center"/>
              <w:rPr>
                <w:rFonts w:hint="eastAsia" w:ascii="宋体" w:hAnsi="宋体" w:eastAsia="宋体" w:cs="宋体"/>
                <w:color w:val="auto"/>
                <w:sz w:val="24"/>
                <w:szCs w:val="24"/>
                <w:highlight w:val="none"/>
                <w:lang w:val="en-US" w:eastAsia="zh-CN"/>
              </w:rPr>
            </w:pPr>
          </w:p>
        </w:tc>
        <w:tc>
          <w:tcPr>
            <w:tcW w:w="1065" w:type="dxa"/>
            <w:tcBorders>
              <w:top w:val="single" w:color="auto" w:sz="6" w:space="0"/>
              <w:left w:val="single" w:color="auto" w:sz="6" w:space="0"/>
              <w:bottom w:val="single" w:color="auto" w:sz="6" w:space="0"/>
              <w:right w:val="single" w:color="auto" w:sz="6" w:space="0"/>
            </w:tcBorders>
            <w:noWrap w:val="0"/>
            <w:vAlign w:val="center"/>
          </w:tcPr>
          <w:p w14:paraId="09B19043">
            <w:pPr>
              <w:autoSpaceDE w:val="0"/>
              <w:autoSpaceDN w:val="0"/>
              <w:spacing w:line="360" w:lineRule="auto"/>
              <w:jc w:val="center"/>
              <w:rPr>
                <w:rFonts w:hint="eastAsia" w:ascii="宋体" w:hAnsi="宋体" w:eastAsia="宋体" w:cs="宋体"/>
                <w:color w:val="auto"/>
                <w:sz w:val="24"/>
                <w:szCs w:val="24"/>
                <w:highlight w:val="none"/>
                <w:lang w:val="en-US" w:eastAsia="zh-CN"/>
              </w:rPr>
            </w:pPr>
          </w:p>
        </w:tc>
        <w:tc>
          <w:tcPr>
            <w:tcW w:w="4695" w:type="dxa"/>
            <w:vMerge w:val="continue"/>
            <w:tcBorders>
              <w:top w:val="single" w:color="auto" w:sz="6" w:space="0"/>
              <w:left w:val="single" w:color="auto" w:sz="6" w:space="0"/>
              <w:bottom w:val="single" w:color="auto" w:sz="6" w:space="0"/>
              <w:right w:val="single" w:color="auto" w:sz="6" w:space="0"/>
            </w:tcBorders>
            <w:noWrap w:val="0"/>
            <w:vAlign w:val="center"/>
          </w:tcPr>
          <w:p w14:paraId="6873B3C9">
            <w:pPr>
              <w:autoSpaceDE w:val="0"/>
              <w:autoSpaceDN w:val="0"/>
              <w:spacing w:line="360" w:lineRule="auto"/>
              <w:jc w:val="center"/>
              <w:rPr>
                <w:rFonts w:hint="eastAsia" w:ascii="宋体" w:hAnsi="宋体" w:eastAsia="宋体" w:cs="宋体"/>
                <w:color w:val="auto"/>
                <w:sz w:val="24"/>
                <w:highlight w:val="none"/>
              </w:rPr>
            </w:pPr>
          </w:p>
        </w:tc>
      </w:tr>
      <w:tr w14:paraId="4F5AA082">
        <w:tblPrEx>
          <w:tblCellMar>
            <w:top w:w="0" w:type="dxa"/>
            <w:left w:w="108" w:type="dxa"/>
            <w:bottom w:w="0" w:type="dxa"/>
            <w:right w:w="108" w:type="dxa"/>
          </w:tblCellMar>
        </w:tblPrEx>
        <w:trPr>
          <w:cantSplit/>
          <w:trHeight w:val="422" w:hRule="atLeast"/>
        </w:trPr>
        <w:tc>
          <w:tcPr>
            <w:tcW w:w="2415" w:type="dxa"/>
            <w:tcBorders>
              <w:top w:val="single" w:color="auto" w:sz="6" w:space="0"/>
              <w:left w:val="single" w:color="auto" w:sz="6" w:space="0"/>
              <w:bottom w:val="single" w:color="auto" w:sz="6" w:space="0"/>
              <w:right w:val="single" w:color="auto" w:sz="6" w:space="0"/>
            </w:tcBorders>
            <w:noWrap w:val="0"/>
            <w:vAlign w:val="center"/>
          </w:tcPr>
          <w:p w14:paraId="05675E0E">
            <w:pPr>
              <w:autoSpaceDE w:val="0"/>
              <w:autoSpaceDN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专业</w:t>
            </w:r>
          </w:p>
        </w:tc>
        <w:tc>
          <w:tcPr>
            <w:tcW w:w="930" w:type="dxa"/>
            <w:tcBorders>
              <w:top w:val="single" w:color="auto" w:sz="6" w:space="0"/>
              <w:left w:val="single" w:color="auto" w:sz="6" w:space="0"/>
              <w:bottom w:val="single" w:color="auto" w:sz="6" w:space="0"/>
              <w:right w:val="single" w:color="auto" w:sz="6" w:space="0"/>
            </w:tcBorders>
            <w:noWrap w:val="0"/>
            <w:vAlign w:val="center"/>
          </w:tcPr>
          <w:p w14:paraId="52716A60">
            <w:pPr>
              <w:autoSpaceDE w:val="0"/>
              <w:autoSpaceDN w:val="0"/>
              <w:spacing w:line="360" w:lineRule="auto"/>
              <w:jc w:val="center"/>
              <w:rPr>
                <w:rFonts w:hint="eastAsia" w:ascii="宋体" w:hAnsi="宋体" w:eastAsia="宋体" w:cs="宋体"/>
                <w:color w:val="auto"/>
                <w:sz w:val="24"/>
                <w:szCs w:val="24"/>
                <w:highlight w:val="none"/>
              </w:rPr>
            </w:pPr>
          </w:p>
        </w:tc>
        <w:tc>
          <w:tcPr>
            <w:tcW w:w="1065" w:type="dxa"/>
            <w:tcBorders>
              <w:top w:val="single" w:color="auto" w:sz="6" w:space="0"/>
              <w:left w:val="single" w:color="auto" w:sz="6" w:space="0"/>
              <w:bottom w:val="single" w:color="auto" w:sz="6" w:space="0"/>
              <w:right w:val="single" w:color="auto" w:sz="6" w:space="0"/>
            </w:tcBorders>
            <w:noWrap w:val="0"/>
            <w:vAlign w:val="center"/>
          </w:tcPr>
          <w:p w14:paraId="0AD385D0">
            <w:pPr>
              <w:autoSpaceDE w:val="0"/>
              <w:autoSpaceDN w:val="0"/>
              <w:spacing w:line="360" w:lineRule="auto"/>
              <w:jc w:val="center"/>
              <w:rPr>
                <w:rFonts w:hint="eastAsia" w:ascii="宋体" w:hAnsi="宋体" w:eastAsia="宋体" w:cs="宋体"/>
                <w:color w:val="auto"/>
                <w:sz w:val="24"/>
                <w:szCs w:val="24"/>
                <w:highlight w:val="none"/>
              </w:rPr>
            </w:pPr>
          </w:p>
        </w:tc>
        <w:tc>
          <w:tcPr>
            <w:tcW w:w="4695" w:type="dxa"/>
            <w:vMerge w:val="continue"/>
            <w:tcBorders>
              <w:top w:val="single" w:color="auto" w:sz="6" w:space="0"/>
              <w:left w:val="single" w:color="auto" w:sz="6" w:space="0"/>
              <w:bottom w:val="single" w:color="auto" w:sz="6" w:space="0"/>
              <w:right w:val="single" w:color="auto" w:sz="6" w:space="0"/>
            </w:tcBorders>
            <w:noWrap w:val="0"/>
            <w:vAlign w:val="center"/>
          </w:tcPr>
          <w:p w14:paraId="2D8CBD52">
            <w:pPr>
              <w:autoSpaceDE w:val="0"/>
              <w:autoSpaceDN w:val="0"/>
              <w:spacing w:line="360" w:lineRule="auto"/>
              <w:jc w:val="center"/>
              <w:rPr>
                <w:rFonts w:hint="eastAsia" w:ascii="宋体" w:hAnsi="宋体" w:eastAsia="宋体" w:cs="宋体"/>
                <w:color w:val="auto"/>
                <w:sz w:val="24"/>
                <w:highlight w:val="none"/>
              </w:rPr>
            </w:pPr>
          </w:p>
        </w:tc>
      </w:tr>
      <w:tr w14:paraId="0ECD1A0E">
        <w:tblPrEx>
          <w:tblCellMar>
            <w:top w:w="0" w:type="dxa"/>
            <w:left w:w="108" w:type="dxa"/>
            <w:bottom w:w="0" w:type="dxa"/>
            <w:right w:w="108" w:type="dxa"/>
          </w:tblCellMar>
        </w:tblPrEx>
        <w:trPr>
          <w:cantSplit/>
          <w:trHeight w:val="416" w:hRule="atLeast"/>
        </w:trPr>
        <w:tc>
          <w:tcPr>
            <w:tcW w:w="2415" w:type="dxa"/>
            <w:tcBorders>
              <w:top w:val="single" w:color="auto" w:sz="6" w:space="0"/>
              <w:left w:val="single" w:color="auto" w:sz="6" w:space="0"/>
              <w:bottom w:val="single" w:color="auto" w:sz="6" w:space="0"/>
              <w:right w:val="single" w:color="auto" w:sz="6" w:space="0"/>
            </w:tcBorders>
            <w:noWrap w:val="0"/>
            <w:vAlign w:val="center"/>
          </w:tcPr>
          <w:p w14:paraId="3BD9C75F">
            <w:pPr>
              <w:autoSpaceDE w:val="0"/>
              <w:autoSpaceDN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1"/>
                <w:szCs w:val="21"/>
                <w:highlight w:val="none"/>
              </w:rPr>
              <w:t>职称</w:t>
            </w:r>
            <w:r>
              <w:rPr>
                <w:rFonts w:hint="eastAsia" w:ascii="宋体" w:hAnsi="宋体" w:eastAsia="宋体" w:cs="宋体"/>
                <w:color w:val="auto"/>
                <w:sz w:val="21"/>
                <w:szCs w:val="21"/>
                <w:highlight w:val="none"/>
                <w:lang w:eastAsia="zh-CN"/>
              </w:rPr>
              <w:t>或资格</w:t>
            </w:r>
            <w:r>
              <w:rPr>
                <w:rFonts w:hint="eastAsia" w:ascii="宋体" w:hAnsi="宋体" w:eastAsia="宋体" w:cs="宋体"/>
                <w:color w:val="auto"/>
                <w:sz w:val="21"/>
                <w:szCs w:val="21"/>
                <w:highlight w:val="none"/>
              </w:rPr>
              <w:t>证书编号</w:t>
            </w:r>
          </w:p>
        </w:tc>
        <w:tc>
          <w:tcPr>
            <w:tcW w:w="930" w:type="dxa"/>
            <w:tcBorders>
              <w:top w:val="single" w:color="auto" w:sz="6" w:space="0"/>
              <w:left w:val="single" w:color="auto" w:sz="6" w:space="0"/>
              <w:bottom w:val="single" w:color="auto" w:sz="6" w:space="0"/>
              <w:right w:val="single" w:color="auto" w:sz="6" w:space="0"/>
            </w:tcBorders>
            <w:noWrap w:val="0"/>
            <w:vAlign w:val="center"/>
          </w:tcPr>
          <w:p w14:paraId="4C2C8D18">
            <w:pPr>
              <w:autoSpaceDE w:val="0"/>
              <w:autoSpaceDN w:val="0"/>
              <w:spacing w:line="360" w:lineRule="auto"/>
              <w:jc w:val="center"/>
              <w:rPr>
                <w:rFonts w:hint="eastAsia" w:ascii="宋体" w:hAnsi="宋体" w:eastAsia="宋体" w:cs="宋体"/>
                <w:color w:val="auto"/>
                <w:sz w:val="24"/>
                <w:szCs w:val="24"/>
                <w:highlight w:val="none"/>
                <w:lang w:eastAsia="zh-CN"/>
              </w:rPr>
            </w:pPr>
          </w:p>
        </w:tc>
        <w:tc>
          <w:tcPr>
            <w:tcW w:w="1065" w:type="dxa"/>
            <w:tcBorders>
              <w:top w:val="single" w:color="auto" w:sz="6" w:space="0"/>
              <w:left w:val="single" w:color="auto" w:sz="6" w:space="0"/>
              <w:bottom w:val="single" w:color="auto" w:sz="6" w:space="0"/>
              <w:right w:val="single" w:color="auto" w:sz="6" w:space="0"/>
            </w:tcBorders>
            <w:noWrap w:val="0"/>
            <w:vAlign w:val="center"/>
          </w:tcPr>
          <w:p w14:paraId="0833F733">
            <w:pPr>
              <w:autoSpaceDE w:val="0"/>
              <w:autoSpaceDN w:val="0"/>
              <w:spacing w:line="360" w:lineRule="auto"/>
              <w:jc w:val="center"/>
              <w:rPr>
                <w:rFonts w:hint="eastAsia" w:ascii="宋体" w:hAnsi="宋体" w:eastAsia="宋体" w:cs="宋体"/>
                <w:color w:val="auto"/>
                <w:sz w:val="24"/>
                <w:szCs w:val="24"/>
                <w:highlight w:val="none"/>
                <w:lang w:eastAsia="zh-CN"/>
              </w:rPr>
            </w:pPr>
          </w:p>
        </w:tc>
        <w:tc>
          <w:tcPr>
            <w:tcW w:w="4695" w:type="dxa"/>
            <w:vMerge w:val="continue"/>
            <w:tcBorders>
              <w:top w:val="single" w:color="auto" w:sz="6" w:space="0"/>
              <w:left w:val="single" w:color="auto" w:sz="6" w:space="0"/>
              <w:bottom w:val="single" w:color="auto" w:sz="6" w:space="0"/>
              <w:right w:val="single" w:color="auto" w:sz="6" w:space="0"/>
            </w:tcBorders>
            <w:noWrap w:val="0"/>
            <w:vAlign w:val="center"/>
          </w:tcPr>
          <w:p w14:paraId="56473148">
            <w:pPr>
              <w:autoSpaceDE w:val="0"/>
              <w:autoSpaceDN w:val="0"/>
              <w:spacing w:line="360" w:lineRule="auto"/>
              <w:jc w:val="center"/>
              <w:rPr>
                <w:rFonts w:hint="eastAsia" w:ascii="宋体" w:hAnsi="宋体" w:eastAsia="宋体" w:cs="宋体"/>
                <w:color w:val="auto"/>
                <w:sz w:val="24"/>
                <w:highlight w:val="none"/>
              </w:rPr>
            </w:pPr>
          </w:p>
        </w:tc>
      </w:tr>
      <w:tr w14:paraId="3B845532">
        <w:tblPrEx>
          <w:tblCellMar>
            <w:top w:w="0" w:type="dxa"/>
            <w:left w:w="108" w:type="dxa"/>
            <w:bottom w:w="0" w:type="dxa"/>
            <w:right w:w="108" w:type="dxa"/>
          </w:tblCellMar>
        </w:tblPrEx>
        <w:trPr>
          <w:cantSplit/>
          <w:trHeight w:val="356" w:hRule="atLeast"/>
        </w:trPr>
        <w:tc>
          <w:tcPr>
            <w:tcW w:w="2415" w:type="dxa"/>
            <w:tcBorders>
              <w:top w:val="single" w:color="auto" w:sz="6" w:space="0"/>
              <w:left w:val="single" w:color="auto" w:sz="6" w:space="0"/>
              <w:bottom w:val="single" w:color="auto" w:sz="6" w:space="0"/>
              <w:right w:val="single" w:color="auto" w:sz="6" w:space="0"/>
            </w:tcBorders>
            <w:noWrap w:val="0"/>
            <w:vAlign w:val="center"/>
          </w:tcPr>
          <w:p w14:paraId="1B181DC4">
            <w:pPr>
              <w:autoSpaceDE w:val="0"/>
              <w:autoSpaceDN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其他</w:t>
            </w:r>
            <w:r>
              <w:rPr>
                <w:rFonts w:hint="eastAsia" w:ascii="宋体" w:hAnsi="宋体" w:eastAsia="宋体" w:cs="宋体"/>
                <w:color w:val="auto"/>
                <w:sz w:val="24"/>
                <w:szCs w:val="24"/>
                <w:highlight w:val="none"/>
                <w:lang w:eastAsia="zh-CN"/>
              </w:rPr>
              <w:t>证书</w:t>
            </w:r>
            <w:r>
              <w:rPr>
                <w:rFonts w:hint="eastAsia" w:ascii="宋体" w:hAnsi="宋体" w:eastAsia="宋体" w:cs="宋体"/>
                <w:color w:val="auto"/>
                <w:sz w:val="24"/>
                <w:szCs w:val="24"/>
                <w:highlight w:val="none"/>
              </w:rPr>
              <w:t>情况</w:t>
            </w:r>
          </w:p>
        </w:tc>
        <w:tc>
          <w:tcPr>
            <w:tcW w:w="930" w:type="dxa"/>
            <w:tcBorders>
              <w:top w:val="single" w:color="auto" w:sz="6" w:space="0"/>
              <w:left w:val="single" w:color="auto" w:sz="6" w:space="0"/>
              <w:bottom w:val="single" w:color="auto" w:sz="6" w:space="0"/>
              <w:right w:val="single" w:color="auto" w:sz="6" w:space="0"/>
            </w:tcBorders>
            <w:noWrap w:val="0"/>
            <w:vAlign w:val="center"/>
          </w:tcPr>
          <w:p w14:paraId="6CA4CAB4">
            <w:pPr>
              <w:autoSpaceDE w:val="0"/>
              <w:autoSpaceDN w:val="0"/>
              <w:spacing w:line="360" w:lineRule="auto"/>
              <w:jc w:val="center"/>
              <w:rPr>
                <w:rFonts w:hint="eastAsia" w:ascii="宋体" w:hAnsi="宋体" w:eastAsia="宋体" w:cs="宋体"/>
                <w:color w:val="auto"/>
                <w:sz w:val="24"/>
                <w:szCs w:val="24"/>
                <w:highlight w:val="none"/>
              </w:rPr>
            </w:pPr>
          </w:p>
        </w:tc>
        <w:tc>
          <w:tcPr>
            <w:tcW w:w="1065" w:type="dxa"/>
            <w:tcBorders>
              <w:top w:val="single" w:color="auto" w:sz="6" w:space="0"/>
              <w:left w:val="single" w:color="auto" w:sz="6" w:space="0"/>
              <w:bottom w:val="single" w:color="auto" w:sz="6" w:space="0"/>
              <w:right w:val="single" w:color="auto" w:sz="6" w:space="0"/>
            </w:tcBorders>
            <w:noWrap w:val="0"/>
            <w:vAlign w:val="center"/>
          </w:tcPr>
          <w:p w14:paraId="2D05BDD0">
            <w:pPr>
              <w:autoSpaceDE w:val="0"/>
              <w:autoSpaceDN w:val="0"/>
              <w:spacing w:line="360" w:lineRule="auto"/>
              <w:jc w:val="center"/>
              <w:rPr>
                <w:rFonts w:hint="eastAsia" w:ascii="宋体" w:hAnsi="宋体" w:eastAsia="宋体" w:cs="宋体"/>
                <w:color w:val="auto"/>
                <w:sz w:val="24"/>
                <w:szCs w:val="24"/>
                <w:highlight w:val="none"/>
              </w:rPr>
            </w:pPr>
          </w:p>
        </w:tc>
        <w:tc>
          <w:tcPr>
            <w:tcW w:w="4695" w:type="dxa"/>
            <w:vMerge w:val="continue"/>
            <w:tcBorders>
              <w:top w:val="single" w:color="auto" w:sz="6" w:space="0"/>
              <w:left w:val="single" w:color="auto" w:sz="6" w:space="0"/>
              <w:bottom w:val="single" w:color="auto" w:sz="6" w:space="0"/>
              <w:right w:val="single" w:color="auto" w:sz="6" w:space="0"/>
            </w:tcBorders>
            <w:noWrap w:val="0"/>
            <w:vAlign w:val="center"/>
          </w:tcPr>
          <w:p w14:paraId="0B34FBDA">
            <w:pPr>
              <w:autoSpaceDE w:val="0"/>
              <w:autoSpaceDN w:val="0"/>
              <w:spacing w:line="360" w:lineRule="auto"/>
              <w:jc w:val="center"/>
              <w:rPr>
                <w:rFonts w:hint="eastAsia" w:ascii="宋体" w:hAnsi="宋体" w:eastAsia="宋体" w:cs="宋体"/>
                <w:color w:val="auto"/>
                <w:sz w:val="24"/>
                <w:highlight w:val="none"/>
              </w:rPr>
            </w:pPr>
          </w:p>
        </w:tc>
      </w:tr>
      <w:tr w14:paraId="353FA28D">
        <w:tblPrEx>
          <w:tblCellMar>
            <w:top w:w="0" w:type="dxa"/>
            <w:left w:w="108" w:type="dxa"/>
            <w:bottom w:w="0" w:type="dxa"/>
            <w:right w:w="108" w:type="dxa"/>
          </w:tblCellMar>
        </w:tblPrEx>
        <w:trPr>
          <w:cantSplit/>
          <w:trHeight w:val="177" w:hRule="atLeast"/>
        </w:trPr>
        <w:tc>
          <w:tcPr>
            <w:tcW w:w="2415" w:type="dxa"/>
            <w:tcBorders>
              <w:top w:val="single" w:color="auto" w:sz="6" w:space="0"/>
              <w:left w:val="single" w:color="auto" w:sz="6" w:space="0"/>
              <w:bottom w:val="single" w:color="auto" w:sz="6" w:space="0"/>
              <w:right w:val="single" w:color="auto" w:sz="6" w:space="0"/>
            </w:tcBorders>
            <w:noWrap w:val="0"/>
            <w:vAlign w:val="center"/>
          </w:tcPr>
          <w:p w14:paraId="2B32C3E2">
            <w:pPr>
              <w:autoSpaceDE w:val="0"/>
              <w:autoSpaceDN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联系电话</w:t>
            </w:r>
          </w:p>
        </w:tc>
        <w:tc>
          <w:tcPr>
            <w:tcW w:w="930" w:type="dxa"/>
            <w:tcBorders>
              <w:top w:val="single" w:color="auto" w:sz="6" w:space="0"/>
              <w:left w:val="single" w:color="auto" w:sz="6" w:space="0"/>
              <w:bottom w:val="single" w:color="auto" w:sz="6" w:space="0"/>
              <w:right w:val="single" w:color="auto" w:sz="6" w:space="0"/>
            </w:tcBorders>
            <w:noWrap w:val="0"/>
            <w:vAlign w:val="center"/>
          </w:tcPr>
          <w:p w14:paraId="256FBE6E">
            <w:pPr>
              <w:autoSpaceDE w:val="0"/>
              <w:autoSpaceDN w:val="0"/>
              <w:spacing w:line="360" w:lineRule="auto"/>
              <w:jc w:val="center"/>
              <w:rPr>
                <w:rFonts w:hint="eastAsia" w:ascii="宋体" w:hAnsi="宋体" w:eastAsia="宋体" w:cs="宋体"/>
                <w:color w:val="auto"/>
                <w:sz w:val="24"/>
                <w:szCs w:val="24"/>
                <w:highlight w:val="none"/>
              </w:rPr>
            </w:pPr>
          </w:p>
        </w:tc>
        <w:tc>
          <w:tcPr>
            <w:tcW w:w="1065" w:type="dxa"/>
            <w:tcBorders>
              <w:top w:val="single" w:color="auto" w:sz="6" w:space="0"/>
              <w:left w:val="single" w:color="auto" w:sz="6" w:space="0"/>
              <w:bottom w:val="single" w:color="auto" w:sz="6" w:space="0"/>
              <w:right w:val="single" w:color="auto" w:sz="6" w:space="0"/>
            </w:tcBorders>
            <w:noWrap w:val="0"/>
            <w:vAlign w:val="center"/>
          </w:tcPr>
          <w:p w14:paraId="37FBC1B9">
            <w:pPr>
              <w:autoSpaceDE w:val="0"/>
              <w:autoSpaceDN w:val="0"/>
              <w:spacing w:line="360" w:lineRule="auto"/>
              <w:jc w:val="center"/>
              <w:rPr>
                <w:rFonts w:hint="eastAsia" w:ascii="宋体" w:hAnsi="宋体" w:eastAsia="宋体" w:cs="宋体"/>
                <w:color w:val="auto"/>
                <w:sz w:val="24"/>
                <w:szCs w:val="24"/>
                <w:highlight w:val="none"/>
              </w:rPr>
            </w:pPr>
          </w:p>
        </w:tc>
        <w:tc>
          <w:tcPr>
            <w:tcW w:w="4695" w:type="dxa"/>
            <w:vMerge w:val="continue"/>
            <w:tcBorders>
              <w:top w:val="single" w:color="auto" w:sz="6" w:space="0"/>
              <w:left w:val="single" w:color="auto" w:sz="6" w:space="0"/>
              <w:bottom w:val="single" w:color="auto" w:sz="6" w:space="0"/>
              <w:right w:val="single" w:color="auto" w:sz="6" w:space="0"/>
            </w:tcBorders>
            <w:noWrap w:val="0"/>
            <w:vAlign w:val="center"/>
          </w:tcPr>
          <w:p w14:paraId="305B3767">
            <w:pPr>
              <w:autoSpaceDE w:val="0"/>
              <w:autoSpaceDN w:val="0"/>
              <w:spacing w:line="360" w:lineRule="auto"/>
              <w:jc w:val="center"/>
              <w:rPr>
                <w:rFonts w:hint="eastAsia" w:ascii="宋体" w:hAnsi="宋体" w:eastAsia="宋体" w:cs="宋体"/>
                <w:color w:val="auto"/>
                <w:sz w:val="24"/>
                <w:highlight w:val="none"/>
              </w:rPr>
            </w:pPr>
          </w:p>
        </w:tc>
      </w:tr>
      <w:tr w14:paraId="0BC347C6">
        <w:tblPrEx>
          <w:tblCellMar>
            <w:top w:w="0" w:type="dxa"/>
            <w:left w:w="108" w:type="dxa"/>
            <w:bottom w:w="0" w:type="dxa"/>
            <w:right w:w="108" w:type="dxa"/>
          </w:tblCellMar>
        </w:tblPrEx>
        <w:trPr>
          <w:cantSplit/>
          <w:trHeight w:val="169" w:hRule="atLeast"/>
        </w:trPr>
        <w:tc>
          <w:tcPr>
            <w:tcW w:w="2415" w:type="dxa"/>
            <w:tcBorders>
              <w:top w:val="single" w:color="auto" w:sz="6" w:space="0"/>
              <w:left w:val="single" w:color="auto" w:sz="6" w:space="0"/>
              <w:bottom w:val="single" w:color="auto" w:sz="6" w:space="0"/>
              <w:right w:val="single" w:color="auto" w:sz="6" w:space="0"/>
            </w:tcBorders>
            <w:noWrap w:val="0"/>
            <w:vAlign w:val="center"/>
          </w:tcPr>
          <w:p w14:paraId="002C8D44">
            <w:pPr>
              <w:autoSpaceDE w:val="0"/>
              <w:autoSpaceDN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性别</w:t>
            </w:r>
          </w:p>
        </w:tc>
        <w:tc>
          <w:tcPr>
            <w:tcW w:w="930" w:type="dxa"/>
            <w:tcBorders>
              <w:top w:val="single" w:color="auto" w:sz="6" w:space="0"/>
              <w:left w:val="single" w:color="auto" w:sz="6" w:space="0"/>
              <w:bottom w:val="single" w:color="auto" w:sz="6" w:space="0"/>
              <w:right w:val="single" w:color="auto" w:sz="6" w:space="0"/>
            </w:tcBorders>
            <w:noWrap w:val="0"/>
            <w:vAlign w:val="center"/>
          </w:tcPr>
          <w:p w14:paraId="5234469F">
            <w:pPr>
              <w:autoSpaceDE w:val="0"/>
              <w:autoSpaceDN w:val="0"/>
              <w:spacing w:line="360" w:lineRule="auto"/>
              <w:jc w:val="center"/>
              <w:rPr>
                <w:rFonts w:hint="eastAsia" w:ascii="宋体" w:hAnsi="宋体" w:eastAsia="宋体" w:cs="宋体"/>
                <w:color w:val="auto"/>
                <w:sz w:val="24"/>
                <w:szCs w:val="24"/>
                <w:highlight w:val="none"/>
              </w:rPr>
            </w:pPr>
          </w:p>
        </w:tc>
        <w:tc>
          <w:tcPr>
            <w:tcW w:w="1065" w:type="dxa"/>
            <w:tcBorders>
              <w:top w:val="single" w:color="auto" w:sz="6" w:space="0"/>
              <w:left w:val="single" w:color="auto" w:sz="6" w:space="0"/>
              <w:bottom w:val="single" w:color="auto" w:sz="6" w:space="0"/>
              <w:right w:val="single" w:color="auto" w:sz="6" w:space="0"/>
            </w:tcBorders>
            <w:noWrap w:val="0"/>
            <w:vAlign w:val="center"/>
          </w:tcPr>
          <w:p w14:paraId="338FCC3C">
            <w:pPr>
              <w:autoSpaceDE w:val="0"/>
              <w:autoSpaceDN w:val="0"/>
              <w:spacing w:line="360" w:lineRule="auto"/>
              <w:jc w:val="center"/>
              <w:rPr>
                <w:rFonts w:hint="eastAsia" w:ascii="宋体" w:hAnsi="宋体" w:eastAsia="宋体" w:cs="宋体"/>
                <w:color w:val="auto"/>
                <w:sz w:val="24"/>
                <w:szCs w:val="24"/>
                <w:highlight w:val="none"/>
              </w:rPr>
            </w:pPr>
          </w:p>
        </w:tc>
        <w:tc>
          <w:tcPr>
            <w:tcW w:w="4695" w:type="dxa"/>
            <w:vMerge w:val="continue"/>
            <w:tcBorders>
              <w:top w:val="single" w:color="auto" w:sz="6" w:space="0"/>
              <w:left w:val="single" w:color="auto" w:sz="6" w:space="0"/>
              <w:bottom w:val="single" w:color="auto" w:sz="6" w:space="0"/>
              <w:right w:val="single" w:color="auto" w:sz="6" w:space="0"/>
            </w:tcBorders>
            <w:noWrap w:val="0"/>
            <w:vAlign w:val="center"/>
          </w:tcPr>
          <w:p w14:paraId="4FCE364A">
            <w:pPr>
              <w:autoSpaceDE w:val="0"/>
              <w:autoSpaceDN w:val="0"/>
              <w:spacing w:line="360" w:lineRule="auto"/>
              <w:jc w:val="center"/>
              <w:rPr>
                <w:rFonts w:hint="eastAsia" w:ascii="宋体" w:hAnsi="宋体" w:eastAsia="宋体" w:cs="宋体"/>
                <w:color w:val="auto"/>
                <w:sz w:val="24"/>
                <w:highlight w:val="none"/>
              </w:rPr>
            </w:pPr>
          </w:p>
        </w:tc>
      </w:tr>
    </w:tbl>
    <w:p w14:paraId="0246CAF9">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注：供应商可</w:t>
      </w:r>
      <w:r>
        <w:rPr>
          <w:rFonts w:hint="eastAsia" w:ascii="宋体" w:hAnsi="宋体" w:eastAsia="宋体" w:cs="宋体"/>
          <w:b/>
          <w:color w:val="auto"/>
          <w:sz w:val="24"/>
          <w:highlight w:val="none"/>
          <w:lang w:eastAsia="zh-CN"/>
        </w:rPr>
        <w:t>参照</w:t>
      </w:r>
      <w:r>
        <w:rPr>
          <w:rFonts w:hint="eastAsia" w:ascii="宋体" w:hAnsi="宋体" w:eastAsia="宋体" w:cs="宋体"/>
          <w:b/>
          <w:color w:val="auto"/>
          <w:sz w:val="24"/>
          <w:highlight w:val="none"/>
        </w:rPr>
        <w:t>上述的格式自行编制，并注明所在</w:t>
      </w:r>
      <w:r>
        <w:rPr>
          <w:rFonts w:hint="eastAsia" w:ascii="宋体" w:hAnsi="宋体" w:eastAsia="宋体" w:cs="宋体"/>
          <w:b/>
          <w:color w:val="auto"/>
          <w:sz w:val="24"/>
          <w:highlight w:val="none"/>
          <w:lang w:eastAsia="zh-CN"/>
        </w:rPr>
        <w:t>商务</w:t>
      </w:r>
      <w:r>
        <w:rPr>
          <w:rFonts w:hint="eastAsia" w:ascii="宋体" w:hAnsi="宋体" w:eastAsia="宋体" w:cs="宋体"/>
          <w:b/>
          <w:color w:val="auto"/>
          <w:sz w:val="24"/>
          <w:highlight w:val="none"/>
        </w:rPr>
        <w:t>技术文件页码。</w:t>
      </w:r>
    </w:p>
    <w:p w14:paraId="2D450511">
      <w:pPr>
        <w:autoSpaceDE w:val="0"/>
        <w:autoSpaceDN w:val="0"/>
        <w:spacing w:line="360" w:lineRule="auto"/>
        <w:rPr>
          <w:rFonts w:hint="eastAsia" w:ascii="宋体" w:hAnsi="宋体" w:eastAsia="宋体" w:cs="宋体"/>
          <w:b/>
          <w:color w:val="auto"/>
          <w:sz w:val="24"/>
          <w:highlight w:val="none"/>
        </w:rPr>
      </w:pPr>
    </w:p>
    <w:p w14:paraId="4E171717">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附表B:本项目的项目小组人员情况表</w:t>
      </w:r>
    </w:p>
    <w:tbl>
      <w:tblPr>
        <w:tblStyle w:val="32"/>
        <w:tblW w:w="0" w:type="auto"/>
        <w:tblInd w:w="108" w:type="dxa"/>
        <w:tblLayout w:type="fixed"/>
        <w:tblCellMar>
          <w:top w:w="0" w:type="dxa"/>
          <w:left w:w="108" w:type="dxa"/>
          <w:bottom w:w="0" w:type="dxa"/>
          <w:right w:w="108" w:type="dxa"/>
        </w:tblCellMar>
      </w:tblPr>
      <w:tblGrid>
        <w:gridCol w:w="420"/>
        <w:gridCol w:w="787"/>
        <w:gridCol w:w="412"/>
        <w:gridCol w:w="586"/>
        <w:gridCol w:w="1035"/>
        <w:gridCol w:w="1080"/>
        <w:gridCol w:w="1392"/>
        <w:gridCol w:w="948"/>
        <w:gridCol w:w="900"/>
        <w:gridCol w:w="1470"/>
      </w:tblGrid>
      <w:tr w14:paraId="73173A66">
        <w:tc>
          <w:tcPr>
            <w:tcW w:w="420" w:type="dxa"/>
            <w:tcBorders>
              <w:top w:val="single" w:color="auto" w:sz="6" w:space="0"/>
              <w:left w:val="single" w:color="auto" w:sz="6" w:space="0"/>
              <w:bottom w:val="single" w:color="auto" w:sz="6" w:space="0"/>
              <w:right w:val="single" w:color="auto" w:sz="6" w:space="0"/>
            </w:tcBorders>
            <w:noWrap w:val="0"/>
            <w:vAlign w:val="center"/>
          </w:tcPr>
          <w:p w14:paraId="222F7A87">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787" w:type="dxa"/>
            <w:tcBorders>
              <w:top w:val="single" w:color="auto" w:sz="6" w:space="0"/>
              <w:left w:val="single" w:color="auto" w:sz="6" w:space="0"/>
              <w:bottom w:val="single" w:color="auto" w:sz="6" w:space="0"/>
              <w:right w:val="single" w:color="auto" w:sz="6" w:space="0"/>
            </w:tcBorders>
            <w:noWrap w:val="0"/>
            <w:vAlign w:val="center"/>
          </w:tcPr>
          <w:p w14:paraId="3EA2085B">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noWrap w:val="0"/>
            <w:vAlign w:val="center"/>
          </w:tcPr>
          <w:p w14:paraId="44B253E5">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586" w:type="dxa"/>
            <w:tcBorders>
              <w:top w:val="single" w:color="auto" w:sz="6" w:space="0"/>
              <w:left w:val="single" w:color="auto" w:sz="6" w:space="0"/>
              <w:bottom w:val="single" w:color="auto" w:sz="6" w:space="0"/>
              <w:right w:val="single" w:color="auto" w:sz="6" w:space="0"/>
            </w:tcBorders>
            <w:noWrap w:val="0"/>
            <w:vAlign w:val="center"/>
          </w:tcPr>
          <w:p w14:paraId="7AC06DE8">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035" w:type="dxa"/>
            <w:tcBorders>
              <w:top w:val="single" w:color="auto" w:sz="6" w:space="0"/>
              <w:left w:val="single" w:color="auto" w:sz="6" w:space="0"/>
              <w:bottom w:val="single" w:color="auto" w:sz="6" w:space="0"/>
              <w:right w:val="single" w:color="auto" w:sz="6" w:space="0"/>
            </w:tcBorders>
            <w:noWrap w:val="0"/>
            <w:vAlign w:val="center"/>
          </w:tcPr>
          <w:p w14:paraId="7E6947B0">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p w14:paraId="2F82505E">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37B55451">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专业</w:t>
            </w:r>
          </w:p>
          <w:p w14:paraId="7AB96D87">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1392" w:type="dxa"/>
            <w:tcBorders>
              <w:top w:val="single" w:color="auto" w:sz="6" w:space="0"/>
              <w:left w:val="single" w:color="auto" w:sz="6" w:space="0"/>
              <w:bottom w:val="single" w:color="auto" w:sz="6" w:space="0"/>
              <w:right w:val="single" w:color="auto" w:sz="6" w:space="0"/>
            </w:tcBorders>
            <w:noWrap w:val="0"/>
            <w:vAlign w:val="center"/>
          </w:tcPr>
          <w:p w14:paraId="2A6D2871">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职称</w:t>
            </w:r>
            <w:r>
              <w:rPr>
                <w:rFonts w:hint="eastAsia" w:ascii="宋体" w:hAnsi="宋体" w:eastAsia="宋体" w:cs="宋体"/>
                <w:color w:val="auto"/>
                <w:sz w:val="24"/>
                <w:szCs w:val="24"/>
                <w:highlight w:val="none"/>
                <w:lang w:eastAsia="zh-CN"/>
              </w:rPr>
              <w:t>或职业资格证书</w:t>
            </w:r>
            <w:r>
              <w:rPr>
                <w:rFonts w:hint="eastAsia" w:ascii="宋体" w:hAnsi="宋体" w:eastAsia="宋体" w:cs="宋体"/>
                <w:color w:val="auto"/>
                <w:sz w:val="24"/>
                <w:highlight w:val="none"/>
              </w:rPr>
              <w:t>(页码)</w:t>
            </w:r>
          </w:p>
        </w:tc>
        <w:tc>
          <w:tcPr>
            <w:tcW w:w="948" w:type="dxa"/>
            <w:tcBorders>
              <w:top w:val="single" w:color="auto" w:sz="6" w:space="0"/>
              <w:left w:val="single" w:color="auto" w:sz="6" w:space="0"/>
              <w:bottom w:val="single" w:color="auto" w:sz="6" w:space="0"/>
              <w:right w:val="single" w:color="auto" w:sz="6" w:space="0"/>
            </w:tcBorders>
            <w:noWrap w:val="0"/>
            <w:vAlign w:val="center"/>
          </w:tcPr>
          <w:p w14:paraId="24F91C20">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3F4FDD69">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noWrap w:val="0"/>
            <w:vAlign w:val="center"/>
          </w:tcPr>
          <w:p w14:paraId="37E2A6A0">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参与本项目的到位情况</w:t>
            </w:r>
          </w:p>
        </w:tc>
      </w:tr>
      <w:tr w14:paraId="658E63BF">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noWrap w:val="0"/>
            <w:vAlign w:val="top"/>
          </w:tcPr>
          <w:p w14:paraId="3FFF0EA8">
            <w:pPr>
              <w:autoSpaceDE w:val="0"/>
              <w:autoSpaceDN w:val="0"/>
              <w:spacing w:line="360" w:lineRule="auto"/>
              <w:jc w:val="center"/>
              <w:rPr>
                <w:rFonts w:hint="eastAsia" w:ascii="宋体" w:hAnsi="宋体" w:eastAsia="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3EDE9407">
            <w:pPr>
              <w:autoSpaceDE w:val="0"/>
              <w:autoSpaceDN w:val="0"/>
              <w:spacing w:line="360"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0DC2767A">
            <w:pPr>
              <w:autoSpaceDE w:val="0"/>
              <w:autoSpaceDN w:val="0"/>
              <w:spacing w:line="360" w:lineRule="auto"/>
              <w:rPr>
                <w:rFonts w:hint="eastAsia" w:ascii="宋体" w:hAnsi="宋体" w:eastAsia="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noWrap w:val="0"/>
            <w:vAlign w:val="top"/>
          </w:tcPr>
          <w:p w14:paraId="7C010566">
            <w:pPr>
              <w:autoSpaceDE w:val="0"/>
              <w:autoSpaceDN w:val="0"/>
              <w:spacing w:line="360" w:lineRule="auto"/>
              <w:rPr>
                <w:rFonts w:hint="eastAsia" w:ascii="宋体" w:hAnsi="宋体" w:eastAsia="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noWrap w:val="0"/>
            <w:vAlign w:val="top"/>
          </w:tcPr>
          <w:p w14:paraId="75EF25C4">
            <w:pP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642142FA">
            <w:pPr>
              <w:autoSpaceDE w:val="0"/>
              <w:autoSpaceDN w:val="0"/>
              <w:spacing w:line="360" w:lineRule="auto"/>
              <w:rPr>
                <w:rFonts w:hint="eastAsia" w:ascii="宋体" w:hAnsi="宋体" w:eastAsia="宋体" w:cs="宋体"/>
                <w:color w:val="auto"/>
                <w:sz w:val="24"/>
                <w:highlight w:val="none"/>
              </w:rPr>
            </w:pPr>
          </w:p>
        </w:tc>
        <w:tc>
          <w:tcPr>
            <w:tcW w:w="1392" w:type="dxa"/>
            <w:tcBorders>
              <w:top w:val="single" w:color="auto" w:sz="6" w:space="0"/>
              <w:left w:val="single" w:color="auto" w:sz="6" w:space="0"/>
              <w:bottom w:val="single" w:color="auto" w:sz="6" w:space="0"/>
              <w:right w:val="single" w:color="auto" w:sz="6" w:space="0"/>
            </w:tcBorders>
            <w:noWrap w:val="0"/>
            <w:vAlign w:val="top"/>
          </w:tcPr>
          <w:p w14:paraId="6E15F18C">
            <w:pPr>
              <w:autoSpaceDE w:val="0"/>
              <w:autoSpaceDN w:val="0"/>
              <w:spacing w:line="360" w:lineRule="auto"/>
              <w:rPr>
                <w:rFonts w:hint="eastAsia" w:ascii="宋体" w:hAnsi="宋体" w:eastAsia="宋体" w:cs="宋体"/>
                <w:color w:val="auto"/>
                <w:sz w:val="24"/>
                <w:highlight w:val="none"/>
              </w:rPr>
            </w:pPr>
          </w:p>
        </w:tc>
        <w:tc>
          <w:tcPr>
            <w:tcW w:w="948" w:type="dxa"/>
            <w:tcBorders>
              <w:top w:val="single" w:color="auto" w:sz="6" w:space="0"/>
              <w:left w:val="single" w:color="auto" w:sz="6" w:space="0"/>
              <w:bottom w:val="single" w:color="auto" w:sz="6" w:space="0"/>
              <w:right w:val="single" w:color="auto" w:sz="6" w:space="0"/>
            </w:tcBorders>
            <w:noWrap w:val="0"/>
            <w:vAlign w:val="top"/>
          </w:tcPr>
          <w:p w14:paraId="723A12D6">
            <w:pPr>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39D94FC3">
            <w:pPr>
              <w:autoSpaceDE w:val="0"/>
              <w:autoSpaceDN w:val="0"/>
              <w:spacing w:line="360" w:lineRule="auto"/>
              <w:rPr>
                <w:rFonts w:hint="eastAsia" w:ascii="宋体" w:hAnsi="宋体" w:eastAsia="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noWrap w:val="0"/>
            <w:vAlign w:val="top"/>
          </w:tcPr>
          <w:p w14:paraId="2FE61772">
            <w:pPr>
              <w:autoSpaceDE w:val="0"/>
              <w:autoSpaceDN w:val="0"/>
              <w:spacing w:line="360" w:lineRule="auto"/>
              <w:rPr>
                <w:rFonts w:hint="eastAsia" w:ascii="宋体" w:hAnsi="宋体" w:eastAsia="宋体" w:cs="宋体"/>
                <w:color w:val="auto"/>
                <w:sz w:val="24"/>
                <w:highlight w:val="none"/>
              </w:rPr>
            </w:pPr>
          </w:p>
        </w:tc>
      </w:tr>
      <w:tr w14:paraId="6CFF70BC">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noWrap w:val="0"/>
            <w:vAlign w:val="top"/>
          </w:tcPr>
          <w:p w14:paraId="14C36278">
            <w:pPr>
              <w:autoSpaceDE w:val="0"/>
              <w:autoSpaceDN w:val="0"/>
              <w:spacing w:line="360" w:lineRule="auto"/>
              <w:jc w:val="center"/>
              <w:rPr>
                <w:rFonts w:hint="eastAsia" w:ascii="宋体" w:hAnsi="宋体" w:eastAsia="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57AF4B2E">
            <w:pPr>
              <w:autoSpaceDE w:val="0"/>
              <w:autoSpaceDN w:val="0"/>
              <w:spacing w:line="360"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52075D48">
            <w:pPr>
              <w:autoSpaceDE w:val="0"/>
              <w:autoSpaceDN w:val="0"/>
              <w:spacing w:line="360" w:lineRule="auto"/>
              <w:rPr>
                <w:rFonts w:hint="eastAsia" w:ascii="宋体" w:hAnsi="宋体" w:eastAsia="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noWrap w:val="0"/>
            <w:vAlign w:val="top"/>
          </w:tcPr>
          <w:p w14:paraId="4E70C47C">
            <w:pPr>
              <w:autoSpaceDE w:val="0"/>
              <w:autoSpaceDN w:val="0"/>
              <w:spacing w:line="360" w:lineRule="auto"/>
              <w:rPr>
                <w:rFonts w:hint="eastAsia" w:ascii="宋体" w:hAnsi="宋体" w:eastAsia="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noWrap w:val="0"/>
            <w:vAlign w:val="top"/>
          </w:tcPr>
          <w:p w14:paraId="5EAD9623">
            <w:pP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544F0610">
            <w:pPr>
              <w:autoSpaceDE w:val="0"/>
              <w:autoSpaceDN w:val="0"/>
              <w:spacing w:line="360" w:lineRule="auto"/>
              <w:rPr>
                <w:rFonts w:hint="eastAsia" w:ascii="宋体" w:hAnsi="宋体" w:eastAsia="宋体" w:cs="宋体"/>
                <w:color w:val="auto"/>
                <w:sz w:val="24"/>
                <w:highlight w:val="none"/>
              </w:rPr>
            </w:pPr>
          </w:p>
        </w:tc>
        <w:tc>
          <w:tcPr>
            <w:tcW w:w="1392" w:type="dxa"/>
            <w:tcBorders>
              <w:top w:val="single" w:color="auto" w:sz="6" w:space="0"/>
              <w:left w:val="single" w:color="auto" w:sz="6" w:space="0"/>
              <w:bottom w:val="single" w:color="auto" w:sz="6" w:space="0"/>
              <w:right w:val="single" w:color="auto" w:sz="6" w:space="0"/>
            </w:tcBorders>
            <w:noWrap w:val="0"/>
            <w:vAlign w:val="top"/>
          </w:tcPr>
          <w:p w14:paraId="48D233CC">
            <w:pPr>
              <w:autoSpaceDE w:val="0"/>
              <w:autoSpaceDN w:val="0"/>
              <w:spacing w:line="360" w:lineRule="auto"/>
              <w:rPr>
                <w:rFonts w:hint="eastAsia" w:ascii="宋体" w:hAnsi="宋体" w:eastAsia="宋体" w:cs="宋体"/>
                <w:color w:val="auto"/>
                <w:sz w:val="24"/>
                <w:highlight w:val="none"/>
              </w:rPr>
            </w:pPr>
          </w:p>
        </w:tc>
        <w:tc>
          <w:tcPr>
            <w:tcW w:w="948" w:type="dxa"/>
            <w:tcBorders>
              <w:top w:val="single" w:color="auto" w:sz="6" w:space="0"/>
              <w:left w:val="single" w:color="auto" w:sz="6" w:space="0"/>
              <w:bottom w:val="single" w:color="auto" w:sz="6" w:space="0"/>
              <w:right w:val="single" w:color="auto" w:sz="6" w:space="0"/>
            </w:tcBorders>
            <w:noWrap w:val="0"/>
            <w:vAlign w:val="top"/>
          </w:tcPr>
          <w:p w14:paraId="1BA80665">
            <w:pPr>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1FC545CD">
            <w:pPr>
              <w:autoSpaceDE w:val="0"/>
              <w:autoSpaceDN w:val="0"/>
              <w:spacing w:line="360" w:lineRule="auto"/>
              <w:rPr>
                <w:rFonts w:hint="eastAsia" w:ascii="宋体" w:hAnsi="宋体" w:eastAsia="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noWrap w:val="0"/>
            <w:vAlign w:val="top"/>
          </w:tcPr>
          <w:p w14:paraId="1276F3CA">
            <w:pPr>
              <w:autoSpaceDE w:val="0"/>
              <w:autoSpaceDN w:val="0"/>
              <w:spacing w:line="360" w:lineRule="auto"/>
              <w:rPr>
                <w:rFonts w:hint="eastAsia" w:ascii="宋体" w:hAnsi="宋体" w:eastAsia="宋体" w:cs="宋体"/>
                <w:color w:val="auto"/>
                <w:sz w:val="24"/>
                <w:highlight w:val="none"/>
              </w:rPr>
            </w:pPr>
          </w:p>
        </w:tc>
      </w:tr>
    </w:tbl>
    <w:p w14:paraId="4F4F834A">
      <w:pPr>
        <w:spacing w:line="360" w:lineRule="auto"/>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注：供应商可</w:t>
      </w:r>
      <w:r>
        <w:rPr>
          <w:rFonts w:hint="eastAsia" w:ascii="宋体" w:hAnsi="宋体" w:eastAsia="宋体" w:cs="宋体"/>
          <w:b/>
          <w:color w:val="auto"/>
          <w:sz w:val="24"/>
          <w:highlight w:val="none"/>
          <w:lang w:eastAsia="zh-CN"/>
        </w:rPr>
        <w:t>参照</w:t>
      </w:r>
      <w:r>
        <w:rPr>
          <w:rFonts w:hint="eastAsia" w:ascii="宋体" w:hAnsi="宋体" w:eastAsia="宋体" w:cs="宋体"/>
          <w:b/>
          <w:color w:val="auto"/>
          <w:sz w:val="24"/>
          <w:highlight w:val="none"/>
        </w:rPr>
        <w:t>上述的格式自行编制，并注明所在</w:t>
      </w:r>
      <w:r>
        <w:rPr>
          <w:rFonts w:hint="eastAsia" w:ascii="宋体" w:hAnsi="宋体" w:eastAsia="宋体" w:cs="宋体"/>
          <w:b/>
          <w:color w:val="auto"/>
          <w:sz w:val="24"/>
          <w:highlight w:val="none"/>
          <w:lang w:eastAsia="zh-CN"/>
        </w:rPr>
        <w:t>商务</w:t>
      </w:r>
      <w:r>
        <w:rPr>
          <w:rFonts w:hint="eastAsia" w:ascii="宋体" w:hAnsi="宋体" w:eastAsia="宋体" w:cs="宋体"/>
          <w:b/>
          <w:color w:val="auto"/>
          <w:sz w:val="24"/>
          <w:highlight w:val="none"/>
        </w:rPr>
        <w:t>技术文件页码。</w:t>
      </w:r>
    </w:p>
    <w:p w14:paraId="75D730ED">
      <w:pPr>
        <w:snapToGrid w:val="0"/>
        <w:spacing w:line="360" w:lineRule="auto"/>
        <w:ind w:firstLine="602" w:firstLineChars="200"/>
        <w:rPr>
          <w:rFonts w:hint="eastAsia" w:ascii="宋体" w:hAnsi="宋体" w:eastAsia="宋体" w:cs="宋体"/>
          <w:b/>
          <w:color w:val="auto"/>
          <w:sz w:val="30"/>
          <w:szCs w:val="30"/>
          <w:highlight w:val="none"/>
        </w:rPr>
      </w:pPr>
    </w:p>
    <w:p w14:paraId="22DA60FA">
      <w:pPr>
        <w:autoSpaceDE w:val="0"/>
        <w:autoSpaceDN w:val="0"/>
        <w:spacing w:line="360" w:lineRule="auto"/>
        <w:ind w:firstLine="6505" w:firstLineChars="2700"/>
        <w:rPr>
          <w:rFonts w:hint="eastAsia" w:ascii="宋体" w:hAnsi="宋体" w:eastAsia="宋体" w:cs="宋体"/>
          <w:b/>
          <w:bCs/>
          <w:color w:val="auto"/>
          <w:sz w:val="24"/>
          <w:highlight w:val="none"/>
        </w:rPr>
      </w:pPr>
    </w:p>
    <w:p w14:paraId="413A1BDD">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w:t>
      </w:r>
      <w:r>
        <w:rPr>
          <w:rFonts w:hint="eastAsia" w:ascii="宋体" w:hAnsi="宋体" w:eastAsia="宋体" w:cs="宋体"/>
          <w:color w:val="auto"/>
          <w:kern w:val="0"/>
          <w:sz w:val="24"/>
          <w:highlight w:val="none"/>
          <w:lang w:eastAsia="zh-CN"/>
        </w:rPr>
        <w:t>盖公章</w:t>
      </w:r>
      <w:r>
        <w:rPr>
          <w:rFonts w:hint="eastAsia" w:ascii="宋体" w:hAnsi="宋体" w:eastAsia="宋体" w:cs="宋体"/>
          <w:color w:val="auto"/>
          <w:kern w:val="0"/>
          <w:sz w:val="24"/>
          <w:highlight w:val="none"/>
        </w:rPr>
        <w:t>）：</w:t>
      </w:r>
    </w:p>
    <w:p w14:paraId="457D2D5B">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40A65F56">
      <w:pPr>
        <w:autoSpaceDE w:val="0"/>
        <w:autoSpaceDN w:val="0"/>
        <w:spacing w:line="360" w:lineRule="auto"/>
        <w:ind w:firstLine="6505" w:firstLineChars="2700"/>
        <w:rPr>
          <w:rFonts w:ascii="仿宋_GB2312" w:hAnsi="仿宋" w:eastAsia="仿宋_GB2312" w:cs="仿宋_GB2312"/>
          <w:b/>
          <w:bCs/>
          <w:color w:val="auto"/>
          <w:sz w:val="24"/>
          <w:highlight w:val="none"/>
        </w:rPr>
      </w:pPr>
    </w:p>
    <w:p w14:paraId="2CBB19E8">
      <w:pPr>
        <w:keepNext/>
        <w:keepLines/>
        <w:widowControl w:val="0"/>
        <w:spacing w:before="260" w:after="260" w:line="416" w:lineRule="auto"/>
        <w:jc w:val="center"/>
        <w:outlineLvl w:val="1"/>
        <w:rPr>
          <w:rFonts w:hint="eastAsia" w:ascii="宋体" w:hAnsi="宋体" w:eastAsia="宋体" w:cs="Times New Roman"/>
          <w:b/>
          <w:bCs/>
          <w:color w:val="auto"/>
          <w:kern w:val="2"/>
          <w:sz w:val="32"/>
          <w:szCs w:val="32"/>
          <w:highlight w:val="none"/>
          <w:lang w:val="en-US" w:eastAsia="zh-CN" w:bidi="ar-SA"/>
        </w:rPr>
      </w:pPr>
      <w:bookmarkStart w:id="147" w:name="_Toc31035"/>
      <w:bookmarkStart w:id="148" w:name="_Toc80886945"/>
      <w:bookmarkStart w:id="149" w:name="_Toc12611"/>
      <w:bookmarkStart w:id="150" w:name="_Toc80205941"/>
      <w:r>
        <w:rPr>
          <w:rFonts w:hint="eastAsia" w:ascii="宋体" w:hAnsi="宋体" w:eastAsia="宋体" w:cs="Times New Roman"/>
          <w:b/>
          <w:bCs/>
          <w:color w:val="auto"/>
          <w:kern w:val="2"/>
          <w:sz w:val="32"/>
          <w:szCs w:val="32"/>
          <w:highlight w:val="none"/>
          <w:lang w:val="en-US" w:eastAsia="zh-CN" w:bidi="ar-SA"/>
        </w:rPr>
        <w:t>第三节 报价文件格式</w:t>
      </w:r>
      <w:bookmarkEnd w:id="147"/>
      <w:bookmarkEnd w:id="148"/>
      <w:bookmarkEnd w:id="149"/>
      <w:bookmarkEnd w:id="150"/>
    </w:p>
    <w:p w14:paraId="2D104C09">
      <w:pPr>
        <w:widowControl w:val="0"/>
        <w:snapToGrid w:val="0"/>
        <w:jc w:val="left"/>
        <w:rPr>
          <w:rFonts w:hint="eastAsia" w:ascii="Times New Roman" w:hAnsi="Times New Roman" w:eastAsia="宋体" w:cs="Times New Roman"/>
          <w:color w:val="auto"/>
          <w:kern w:val="0"/>
          <w:sz w:val="18"/>
          <w:szCs w:val="18"/>
          <w:highlight w:val="none"/>
          <w:lang w:val="zh-CN" w:eastAsia="zh-CN" w:bidi="ar-SA"/>
        </w:rPr>
      </w:pPr>
      <w:r>
        <w:rPr>
          <w:rFonts w:hint="eastAsia" w:ascii="Times New Roman" w:hAnsi="Times New Roman" w:eastAsia="宋体" w:cs="Times New Roman"/>
          <w:color w:val="auto"/>
          <w:kern w:val="0"/>
          <w:sz w:val="24"/>
          <w:szCs w:val="18"/>
          <w:highlight w:val="none"/>
          <w:lang w:val="en-US" w:eastAsia="zh-CN" w:bidi="ar-SA"/>
        </w:rPr>
        <w:t xml:space="preserve">  </w:t>
      </w:r>
      <w:r>
        <w:rPr>
          <w:rFonts w:hint="eastAsia" w:ascii="宋体" w:hAnsi="宋体" w:eastAsia="宋体" w:cs="宋体"/>
          <w:b/>
          <w:bCs/>
          <w:color w:val="auto"/>
          <w:kern w:val="0"/>
          <w:sz w:val="28"/>
          <w:szCs w:val="28"/>
          <w:highlight w:val="none"/>
          <w:lang w:val="en-US" w:eastAsia="zh-CN" w:bidi="ar-SA"/>
        </w:rPr>
        <w:t>1.报价文件封面的格式</w:t>
      </w:r>
      <w:r>
        <w:rPr>
          <w:rFonts w:hint="eastAsia" w:ascii="宋体" w:hAnsi="宋体" w:eastAsia="宋体" w:cs="宋体"/>
          <w:b/>
          <w:color w:val="auto"/>
          <w:kern w:val="0"/>
          <w:sz w:val="28"/>
          <w:szCs w:val="28"/>
          <w:highlight w:val="none"/>
          <w:lang w:val="en-US" w:eastAsia="zh-CN" w:bidi="ar-SA"/>
        </w:rPr>
        <w:t>（参照此格式自拟）</w:t>
      </w:r>
      <w:r>
        <w:rPr>
          <w:rFonts w:hint="eastAsia" w:ascii="宋体" w:hAnsi="宋体" w:eastAsia="宋体" w:cs="宋体"/>
          <w:b/>
          <w:bCs/>
          <w:color w:val="auto"/>
          <w:kern w:val="0"/>
          <w:sz w:val="28"/>
          <w:szCs w:val="28"/>
          <w:highlight w:val="none"/>
          <w:lang w:val="en-US" w:eastAsia="zh-CN" w:bidi="ar-SA"/>
        </w:rPr>
        <w:t>：</w:t>
      </w:r>
    </w:p>
    <w:p w14:paraId="77EAC888">
      <w:pPr>
        <w:snapToGrid w:val="0"/>
        <w:spacing w:before="120" w:beforeLines="50" w:after="50"/>
        <w:rPr>
          <w:rFonts w:hint="eastAsia" w:eastAsia="宋体"/>
          <w:color w:val="auto"/>
          <w:sz w:val="24"/>
          <w:highlight w:val="none"/>
        </w:rPr>
      </w:pPr>
      <w:r>
        <w:rPr>
          <w:rFonts w:hint="eastAsia" w:eastAsia="宋体"/>
          <w:color w:val="auto"/>
          <w:sz w:val="24"/>
          <w:highlight w:val="none"/>
        </w:rPr>
        <w:t xml:space="preserve">                                             </w:t>
      </w:r>
    </w:p>
    <w:p w14:paraId="75FABD0A">
      <w:pPr>
        <w:snapToGrid w:val="0"/>
        <w:spacing w:before="120" w:beforeLines="50" w:after="50"/>
        <w:ind w:firstLine="6720" w:firstLineChars="3200"/>
        <w:rPr>
          <w:rFonts w:hint="eastAsia" w:eastAsia="宋体"/>
          <w:bCs/>
          <w:color w:val="auto"/>
          <w:sz w:val="32"/>
          <w:szCs w:val="20"/>
          <w:highlight w:val="none"/>
        </w:rPr>
      </w:pPr>
      <w:r>
        <w:rPr>
          <w:rFonts w:hint="eastAsia" w:eastAsia="宋体"/>
          <w:bCs/>
          <w:color w:val="auto"/>
          <w:highlight w:val="none"/>
        </w:rPr>
        <w:t>全流程电子文件</w:t>
      </w:r>
    </w:p>
    <w:p w14:paraId="6259216D">
      <w:pPr>
        <w:snapToGrid w:val="0"/>
        <w:spacing w:before="120" w:beforeLines="50" w:after="50"/>
        <w:rPr>
          <w:rFonts w:hint="eastAsia" w:eastAsia="宋体"/>
          <w:color w:val="auto"/>
          <w:sz w:val="24"/>
          <w:szCs w:val="20"/>
          <w:highlight w:val="none"/>
        </w:rPr>
      </w:pPr>
    </w:p>
    <w:p w14:paraId="1CA99BEA">
      <w:pPr>
        <w:snapToGrid w:val="0"/>
        <w:spacing w:before="120" w:beforeLines="50" w:after="50"/>
        <w:rPr>
          <w:rFonts w:hint="eastAsia" w:eastAsia="宋体"/>
          <w:color w:val="auto"/>
          <w:sz w:val="24"/>
          <w:szCs w:val="20"/>
          <w:highlight w:val="none"/>
        </w:rPr>
      </w:pPr>
    </w:p>
    <w:p w14:paraId="0E50D7A1">
      <w:pPr>
        <w:snapToGrid w:val="0"/>
        <w:spacing w:before="120" w:beforeLines="50" w:after="50"/>
        <w:rPr>
          <w:rFonts w:hint="eastAsia" w:eastAsia="宋体"/>
          <w:color w:val="auto"/>
          <w:sz w:val="24"/>
          <w:szCs w:val="20"/>
          <w:highlight w:val="none"/>
        </w:rPr>
      </w:pPr>
    </w:p>
    <w:p w14:paraId="566715B2">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 xml:space="preserve">报 </w:t>
      </w:r>
      <w:r>
        <w:rPr>
          <w:rFonts w:ascii="方正小标宋简体" w:hAnsi="方正小标宋简体" w:eastAsia="方正小标宋简体" w:cs="方正小标宋简体"/>
          <w:bCs/>
          <w:color w:val="auto"/>
          <w:sz w:val="44"/>
          <w:szCs w:val="44"/>
          <w:highlight w:val="none"/>
        </w:rPr>
        <w:t xml:space="preserve"> </w:t>
      </w:r>
      <w:r>
        <w:rPr>
          <w:rFonts w:hint="eastAsia" w:ascii="方正小标宋简体" w:hAnsi="方正小标宋简体" w:eastAsia="方正小标宋简体" w:cs="方正小标宋简体"/>
          <w:bCs/>
          <w:color w:val="auto"/>
          <w:sz w:val="44"/>
          <w:szCs w:val="44"/>
          <w:highlight w:val="none"/>
        </w:rPr>
        <w:t>价  文  件</w:t>
      </w:r>
    </w:p>
    <w:p w14:paraId="00110C63">
      <w:pPr>
        <w:snapToGrid w:val="0"/>
        <w:spacing w:before="120" w:beforeLines="50" w:after="50"/>
        <w:rPr>
          <w:rFonts w:hint="eastAsia" w:eastAsia="宋体"/>
          <w:bCs/>
          <w:color w:val="auto"/>
          <w:sz w:val="24"/>
          <w:szCs w:val="20"/>
          <w:highlight w:val="none"/>
        </w:rPr>
      </w:pPr>
    </w:p>
    <w:p w14:paraId="0FAD92AE">
      <w:pPr>
        <w:snapToGrid w:val="0"/>
        <w:spacing w:before="120" w:beforeLines="50" w:after="50"/>
        <w:rPr>
          <w:rFonts w:hint="eastAsia" w:eastAsia="宋体"/>
          <w:bCs/>
          <w:color w:val="auto"/>
          <w:sz w:val="24"/>
          <w:szCs w:val="20"/>
          <w:highlight w:val="none"/>
        </w:rPr>
      </w:pPr>
    </w:p>
    <w:p w14:paraId="19B1FF5C">
      <w:pPr>
        <w:snapToGrid w:val="0"/>
        <w:spacing w:before="120" w:beforeLines="50" w:after="50"/>
        <w:rPr>
          <w:rFonts w:hint="eastAsia" w:eastAsia="宋体"/>
          <w:bCs/>
          <w:color w:val="auto"/>
          <w:sz w:val="24"/>
          <w:szCs w:val="20"/>
          <w:highlight w:val="none"/>
        </w:rPr>
      </w:pPr>
    </w:p>
    <w:p w14:paraId="53F64BD3">
      <w:pPr>
        <w:snapToGrid w:val="0"/>
        <w:spacing w:before="120" w:beforeLines="50" w:after="50"/>
        <w:rPr>
          <w:rFonts w:hint="eastAsia" w:eastAsia="宋体"/>
          <w:bCs/>
          <w:color w:val="auto"/>
          <w:sz w:val="24"/>
          <w:szCs w:val="20"/>
          <w:highlight w:val="none"/>
        </w:rPr>
      </w:pPr>
    </w:p>
    <w:p w14:paraId="2F6D2ED8">
      <w:pPr>
        <w:snapToGrid w:val="0"/>
        <w:spacing w:before="120" w:beforeLines="50" w:after="50"/>
        <w:rPr>
          <w:rFonts w:hint="eastAsia" w:eastAsia="宋体"/>
          <w:bCs/>
          <w:color w:val="auto"/>
          <w:sz w:val="24"/>
          <w:szCs w:val="20"/>
          <w:highlight w:val="none"/>
        </w:rPr>
      </w:pPr>
    </w:p>
    <w:p w14:paraId="022623AB">
      <w:pPr>
        <w:snapToGrid w:val="0"/>
        <w:spacing w:before="120" w:beforeLines="50" w:after="50"/>
        <w:ind w:firstLine="640" w:firstLineChars="200"/>
        <w:rPr>
          <w:rFonts w:hint="eastAsia" w:eastAsia="宋体" w:cs="仿宋_GB2312"/>
          <w:bCs/>
          <w:color w:val="auto"/>
          <w:sz w:val="32"/>
          <w:szCs w:val="32"/>
          <w:highlight w:val="none"/>
        </w:rPr>
      </w:pPr>
      <w:r>
        <w:rPr>
          <w:rFonts w:hint="eastAsia" w:eastAsia="宋体" w:cs="仿宋_GB2312"/>
          <w:bCs/>
          <w:color w:val="auto"/>
          <w:sz w:val="32"/>
          <w:szCs w:val="32"/>
          <w:highlight w:val="none"/>
        </w:rPr>
        <w:t>项目名称：</w:t>
      </w:r>
    </w:p>
    <w:p w14:paraId="3B33082B">
      <w:pPr>
        <w:snapToGrid w:val="0"/>
        <w:spacing w:before="120" w:beforeLines="50" w:after="50"/>
        <w:ind w:firstLine="720" w:firstLineChars="225"/>
        <w:rPr>
          <w:rFonts w:hint="eastAsia" w:eastAsia="宋体" w:cs="仿宋_GB2312"/>
          <w:bCs/>
          <w:color w:val="auto"/>
          <w:sz w:val="32"/>
          <w:szCs w:val="32"/>
          <w:highlight w:val="none"/>
        </w:rPr>
      </w:pPr>
    </w:p>
    <w:p w14:paraId="60C4654B">
      <w:pPr>
        <w:snapToGrid w:val="0"/>
        <w:spacing w:before="120" w:beforeLines="50" w:after="50"/>
        <w:ind w:firstLine="640" w:firstLineChars="200"/>
        <w:rPr>
          <w:rFonts w:hint="eastAsia" w:eastAsia="宋体" w:cs="仿宋_GB2312"/>
          <w:bCs/>
          <w:color w:val="auto"/>
          <w:sz w:val="32"/>
          <w:szCs w:val="32"/>
          <w:highlight w:val="none"/>
        </w:rPr>
      </w:pPr>
      <w:r>
        <w:rPr>
          <w:rFonts w:hint="eastAsia" w:eastAsia="宋体" w:cs="仿宋_GB2312"/>
          <w:bCs/>
          <w:color w:val="auto"/>
          <w:sz w:val="32"/>
          <w:szCs w:val="32"/>
          <w:highlight w:val="none"/>
        </w:rPr>
        <w:t>项目编号：</w:t>
      </w:r>
    </w:p>
    <w:p w14:paraId="313B95A0">
      <w:pPr>
        <w:snapToGrid w:val="0"/>
        <w:spacing w:before="120" w:beforeLines="50" w:after="50"/>
        <w:ind w:firstLine="720" w:firstLineChars="225"/>
        <w:rPr>
          <w:rFonts w:hint="eastAsia" w:eastAsia="宋体" w:cs="仿宋_GB2312"/>
          <w:bCs/>
          <w:color w:val="auto"/>
          <w:sz w:val="32"/>
          <w:szCs w:val="32"/>
          <w:highlight w:val="none"/>
        </w:rPr>
      </w:pPr>
      <w:r>
        <w:rPr>
          <w:rFonts w:hint="eastAsia" w:eastAsia="宋体" w:cs="仿宋_GB2312"/>
          <w:bCs/>
          <w:color w:val="auto"/>
          <w:sz w:val="32"/>
          <w:szCs w:val="32"/>
          <w:highlight w:val="none"/>
        </w:rPr>
        <w:t xml:space="preserve"> </w:t>
      </w:r>
    </w:p>
    <w:p w14:paraId="693559B5">
      <w:pPr>
        <w:snapToGrid w:val="0"/>
        <w:spacing w:before="120" w:beforeLines="50" w:after="50"/>
        <w:ind w:firstLine="640" w:firstLineChars="200"/>
        <w:rPr>
          <w:rFonts w:hint="eastAsia" w:eastAsia="宋体" w:cs="仿宋_GB2312"/>
          <w:bCs/>
          <w:color w:val="auto"/>
          <w:sz w:val="32"/>
          <w:szCs w:val="32"/>
          <w:highlight w:val="none"/>
        </w:rPr>
      </w:pPr>
      <w:r>
        <w:rPr>
          <w:rFonts w:hint="eastAsia" w:eastAsia="宋体" w:cs="仿宋_GB2312"/>
          <w:bCs/>
          <w:color w:val="auto"/>
          <w:sz w:val="32"/>
          <w:szCs w:val="32"/>
          <w:highlight w:val="none"/>
        </w:rPr>
        <w:t>所竞分标（如有则填写，无分标时填写“无”或者留空）：</w:t>
      </w:r>
    </w:p>
    <w:p w14:paraId="03ACAC5B">
      <w:pPr>
        <w:snapToGrid w:val="0"/>
        <w:spacing w:before="120" w:beforeLines="50" w:after="50"/>
        <w:ind w:firstLine="720" w:firstLineChars="225"/>
        <w:rPr>
          <w:rFonts w:hint="eastAsia" w:eastAsia="宋体" w:cs="仿宋_GB2312"/>
          <w:bCs/>
          <w:color w:val="auto"/>
          <w:sz w:val="32"/>
          <w:szCs w:val="32"/>
          <w:highlight w:val="none"/>
        </w:rPr>
      </w:pPr>
    </w:p>
    <w:p w14:paraId="667BF15C">
      <w:pPr>
        <w:widowControl w:val="0"/>
        <w:snapToGrid w:val="0"/>
        <w:spacing w:before="50" w:after="50"/>
        <w:ind w:firstLine="640" w:firstLineChars="200"/>
        <w:jc w:val="both"/>
        <w:rPr>
          <w:rFonts w:hint="eastAsia" w:ascii="Times New Roman" w:hAnsi="Times New Roman" w:eastAsia="宋体" w:cs="仿宋_GB2312"/>
          <w:bCs/>
          <w:color w:val="auto"/>
          <w:kern w:val="2"/>
          <w:sz w:val="32"/>
          <w:szCs w:val="32"/>
          <w:highlight w:val="none"/>
          <w:lang w:val="en-US" w:eastAsia="zh-CN" w:bidi="ar-SA"/>
        </w:rPr>
      </w:pPr>
      <w:r>
        <w:rPr>
          <w:rFonts w:hint="eastAsia" w:ascii="Times New Roman" w:hAnsi="Times New Roman" w:eastAsia="宋体" w:cs="仿宋_GB2312"/>
          <w:bCs/>
          <w:color w:val="auto"/>
          <w:kern w:val="2"/>
          <w:sz w:val="32"/>
          <w:szCs w:val="32"/>
          <w:highlight w:val="none"/>
          <w:lang w:val="en-US" w:eastAsia="zh-CN" w:bidi="ar-SA"/>
        </w:rPr>
        <w:t>供应商名称：</w:t>
      </w:r>
    </w:p>
    <w:p w14:paraId="0AEA5C06">
      <w:pPr>
        <w:widowControl w:val="0"/>
        <w:snapToGrid w:val="0"/>
        <w:spacing w:before="50" w:after="50"/>
        <w:ind w:firstLine="720" w:firstLineChars="225"/>
        <w:jc w:val="both"/>
        <w:rPr>
          <w:rFonts w:hint="eastAsia" w:ascii="Times New Roman" w:hAnsi="Times New Roman" w:eastAsia="宋体" w:cs="仿宋_GB2312"/>
          <w:bCs/>
          <w:color w:val="auto"/>
          <w:kern w:val="2"/>
          <w:sz w:val="32"/>
          <w:szCs w:val="32"/>
          <w:highlight w:val="none"/>
          <w:lang w:val="en-US" w:eastAsia="zh-CN" w:bidi="ar-SA"/>
        </w:rPr>
      </w:pPr>
    </w:p>
    <w:p w14:paraId="0DB54297">
      <w:pPr>
        <w:widowControl w:val="0"/>
        <w:snapToGrid w:val="0"/>
        <w:spacing w:before="50" w:after="50"/>
        <w:ind w:firstLine="720" w:firstLineChars="225"/>
        <w:jc w:val="both"/>
        <w:rPr>
          <w:rFonts w:hint="eastAsia" w:ascii="Times New Roman" w:hAnsi="Times New Roman" w:eastAsia="宋体" w:cs="仿宋_GB2312"/>
          <w:bCs/>
          <w:color w:val="auto"/>
          <w:kern w:val="2"/>
          <w:sz w:val="32"/>
          <w:szCs w:val="32"/>
          <w:highlight w:val="none"/>
          <w:lang w:val="en-US" w:eastAsia="zh-CN" w:bidi="ar-SA"/>
        </w:rPr>
      </w:pPr>
    </w:p>
    <w:p w14:paraId="1D0CBCA2">
      <w:pPr>
        <w:widowControl w:val="0"/>
        <w:snapToGrid w:val="0"/>
        <w:spacing w:before="50" w:after="50"/>
        <w:ind w:firstLine="1280" w:firstLineChars="400"/>
        <w:jc w:val="both"/>
        <w:rPr>
          <w:rFonts w:hint="eastAsia" w:ascii="Times New Roman" w:hAnsi="Times New Roman" w:eastAsia="宋体" w:cs="仿宋_GB2312"/>
          <w:bCs/>
          <w:color w:val="auto"/>
          <w:kern w:val="2"/>
          <w:sz w:val="32"/>
          <w:szCs w:val="32"/>
          <w:highlight w:val="none"/>
          <w:lang w:val="en-US" w:eastAsia="zh-CN" w:bidi="ar-SA"/>
        </w:rPr>
      </w:pPr>
    </w:p>
    <w:p w14:paraId="1B656630">
      <w:pPr>
        <w:snapToGrid w:val="0"/>
        <w:spacing w:before="120" w:beforeLines="50" w:after="50"/>
        <w:jc w:val="center"/>
        <w:rPr>
          <w:rFonts w:hint="eastAsia" w:eastAsia="宋体" w:cs="仿宋_GB2312"/>
          <w:color w:val="auto"/>
          <w:sz w:val="32"/>
          <w:szCs w:val="32"/>
          <w:highlight w:val="none"/>
        </w:rPr>
      </w:pPr>
      <w:r>
        <w:rPr>
          <w:rFonts w:hint="eastAsia" w:eastAsia="宋体" w:cs="仿宋_GB2312"/>
          <w:color w:val="auto"/>
          <w:sz w:val="32"/>
          <w:szCs w:val="32"/>
          <w:highlight w:val="none"/>
        </w:rPr>
        <w:t>年    月    日</w:t>
      </w:r>
    </w:p>
    <w:p w14:paraId="3B653602">
      <w:pPr>
        <w:snapToGrid w:val="0"/>
        <w:spacing w:before="120" w:beforeLines="50" w:after="50" w:line="360" w:lineRule="auto"/>
        <w:jc w:val="left"/>
        <w:rPr>
          <w:rFonts w:hint="eastAsia" w:ascii="宋体" w:hAnsi="宋体" w:eastAsia="宋体" w:cs="宋体"/>
          <w:color w:val="auto"/>
          <w:sz w:val="28"/>
          <w:szCs w:val="28"/>
          <w:highlight w:val="none"/>
        </w:rPr>
      </w:pPr>
      <w:r>
        <w:rPr>
          <w:rFonts w:eastAsia="宋体"/>
          <w:color w:val="auto"/>
          <w:sz w:val="24"/>
          <w:highlight w:val="none"/>
        </w:rPr>
        <w:br w:type="page"/>
      </w:r>
      <w:r>
        <w:rPr>
          <w:rFonts w:hint="eastAsia" w:ascii="宋体" w:hAnsi="宋体" w:eastAsia="宋体" w:cs="宋体"/>
          <w:b/>
          <w:color w:val="auto"/>
          <w:sz w:val="28"/>
          <w:szCs w:val="28"/>
          <w:highlight w:val="none"/>
          <w:lang w:val="en-US"/>
        </w:rPr>
        <w:t>2</w:t>
      </w:r>
      <w:r>
        <w:rPr>
          <w:rFonts w:hint="eastAsia" w:ascii="宋体" w:hAnsi="宋体" w:eastAsia="宋体" w:cs="宋体"/>
          <w:b/>
          <w:color w:val="auto"/>
          <w:sz w:val="28"/>
          <w:szCs w:val="28"/>
          <w:highlight w:val="none"/>
        </w:rPr>
        <w:t>.</w:t>
      </w:r>
      <w:r>
        <w:rPr>
          <w:rFonts w:hint="eastAsia" w:ascii="宋体" w:hAnsi="宋体" w:eastAsia="宋体" w:cs="宋体"/>
          <w:b/>
          <w:bCs/>
          <w:color w:val="auto"/>
          <w:sz w:val="28"/>
          <w:szCs w:val="28"/>
          <w:highlight w:val="none"/>
        </w:rPr>
        <w:t>报价文件目录</w:t>
      </w:r>
    </w:p>
    <w:p w14:paraId="10529403">
      <w:pPr>
        <w:snapToGrid w:val="0"/>
        <w:spacing w:before="50" w:after="120" w:afterLines="50" w:line="360" w:lineRule="auto"/>
        <w:jc w:val="left"/>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根据</w:t>
      </w:r>
      <w:r>
        <w:rPr>
          <w:rFonts w:hint="eastAsia" w:ascii="宋体" w:hAnsi="宋体" w:eastAsia="宋体" w:cs="宋体"/>
          <w:color w:val="auto"/>
          <w:sz w:val="28"/>
          <w:szCs w:val="28"/>
          <w:highlight w:val="none"/>
          <w:lang w:eastAsia="zh-CN"/>
        </w:rPr>
        <w:t>竞争性磋商</w:t>
      </w:r>
      <w:r>
        <w:rPr>
          <w:rFonts w:hint="eastAsia" w:ascii="宋体" w:hAnsi="宋体" w:eastAsia="宋体" w:cs="宋体"/>
          <w:color w:val="auto"/>
          <w:sz w:val="28"/>
          <w:szCs w:val="28"/>
          <w:highlight w:val="none"/>
        </w:rPr>
        <w:t>文件规定及</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提供的材料自行编写目录</w:t>
      </w:r>
      <w:r>
        <w:rPr>
          <w:rFonts w:hint="eastAsia" w:ascii="宋体" w:hAnsi="宋体" w:eastAsia="宋体" w:cs="宋体"/>
          <w:color w:val="auto"/>
          <w:kern w:val="0"/>
          <w:sz w:val="28"/>
          <w:szCs w:val="28"/>
          <w:highlight w:val="none"/>
        </w:rPr>
        <w:t>（部分格式后附）</w:t>
      </w:r>
      <w:r>
        <w:rPr>
          <w:rFonts w:hint="eastAsia" w:ascii="宋体" w:hAnsi="宋体" w:eastAsia="宋体" w:cs="宋体"/>
          <w:color w:val="auto"/>
          <w:sz w:val="28"/>
          <w:szCs w:val="28"/>
          <w:highlight w:val="none"/>
        </w:rPr>
        <w:t>。</w:t>
      </w:r>
    </w:p>
    <w:p w14:paraId="60C06062">
      <w:pPr>
        <w:spacing w:line="360" w:lineRule="auto"/>
        <w:rPr>
          <w:rFonts w:hint="eastAsia" w:ascii="仿宋_GB2312" w:hAnsi="仿宋" w:eastAsia="仿宋_GB2312" w:cs="仿宋_GB2312"/>
          <w:color w:val="auto"/>
          <w:sz w:val="24"/>
          <w:highlight w:val="none"/>
        </w:rPr>
      </w:pPr>
    </w:p>
    <w:p w14:paraId="23F167CD">
      <w:pPr>
        <w:snapToGrid w:val="0"/>
        <w:spacing w:before="120" w:beforeLines="50" w:after="50" w:line="360" w:lineRule="auto"/>
        <w:ind w:left="142" w:firstLine="640" w:firstLineChars="200"/>
        <w:jc w:val="left"/>
        <w:rPr>
          <w:rFonts w:hint="eastAsia" w:ascii="仿宋_GB2312" w:hAnsi="仿宋_GB2312" w:eastAsia="仿宋_GB2312" w:cs="仿宋_GB2312"/>
          <w:color w:val="auto"/>
          <w:sz w:val="32"/>
          <w:szCs w:val="32"/>
          <w:highlight w:val="none"/>
        </w:rPr>
      </w:pPr>
    </w:p>
    <w:p w14:paraId="0C438C54">
      <w:pPr>
        <w:snapToGrid w:val="0"/>
        <w:spacing w:before="120" w:beforeLines="50" w:after="50" w:line="360" w:lineRule="auto"/>
        <w:ind w:left="0" w:firstLine="0" w:firstLineChars="0"/>
        <w:jc w:val="left"/>
        <w:rPr>
          <w:rFonts w:ascii="Calibri" w:eastAsia="宋体" w:cs="仿宋_GB2312"/>
          <w:color w:val="auto"/>
          <w:sz w:val="24"/>
          <w:highlight w:val="none"/>
        </w:rPr>
      </w:pPr>
      <w:r>
        <w:rPr>
          <w:rFonts w:ascii="Calibri" w:eastAsia="宋体" w:cs="仿宋_GB2312"/>
          <w:color w:val="auto"/>
          <w:sz w:val="24"/>
          <w:highlight w:val="none"/>
        </w:rPr>
        <w:br w:type="page"/>
      </w:r>
      <w:r>
        <w:rPr>
          <w:rFonts w:hint="eastAsia" w:ascii="宋体" w:hAnsi="宋体" w:eastAsia="宋体" w:cs="宋体"/>
          <w:b/>
          <w:color w:val="auto"/>
          <w:sz w:val="28"/>
          <w:szCs w:val="28"/>
          <w:highlight w:val="none"/>
          <w:lang w:val="en-US" w:eastAsia="zh-CN"/>
        </w:rPr>
        <w:t>3.</w:t>
      </w:r>
      <w:r>
        <w:rPr>
          <w:rFonts w:hint="eastAsia" w:ascii="宋体" w:hAnsi="宋体" w:eastAsia="宋体" w:cs="宋体"/>
          <w:b/>
          <w:color w:val="auto"/>
          <w:sz w:val="28"/>
          <w:szCs w:val="28"/>
          <w:highlight w:val="none"/>
          <w:lang w:val="zh-CN" w:eastAsia="zh-CN"/>
        </w:rPr>
        <w:t>响应函的格式：</w:t>
      </w:r>
    </w:p>
    <w:p w14:paraId="2520D460">
      <w:pPr>
        <w:spacing w:line="500" w:lineRule="exact"/>
        <w:jc w:val="center"/>
        <w:rPr>
          <w:rFonts w:ascii="Times New Roman" w:hAnsi="Times New Roman" w:eastAsia="宋体"/>
          <w:b/>
          <w:bCs/>
          <w:color w:val="auto"/>
          <w:kern w:val="0"/>
          <w:sz w:val="30"/>
          <w:szCs w:val="30"/>
          <w:highlight w:val="none"/>
        </w:rPr>
      </w:pPr>
      <w:r>
        <w:rPr>
          <w:rFonts w:hint="eastAsia" w:ascii="Times New Roman" w:hAnsi="Times New Roman" w:eastAsia="宋体"/>
          <w:b/>
          <w:bCs/>
          <w:color w:val="auto"/>
          <w:kern w:val="0"/>
          <w:sz w:val="30"/>
          <w:szCs w:val="30"/>
          <w:highlight w:val="none"/>
        </w:rPr>
        <w:t>响应函</w:t>
      </w:r>
    </w:p>
    <w:p w14:paraId="71789EC9">
      <w:pPr>
        <w:spacing w:line="500" w:lineRule="exact"/>
        <w:rPr>
          <w:rFonts w:ascii="Times New Roman" w:hAnsi="Times New Roman" w:eastAsia="宋体"/>
          <w:color w:val="auto"/>
          <w:kern w:val="0"/>
          <w:sz w:val="32"/>
          <w:szCs w:val="21"/>
          <w:highlight w:val="none"/>
        </w:rPr>
      </w:pPr>
    </w:p>
    <w:p w14:paraId="7D2A04DF">
      <w:pPr>
        <w:spacing w:line="440" w:lineRule="exact"/>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致：</w:t>
      </w:r>
      <w:r>
        <w:rPr>
          <w:rFonts w:hint="eastAsia" w:ascii="宋体" w:hAnsi="宋体" w:eastAsia="宋体" w:cs="宋体"/>
          <w:color w:val="auto"/>
          <w:kern w:val="0"/>
          <w:sz w:val="20"/>
          <w:szCs w:val="21"/>
          <w:highlight w:val="none"/>
          <w:u w:val="single"/>
        </w:rPr>
        <w:t xml:space="preserve">                      </w:t>
      </w:r>
      <w:r>
        <w:rPr>
          <w:rFonts w:hint="eastAsia" w:ascii="宋体" w:hAnsi="宋体" w:eastAsia="宋体" w:cs="宋体"/>
          <w:color w:val="auto"/>
          <w:kern w:val="0"/>
          <w:sz w:val="20"/>
          <w:szCs w:val="21"/>
          <w:highlight w:val="none"/>
        </w:rPr>
        <w:t>（采购代理机构名称）</w:t>
      </w:r>
    </w:p>
    <w:p w14:paraId="231A64D6">
      <w:pPr>
        <w:spacing w:line="440" w:lineRule="exact"/>
        <w:ind w:firstLine="400" w:firstLineChars="200"/>
        <w:rPr>
          <w:rFonts w:hint="eastAsia" w:ascii="宋体" w:hAnsi="宋体" w:eastAsia="宋体" w:cs="宋体"/>
          <w:color w:val="auto"/>
          <w:kern w:val="0"/>
          <w:sz w:val="20"/>
          <w:szCs w:val="21"/>
          <w:highlight w:val="none"/>
        </w:rPr>
      </w:pPr>
    </w:p>
    <w:p w14:paraId="18E58015">
      <w:pPr>
        <w:spacing w:line="440" w:lineRule="exact"/>
        <w:ind w:firstLine="400" w:firstLineChars="200"/>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我方已仔细阅读了贵方组织的</w:t>
      </w:r>
      <w:r>
        <w:rPr>
          <w:rFonts w:hint="eastAsia" w:ascii="宋体" w:hAnsi="宋体" w:eastAsia="宋体" w:cs="宋体"/>
          <w:color w:val="auto"/>
          <w:kern w:val="0"/>
          <w:sz w:val="20"/>
          <w:szCs w:val="21"/>
          <w:highlight w:val="none"/>
          <w:u w:val="single"/>
        </w:rPr>
        <w:t xml:space="preserve">                </w:t>
      </w:r>
      <w:r>
        <w:rPr>
          <w:rFonts w:hint="eastAsia" w:ascii="宋体" w:hAnsi="宋体" w:eastAsia="宋体" w:cs="宋体"/>
          <w:color w:val="auto"/>
          <w:kern w:val="0"/>
          <w:sz w:val="20"/>
          <w:szCs w:val="21"/>
          <w:highlight w:val="none"/>
        </w:rPr>
        <w:t>项目（项目编号：</w:t>
      </w:r>
      <w:r>
        <w:rPr>
          <w:rFonts w:hint="eastAsia" w:ascii="宋体" w:hAnsi="宋体" w:eastAsia="宋体" w:cs="宋体"/>
          <w:color w:val="auto"/>
          <w:kern w:val="0"/>
          <w:sz w:val="20"/>
          <w:szCs w:val="21"/>
          <w:highlight w:val="none"/>
          <w:u w:val="single"/>
        </w:rPr>
        <w:t xml:space="preserve">             </w:t>
      </w:r>
      <w:r>
        <w:rPr>
          <w:rFonts w:hint="eastAsia" w:ascii="宋体" w:hAnsi="宋体" w:eastAsia="宋体" w:cs="宋体"/>
          <w:color w:val="auto"/>
          <w:kern w:val="0"/>
          <w:sz w:val="20"/>
          <w:szCs w:val="21"/>
          <w:highlight w:val="none"/>
        </w:rPr>
        <w:t>）的竞争性磋商文件的全部内容，现正式</w:t>
      </w:r>
      <w:r>
        <w:rPr>
          <w:rFonts w:hint="eastAsia" w:ascii="宋体" w:hAnsi="宋体" w:eastAsia="宋体" w:cs="宋体"/>
          <w:color w:val="auto"/>
          <w:kern w:val="0"/>
          <w:sz w:val="20"/>
          <w:szCs w:val="21"/>
          <w:highlight w:val="none"/>
          <w:lang w:eastAsia="zh-CN"/>
        </w:rPr>
        <w:t>提交</w:t>
      </w:r>
      <w:r>
        <w:rPr>
          <w:rFonts w:hint="eastAsia" w:ascii="宋体" w:hAnsi="宋体" w:eastAsia="宋体" w:cs="宋体"/>
          <w:color w:val="auto"/>
          <w:kern w:val="0"/>
          <w:sz w:val="20"/>
          <w:szCs w:val="21"/>
          <w:highlight w:val="none"/>
        </w:rPr>
        <w:t xml:space="preserve">下述文件参加贵方组织的本次政府采购活动： </w:t>
      </w:r>
    </w:p>
    <w:p w14:paraId="078AEC31">
      <w:pPr>
        <w:spacing w:line="440" w:lineRule="exact"/>
        <w:ind w:firstLine="400" w:firstLineChars="200"/>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一、首次报价文件电子版（包含按“第三章 供应商须知”提交的全部文件）；</w:t>
      </w:r>
    </w:p>
    <w:p w14:paraId="58E9A2AE">
      <w:pPr>
        <w:spacing w:line="440" w:lineRule="exact"/>
        <w:ind w:firstLine="400" w:firstLineChars="200"/>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二、</w:t>
      </w:r>
      <w:r>
        <w:rPr>
          <w:rFonts w:hint="eastAsia" w:ascii="宋体" w:hAnsi="宋体" w:eastAsia="宋体" w:cs="宋体"/>
          <w:color w:val="auto"/>
          <w:kern w:val="0"/>
          <w:sz w:val="20"/>
          <w:szCs w:val="21"/>
          <w:highlight w:val="none"/>
          <w:lang w:val="zh-CN" w:eastAsia="zh-CN"/>
        </w:rPr>
        <w:t>商务技术文件</w:t>
      </w:r>
      <w:r>
        <w:rPr>
          <w:rFonts w:hint="eastAsia" w:ascii="宋体" w:hAnsi="宋体" w:eastAsia="宋体" w:cs="宋体"/>
          <w:color w:val="auto"/>
          <w:kern w:val="0"/>
          <w:sz w:val="20"/>
          <w:szCs w:val="21"/>
          <w:highlight w:val="none"/>
          <w:lang w:val="zh-CN"/>
        </w:rPr>
        <w:t>电子版</w:t>
      </w:r>
      <w:r>
        <w:rPr>
          <w:rFonts w:hint="eastAsia" w:ascii="宋体" w:hAnsi="宋体" w:eastAsia="宋体" w:cs="宋体"/>
          <w:color w:val="auto"/>
          <w:kern w:val="0"/>
          <w:sz w:val="20"/>
          <w:szCs w:val="21"/>
          <w:highlight w:val="none"/>
          <w:lang w:val="zh-CN" w:eastAsia="zh-CN"/>
        </w:rPr>
        <w:t>（包含按</w:t>
      </w:r>
      <w:r>
        <w:rPr>
          <w:rFonts w:hint="eastAsia" w:ascii="宋体" w:hAnsi="宋体" w:eastAsia="宋体" w:cs="宋体"/>
          <w:color w:val="auto"/>
          <w:kern w:val="0"/>
          <w:sz w:val="20"/>
          <w:szCs w:val="21"/>
          <w:highlight w:val="none"/>
          <w:lang w:val="zh-CN"/>
        </w:rPr>
        <w:t>“第三章 供应商须知”</w:t>
      </w:r>
      <w:r>
        <w:rPr>
          <w:rFonts w:hint="eastAsia" w:ascii="宋体" w:hAnsi="宋体" w:eastAsia="宋体" w:cs="宋体"/>
          <w:color w:val="auto"/>
          <w:kern w:val="0"/>
          <w:sz w:val="20"/>
          <w:szCs w:val="21"/>
          <w:highlight w:val="none"/>
          <w:lang w:val="zh-CN" w:eastAsia="zh-CN"/>
        </w:rPr>
        <w:t>提交的全部文件）</w:t>
      </w:r>
      <w:r>
        <w:rPr>
          <w:rFonts w:hint="eastAsia" w:ascii="宋体" w:hAnsi="宋体" w:eastAsia="宋体" w:cs="宋体"/>
          <w:color w:val="auto"/>
          <w:kern w:val="0"/>
          <w:sz w:val="20"/>
          <w:szCs w:val="21"/>
          <w:highlight w:val="none"/>
        </w:rPr>
        <w:t>；</w:t>
      </w:r>
    </w:p>
    <w:p w14:paraId="6A83185D">
      <w:pPr>
        <w:spacing w:line="440" w:lineRule="exact"/>
        <w:ind w:firstLine="400" w:firstLineChars="200"/>
        <w:rPr>
          <w:rFonts w:hint="eastAsia" w:ascii="宋体" w:hAnsi="宋体" w:eastAsia="宋体" w:cs="宋体"/>
          <w:color w:val="auto"/>
          <w:kern w:val="0"/>
          <w:sz w:val="20"/>
          <w:szCs w:val="21"/>
          <w:highlight w:val="none"/>
          <w:lang w:eastAsia="zh-CN"/>
        </w:rPr>
      </w:pPr>
      <w:r>
        <w:rPr>
          <w:rFonts w:hint="eastAsia" w:ascii="宋体" w:hAnsi="宋体" w:eastAsia="宋体" w:cs="宋体"/>
          <w:color w:val="auto"/>
          <w:kern w:val="0"/>
          <w:sz w:val="20"/>
          <w:szCs w:val="21"/>
          <w:highlight w:val="none"/>
        </w:rPr>
        <w:t>三、资格文件电子版（包含按“第三章供应商须知”提交的全部文件）</w:t>
      </w:r>
      <w:r>
        <w:rPr>
          <w:rFonts w:hint="eastAsia" w:ascii="宋体" w:hAnsi="宋体" w:eastAsia="宋体" w:cs="宋体"/>
          <w:color w:val="auto"/>
          <w:kern w:val="0"/>
          <w:sz w:val="20"/>
          <w:szCs w:val="21"/>
          <w:highlight w:val="none"/>
          <w:lang w:eastAsia="zh-CN"/>
        </w:rPr>
        <w:t>。</w:t>
      </w:r>
    </w:p>
    <w:p w14:paraId="2C75693D">
      <w:pPr>
        <w:spacing w:line="440" w:lineRule="exact"/>
        <w:ind w:firstLine="400" w:firstLineChars="200"/>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据此函，</w:t>
      </w:r>
      <w:r>
        <w:rPr>
          <w:rFonts w:hint="eastAsia" w:ascii="宋体" w:hAnsi="宋体" w:eastAsia="宋体" w:cs="宋体"/>
          <w:color w:val="auto"/>
          <w:kern w:val="0"/>
          <w:sz w:val="20"/>
          <w:szCs w:val="21"/>
          <w:highlight w:val="none"/>
          <w:lang w:val="en-US" w:eastAsia="zh-CN"/>
        </w:rPr>
        <w:t>我方</w:t>
      </w:r>
      <w:r>
        <w:rPr>
          <w:rFonts w:hint="eastAsia" w:ascii="宋体" w:hAnsi="宋体" w:eastAsia="宋体" w:cs="宋体"/>
          <w:color w:val="auto"/>
          <w:kern w:val="0"/>
          <w:sz w:val="20"/>
          <w:szCs w:val="21"/>
          <w:highlight w:val="none"/>
        </w:rPr>
        <w:t>兹宣布：</w:t>
      </w:r>
    </w:p>
    <w:p w14:paraId="3DF4454D">
      <w:pPr>
        <w:spacing w:line="440" w:lineRule="exact"/>
        <w:ind w:firstLine="482"/>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1、我方愿意以</w:t>
      </w:r>
      <w:r>
        <w:rPr>
          <w:rFonts w:hint="eastAsia" w:hAnsi="宋体" w:eastAsia="宋体" w:cs="宋体"/>
          <w:color w:val="auto"/>
          <w:highlight w:val="none"/>
          <w:lang w:eastAsia="zh-CN"/>
        </w:rPr>
        <w:t>磋商总报价</w:t>
      </w:r>
      <w:r>
        <w:rPr>
          <w:rFonts w:hint="eastAsia" w:hAnsi="宋体" w:eastAsia="宋体" w:cs="宋体"/>
          <w:color w:val="auto"/>
          <w:szCs w:val="22"/>
          <w:highlight w:val="none"/>
          <w:lang w:eastAsia="zh-CN"/>
        </w:rPr>
        <w:t>，</w:t>
      </w:r>
      <w:r>
        <w:rPr>
          <w:rFonts w:hint="eastAsia" w:ascii="宋体" w:hAnsi="宋体" w:eastAsia="宋体" w:cs="宋体"/>
          <w:color w:val="auto"/>
          <w:kern w:val="0"/>
          <w:sz w:val="20"/>
          <w:szCs w:val="21"/>
          <w:highlight w:val="none"/>
        </w:rPr>
        <w:t>提供本项目竞争性磋商文件第二章“</w:t>
      </w:r>
      <w:r>
        <w:rPr>
          <w:rFonts w:hint="eastAsia" w:ascii="宋体" w:hAnsi="宋体" w:eastAsia="宋体" w:cs="宋体"/>
          <w:color w:val="auto"/>
          <w:kern w:val="0"/>
          <w:sz w:val="20"/>
          <w:szCs w:val="21"/>
          <w:highlight w:val="none"/>
          <w:lang w:eastAsia="zh-CN"/>
        </w:rPr>
        <w:t>采购需求</w:t>
      </w:r>
      <w:r>
        <w:rPr>
          <w:rFonts w:hint="eastAsia" w:ascii="宋体" w:hAnsi="宋体" w:eastAsia="宋体" w:cs="宋体"/>
          <w:color w:val="auto"/>
          <w:kern w:val="0"/>
          <w:sz w:val="20"/>
          <w:szCs w:val="21"/>
          <w:highlight w:val="none"/>
        </w:rPr>
        <w:t>”中相应的采购内容</w:t>
      </w:r>
      <w:r>
        <w:rPr>
          <w:rFonts w:hint="eastAsia" w:hAnsi="宋体" w:eastAsia="宋体" w:cs="宋体"/>
          <w:color w:val="auto"/>
          <w:highlight w:val="none"/>
          <w:lang w:eastAsia="zh-CN"/>
        </w:rPr>
        <w:t>，具体详见最后报价表</w:t>
      </w:r>
      <w:r>
        <w:rPr>
          <w:rFonts w:hint="eastAsia" w:ascii="宋体" w:hAnsi="宋体" w:eastAsia="宋体" w:cs="宋体"/>
          <w:color w:val="auto"/>
          <w:kern w:val="0"/>
          <w:sz w:val="20"/>
          <w:szCs w:val="21"/>
          <w:highlight w:val="none"/>
        </w:rPr>
        <w:t>。</w:t>
      </w:r>
    </w:p>
    <w:p w14:paraId="19ED874C">
      <w:pPr>
        <w:spacing w:line="440" w:lineRule="exact"/>
        <w:ind w:firstLine="482"/>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2、我方同意自本项目竞争性磋商文件采购公告规定的</w:t>
      </w:r>
      <w:r>
        <w:rPr>
          <w:rFonts w:hint="eastAsia" w:ascii="宋体" w:hAnsi="宋体" w:eastAsia="宋体" w:cs="宋体"/>
          <w:color w:val="auto"/>
          <w:kern w:val="0"/>
          <w:sz w:val="20"/>
          <w:szCs w:val="21"/>
          <w:highlight w:val="none"/>
          <w:lang w:eastAsia="zh-CN"/>
        </w:rPr>
        <w:t>提</w:t>
      </w:r>
      <w:r>
        <w:rPr>
          <w:rFonts w:hint="eastAsia" w:ascii="宋体" w:hAnsi="宋体" w:eastAsia="宋体" w:cs="宋体"/>
          <w:color w:val="auto"/>
          <w:kern w:val="0"/>
          <w:sz w:val="20"/>
          <w:szCs w:val="21"/>
          <w:highlight w:val="none"/>
        </w:rPr>
        <w:t>交响应文件截止时间起遵循本响应函，并承诺在“第三章 供应商须知”规定的</w:t>
      </w:r>
      <w:r>
        <w:rPr>
          <w:rFonts w:hint="eastAsia" w:ascii="宋体" w:hAnsi="宋体" w:eastAsia="宋体" w:cs="宋体"/>
          <w:color w:val="auto"/>
          <w:kern w:val="0"/>
          <w:sz w:val="20"/>
          <w:szCs w:val="21"/>
          <w:highlight w:val="none"/>
          <w:lang w:val="en-US" w:eastAsia="zh-CN"/>
        </w:rPr>
        <w:t>竞标</w:t>
      </w:r>
      <w:r>
        <w:rPr>
          <w:rFonts w:hint="eastAsia" w:ascii="宋体" w:hAnsi="宋体" w:eastAsia="宋体" w:cs="宋体"/>
          <w:color w:val="auto"/>
          <w:kern w:val="0"/>
          <w:sz w:val="20"/>
          <w:szCs w:val="21"/>
          <w:highlight w:val="none"/>
        </w:rPr>
        <w:t>有效期内不修改、撤销响应文件。</w:t>
      </w:r>
    </w:p>
    <w:p w14:paraId="0B5C7769">
      <w:pPr>
        <w:spacing w:line="440" w:lineRule="exact"/>
        <w:ind w:firstLine="482"/>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3、我方在此声明，所</w:t>
      </w:r>
      <w:r>
        <w:rPr>
          <w:rFonts w:hint="eastAsia" w:ascii="宋体" w:hAnsi="宋体" w:eastAsia="宋体" w:cs="宋体"/>
          <w:color w:val="auto"/>
          <w:kern w:val="0"/>
          <w:sz w:val="20"/>
          <w:szCs w:val="21"/>
          <w:highlight w:val="none"/>
          <w:lang w:eastAsia="zh-CN"/>
        </w:rPr>
        <w:t>提交</w:t>
      </w:r>
      <w:r>
        <w:rPr>
          <w:rFonts w:hint="eastAsia" w:ascii="宋体" w:hAnsi="宋体" w:eastAsia="宋体" w:cs="宋体"/>
          <w:color w:val="auto"/>
          <w:kern w:val="0"/>
          <w:sz w:val="20"/>
          <w:szCs w:val="21"/>
          <w:highlight w:val="none"/>
        </w:rPr>
        <w:t>的响应文件及有关资料内容完整、真实和准确。</w:t>
      </w:r>
    </w:p>
    <w:p w14:paraId="5B3AC7BB">
      <w:pPr>
        <w:spacing w:line="440" w:lineRule="exact"/>
        <w:ind w:firstLine="482"/>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4、如本项目采购内容涉及须符合国家强制规定的，我方承诺我方本次竞标均符合国家有关强制规定。</w:t>
      </w:r>
    </w:p>
    <w:p w14:paraId="2A902DD6">
      <w:pPr>
        <w:spacing w:line="440" w:lineRule="exact"/>
        <w:ind w:firstLine="482"/>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5、如我方成交，我方承诺在收到成交通知书后，在成交通知书规定的期限内，根据竞争性磋商文件、我方的响应文件及有关澄清承诺书的要求按第六章“合同文本”与采购人订立书面合同，并按照合同约定承担完成合同的责任和义务。</w:t>
      </w:r>
    </w:p>
    <w:p w14:paraId="3DDD824A">
      <w:pPr>
        <w:spacing w:line="440" w:lineRule="exact"/>
        <w:ind w:firstLine="482"/>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lang w:val="en-US" w:eastAsia="zh-CN"/>
        </w:rPr>
        <w:t>6</w:t>
      </w:r>
      <w:r>
        <w:rPr>
          <w:rFonts w:hint="eastAsia" w:ascii="宋体" w:hAnsi="宋体" w:eastAsia="宋体" w:cs="宋体"/>
          <w:color w:val="auto"/>
          <w:kern w:val="0"/>
          <w:sz w:val="20"/>
          <w:szCs w:val="21"/>
          <w:highlight w:val="none"/>
        </w:rPr>
        <w:t>、我方已详细审核竞争性磋商文件，我方知道必须放弃提出含糊不清或误解问题的权利。</w:t>
      </w:r>
    </w:p>
    <w:p w14:paraId="10183ECD">
      <w:pPr>
        <w:spacing w:line="440" w:lineRule="exact"/>
        <w:ind w:firstLine="482"/>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lang w:val="en-US" w:eastAsia="zh-CN"/>
        </w:rPr>
        <w:t>7</w:t>
      </w:r>
      <w:r>
        <w:rPr>
          <w:rFonts w:hint="eastAsia" w:ascii="宋体" w:hAnsi="宋体" w:eastAsia="宋体" w:cs="宋体"/>
          <w:color w:val="auto"/>
          <w:kern w:val="0"/>
          <w:sz w:val="20"/>
          <w:szCs w:val="21"/>
          <w:highlight w:val="none"/>
        </w:rPr>
        <w:t>、我方承诺满足竞争性磋商文件第六章“合同文本”的条款，承担完成合同的责任和义务。</w:t>
      </w:r>
    </w:p>
    <w:p w14:paraId="7FBEE021">
      <w:pPr>
        <w:spacing w:line="440" w:lineRule="exact"/>
        <w:ind w:firstLine="482"/>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lang w:val="en-US" w:eastAsia="zh-CN"/>
        </w:rPr>
        <w:t>8</w:t>
      </w:r>
      <w:r>
        <w:rPr>
          <w:rFonts w:hint="eastAsia" w:ascii="宋体" w:hAnsi="宋体" w:eastAsia="宋体" w:cs="宋体"/>
          <w:color w:val="auto"/>
          <w:kern w:val="0"/>
          <w:sz w:val="20"/>
          <w:szCs w:val="21"/>
          <w:highlight w:val="none"/>
        </w:rPr>
        <w:t>、我方同意应贵方要求提供与本竞标有关的任何数据或资料。若贵方需要，我方愿意提供我方作出的一切承诺的证明材料。</w:t>
      </w:r>
    </w:p>
    <w:p w14:paraId="70AAF661">
      <w:pPr>
        <w:spacing w:line="440" w:lineRule="exact"/>
        <w:ind w:firstLine="482"/>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lang w:val="en-US" w:eastAsia="zh-CN"/>
        </w:rPr>
        <w:t>9</w:t>
      </w:r>
      <w:r>
        <w:rPr>
          <w:rFonts w:hint="eastAsia" w:ascii="宋体" w:hAnsi="宋体" w:eastAsia="宋体" w:cs="宋体"/>
          <w:color w:val="auto"/>
          <w:kern w:val="0"/>
          <w:sz w:val="20"/>
          <w:szCs w:val="21"/>
          <w:highlight w:val="none"/>
        </w:rPr>
        <w:t>、我方完全理解贵方不一定接受响应报价最低的</w:t>
      </w:r>
      <w:r>
        <w:rPr>
          <w:rFonts w:hint="eastAsia" w:ascii="宋体" w:hAnsi="宋体" w:eastAsia="宋体" w:cs="宋体"/>
          <w:color w:val="auto"/>
          <w:kern w:val="0"/>
          <w:sz w:val="20"/>
          <w:szCs w:val="21"/>
          <w:highlight w:val="none"/>
          <w:lang w:eastAsia="zh-CN"/>
        </w:rPr>
        <w:t>供应商</w:t>
      </w:r>
      <w:r>
        <w:rPr>
          <w:rFonts w:hint="eastAsia" w:ascii="宋体" w:hAnsi="宋体" w:eastAsia="宋体" w:cs="宋体"/>
          <w:color w:val="auto"/>
          <w:kern w:val="0"/>
          <w:sz w:val="20"/>
          <w:szCs w:val="21"/>
          <w:highlight w:val="none"/>
        </w:rPr>
        <w:t>为成交供应商的行为。</w:t>
      </w:r>
    </w:p>
    <w:p w14:paraId="1E80A296">
      <w:pPr>
        <w:spacing w:line="440" w:lineRule="exact"/>
        <w:ind w:firstLine="482"/>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1</w:t>
      </w:r>
      <w:r>
        <w:rPr>
          <w:rFonts w:hint="eastAsia" w:ascii="宋体" w:hAnsi="宋体" w:eastAsia="宋体" w:cs="宋体"/>
          <w:color w:val="auto"/>
          <w:kern w:val="0"/>
          <w:sz w:val="20"/>
          <w:szCs w:val="21"/>
          <w:highlight w:val="none"/>
          <w:lang w:val="en-US" w:eastAsia="zh-CN"/>
        </w:rPr>
        <w:t>0</w:t>
      </w:r>
      <w:r>
        <w:rPr>
          <w:rFonts w:hint="eastAsia" w:ascii="宋体" w:hAnsi="宋体" w:eastAsia="宋体" w:cs="宋体"/>
          <w:color w:val="auto"/>
          <w:kern w:val="0"/>
          <w:sz w:val="20"/>
          <w:szCs w:val="21"/>
          <w:highlight w:val="none"/>
        </w:rPr>
        <w:t>、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1A7F0D21">
      <w:pPr>
        <w:numPr>
          <w:ilvl w:val="0"/>
          <w:numId w:val="3"/>
        </w:numPr>
        <w:tabs>
          <w:tab w:val="left" w:pos="945"/>
        </w:tabs>
        <w:spacing w:line="480" w:lineRule="auto"/>
        <w:ind w:left="1140"/>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提供虚假材料谋取中标、成交的；</w:t>
      </w:r>
    </w:p>
    <w:p w14:paraId="6972596E">
      <w:pPr>
        <w:numPr>
          <w:ilvl w:val="0"/>
          <w:numId w:val="3"/>
        </w:numPr>
        <w:tabs>
          <w:tab w:val="left" w:pos="945"/>
        </w:tabs>
        <w:spacing w:line="480" w:lineRule="auto"/>
        <w:ind w:left="1140"/>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采取不正当手段诋毁、排挤其他供应商的；</w:t>
      </w:r>
    </w:p>
    <w:p w14:paraId="32219046">
      <w:pPr>
        <w:numPr>
          <w:ilvl w:val="0"/>
          <w:numId w:val="3"/>
        </w:numPr>
        <w:tabs>
          <w:tab w:val="left" w:pos="945"/>
        </w:tabs>
        <w:spacing w:line="480" w:lineRule="auto"/>
        <w:ind w:left="1140"/>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与采购人、其他供应商或者采购代理机构恶意串通的；</w:t>
      </w:r>
    </w:p>
    <w:p w14:paraId="5F6B78CB">
      <w:pPr>
        <w:numPr>
          <w:ilvl w:val="0"/>
          <w:numId w:val="3"/>
        </w:numPr>
        <w:tabs>
          <w:tab w:val="left" w:pos="945"/>
        </w:tabs>
        <w:spacing w:line="480" w:lineRule="auto"/>
        <w:ind w:left="1140"/>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向采购人、采购代理机构行贿或者提供其他不正当利益的；</w:t>
      </w:r>
    </w:p>
    <w:p w14:paraId="22423E5D">
      <w:pPr>
        <w:numPr>
          <w:ilvl w:val="0"/>
          <w:numId w:val="3"/>
        </w:numPr>
        <w:tabs>
          <w:tab w:val="left" w:pos="945"/>
        </w:tabs>
        <w:spacing w:line="480" w:lineRule="auto"/>
        <w:ind w:left="1140"/>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在采购过程中与采购人进行协商</w:t>
      </w:r>
      <w:r>
        <w:rPr>
          <w:rFonts w:hint="eastAsia" w:ascii="宋体" w:hAnsi="宋体" w:eastAsia="宋体" w:cs="宋体"/>
          <w:color w:val="auto"/>
          <w:kern w:val="0"/>
          <w:sz w:val="20"/>
          <w:szCs w:val="21"/>
          <w:highlight w:val="none"/>
          <w:lang w:eastAsia="zh-CN"/>
        </w:rPr>
        <w:t>磋商</w:t>
      </w:r>
      <w:r>
        <w:rPr>
          <w:rFonts w:hint="eastAsia" w:ascii="宋体" w:hAnsi="宋体" w:eastAsia="宋体" w:cs="宋体"/>
          <w:color w:val="auto"/>
          <w:kern w:val="0"/>
          <w:sz w:val="20"/>
          <w:szCs w:val="21"/>
          <w:highlight w:val="none"/>
        </w:rPr>
        <w:t>的；</w:t>
      </w:r>
    </w:p>
    <w:p w14:paraId="2A5D43D9">
      <w:pPr>
        <w:numPr>
          <w:ilvl w:val="0"/>
          <w:numId w:val="3"/>
        </w:numPr>
        <w:tabs>
          <w:tab w:val="left" w:pos="945"/>
        </w:tabs>
        <w:spacing w:line="480" w:lineRule="auto"/>
        <w:ind w:left="1140"/>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拒绝有关部门监督检查或提供虚假情况的。</w:t>
      </w:r>
    </w:p>
    <w:p w14:paraId="73D75AE8">
      <w:pPr>
        <w:spacing w:line="480" w:lineRule="auto"/>
        <w:ind w:firstLine="420"/>
        <w:rPr>
          <w:rFonts w:hint="eastAsia" w:ascii="宋体" w:hAnsi="宋体" w:eastAsia="宋体" w:cs="宋体"/>
          <w:b/>
          <w:bCs/>
          <w:color w:val="auto"/>
          <w:kern w:val="0"/>
          <w:szCs w:val="21"/>
          <w:highlight w:val="none"/>
        </w:rPr>
      </w:pPr>
      <w:r>
        <w:rPr>
          <w:rFonts w:hint="eastAsia" w:ascii="宋体" w:hAnsi="宋体" w:eastAsia="宋体" w:cs="宋体"/>
          <w:color w:val="auto"/>
          <w:kern w:val="0"/>
          <w:sz w:val="20"/>
          <w:szCs w:val="20"/>
          <w:highlight w:val="none"/>
          <w:lang w:val="en-US" w:eastAsia="zh-CN"/>
        </w:rPr>
        <w:t>11、</w:t>
      </w:r>
      <w:r>
        <w:rPr>
          <w:rFonts w:hint="eastAsia" w:eastAsia="宋体" w:cs="Times New Roman"/>
          <w:color w:val="auto"/>
          <w:highlight w:val="none"/>
        </w:rPr>
        <w:t>以上事项如有虚假或</w:t>
      </w:r>
      <w:r>
        <w:rPr>
          <w:rFonts w:hint="eastAsia" w:eastAsia="宋体" w:cs="Times New Roman"/>
          <w:color w:val="auto"/>
          <w:highlight w:val="none"/>
          <w:lang w:val="en-US" w:eastAsia="zh-CN"/>
        </w:rPr>
        <w:t>者</w:t>
      </w:r>
      <w:r>
        <w:rPr>
          <w:rFonts w:hint="eastAsia" w:eastAsia="宋体" w:cs="Times New Roman"/>
          <w:color w:val="auto"/>
          <w:highlight w:val="none"/>
        </w:rPr>
        <w:t>隐瞒，我方愿意承担一切后果，并不再寻求任何旨在减轻或</w:t>
      </w:r>
      <w:r>
        <w:rPr>
          <w:rFonts w:hint="eastAsia" w:eastAsia="宋体" w:cs="Times New Roman"/>
          <w:color w:val="auto"/>
          <w:highlight w:val="none"/>
          <w:lang w:val="en-US" w:eastAsia="zh-CN"/>
        </w:rPr>
        <w:t>者</w:t>
      </w:r>
      <w:r>
        <w:rPr>
          <w:rFonts w:hint="eastAsia" w:eastAsia="宋体" w:cs="Times New Roman"/>
          <w:color w:val="auto"/>
          <w:highlight w:val="none"/>
        </w:rPr>
        <w:t>免除法律责任的辩解</w:t>
      </w:r>
      <w:r>
        <w:rPr>
          <w:rFonts w:hint="eastAsia" w:eastAsia="宋体" w:cs="Times New Roman"/>
          <w:color w:val="auto"/>
          <w:highlight w:val="none"/>
          <w:lang w:eastAsia="zh-CN"/>
        </w:rPr>
        <w:t>。</w:t>
      </w:r>
    </w:p>
    <w:p w14:paraId="36C204D5">
      <w:pPr>
        <w:spacing w:line="480" w:lineRule="auto"/>
        <w:ind w:firstLine="420"/>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Cs w:val="21"/>
          <w:highlight w:val="none"/>
        </w:rPr>
        <w:t>1</w:t>
      </w:r>
      <w:r>
        <w:rPr>
          <w:rFonts w:hint="default" w:ascii="宋体" w:hAnsi="宋体" w:eastAsia="宋体" w:cs="宋体"/>
          <w:b/>
          <w:bCs/>
          <w:color w:val="auto"/>
          <w:kern w:val="0"/>
          <w:szCs w:val="21"/>
          <w:highlight w:val="none"/>
          <w:lang w:val="en-US"/>
        </w:rPr>
        <w:t>2</w:t>
      </w:r>
      <w:r>
        <w:rPr>
          <w:rFonts w:hint="eastAsia" w:ascii="宋体" w:hAnsi="宋体" w:eastAsia="宋体" w:cs="宋体"/>
          <w:b/>
          <w:bCs/>
          <w:color w:val="auto"/>
          <w:kern w:val="0"/>
          <w:szCs w:val="21"/>
          <w:highlight w:val="none"/>
          <w:lang w:val="en-US" w:eastAsia="zh-CN"/>
        </w:rPr>
        <w:t>、</w:t>
      </w:r>
      <w:r>
        <w:rPr>
          <w:rFonts w:hint="eastAsia" w:ascii="宋体" w:hAnsi="宋体" w:eastAsia="宋体" w:cs="宋体"/>
          <w:b/>
          <w:bCs/>
          <w:color w:val="auto"/>
          <w:kern w:val="0"/>
          <w:szCs w:val="21"/>
          <w:highlight w:val="none"/>
        </w:rPr>
        <w:t>与本磋商有关的一切正式往来信函请寄</w:t>
      </w:r>
      <w:r>
        <w:rPr>
          <w:rFonts w:hint="eastAsia" w:ascii="宋体" w:hAnsi="宋体" w:eastAsia="宋体" w:cs="宋体"/>
          <w:b/>
          <w:bCs/>
          <w:color w:val="auto"/>
          <w:kern w:val="0"/>
          <w:sz w:val="21"/>
          <w:szCs w:val="21"/>
          <w:highlight w:val="none"/>
        </w:rPr>
        <w:t>：</w:t>
      </w:r>
      <w:r>
        <w:rPr>
          <w:rFonts w:hint="eastAsia" w:ascii="宋体" w:hAnsi="宋体" w:eastAsia="宋体" w:cs="宋体"/>
          <w:b/>
          <w:bCs/>
          <w:color w:val="auto"/>
          <w:kern w:val="0"/>
          <w:sz w:val="21"/>
          <w:szCs w:val="21"/>
          <w:highlight w:val="none"/>
          <w:u w:val="none"/>
        </w:rPr>
        <w:t xml:space="preserve"> </w:t>
      </w:r>
    </w:p>
    <w:p w14:paraId="64E07FED">
      <w:pPr>
        <w:spacing w:line="480" w:lineRule="auto"/>
        <w:ind w:firstLine="420"/>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地址：</w:t>
      </w:r>
      <w:r>
        <w:rPr>
          <w:rFonts w:hint="eastAsia" w:ascii="宋体" w:hAnsi="宋体" w:eastAsia="宋体" w:cs="宋体"/>
          <w:color w:val="auto"/>
          <w:kern w:val="0"/>
          <w:sz w:val="20"/>
          <w:szCs w:val="21"/>
          <w:highlight w:val="none"/>
          <w:u w:val="single"/>
        </w:rPr>
        <w:t xml:space="preserve">                                                        </w:t>
      </w:r>
    </w:p>
    <w:p w14:paraId="64F90268">
      <w:pPr>
        <w:spacing w:line="480" w:lineRule="auto"/>
        <w:ind w:firstLine="420"/>
        <w:rPr>
          <w:rFonts w:hint="eastAsia" w:ascii="宋体" w:hAnsi="宋体" w:eastAsia="宋体" w:cs="宋体"/>
          <w:color w:val="auto"/>
          <w:kern w:val="0"/>
          <w:sz w:val="20"/>
          <w:szCs w:val="21"/>
          <w:highlight w:val="none"/>
          <w:u w:val="single"/>
        </w:rPr>
      </w:pPr>
      <w:r>
        <w:rPr>
          <w:rFonts w:hint="eastAsia" w:ascii="宋体" w:hAnsi="宋体" w:eastAsia="宋体" w:cs="宋体"/>
          <w:color w:val="auto"/>
          <w:kern w:val="0"/>
          <w:sz w:val="20"/>
          <w:szCs w:val="21"/>
          <w:highlight w:val="none"/>
        </w:rPr>
        <w:t>电话：</w:t>
      </w:r>
      <w:r>
        <w:rPr>
          <w:rFonts w:hint="eastAsia" w:ascii="宋体" w:hAnsi="宋体" w:eastAsia="宋体" w:cs="宋体"/>
          <w:color w:val="auto"/>
          <w:kern w:val="0"/>
          <w:sz w:val="20"/>
          <w:szCs w:val="21"/>
          <w:highlight w:val="none"/>
          <w:u w:val="single"/>
        </w:rPr>
        <w:t xml:space="preserve">                                      　　　　　　　　　</w:t>
      </w:r>
    </w:p>
    <w:p w14:paraId="3AB72695">
      <w:pPr>
        <w:spacing w:line="480" w:lineRule="auto"/>
        <w:ind w:firstLine="420"/>
        <w:rPr>
          <w:rFonts w:hint="eastAsia" w:ascii="宋体" w:hAnsi="宋体" w:eastAsia="宋体" w:cs="宋体"/>
          <w:color w:val="auto"/>
          <w:kern w:val="0"/>
          <w:sz w:val="20"/>
          <w:szCs w:val="21"/>
          <w:highlight w:val="none"/>
          <w:u w:val="single"/>
        </w:rPr>
      </w:pPr>
      <w:r>
        <w:rPr>
          <w:rFonts w:hint="eastAsia" w:ascii="宋体" w:hAnsi="宋体" w:eastAsia="宋体" w:cs="宋体"/>
          <w:color w:val="auto"/>
          <w:kern w:val="0"/>
          <w:sz w:val="20"/>
          <w:szCs w:val="21"/>
          <w:highlight w:val="none"/>
        </w:rPr>
        <w:t>传真：</w:t>
      </w:r>
      <w:r>
        <w:rPr>
          <w:rFonts w:hint="eastAsia" w:ascii="宋体" w:hAnsi="宋体" w:eastAsia="宋体" w:cs="宋体"/>
          <w:color w:val="auto"/>
          <w:kern w:val="0"/>
          <w:sz w:val="20"/>
          <w:szCs w:val="21"/>
          <w:highlight w:val="none"/>
          <w:u w:val="single"/>
        </w:rPr>
        <w:t>　　　　　　　　　　　　　　　　　　　　　　　　　　　　</w:t>
      </w:r>
    </w:p>
    <w:p w14:paraId="1B7F6AB6">
      <w:pPr>
        <w:spacing w:line="480" w:lineRule="auto"/>
        <w:ind w:firstLine="420"/>
        <w:rPr>
          <w:rFonts w:hint="eastAsia" w:ascii="宋体" w:hAnsi="宋体" w:eastAsia="宋体" w:cs="宋体"/>
          <w:color w:val="auto"/>
          <w:highlight w:val="none"/>
          <w:lang w:val="en-US" w:eastAsia="zh-CN"/>
        </w:rPr>
      </w:pPr>
      <w:r>
        <w:rPr>
          <w:rFonts w:hint="eastAsia" w:ascii="宋体" w:hAnsi="宋体" w:eastAsia="宋体" w:cs="宋体"/>
          <w:color w:val="auto"/>
          <w:kern w:val="0"/>
          <w:sz w:val="20"/>
          <w:szCs w:val="21"/>
          <w:highlight w:val="none"/>
          <w:u w:val="none"/>
          <w:lang w:val="en-US" w:eastAsia="zh-CN"/>
        </w:rPr>
        <w:t>电子邮箱：</w:t>
      </w:r>
      <w:r>
        <w:rPr>
          <w:rFonts w:hint="eastAsia" w:ascii="宋体" w:hAnsi="宋体" w:eastAsia="宋体" w:cs="宋体"/>
          <w:color w:val="auto"/>
          <w:kern w:val="0"/>
          <w:sz w:val="20"/>
          <w:szCs w:val="21"/>
          <w:highlight w:val="none"/>
          <w:u w:val="single"/>
        </w:rPr>
        <w:t>　　　　　　　　　　　　　　　　　　　　　　　　　　</w:t>
      </w:r>
    </w:p>
    <w:p w14:paraId="3672ECF7">
      <w:pPr>
        <w:spacing w:line="480" w:lineRule="auto"/>
        <w:ind w:firstLine="420"/>
        <w:rPr>
          <w:rFonts w:hint="eastAsia" w:ascii="宋体" w:hAnsi="宋体" w:eastAsia="宋体" w:cs="宋体"/>
          <w:color w:val="auto"/>
          <w:kern w:val="0"/>
          <w:sz w:val="20"/>
          <w:szCs w:val="21"/>
          <w:highlight w:val="none"/>
          <w:u w:val="single"/>
        </w:rPr>
      </w:pPr>
      <w:r>
        <w:rPr>
          <w:rFonts w:hint="eastAsia" w:ascii="宋体" w:hAnsi="宋体" w:eastAsia="宋体" w:cs="宋体"/>
          <w:color w:val="auto"/>
          <w:kern w:val="0"/>
          <w:sz w:val="20"/>
          <w:szCs w:val="21"/>
          <w:highlight w:val="none"/>
        </w:rPr>
        <w:t>邮政编码：</w:t>
      </w:r>
      <w:r>
        <w:rPr>
          <w:rFonts w:hint="eastAsia" w:ascii="宋体" w:hAnsi="宋体" w:eastAsia="宋体" w:cs="宋体"/>
          <w:color w:val="auto"/>
          <w:kern w:val="0"/>
          <w:sz w:val="20"/>
          <w:szCs w:val="21"/>
          <w:highlight w:val="none"/>
          <w:u w:val="single"/>
        </w:rPr>
        <w:t xml:space="preserve">                                                    </w:t>
      </w:r>
    </w:p>
    <w:p w14:paraId="2A9738A7">
      <w:pPr>
        <w:spacing w:line="480" w:lineRule="auto"/>
        <w:ind w:firstLine="420"/>
        <w:rPr>
          <w:rFonts w:hint="eastAsia" w:ascii="宋体" w:hAnsi="宋体" w:eastAsia="宋体" w:cs="宋体"/>
          <w:color w:val="auto"/>
          <w:kern w:val="0"/>
          <w:sz w:val="20"/>
          <w:szCs w:val="21"/>
          <w:highlight w:val="none"/>
          <w:u w:val="single"/>
        </w:rPr>
      </w:pPr>
      <w:r>
        <w:rPr>
          <w:rFonts w:hint="eastAsia" w:ascii="宋体" w:hAnsi="宋体" w:eastAsia="宋体" w:cs="宋体"/>
          <w:color w:val="auto"/>
          <w:kern w:val="0"/>
          <w:sz w:val="20"/>
          <w:szCs w:val="21"/>
          <w:highlight w:val="none"/>
        </w:rPr>
        <w:t>开户名称：</w:t>
      </w:r>
      <w:r>
        <w:rPr>
          <w:rFonts w:hint="eastAsia" w:ascii="宋体" w:hAnsi="宋体" w:eastAsia="宋体" w:cs="宋体"/>
          <w:color w:val="auto"/>
          <w:kern w:val="0"/>
          <w:sz w:val="20"/>
          <w:szCs w:val="21"/>
          <w:highlight w:val="none"/>
          <w:u w:val="single"/>
        </w:rPr>
        <w:t xml:space="preserve">                                                    </w:t>
      </w:r>
    </w:p>
    <w:p w14:paraId="2ADAF309">
      <w:pPr>
        <w:spacing w:line="480" w:lineRule="auto"/>
        <w:ind w:firstLine="420"/>
        <w:rPr>
          <w:rFonts w:hint="eastAsia" w:ascii="宋体" w:hAnsi="宋体" w:eastAsia="宋体" w:cs="宋体"/>
          <w:color w:val="auto"/>
          <w:kern w:val="0"/>
          <w:sz w:val="20"/>
          <w:szCs w:val="21"/>
          <w:highlight w:val="none"/>
          <w:u w:val="single"/>
        </w:rPr>
      </w:pPr>
      <w:r>
        <w:rPr>
          <w:rFonts w:hint="eastAsia" w:ascii="宋体" w:hAnsi="宋体" w:eastAsia="宋体" w:cs="宋体"/>
          <w:color w:val="auto"/>
          <w:kern w:val="0"/>
          <w:sz w:val="20"/>
          <w:szCs w:val="21"/>
          <w:highlight w:val="none"/>
        </w:rPr>
        <w:t>开户银行：</w:t>
      </w:r>
      <w:r>
        <w:rPr>
          <w:rFonts w:hint="eastAsia" w:ascii="宋体" w:hAnsi="宋体" w:eastAsia="宋体" w:cs="宋体"/>
          <w:color w:val="auto"/>
          <w:kern w:val="0"/>
          <w:sz w:val="20"/>
          <w:szCs w:val="21"/>
          <w:highlight w:val="none"/>
          <w:u w:val="single"/>
        </w:rPr>
        <w:t xml:space="preserve">                                                    </w:t>
      </w:r>
    </w:p>
    <w:p w14:paraId="5C8155C6">
      <w:pPr>
        <w:spacing w:line="480" w:lineRule="auto"/>
        <w:ind w:firstLine="420"/>
        <w:rPr>
          <w:rFonts w:hint="eastAsia" w:ascii="宋体" w:hAnsi="宋体" w:eastAsia="宋体" w:cs="宋体"/>
          <w:color w:val="auto"/>
          <w:kern w:val="0"/>
          <w:sz w:val="20"/>
          <w:szCs w:val="21"/>
          <w:highlight w:val="none"/>
          <w:u w:val="single"/>
        </w:rPr>
      </w:pPr>
      <w:r>
        <w:rPr>
          <w:rFonts w:hint="eastAsia" w:ascii="宋体" w:hAnsi="宋体" w:eastAsia="宋体" w:cs="宋体"/>
          <w:color w:val="auto"/>
          <w:kern w:val="0"/>
          <w:sz w:val="20"/>
          <w:szCs w:val="21"/>
          <w:highlight w:val="none"/>
        </w:rPr>
        <w:t>银行账号：</w:t>
      </w:r>
      <w:r>
        <w:rPr>
          <w:rFonts w:hint="eastAsia" w:ascii="宋体" w:hAnsi="宋体" w:eastAsia="宋体" w:cs="宋体"/>
          <w:color w:val="auto"/>
          <w:kern w:val="0"/>
          <w:sz w:val="20"/>
          <w:szCs w:val="21"/>
          <w:highlight w:val="none"/>
          <w:u w:val="single"/>
        </w:rPr>
        <w:t xml:space="preserve">                                                    </w:t>
      </w:r>
    </w:p>
    <w:p w14:paraId="78E7F323">
      <w:pPr>
        <w:widowControl w:val="0"/>
        <w:tabs>
          <w:tab w:val="left" w:pos="939"/>
        </w:tabs>
        <w:spacing w:line="480" w:lineRule="auto"/>
        <w:ind w:left="141" w:leftChars="67" w:firstLine="315" w:firstLineChars="150"/>
        <w:contextualSpacing/>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特此承诺。</w:t>
      </w:r>
    </w:p>
    <w:p w14:paraId="0D2D81B7">
      <w:pPr>
        <w:spacing w:line="360" w:lineRule="auto"/>
        <w:contextualSpacing/>
        <w:jc w:val="left"/>
        <w:rPr>
          <w:rFonts w:hint="eastAsia" w:ascii="宋体" w:hAnsi="宋体" w:eastAsia="宋体" w:cs="宋体"/>
          <w:color w:val="auto"/>
          <w:szCs w:val="21"/>
          <w:highlight w:val="none"/>
        </w:rPr>
      </w:pPr>
    </w:p>
    <w:p w14:paraId="1DD25E5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w:t>
      </w:r>
      <w:r>
        <w:rPr>
          <w:rFonts w:hint="eastAsia" w:ascii="宋体" w:hAnsi="宋体" w:eastAsia="宋体" w:cs="宋体"/>
          <w:color w:val="auto"/>
          <w:kern w:val="0"/>
          <w:sz w:val="24"/>
          <w:highlight w:val="none"/>
          <w:lang w:eastAsia="zh-CN"/>
        </w:rPr>
        <w:t>盖公章</w:t>
      </w:r>
      <w:r>
        <w:rPr>
          <w:rFonts w:hint="eastAsia" w:ascii="宋体" w:hAnsi="宋体" w:eastAsia="宋体" w:cs="宋体"/>
          <w:color w:val="auto"/>
          <w:kern w:val="0"/>
          <w:sz w:val="24"/>
          <w:highlight w:val="none"/>
        </w:rPr>
        <w:t>）：</w:t>
      </w:r>
    </w:p>
    <w:p w14:paraId="1AA6C0E0">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06FCA81E">
      <w:pPr>
        <w:spacing w:line="500" w:lineRule="exact"/>
        <w:ind w:firstLine="0" w:firstLineChars="0"/>
        <w:rPr>
          <w:rFonts w:hint="eastAsia" w:ascii="宋体" w:hAnsi="宋体" w:eastAsia="宋体" w:cs="宋体"/>
          <w:b/>
          <w:color w:val="auto"/>
          <w:sz w:val="28"/>
          <w:szCs w:val="28"/>
          <w:highlight w:val="none"/>
          <w:lang w:val="en-US" w:eastAsia="zh-CN"/>
        </w:rPr>
      </w:pPr>
    </w:p>
    <w:p w14:paraId="7B868894">
      <w:pPr>
        <w:spacing w:line="500" w:lineRule="exact"/>
        <w:ind w:firstLine="0" w:firstLineChars="0"/>
        <w:rPr>
          <w:rFonts w:hint="eastAsia" w:ascii="仿宋" w:hAnsi="仿宋" w:eastAsia="仿宋" w:cs="仿宋_GB2312"/>
          <w:b/>
          <w:color w:val="auto"/>
          <w:sz w:val="30"/>
          <w:szCs w:val="30"/>
          <w:highlight w:val="none"/>
          <w:lang w:val="zh-CN" w:eastAsia="zh-CN"/>
        </w:rPr>
      </w:pPr>
      <w:r>
        <w:rPr>
          <w:rFonts w:hint="eastAsia" w:ascii="宋体" w:hAnsi="宋体" w:eastAsia="宋体" w:cs="宋体"/>
          <w:b/>
          <w:color w:val="auto"/>
          <w:sz w:val="28"/>
          <w:szCs w:val="28"/>
          <w:highlight w:val="none"/>
          <w:lang w:val="en-US" w:eastAsia="zh-CN"/>
        </w:rPr>
        <w:br w:type="page"/>
      </w:r>
      <w:r>
        <w:rPr>
          <w:rFonts w:hint="eastAsia" w:ascii="宋体" w:hAnsi="宋体" w:eastAsia="宋体" w:cs="宋体"/>
          <w:b/>
          <w:color w:val="auto"/>
          <w:sz w:val="28"/>
          <w:szCs w:val="28"/>
          <w:highlight w:val="none"/>
          <w:lang w:val="en-US" w:eastAsia="zh-CN"/>
        </w:rPr>
        <w:t>4</w:t>
      </w:r>
      <w:r>
        <w:rPr>
          <w:rFonts w:hint="eastAsia" w:ascii="宋体" w:hAnsi="宋体" w:eastAsia="宋体" w:cs="宋体"/>
          <w:b/>
          <w:color w:val="auto"/>
          <w:sz w:val="28"/>
          <w:szCs w:val="28"/>
          <w:highlight w:val="none"/>
          <w:lang w:val="zh-CN" w:eastAsia="zh-CN"/>
        </w:rPr>
        <w:t>.响应报价表的格式：</w:t>
      </w:r>
      <w:r>
        <w:rPr>
          <w:rFonts w:hint="eastAsia" w:ascii="仿宋" w:hAnsi="仿宋" w:eastAsia="仿宋" w:cs="仿宋_GB2312"/>
          <w:b/>
          <w:color w:val="auto"/>
          <w:sz w:val="30"/>
          <w:szCs w:val="30"/>
          <w:highlight w:val="none"/>
          <w:lang w:val="zh-CN" w:eastAsia="zh-CN"/>
        </w:rPr>
        <w:t xml:space="preserve"> </w:t>
      </w:r>
    </w:p>
    <w:p w14:paraId="71E35B87">
      <w:pPr>
        <w:spacing w:line="520" w:lineRule="exact"/>
        <w:ind w:firstLine="420" w:firstLineChars="200"/>
        <w:rPr>
          <w:rFonts w:hint="eastAsia" w:ascii="Calibri" w:hAnsi="Calibri" w:eastAsia="宋体"/>
          <w:color w:val="auto"/>
          <w:highlight w:val="none"/>
        </w:rPr>
      </w:pPr>
    </w:p>
    <w:p w14:paraId="19CB7D70">
      <w:pPr>
        <w:spacing w:line="520" w:lineRule="exact"/>
        <w:ind w:firstLine="0" w:firstLineChars="0"/>
        <w:jc w:val="center"/>
        <w:rPr>
          <w:rFonts w:hint="eastAsia" w:eastAsia="宋体"/>
          <w:b/>
          <w:bCs/>
          <w:color w:val="auto"/>
          <w:sz w:val="32"/>
          <w:szCs w:val="32"/>
          <w:highlight w:val="none"/>
        </w:rPr>
      </w:pPr>
      <w:r>
        <w:rPr>
          <w:rFonts w:hint="eastAsia" w:eastAsia="宋体"/>
          <w:b/>
          <w:bCs/>
          <w:color w:val="auto"/>
          <w:sz w:val="32"/>
          <w:szCs w:val="32"/>
          <w:highlight w:val="none"/>
        </w:rPr>
        <w:t>响应报价表</w:t>
      </w:r>
    </w:p>
    <w:p w14:paraId="0C578041">
      <w:pPr>
        <w:snapToGrid w:val="0"/>
        <w:spacing w:before="50" w:after="50" w:line="360" w:lineRule="auto"/>
        <w:rPr>
          <w:rFonts w:hint="eastAsia" w:eastAsia="宋体"/>
          <w:color w:val="auto"/>
          <w:sz w:val="24"/>
          <w:highlight w:val="none"/>
        </w:rPr>
      </w:pPr>
    </w:p>
    <w:p w14:paraId="7DA3DF9F">
      <w:pPr>
        <w:snapToGrid w:val="0"/>
        <w:spacing w:before="50" w:after="50"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2D6D4E2F">
      <w:pPr>
        <w:snapToGrid w:val="0"/>
        <w:spacing w:before="50" w:after="50"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7D8A1543">
      <w:pPr>
        <w:snapToGrid/>
        <w:spacing w:before="0" w:after="0" w:line="24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所竞分标（如有则填写，无分标时填写“无”或者留空）：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2064"/>
        <w:gridCol w:w="1080"/>
        <w:gridCol w:w="1260"/>
        <w:gridCol w:w="2093"/>
        <w:gridCol w:w="1337"/>
      </w:tblGrid>
      <w:tr w14:paraId="3E5D5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24E20D75">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ECA67A9">
            <w:pPr>
              <w:rPr>
                <w:rFonts w:hint="eastAsia" w:ascii="宋体" w:hAnsi="宋体" w:eastAsia="宋体" w:cs="宋体"/>
                <w:color w:val="auto"/>
                <w:szCs w:val="22"/>
                <w:highlight w:val="none"/>
              </w:rPr>
            </w:pPr>
            <w:r>
              <w:rPr>
                <w:rFonts w:hint="eastAsia" w:ascii="宋体" w:hAnsi="宋体" w:eastAsia="宋体" w:cs="宋体"/>
                <w:color w:val="auto"/>
                <w:szCs w:val="22"/>
                <w:highlight w:val="none"/>
                <w:lang w:eastAsia="zh-CN"/>
              </w:rPr>
              <w:t>标的</w:t>
            </w:r>
            <w:r>
              <w:rPr>
                <w:rFonts w:hint="eastAsia" w:ascii="宋体" w:hAnsi="宋体" w:eastAsia="宋体" w:cs="宋体"/>
                <w:color w:val="auto"/>
                <w:szCs w:val="22"/>
                <w:highlight w:val="none"/>
              </w:rPr>
              <w:t>名称</w:t>
            </w:r>
          </w:p>
        </w:tc>
        <w:tc>
          <w:tcPr>
            <w:tcW w:w="2064" w:type="dxa"/>
            <w:tcBorders>
              <w:top w:val="single" w:color="auto" w:sz="4" w:space="0"/>
              <w:left w:val="single" w:color="auto" w:sz="4" w:space="0"/>
              <w:bottom w:val="single" w:color="auto" w:sz="4" w:space="0"/>
              <w:right w:val="single" w:color="auto" w:sz="4" w:space="0"/>
            </w:tcBorders>
            <w:noWrap w:val="0"/>
            <w:vAlign w:val="center"/>
          </w:tcPr>
          <w:p w14:paraId="064A0247">
            <w:pPr>
              <w:jc w:val="center"/>
              <w:rPr>
                <w:rFonts w:hint="eastAsia" w:ascii="宋体" w:hAnsi="宋体" w:eastAsia="宋体" w:cs="宋体"/>
                <w:color w:val="auto"/>
                <w:szCs w:val="22"/>
                <w:highlight w:val="none"/>
                <w:lang w:eastAsia="zh-CN"/>
              </w:rPr>
            </w:pPr>
            <w:r>
              <w:rPr>
                <w:rFonts w:hint="eastAsia" w:ascii="宋体" w:hAnsi="宋体" w:eastAsia="宋体" w:cs="宋体"/>
                <w:color w:val="auto"/>
                <w:szCs w:val="22"/>
                <w:highlight w:val="none"/>
              </w:rPr>
              <w:t>服务内容</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1EBF178">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数量</w:t>
            </w:r>
            <w:r>
              <w:rPr>
                <w:rFonts w:hint="eastAsia" w:ascii="宋体" w:hAnsi="宋体" w:eastAsia="宋体" w:cs="宋体"/>
                <w:color w:val="auto"/>
                <w:szCs w:val="22"/>
                <w:highlight w:val="none"/>
                <w:lang w:eastAsia="zh-CN"/>
              </w:rPr>
              <w:t>及</w:t>
            </w:r>
            <w:r>
              <w:rPr>
                <w:rFonts w:hint="eastAsia" w:ascii="宋体" w:hAnsi="宋体" w:eastAsia="宋体" w:cs="宋体"/>
                <w:color w:val="auto"/>
                <w:szCs w:val="22"/>
                <w:highlight w:val="none"/>
                <w:lang w:val="en-US" w:eastAsia="zh-CN"/>
              </w:rPr>
              <w:t xml:space="preserve"> 单位</w:t>
            </w:r>
            <w:r>
              <w:rPr>
                <w:rFonts w:hint="eastAsia" w:ascii="宋体" w:hAnsi="宋体" w:eastAsia="宋体" w:cs="宋体"/>
                <w:color w:val="auto"/>
                <w:szCs w:val="22"/>
                <w:highlight w:val="none"/>
              </w:rPr>
              <w:t>①</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ABCFB9A">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单价(元)②</w:t>
            </w:r>
          </w:p>
        </w:tc>
        <w:tc>
          <w:tcPr>
            <w:tcW w:w="2093" w:type="dxa"/>
            <w:tcBorders>
              <w:top w:val="single" w:color="auto" w:sz="4" w:space="0"/>
              <w:left w:val="single" w:color="auto" w:sz="4" w:space="0"/>
              <w:bottom w:val="single" w:color="auto" w:sz="4" w:space="0"/>
              <w:right w:val="single" w:color="auto" w:sz="4" w:space="0"/>
            </w:tcBorders>
            <w:noWrap w:val="0"/>
            <w:vAlign w:val="center"/>
          </w:tcPr>
          <w:p w14:paraId="47C66EF9">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单项合价（元）</w:t>
            </w:r>
          </w:p>
          <w:p w14:paraId="19FA4E32">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③＝①×②</w:t>
            </w:r>
          </w:p>
        </w:tc>
        <w:tc>
          <w:tcPr>
            <w:tcW w:w="1337" w:type="dxa"/>
            <w:tcBorders>
              <w:top w:val="single" w:color="auto" w:sz="4" w:space="0"/>
              <w:left w:val="single" w:color="auto" w:sz="4" w:space="0"/>
              <w:bottom w:val="single" w:color="auto" w:sz="4" w:space="0"/>
              <w:right w:val="single" w:color="auto" w:sz="4" w:space="0"/>
            </w:tcBorders>
            <w:noWrap w:val="0"/>
            <w:vAlign w:val="top"/>
          </w:tcPr>
          <w:p w14:paraId="1CBCEFFC">
            <w:pPr>
              <w:spacing w:line="360" w:lineRule="auto"/>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lang w:eastAsia="zh-CN"/>
              </w:rPr>
              <w:t>供应商名称及地址</w:t>
            </w:r>
          </w:p>
        </w:tc>
      </w:tr>
      <w:tr w14:paraId="5F1E5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60CD2AFD">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E4C1123">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728151DD">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89FED3D">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3106DB2">
            <w:pPr>
              <w:rPr>
                <w:rFonts w:hint="eastAsia" w:ascii="宋体" w:hAnsi="宋体" w:eastAsia="宋体" w:cs="宋体"/>
                <w:color w:val="auto"/>
                <w:szCs w:val="22"/>
                <w:highlight w:val="none"/>
              </w:rPr>
            </w:pPr>
          </w:p>
        </w:tc>
        <w:tc>
          <w:tcPr>
            <w:tcW w:w="2093" w:type="dxa"/>
            <w:tcBorders>
              <w:top w:val="single" w:color="auto" w:sz="4" w:space="0"/>
              <w:left w:val="single" w:color="auto" w:sz="4" w:space="0"/>
              <w:bottom w:val="single" w:color="auto" w:sz="4" w:space="0"/>
              <w:right w:val="single" w:color="auto" w:sz="4" w:space="0"/>
            </w:tcBorders>
            <w:noWrap w:val="0"/>
            <w:vAlign w:val="center"/>
          </w:tcPr>
          <w:p w14:paraId="1983C581">
            <w:pPr>
              <w:rPr>
                <w:rFonts w:hint="eastAsia" w:ascii="宋体" w:hAnsi="宋体" w:eastAsia="宋体" w:cs="宋体"/>
                <w:color w:val="auto"/>
                <w:szCs w:val="22"/>
                <w:highlight w:val="none"/>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663EEC25">
            <w:pPr>
              <w:rPr>
                <w:rFonts w:hint="eastAsia" w:ascii="宋体" w:hAnsi="宋体" w:eastAsia="宋体" w:cs="宋体"/>
                <w:color w:val="auto"/>
                <w:szCs w:val="22"/>
                <w:highlight w:val="none"/>
              </w:rPr>
            </w:pPr>
          </w:p>
        </w:tc>
      </w:tr>
      <w:tr w14:paraId="27E69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08A52495">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D2ED60F">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5B350090">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FD09C58">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B558C69">
            <w:pPr>
              <w:rPr>
                <w:rFonts w:hint="eastAsia" w:ascii="宋体" w:hAnsi="宋体" w:eastAsia="宋体" w:cs="宋体"/>
                <w:color w:val="auto"/>
                <w:szCs w:val="22"/>
                <w:highlight w:val="none"/>
              </w:rPr>
            </w:pPr>
          </w:p>
        </w:tc>
        <w:tc>
          <w:tcPr>
            <w:tcW w:w="2093" w:type="dxa"/>
            <w:tcBorders>
              <w:top w:val="single" w:color="auto" w:sz="4" w:space="0"/>
              <w:left w:val="single" w:color="auto" w:sz="4" w:space="0"/>
              <w:bottom w:val="single" w:color="auto" w:sz="4" w:space="0"/>
              <w:right w:val="single" w:color="auto" w:sz="4" w:space="0"/>
            </w:tcBorders>
            <w:noWrap w:val="0"/>
            <w:vAlign w:val="center"/>
          </w:tcPr>
          <w:p w14:paraId="637478DF">
            <w:pPr>
              <w:rPr>
                <w:rFonts w:hint="eastAsia" w:ascii="宋体" w:hAnsi="宋体" w:eastAsia="宋体" w:cs="宋体"/>
                <w:color w:val="auto"/>
                <w:szCs w:val="22"/>
                <w:highlight w:val="none"/>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168783CA">
            <w:pPr>
              <w:rPr>
                <w:rFonts w:hint="eastAsia" w:ascii="宋体" w:hAnsi="宋体" w:eastAsia="宋体" w:cs="宋体"/>
                <w:color w:val="auto"/>
                <w:szCs w:val="22"/>
                <w:highlight w:val="none"/>
              </w:rPr>
            </w:pPr>
          </w:p>
        </w:tc>
      </w:tr>
      <w:tr w14:paraId="30066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3AD4F150">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5D906A4">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4A213666">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891090B">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0BA823C">
            <w:pPr>
              <w:rPr>
                <w:rFonts w:hint="eastAsia" w:ascii="宋体" w:hAnsi="宋体" w:eastAsia="宋体" w:cs="宋体"/>
                <w:color w:val="auto"/>
                <w:szCs w:val="22"/>
                <w:highlight w:val="none"/>
              </w:rPr>
            </w:pPr>
          </w:p>
        </w:tc>
        <w:tc>
          <w:tcPr>
            <w:tcW w:w="2093" w:type="dxa"/>
            <w:tcBorders>
              <w:top w:val="single" w:color="auto" w:sz="4" w:space="0"/>
              <w:left w:val="single" w:color="auto" w:sz="4" w:space="0"/>
              <w:bottom w:val="single" w:color="auto" w:sz="4" w:space="0"/>
              <w:right w:val="single" w:color="auto" w:sz="4" w:space="0"/>
            </w:tcBorders>
            <w:noWrap w:val="0"/>
            <w:vAlign w:val="center"/>
          </w:tcPr>
          <w:p w14:paraId="10958014">
            <w:pPr>
              <w:rPr>
                <w:rFonts w:hint="eastAsia" w:ascii="宋体" w:hAnsi="宋体" w:eastAsia="宋体" w:cs="宋体"/>
                <w:color w:val="auto"/>
                <w:szCs w:val="22"/>
                <w:highlight w:val="none"/>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0D2E62D1">
            <w:pPr>
              <w:rPr>
                <w:rFonts w:hint="eastAsia" w:ascii="宋体" w:hAnsi="宋体" w:eastAsia="宋体" w:cs="宋体"/>
                <w:color w:val="auto"/>
                <w:szCs w:val="22"/>
                <w:highlight w:val="none"/>
              </w:rPr>
            </w:pPr>
          </w:p>
        </w:tc>
      </w:tr>
      <w:tr w14:paraId="22448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center"/>
          </w:tcPr>
          <w:p w14:paraId="3E1E3DA3">
            <w:pPr>
              <w:rPr>
                <w:rFonts w:hint="eastAsia" w:ascii="宋体" w:hAnsi="宋体" w:eastAsia="宋体" w:cs="宋体"/>
                <w:color w:val="auto"/>
                <w:szCs w:val="22"/>
                <w:highlight w:val="none"/>
              </w:rPr>
            </w:pPr>
            <w:r>
              <w:rPr>
                <w:rFonts w:hint="eastAsia" w:ascii="宋体" w:hAnsi="宋体" w:eastAsia="宋体" w:cs="宋体"/>
                <w:color w:val="auto"/>
                <w:kern w:val="0"/>
                <w:sz w:val="20"/>
                <w:szCs w:val="21"/>
                <w:highlight w:val="none"/>
                <w:lang w:eastAsia="zh-CN"/>
              </w:rPr>
              <w:t>磋商总报价</w:t>
            </w:r>
            <w:r>
              <w:rPr>
                <w:rFonts w:hint="eastAsia" w:ascii="宋体" w:hAnsi="宋体" w:eastAsia="宋体" w:cs="宋体"/>
                <w:color w:val="auto"/>
                <w:szCs w:val="22"/>
                <w:highlight w:val="none"/>
              </w:rPr>
              <w:t>（包含税费等所有费用）：</w:t>
            </w:r>
            <w:r>
              <w:rPr>
                <w:rFonts w:hint="eastAsia" w:ascii="宋体" w:hAnsi="宋体" w:eastAsia="宋体" w:cs="宋体"/>
                <w:color w:val="auto"/>
                <w:szCs w:val="22"/>
                <w:highlight w:val="none"/>
                <w:u w:val="single"/>
              </w:rPr>
              <w:t>（大写）人民币       （</w:t>
            </w:r>
            <w:r>
              <w:rPr>
                <w:rFonts w:hint="eastAsia" w:ascii="宋体" w:hAnsi="宋体" w:eastAsia="宋体" w:cs="宋体"/>
                <w:color w:val="auto"/>
                <w:szCs w:val="22"/>
                <w:highlight w:val="none"/>
                <w:u w:val="single"/>
                <w:lang w:eastAsia="zh-CN"/>
              </w:rPr>
              <w:t>小写</w:t>
            </w:r>
            <w:r>
              <w:rPr>
                <w:rFonts w:hint="eastAsia" w:ascii="宋体" w:hAnsi="宋体" w:eastAsia="宋体" w:cs="宋体"/>
                <w:color w:val="auto"/>
                <w:szCs w:val="22"/>
                <w:highlight w:val="none"/>
                <w:u w:val="single"/>
              </w:rPr>
              <w:t>）</w:t>
            </w:r>
            <w:r>
              <w:rPr>
                <w:rFonts w:hint="eastAsia" w:ascii="宋体" w:hAnsi="宋体" w:eastAsia="宋体" w:cs="宋体"/>
                <w:color w:val="auto"/>
                <w:szCs w:val="22"/>
                <w:highlight w:val="none"/>
                <w:u w:val="single"/>
                <w:lang w:eastAsia="zh-CN"/>
              </w:rPr>
              <w:t>¥</w:t>
            </w:r>
            <w:r>
              <w:rPr>
                <w:rFonts w:hint="eastAsia" w:ascii="宋体" w:hAnsi="宋体" w:eastAsia="宋体" w:cs="宋体"/>
                <w:color w:val="auto"/>
                <w:szCs w:val="22"/>
                <w:highlight w:val="none"/>
                <w:u w:val="single"/>
              </w:rPr>
              <w:t xml:space="preserve"> </w:t>
            </w:r>
            <w:r>
              <w:rPr>
                <w:rFonts w:hint="eastAsia" w:ascii="宋体" w:hAnsi="宋体" w:eastAsia="宋体" w:cs="宋体"/>
                <w:color w:val="auto"/>
                <w:szCs w:val="22"/>
                <w:highlight w:val="none"/>
                <w:u w:val="single"/>
                <w:lang w:val="en-US" w:eastAsia="zh-CN"/>
              </w:rPr>
              <w:t xml:space="preserve">      </w:t>
            </w:r>
            <w:r>
              <w:rPr>
                <w:rFonts w:hint="eastAsia" w:ascii="宋体" w:hAnsi="宋体" w:eastAsia="宋体" w:cs="宋体"/>
                <w:color w:val="auto"/>
                <w:szCs w:val="22"/>
                <w:highlight w:val="none"/>
                <w:u w:val="single"/>
              </w:rPr>
              <w:t xml:space="preserve"> </w:t>
            </w:r>
          </w:p>
        </w:tc>
      </w:tr>
      <w:tr w14:paraId="37444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center"/>
          </w:tcPr>
          <w:p w14:paraId="190FA472">
            <w:pPr>
              <w:rPr>
                <w:rFonts w:hint="eastAsia" w:ascii="宋体" w:hAnsi="宋体" w:eastAsia="宋体" w:cs="宋体"/>
                <w:color w:val="auto"/>
                <w:kern w:val="0"/>
                <w:sz w:val="20"/>
                <w:szCs w:val="21"/>
                <w:highlight w:val="none"/>
                <w:lang w:eastAsia="zh-CN"/>
              </w:rPr>
            </w:pPr>
            <w:r>
              <w:rPr>
                <w:rFonts w:hint="eastAsia" w:ascii="宋体" w:hAnsi="宋体" w:cs="宋体"/>
                <w:color w:val="auto"/>
                <w:kern w:val="0"/>
                <w:sz w:val="20"/>
                <w:szCs w:val="21"/>
                <w:highlight w:val="none"/>
                <w:lang w:eastAsia="zh-CN"/>
              </w:rPr>
              <w:t>服务期限</w:t>
            </w:r>
            <w:r>
              <w:rPr>
                <w:rFonts w:hint="eastAsia" w:ascii="宋体" w:hAnsi="宋体" w:eastAsia="宋体" w:cs="宋体"/>
                <w:color w:val="auto"/>
                <w:kern w:val="0"/>
                <w:sz w:val="20"/>
                <w:szCs w:val="21"/>
                <w:highlight w:val="none"/>
                <w:lang w:eastAsia="zh-CN"/>
              </w:rPr>
              <w:t>：</w:t>
            </w:r>
          </w:p>
        </w:tc>
      </w:tr>
    </w:tbl>
    <w:p w14:paraId="25EF38CA">
      <w:pPr>
        <w:snapToGrid w:val="0"/>
        <w:spacing w:before="50" w:after="50"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注： </w:t>
      </w:r>
    </w:p>
    <w:p w14:paraId="2E99A44D">
      <w:pPr>
        <w:snapToGrid w:val="0"/>
        <w:spacing w:before="50" w:after="50"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1、供应商需按本表格式填写，不得自行更改，也不得留空（</w:t>
      </w:r>
      <w:r>
        <w:rPr>
          <w:rFonts w:hint="eastAsia" w:ascii="宋体" w:hAnsi="宋体" w:eastAsia="宋体" w:cs="宋体"/>
          <w:color w:val="auto"/>
          <w:sz w:val="21"/>
          <w:szCs w:val="21"/>
          <w:highlight w:val="none"/>
        </w:rPr>
        <w:t>备注</w:t>
      </w:r>
      <w:r>
        <w:rPr>
          <w:rFonts w:hint="eastAsia" w:ascii="宋体" w:hAnsi="宋体" w:eastAsia="宋体" w:cs="宋体"/>
          <w:color w:val="auto"/>
          <w:sz w:val="21"/>
          <w:szCs w:val="21"/>
          <w:highlight w:val="none"/>
          <w:lang w:eastAsia="zh-CN"/>
        </w:rPr>
        <w:t>一栏除外</w:t>
      </w:r>
      <w:r>
        <w:rPr>
          <w:rFonts w:hint="eastAsia" w:ascii="宋体" w:hAnsi="宋体" w:eastAsia="宋体" w:cs="宋体"/>
          <w:color w:val="auto"/>
          <w:kern w:val="0"/>
          <w:sz w:val="21"/>
          <w:szCs w:val="21"/>
          <w:highlight w:val="none"/>
          <w:lang w:val="zh-CN"/>
        </w:rPr>
        <w:t>）, 如有多分标，按分标分别提供响应报价表，</w:t>
      </w:r>
      <w:r>
        <w:rPr>
          <w:rFonts w:hint="eastAsia" w:ascii="宋体" w:hAnsi="宋体" w:eastAsia="宋体" w:cs="宋体"/>
          <w:b/>
          <w:color w:val="auto"/>
          <w:kern w:val="0"/>
          <w:sz w:val="21"/>
          <w:szCs w:val="21"/>
          <w:highlight w:val="none"/>
          <w:lang w:val="zh-CN"/>
        </w:rPr>
        <w:t>否则其响应按无效响应处理。</w:t>
      </w:r>
    </w:p>
    <w:p w14:paraId="067B67BB">
      <w:pPr>
        <w:snapToGrid w:val="0"/>
        <w:spacing w:before="50" w:after="50" w:line="360" w:lineRule="auto"/>
        <w:ind w:firstLine="420" w:firstLineChars="200"/>
        <w:jc w:val="left"/>
        <w:rPr>
          <w:rFonts w:hint="eastAsia" w:ascii="宋体" w:hAnsi="宋体" w:eastAsia="宋体" w:cs="宋体"/>
          <w:b/>
          <w:color w:val="auto"/>
          <w:kern w:val="0"/>
          <w:sz w:val="21"/>
          <w:szCs w:val="21"/>
          <w:highlight w:val="none"/>
          <w:lang w:val="zh-CN"/>
        </w:rPr>
      </w:pPr>
      <w:r>
        <w:rPr>
          <w:rFonts w:hint="eastAsia" w:ascii="宋体" w:hAnsi="宋体" w:eastAsia="宋体" w:cs="宋体"/>
          <w:color w:val="auto"/>
          <w:kern w:val="0"/>
          <w:sz w:val="21"/>
          <w:szCs w:val="21"/>
          <w:highlight w:val="none"/>
          <w:lang w:val="zh-CN"/>
        </w:rPr>
        <w:t>2、如为联合体响应的，“供应商名称”处必须列明联合体各方名称，并标注联合体牵头人名称，且盖章处须加盖联合体各方公章，</w:t>
      </w:r>
      <w:r>
        <w:rPr>
          <w:rFonts w:hint="eastAsia" w:ascii="宋体" w:hAnsi="宋体" w:eastAsia="宋体" w:cs="宋体"/>
          <w:b/>
          <w:color w:val="auto"/>
          <w:kern w:val="0"/>
          <w:sz w:val="21"/>
          <w:szCs w:val="21"/>
          <w:highlight w:val="none"/>
          <w:lang w:val="zh-CN"/>
        </w:rPr>
        <w:t>否则其响应按无效响应处理。</w:t>
      </w:r>
    </w:p>
    <w:p w14:paraId="7A2AEF3F">
      <w:pPr>
        <w:snapToGrid w:val="0"/>
        <w:spacing w:before="50" w:after="50" w:line="360" w:lineRule="auto"/>
        <w:ind w:firstLine="420" w:firstLineChars="200"/>
        <w:jc w:val="left"/>
        <w:rPr>
          <w:rFonts w:hint="eastAsia" w:ascii="宋体" w:hAnsi="宋体" w:eastAsia="宋体" w:cs="宋体"/>
          <w:b/>
          <w:color w:val="auto"/>
          <w:kern w:val="0"/>
          <w:sz w:val="21"/>
          <w:szCs w:val="21"/>
          <w:highlight w:val="none"/>
          <w:lang w:val="zh-CN"/>
        </w:rPr>
      </w:pPr>
      <w:r>
        <w:rPr>
          <w:rFonts w:hint="eastAsia" w:ascii="宋体" w:hAnsi="宋体" w:eastAsia="宋体" w:cs="宋体"/>
          <w:color w:val="auto"/>
          <w:kern w:val="0"/>
          <w:sz w:val="21"/>
          <w:szCs w:val="21"/>
          <w:highlight w:val="none"/>
          <w:lang w:val="zh-CN"/>
        </w:rPr>
        <w:t>3、</w:t>
      </w:r>
      <w:r>
        <w:rPr>
          <w:rFonts w:hint="eastAsia" w:ascii="宋体" w:hAnsi="宋体" w:eastAsia="宋体" w:cs="宋体"/>
          <w:color w:val="auto"/>
          <w:kern w:val="0"/>
          <w:sz w:val="21"/>
          <w:szCs w:val="21"/>
          <w:highlight w:val="none"/>
          <w:lang w:val="en-US" w:eastAsia="zh-CN"/>
        </w:rPr>
        <w:t>请</w:t>
      </w:r>
      <w:r>
        <w:rPr>
          <w:rFonts w:hint="eastAsia" w:ascii="宋体" w:hAnsi="宋体" w:eastAsia="宋体" w:cs="宋体"/>
          <w:color w:val="auto"/>
          <w:sz w:val="21"/>
          <w:szCs w:val="21"/>
          <w:highlight w:val="none"/>
        </w:rPr>
        <w:t>根据所</w:t>
      </w:r>
      <w:r>
        <w:rPr>
          <w:rFonts w:hint="eastAsia" w:ascii="宋体" w:hAnsi="宋体" w:eastAsia="宋体" w:cs="宋体"/>
          <w:color w:val="auto"/>
          <w:sz w:val="21"/>
          <w:szCs w:val="21"/>
          <w:highlight w:val="none"/>
          <w:lang w:val="en-US" w:eastAsia="zh-CN"/>
        </w:rPr>
        <w:t>竞</w:t>
      </w:r>
      <w:r>
        <w:rPr>
          <w:rFonts w:hint="eastAsia" w:hAnsi="宋体" w:eastAsia="宋体" w:cs="宋体"/>
          <w:color w:val="auto"/>
          <w:sz w:val="21"/>
          <w:szCs w:val="21"/>
          <w:highlight w:val="none"/>
          <w:lang w:eastAsia="zh-CN"/>
        </w:rPr>
        <w:t>服务内容</w:t>
      </w:r>
      <w:r>
        <w:rPr>
          <w:rFonts w:hint="eastAsia" w:ascii="宋体" w:hAnsi="宋体" w:eastAsia="宋体" w:cs="宋体"/>
          <w:color w:val="auto"/>
          <w:sz w:val="21"/>
          <w:szCs w:val="21"/>
          <w:highlight w:val="none"/>
        </w:rPr>
        <w:t>，</w:t>
      </w:r>
      <w:r>
        <w:rPr>
          <w:rFonts w:hint="eastAsia" w:ascii="宋体" w:hAnsi="宋体" w:eastAsia="宋体" w:cs="宋体"/>
          <w:b w:val="0"/>
          <w:color w:val="auto"/>
          <w:sz w:val="21"/>
          <w:szCs w:val="21"/>
          <w:highlight w:val="none"/>
        </w:rPr>
        <w:t>逐条对应</w:t>
      </w:r>
      <w:r>
        <w:rPr>
          <w:rFonts w:hint="eastAsia" w:ascii="宋体" w:hAnsi="宋体" w:eastAsia="宋体" w:cs="宋体"/>
          <w:color w:val="auto"/>
          <w:sz w:val="21"/>
          <w:szCs w:val="21"/>
          <w:highlight w:val="none"/>
        </w:rPr>
        <w:t>本项目</w:t>
      </w:r>
      <w:r>
        <w:rPr>
          <w:rFonts w:hint="eastAsia" w:ascii="宋体" w:hAnsi="宋体" w:eastAsia="宋体" w:cs="宋体"/>
          <w:color w:val="auto"/>
          <w:sz w:val="21"/>
          <w:szCs w:val="21"/>
          <w:highlight w:val="none"/>
          <w:lang w:val="en-US" w:eastAsia="zh-CN"/>
        </w:rPr>
        <w:t>竞争性磋商</w:t>
      </w:r>
      <w:r>
        <w:rPr>
          <w:rFonts w:hint="eastAsia" w:ascii="宋体" w:hAnsi="宋体" w:eastAsia="宋体" w:cs="宋体"/>
          <w:color w:val="auto"/>
          <w:sz w:val="21"/>
          <w:szCs w:val="21"/>
          <w:highlight w:val="none"/>
        </w:rPr>
        <w:t>文件“第二章</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采购需求</w:t>
      </w:r>
      <w:r>
        <w:rPr>
          <w:rFonts w:hint="eastAsia" w:ascii="宋体" w:hAnsi="宋体" w:eastAsia="宋体" w:cs="宋体"/>
          <w:color w:val="auto"/>
          <w:sz w:val="21"/>
          <w:szCs w:val="21"/>
          <w:highlight w:val="none"/>
        </w:rPr>
        <w:t>”中</w:t>
      </w:r>
      <w:r>
        <w:rPr>
          <w:rFonts w:hint="eastAsia" w:ascii="宋体" w:hAnsi="宋体" w:eastAsia="宋体" w:cs="宋体"/>
          <w:color w:val="auto"/>
          <w:sz w:val="21"/>
          <w:szCs w:val="21"/>
          <w:highlight w:val="none"/>
          <w:lang w:eastAsia="zh-CN"/>
        </w:rPr>
        <w:t>“服务要求”</w:t>
      </w:r>
      <w:r>
        <w:rPr>
          <w:rFonts w:hint="eastAsia" w:ascii="宋体" w:hAnsi="宋体" w:eastAsia="宋体" w:cs="宋体"/>
          <w:color w:val="auto"/>
          <w:sz w:val="21"/>
          <w:szCs w:val="21"/>
          <w:highlight w:val="none"/>
        </w:rPr>
        <w:t>的</w:t>
      </w:r>
      <w:r>
        <w:rPr>
          <w:rFonts w:hint="eastAsia" w:hAnsi="宋体" w:eastAsia="宋体" w:cs="宋体"/>
          <w:color w:val="auto"/>
          <w:sz w:val="21"/>
          <w:szCs w:val="21"/>
          <w:highlight w:val="none"/>
          <w:lang w:eastAsia="zh-CN"/>
        </w:rPr>
        <w:t>内容</w:t>
      </w:r>
      <w:r>
        <w:rPr>
          <w:rFonts w:hint="eastAsia" w:ascii="宋体" w:hAnsi="宋体" w:eastAsia="宋体" w:cs="宋体"/>
          <w:color w:val="auto"/>
          <w:sz w:val="21"/>
          <w:szCs w:val="21"/>
          <w:highlight w:val="none"/>
        </w:rPr>
        <w:t>详细填写相应的具体内容。</w:t>
      </w:r>
    </w:p>
    <w:p w14:paraId="2666AD9C">
      <w:pPr>
        <w:snapToGrid w:val="0"/>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4、特别提示：采购代理机构将对项目名称和项目编号，成交供应商名称、地址和成交金额，主要成交标的名称、服务范围、服务要求、服务时间、服务标准等予以公示。</w:t>
      </w:r>
    </w:p>
    <w:p w14:paraId="722BE28B">
      <w:pPr>
        <w:snapToGrid w:val="0"/>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5、符合采购文件中列明的可享受中小企业扶持政策的供应商，请填写中小企业声明函。</w:t>
      </w:r>
    </w:p>
    <w:p w14:paraId="0A076987">
      <w:pPr>
        <w:snapToGrid w:val="0"/>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lang w:val="zh-CN"/>
        </w:rPr>
        <w:t>供应商提供的中小企业声明函内容不实的，属于提供虚假材料谋取中标、成交，依照《中华人民共和国政府采购法》等国家有关规定追究相应责任。</w:t>
      </w:r>
    </w:p>
    <w:p w14:paraId="4EA9E722">
      <w:pPr>
        <w:autoSpaceDE w:val="0"/>
        <w:autoSpaceDN w:val="0"/>
        <w:spacing w:line="360" w:lineRule="auto"/>
        <w:ind w:left="0" w:leftChars="0" w:firstLine="4560" w:firstLineChars="1900"/>
        <w:rPr>
          <w:rFonts w:hint="eastAsia" w:ascii="宋体" w:hAnsi="宋体" w:eastAsia="宋体" w:cs="宋体"/>
          <w:color w:val="auto"/>
          <w:kern w:val="0"/>
          <w:sz w:val="24"/>
          <w:highlight w:val="none"/>
        </w:rPr>
      </w:pPr>
    </w:p>
    <w:p w14:paraId="4B77239A">
      <w:pPr>
        <w:autoSpaceDE w:val="0"/>
        <w:autoSpaceDN w:val="0"/>
        <w:spacing w:line="360" w:lineRule="auto"/>
        <w:ind w:left="0" w:leftChars="0" w:firstLine="4560" w:firstLineChars="19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w:t>
      </w:r>
      <w:r>
        <w:rPr>
          <w:rFonts w:hint="eastAsia" w:ascii="宋体" w:hAnsi="宋体" w:eastAsia="宋体" w:cs="宋体"/>
          <w:color w:val="auto"/>
          <w:kern w:val="0"/>
          <w:sz w:val="24"/>
          <w:highlight w:val="none"/>
          <w:lang w:eastAsia="zh-CN"/>
        </w:rPr>
        <w:t>盖公章</w:t>
      </w:r>
      <w:r>
        <w:rPr>
          <w:rFonts w:hint="eastAsia" w:ascii="宋体" w:hAnsi="宋体" w:eastAsia="宋体" w:cs="宋体"/>
          <w:color w:val="auto"/>
          <w:kern w:val="0"/>
          <w:sz w:val="24"/>
          <w:highlight w:val="none"/>
        </w:rPr>
        <w:t>）：</w:t>
      </w:r>
    </w:p>
    <w:p w14:paraId="5CBBFAFB">
      <w:pPr>
        <w:autoSpaceDE w:val="0"/>
        <w:autoSpaceDN w:val="0"/>
        <w:spacing w:line="360" w:lineRule="auto"/>
        <w:ind w:firstLine="4560" w:firstLineChars="1900"/>
        <w:rPr>
          <w:rFonts w:hint="eastAsia" w:ascii="宋体" w:hAnsi="宋体" w:eastAsia="宋体" w:cs="宋体"/>
          <w:color w:val="auto"/>
          <w:kern w:val="0"/>
          <w:sz w:val="24"/>
          <w:szCs w:val="21"/>
          <w:highlight w:val="none"/>
          <w:lang w:val="zh-CN"/>
        </w:rPr>
      </w:pPr>
      <w:r>
        <w:rPr>
          <w:rFonts w:hint="eastAsia" w:ascii="宋体" w:hAnsi="宋体" w:eastAsia="宋体" w:cs="宋体"/>
          <w:color w:val="auto"/>
          <w:kern w:val="0"/>
          <w:sz w:val="24"/>
          <w:szCs w:val="21"/>
          <w:highlight w:val="none"/>
          <w:lang w:val="zh-CN"/>
        </w:rPr>
        <w:t>日期：  年  月   日</w:t>
      </w:r>
    </w:p>
    <w:p w14:paraId="76B324DE">
      <w:pPr>
        <w:spacing w:line="500" w:lineRule="exact"/>
        <w:ind w:firstLine="0" w:firstLineChars="0"/>
        <w:rPr>
          <w:rFonts w:hint="eastAsia" w:ascii="仿宋" w:hAnsi="仿宋" w:eastAsia="仿宋" w:cs="仿宋_GB2312"/>
          <w:b/>
          <w:color w:val="auto"/>
          <w:sz w:val="30"/>
          <w:szCs w:val="30"/>
          <w:highlight w:val="none"/>
          <w:lang w:val="zh-CN" w:eastAsia="zh-CN"/>
        </w:rPr>
      </w:pPr>
      <w:r>
        <w:rPr>
          <w:rFonts w:hint="eastAsia" w:ascii="宋体" w:hAnsi="宋体" w:eastAsia="宋体" w:cs="宋体"/>
          <w:color w:val="auto"/>
          <w:kern w:val="0"/>
          <w:sz w:val="24"/>
          <w:szCs w:val="21"/>
          <w:highlight w:val="none"/>
          <w:lang w:val="zh-CN"/>
        </w:rPr>
        <w:br w:type="page"/>
      </w:r>
      <w:r>
        <w:rPr>
          <w:rFonts w:hint="eastAsia" w:ascii="宋体" w:hAnsi="宋体" w:eastAsia="宋体" w:cs="宋体"/>
          <w:b/>
          <w:color w:val="auto"/>
          <w:sz w:val="28"/>
          <w:szCs w:val="28"/>
          <w:highlight w:val="none"/>
          <w:lang w:val="en-US" w:eastAsia="zh-CN"/>
        </w:rPr>
        <w:t>5.</w:t>
      </w:r>
      <w:r>
        <w:rPr>
          <w:rFonts w:hint="eastAsia" w:ascii="宋体" w:hAnsi="宋体" w:eastAsia="宋体" w:cs="宋体"/>
          <w:b/>
          <w:color w:val="auto"/>
          <w:sz w:val="28"/>
          <w:szCs w:val="28"/>
          <w:highlight w:val="none"/>
          <w:lang w:val="zh-CN" w:eastAsia="zh-CN"/>
        </w:rPr>
        <w:t>最后报价表的格式：</w:t>
      </w:r>
      <w:r>
        <w:rPr>
          <w:rFonts w:hint="eastAsia" w:ascii="仿宋" w:hAnsi="仿宋" w:eastAsia="仿宋" w:cs="仿宋_GB2312"/>
          <w:b/>
          <w:color w:val="auto"/>
          <w:sz w:val="30"/>
          <w:szCs w:val="30"/>
          <w:highlight w:val="none"/>
          <w:lang w:val="zh-CN" w:eastAsia="zh-CN"/>
        </w:rPr>
        <w:t xml:space="preserve"> </w:t>
      </w:r>
    </w:p>
    <w:p w14:paraId="44F3E808">
      <w:pPr>
        <w:spacing w:line="520" w:lineRule="exact"/>
        <w:ind w:firstLine="420" w:firstLineChars="200"/>
        <w:rPr>
          <w:rFonts w:hint="eastAsia" w:ascii="Calibri" w:hAnsi="Calibri" w:eastAsia="宋体"/>
          <w:color w:val="auto"/>
          <w:highlight w:val="none"/>
        </w:rPr>
      </w:pPr>
    </w:p>
    <w:p w14:paraId="0A0233CF">
      <w:pPr>
        <w:spacing w:line="520" w:lineRule="exact"/>
        <w:ind w:firstLine="0" w:firstLineChars="0"/>
        <w:jc w:val="center"/>
        <w:rPr>
          <w:rFonts w:hint="eastAsia" w:eastAsia="宋体"/>
          <w:b/>
          <w:bCs/>
          <w:color w:val="auto"/>
          <w:sz w:val="32"/>
          <w:szCs w:val="32"/>
          <w:highlight w:val="none"/>
        </w:rPr>
      </w:pPr>
      <w:r>
        <w:rPr>
          <w:rFonts w:hint="eastAsia" w:eastAsia="宋体"/>
          <w:b/>
          <w:bCs/>
          <w:color w:val="auto"/>
          <w:sz w:val="32"/>
          <w:szCs w:val="32"/>
          <w:highlight w:val="none"/>
          <w:lang w:eastAsia="zh-CN"/>
        </w:rPr>
        <w:t>最后</w:t>
      </w:r>
      <w:r>
        <w:rPr>
          <w:rFonts w:hint="eastAsia" w:eastAsia="宋体"/>
          <w:b/>
          <w:bCs/>
          <w:color w:val="auto"/>
          <w:sz w:val="32"/>
          <w:szCs w:val="32"/>
          <w:highlight w:val="none"/>
        </w:rPr>
        <w:t>报价表</w:t>
      </w:r>
    </w:p>
    <w:p w14:paraId="103EE9CC">
      <w:pPr>
        <w:snapToGrid w:val="0"/>
        <w:spacing w:before="50" w:after="50" w:line="360" w:lineRule="auto"/>
        <w:rPr>
          <w:rFonts w:hint="eastAsia" w:eastAsia="宋体"/>
          <w:color w:val="auto"/>
          <w:sz w:val="24"/>
          <w:highlight w:val="none"/>
        </w:rPr>
      </w:pPr>
    </w:p>
    <w:p w14:paraId="60B1349E">
      <w:pPr>
        <w:snapToGrid w:val="0"/>
        <w:spacing w:before="50" w:after="5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1DA3A7EF">
      <w:pPr>
        <w:snapToGrid w:val="0"/>
        <w:spacing w:before="50" w:after="5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4D20657A">
      <w:pPr>
        <w:snapToGrid/>
        <w:spacing w:before="0" w:after="0"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所竞分标（如有则填写，无分标时填写“无”或者留空）：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2064"/>
        <w:gridCol w:w="1080"/>
        <w:gridCol w:w="1260"/>
        <w:gridCol w:w="1929"/>
        <w:gridCol w:w="1501"/>
      </w:tblGrid>
      <w:tr w14:paraId="032E5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4F5C7C2D">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81CA857">
            <w:pPr>
              <w:rPr>
                <w:rFonts w:hint="eastAsia" w:ascii="宋体" w:hAnsi="宋体" w:eastAsia="宋体" w:cs="宋体"/>
                <w:color w:val="auto"/>
                <w:szCs w:val="22"/>
                <w:highlight w:val="none"/>
              </w:rPr>
            </w:pPr>
            <w:r>
              <w:rPr>
                <w:rFonts w:hint="eastAsia" w:ascii="宋体" w:hAnsi="宋体" w:eastAsia="宋体" w:cs="宋体"/>
                <w:color w:val="auto"/>
                <w:szCs w:val="22"/>
                <w:highlight w:val="none"/>
                <w:lang w:eastAsia="zh-CN"/>
              </w:rPr>
              <w:t>标的</w:t>
            </w:r>
            <w:r>
              <w:rPr>
                <w:rFonts w:hint="eastAsia" w:ascii="宋体" w:hAnsi="宋体" w:eastAsia="宋体" w:cs="宋体"/>
                <w:color w:val="auto"/>
                <w:szCs w:val="22"/>
                <w:highlight w:val="none"/>
              </w:rPr>
              <w:t>名称</w:t>
            </w:r>
          </w:p>
        </w:tc>
        <w:tc>
          <w:tcPr>
            <w:tcW w:w="2064" w:type="dxa"/>
            <w:tcBorders>
              <w:top w:val="single" w:color="auto" w:sz="4" w:space="0"/>
              <w:left w:val="single" w:color="auto" w:sz="4" w:space="0"/>
              <w:bottom w:val="single" w:color="auto" w:sz="4" w:space="0"/>
              <w:right w:val="single" w:color="auto" w:sz="4" w:space="0"/>
            </w:tcBorders>
            <w:noWrap w:val="0"/>
            <w:vAlign w:val="center"/>
          </w:tcPr>
          <w:p w14:paraId="35A155EC">
            <w:pPr>
              <w:jc w:val="center"/>
              <w:rPr>
                <w:rFonts w:hint="eastAsia" w:ascii="宋体" w:hAnsi="宋体" w:eastAsia="宋体" w:cs="宋体"/>
                <w:color w:val="auto"/>
                <w:szCs w:val="22"/>
                <w:highlight w:val="none"/>
                <w:lang w:eastAsia="zh-CN"/>
              </w:rPr>
            </w:pPr>
            <w:r>
              <w:rPr>
                <w:rFonts w:hint="eastAsia" w:ascii="宋体" w:hAnsi="宋体" w:eastAsia="宋体" w:cs="宋体"/>
                <w:color w:val="auto"/>
                <w:szCs w:val="22"/>
                <w:highlight w:val="none"/>
              </w:rPr>
              <w:t>服务内容</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14487A1">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数量</w:t>
            </w:r>
            <w:r>
              <w:rPr>
                <w:rFonts w:hint="eastAsia" w:eastAsia="宋体"/>
                <w:color w:val="auto"/>
                <w:highlight w:val="none"/>
                <w:lang w:eastAsia="zh-CN"/>
              </w:rPr>
              <w:t>及单位</w:t>
            </w:r>
            <w:r>
              <w:rPr>
                <w:rFonts w:hint="eastAsia" w:ascii="宋体" w:hAnsi="宋体" w:eastAsia="宋体" w:cs="宋体"/>
                <w:color w:val="auto"/>
                <w:szCs w:val="22"/>
                <w:highlight w:val="none"/>
              </w:rPr>
              <w:t>①</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2D84F7F">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单价(元)②</w:t>
            </w:r>
          </w:p>
        </w:tc>
        <w:tc>
          <w:tcPr>
            <w:tcW w:w="1929" w:type="dxa"/>
            <w:tcBorders>
              <w:top w:val="single" w:color="auto" w:sz="4" w:space="0"/>
              <w:left w:val="single" w:color="auto" w:sz="4" w:space="0"/>
              <w:bottom w:val="single" w:color="auto" w:sz="4" w:space="0"/>
              <w:right w:val="single" w:color="auto" w:sz="4" w:space="0"/>
            </w:tcBorders>
            <w:noWrap w:val="0"/>
            <w:vAlign w:val="center"/>
          </w:tcPr>
          <w:p w14:paraId="31771444">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单项合价（元）</w:t>
            </w:r>
          </w:p>
          <w:p w14:paraId="0F07FF80">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③＝①×②</w:t>
            </w:r>
          </w:p>
        </w:tc>
        <w:tc>
          <w:tcPr>
            <w:tcW w:w="1501" w:type="dxa"/>
            <w:tcBorders>
              <w:top w:val="single" w:color="auto" w:sz="4" w:space="0"/>
              <w:left w:val="single" w:color="auto" w:sz="4" w:space="0"/>
              <w:bottom w:val="single" w:color="auto" w:sz="4" w:space="0"/>
              <w:right w:val="single" w:color="auto" w:sz="4" w:space="0"/>
            </w:tcBorders>
            <w:noWrap w:val="0"/>
            <w:vAlign w:val="center"/>
          </w:tcPr>
          <w:p w14:paraId="63E877C0">
            <w:pPr>
              <w:jc w:val="both"/>
              <w:rPr>
                <w:rFonts w:hint="eastAsia" w:ascii="宋体" w:hAnsi="宋体" w:eastAsia="宋体" w:cs="宋体"/>
                <w:color w:val="auto"/>
                <w:szCs w:val="22"/>
                <w:highlight w:val="none"/>
              </w:rPr>
            </w:pPr>
            <w:r>
              <w:rPr>
                <w:rFonts w:hint="eastAsia" w:ascii="宋体" w:hAnsi="宋体" w:eastAsia="宋体" w:cs="宋体"/>
                <w:color w:val="auto"/>
                <w:szCs w:val="22"/>
                <w:highlight w:val="none"/>
                <w:lang w:eastAsia="zh-CN"/>
              </w:rPr>
              <w:t>供应商名称及地址</w:t>
            </w:r>
          </w:p>
        </w:tc>
      </w:tr>
      <w:tr w14:paraId="09BED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1C04C0D8">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B41CE9B">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11FF338B">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E84E5E4">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D25078E">
            <w:pPr>
              <w:rPr>
                <w:rFonts w:hint="eastAsia" w:ascii="宋体" w:hAnsi="宋体" w:eastAsia="宋体" w:cs="宋体"/>
                <w:color w:val="auto"/>
                <w:szCs w:val="22"/>
                <w:highlight w:val="none"/>
              </w:rPr>
            </w:pPr>
          </w:p>
        </w:tc>
        <w:tc>
          <w:tcPr>
            <w:tcW w:w="1929" w:type="dxa"/>
            <w:tcBorders>
              <w:top w:val="single" w:color="auto" w:sz="4" w:space="0"/>
              <w:left w:val="single" w:color="auto" w:sz="4" w:space="0"/>
              <w:bottom w:val="single" w:color="auto" w:sz="4" w:space="0"/>
              <w:right w:val="single" w:color="auto" w:sz="4" w:space="0"/>
            </w:tcBorders>
            <w:noWrap w:val="0"/>
            <w:vAlign w:val="center"/>
          </w:tcPr>
          <w:p w14:paraId="6BEF8FA0">
            <w:pPr>
              <w:rPr>
                <w:rFonts w:hint="eastAsia" w:ascii="宋体" w:hAnsi="宋体" w:eastAsia="宋体" w:cs="宋体"/>
                <w:color w:val="auto"/>
                <w:szCs w:val="22"/>
                <w:highlight w:val="none"/>
              </w:rPr>
            </w:pPr>
          </w:p>
        </w:tc>
        <w:tc>
          <w:tcPr>
            <w:tcW w:w="1501" w:type="dxa"/>
            <w:tcBorders>
              <w:top w:val="single" w:color="auto" w:sz="4" w:space="0"/>
              <w:left w:val="single" w:color="auto" w:sz="4" w:space="0"/>
              <w:bottom w:val="single" w:color="auto" w:sz="4" w:space="0"/>
              <w:right w:val="single" w:color="auto" w:sz="4" w:space="0"/>
            </w:tcBorders>
            <w:noWrap w:val="0"/>
            <w:vAlign w:val="top"/>
          </w:tcPr>
          <w:p w14:paraId="682999DD">
            <w:pPr>
              <w:rPr>
                <w:rFonts w:hint="eastAsia" w:ascii="宋体" w:hAnsi="宋体" w:eastAsia="宋体" w:cs="宋体"/>
                <w:color w:val="auto"/>
                <w:szCs w:val="22"/>
                <w:highlight w:val="none"/>
              </w:rPr>
            </w:pPr>
          </w:p>
        </w:tc>
      </w:tr>
      <w:tr w14:paraId="0D6A4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23C8877F">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06898AB">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55E4D0A5">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0200009">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A00FBCF">
            <w:pPr>
              <w:rPr>
                <w:rFonts w:hint="eastAsia" w:ascii="宋体" w:hAnsi="宋体" w:eastAsia="宋体" w:cs="宋体"/>
                <w:color w:val="auto"/>
                <w:szCs w:val="22"/>
                <w:highlight w:val="none"/>
              </w:rPr>
            </w:pPr>
          </w:p>
        </w:tc>
        <w:tc>
          <w:tcPr>
            <w:tcW w:w="1929" w:type="dxa"/>
            <w:tcBorders>
              <w:top w:val="single" w:color="auto" w:sz="4" w:space="0"/>
              <w:left w:val="single" w:color="auto" w:sz="4" w:space="0"/>
              <w:bottom w:val="single" w:color="auto" w:sz="4" w:space="0"/>
              <w:right w:val="single" w:color="auto" w:sz="4" w:space="0"/>
            </w:tcBorders>
            <w:noWrap w:val="0"/>
            <w:vAlign w:val="center"/>
          </w:tcPr>
          <w:p w14:paraId="42F5C13C">
            <w:pPr>
              <w:rPr>
                <w:rFonts w:hint="eastAsia" w:ascii="宋体" w:hAnsi="宋体" w:eastAsia="宋体" w:cs="宋体"/>
                <w:color w:val="auto"/>
                <w:szCs w:val="22"/>
                <w:highlight w:val="none"/>
              </w:rPr>
            </w:pPr>
          </w:p>
        </w:tc>
        <w:tc>
          <w:tcPr>
            <w:tcW w:w="1501" w:type="dxa"/>
            <w:tcBorders>
              <w:top w:val="single" w:color="auto" w:sz="4" w:space="0"/>
              <w:left w:val="single" w:color="auto" w:sz="4" w:space="0"/>
              <w:bottom w:val="single" w:color="auto" w:sz="4" w:space="0"/>
              <w:right w:val="single" w:color="auto" w:sz="4" w:space="0"/>
            </w:tcBorders>
            <w:noWrap w:val="0"/>
            <w:vAlign w:val="top"/>
          </w:tcPr>
          <w:p w14:paraId="4E16829A">
            <w:pPr>
              <w:rPr>
                <w:rFonts w:hint="eastAsia" w:ascii="宋体" w:hAnsi="宋体" w:eastAsia="宋体" w:cs="宋体"/>
                <w:color w:val="auto"/>
                <w:szCs w:val="22"/>
                <w:highlight w:val="none"/>
              </w:rPr>
            </w:pPr>
          </w:p>
        </w:tc>
      </w:tr>
      <w:tr w14:paraId="58F9E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7028835">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00F1610">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03F9398F">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699E171">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331AB82">
            <w:pPr>
              <w:rPr>
                <w:rFonts w:hint="eastAsia" w:ascii="宋体" w:hAnsi="宋体" w:eastAsia="宋体" w:cs="宋体"/>
                <w:color w:val="auto"/>
                <w:szCs w:val="22"/>
                <w:highlight w:val="none"/>
              </w:rPr>
            </w:pPr>
          </w:p>
        </w:tc>
        <w:tc>
          <w:tcPr>
            <w:tcW w:w="1929" w:type="dxa"/>
            <w:tcBorders>
              <w:top w:val="single" w:color="auto" w:sz="4" w:space="0"/>
              <w:left w:val="single" w:color="auto" w:sz="4" w:space="0"/>
              <w:bottom w:val="single" w:color="auto" w:sz="4" w:space="0"/>
              <w:right w:val="single" w:color="auto" w:sz="4" w:space="0"/>
            </w:tcBorders>
            <w:noWrap w:val="0"/>
            <w:vAlign w:val="center"/>
          </w:tcPr>
          <w:p w14:paraId="52477B42">
            <w:pPr>
              <w:rPr>
                <w:rFonts w:hint="eastAsia" w:ascii="宋体" w:hAnsi="宋体" w:eastAsia="宋体" w:cs="宋体"/>
                <w:color w:val="auto"/>
                <w:szCs w:val="22"/>
                <w:highlight w:val="none"/>
              </w:rPr>
            </w:pPr>
          </w:p>
        </w:tc>
        <w:tc>
          <w:tcPr>
            <w:tcW w:w="1501" w:type="dxa"/>
            <w:tcBorders>
              <w:top w:val="single" w:color="auto" w:sz="4" w:space="0"/>
              <w:left w:val="single" w:color="auto" w:sz="4" w:space="0"/>
              <w:bottom w:val="single" w:color="auto" w:sz="4" w:space="0"/>
              <w:right w:val="single" w:color="auto" w:sz="4" w:space="0"/>
            </w:tcBorders>
            <w:noWrap w:val="0"/>
            <w:vAlign w:val="top"/>
          </w:tcPr>
          <w:p w14:paraId="67C0F6FE">
            <w:pPr>
              <w:rPr>
                <w:rFonts w:hint="eastAsia" w:ascii="宋体" w:hAnsi="宋体" w:eastAsia="宋体" w:cs="宋体"/>
                <w:color w:val="auto"/>
                <w:szCs w:val="22"/>
                <w:highlight w:val="none"/>
              </w:rPr>
            </w:pPr>
          </w:p>
        </w:tc>
      </w:tr>
      <w:tr w14:paraId="6356C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center"/>
          </w:tcPr>
          <w:p w14:paraId="1F3D6D88">
            <w:pPr>
              <w:rPr>
                <w:rFonts w:hint="eastAsia" w:ascii="宋体" w:hAnsi="宋体" w:eastAsia="宋体" w:cs="宋体"/>
                <w:color w:val="auto"/>
                <w:szCs w:val="22"/>
                <w:highlight w:val="none"/>
              </w:rPr>
            </w:pPr>
            <w:r>
              <w:rPr>
                <w:rFonts w:hint="eastAsia" w:ascii="宋体" w:hAnsi="宋体" w:eastAsia="宋体" w:cs="宋体"/>
                <w:color w:val="auto"/>
                <w:kern w:val="0"/>
                <w:sz w:val="20"/>
                <w:szCs w:val="21"/>
                <w:highlight w:val="none"/>
                <w:lang w:eastAsia="zh-CN"/>
              </w:rPr>
              <w:t>磋商总报价</w:t>
            </w:r>
            <w:r>
              <w:rPr>
                <w:rFonts w:hint="eastAsia" w:ascii="宋体" w:hAnsi="宋体" w:eastAsia="宋体" w:cs="宋体"/>
                <w:color w:val="auto"/>
                <w:szCs w:val="22"/>
                <w:highlight w:val="none"/>
              </w:rPr>
              <w:t>（包含税费等所有费用）：</w:t>
            </w:r>
            <w:r>
              <w:rPr>
                <w:rFonts w:hint="eastAsia" w:ascii="宋体" w:hAnsi="宋体" w:eastAsia="宋体" w:cs="宋体"/>
                <w:color w:val="auto"/>
                <w:szCs w:val="22"/>
                <w:highlight w:val="none"/>
                <w:u w:val="single"/>
              </w:rPr>
              <w:t>（大写）人民币       （</w:t>
            </w:r>
            <w:r>
              <w:rPr>
                <w:rFonts w:hint="eastAsia" w:ascii="宋体" w:hAnsi="宋体" w:eastAsia="宋体" w:cs="宋体"/>
                <w:color w:val="auto"/>
                <w:szCs w:val="22"/>
                <w:highlight w:val="none"/>
                <w:u w:val="single"/>
                <w:lang w:eastAsia="zh-CN"/>
              </w:rPr>
              <w:t>小写</w:t>
            </w:r>
            <w:r>
              <w:rPr>
                <w:rFonts w:hint="eastAsia" w:ascii="宋体" w:hAnsi="宋体" w:eastAsia="宋体" w:cs="宋体"/>
                <w:color w:val="auto"/>
                <w:szCs w:val="22"/>
                <w:highlight w:val="none"/>
                <w:u w:val="single"/>
              </w:rPr>
              <w:t>）</w:t>
            </w:r>
            <w:r>
              <w:rPr>
                <w:rFonts w:hint="eastAsia" w:ascii="宋体" w:hAnsi="宋体" w:eastAsia="宋体" w:cs="宋体"/>
                <w:color w:val="auto"/>
                <w:szCs w:val="22"/>
                <w:highlight w:val="none"/>
                <w:u w:val="single"/>
                <w:lang w:eastAsia="zh-CN"/>
              </w:rPr>
              <w:t>¥</w:t>
            </w:r>
            <w:r>
              <w:rPr>
                <w:rFonts w:hint="eastAsia" w:ascii="宋体" w:hAnsi="宋体" w:eastAsia="宋体" w:cs="宋体"/>
                <w:color w:val="auto"/>
                <w:szCs w:val="22"/>
                <w:highlight w:val="none"/>
                <w:u w:val="single"/>
              </w:rPr>
              <w:t xml:space="preserve"> </w:t>
            </w:r>
            <w:r>
              <w:rPr>
                <w:rFonts w:hint="eastAsia" w:ascii="宋体" w:hAnsi="宋体" w:eastAsia="宋体" w:cs="宋体"/>
                <w:color w:val="auto"/>
                <w:szCs w:val="22"/>
                <w:highlight w:val="none"/>
                <w:u w:val="single"/>
                <w:lang w:val="en-US" w:eastAsia="zh-CN"/>
              </w:rPr>
              <w:t xml:space="preserve">      </w:t>
            </w:r>
            <w:r>
              <w:rPr>
                <w:rFonts w:hint="eastAsia" w:ascii="宋体" w:hAnsi="宋体" w:eastAsia="宋体" w:cs="宋体"/>
                <w:color w:val="auto"/>
                <w:szCs w:val="22"/>
                <w:highlight w:val="none"/>
                <w:u w:val="single"/>
              </w:rPr>
              <w:t xml:space="preserve"> </w:t>
            </w:r>
          </w:p>
        </w:tc>
      </w:tr>
      <w:tr w14:paraId="696F2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center"/>
          </w:tcPr>
          <w:p w14:paraId="01A60036">
            <w:pPr>
              <w:rPr>
                <w:rFonts w:hint="eastAsia" w:ascii="宋体" w:hAnsi="宋体" w:eastAsia="宋体" w:cs="宋体"/>
                <w:color w:val="auto"/>
                <w:kern w:val="0"/>
                <w:sz w:val="20"/>
                <w:szCs w:val="21"/>
                <w:highlight w:val="none"/>
              </w:rPr>
            </w:pPr>
            <w:r>
              <w:rPr>
                <w:rFonts w:hint="eastAsia" w:ascii="宋体" w:hAnsi="宋体" w:cs="宋体"/>
                <w:color w:val="auto"/>
                <w:szCs w:val="22"/>
                <w:highlight w:val="none"/>
                <w:lang w:eastAsia="zh-CN"/>
              </w:rPr>
              <w:t>服务期限</w:t>
            </w:r>
            <w:r>
              <w:rPr>
                <w:rFonts w:hint="eastAsia" w:ascii="宋体" w:hAnsi="宋体" w:eastAsia="宋体" w:cs="宋体"/>
                <w:color w:val="auto"/>
                <w:szCs w:val="22"/>
                <w:highlight w:val="none"/>
                <w:lang w:eastAsia="zh-CN"/>
              </w:rPr>
              <w:t>：</w:t>
            </w:r>
          </w:p>
        </w:tc>
      </w:tr>
    </w:tbl>
    <w:p w14:paraId="46B73D88">
      <w:pPr>
        <w:autoSpaceDE/>
        <w:autoSpaceDN/>
        <w:snapToGrid w:val="0"/>
        <w:spacing w:before="50" w:after="50" w:line="360" w:lineRule="auto"/>
        <w:ind w:left="0" w:leftChars="0" w:firstLine="640" w:firstLineChars="200"/>
        <w:jc w:val="left"/>
        <w:rPr>
          <w:rFonts w:hint="eastAsia" w:ascii="宋体" w:hAnsi="宋体" w:eastAsia="宋体" w:cs="宋体"/>
          <w:color w:val="auto"/>
          <w:kern w:val="0"/>
          <w:sz w:val="32"/>
          <w:szCs w:val="32"/>
          <w:highlight w:val="none"/>
          <w:lang w:val="zh-CN"/>
        </w:rPr>
      </w:pPr>
    </w:p>
    <w:p w14:paraId="5F1829EF">
      <w:pPr>
        <w:widowControl w:val="0"/>
        <w:snapToGrid w:val="0"/>
        <w:jc w:val="left"/>
        <w:rPr>
          <w:rFonts w:hint="eastAsia" w:ascii="宋体" w:hAnsi="宋体" w:eastAsia="宋体" w:cs="宋体"/>
          <w:color w:val="auto"/>
          <w:kern w:val="0"/>
          <w:sz w:val="21"/>
          <w:szCs w:val="21"/>
          <w:highlight w:val="none"/>
          <w:lang w:val="zh-CN" w:eastAsia="zh-CN" w:bidi="ar-SA"/>
        </w:rPr>
      </w:pPr>
    </w:p>
    <w:p w14:paraId="5BAA77E2">
      <w:pPr>
        <w:widowControl w:val="0"/>
        <w:snapToGrid w:val="0"/>
        <w:jc w:val="left"/>
        <w:rPr>
          <w:rFonts w:hint="eastAsia" w:ascii="宋体" w:hAnsi="宋体" w:eastAsia="宋体" w:cs="宋体"/>
          <w:color w:val="auto"/>
          <w:kern w:val="0"/>
          <w:sz w:val="21"/>
          <w:szCs w:val="21"/>
          <w:highlight w:val="none"/>
          <w:lang w:val="zh-CN" w:eastAsia="zh-CN" w:bidi="ar-SA"/>
        </w:rPr>
      </w:pPr>
    </w:p>
    <w:p w14:paraId="5D8F4FBE">
      <w:pPr>
        <w:widowControl w:val="0"/>
        <w:spacing w:after="120"/>
        <w:jc w:val="both"/>
        <w:rPr>
          <w:rFonts w:hint="eastAsia" w:ascii="宋体" w:hAnsi="宋体" w:eastAsia="宋体" w:cs="宋体"/>
          <w:color w:val="auto"/>
          <w:kern w:val="2"/>
          <w:sz w:val="21"/>
          <w:szCs w:val="24"/>
          <w:highlight w:val="none"/>
          <w:lang w:val="en-US" w:eastAsia="zh-CN" w:bidi="ar-SA"/>
        </w:rPr>
      </w:pPr>
    </w:p>
    <w:p w14:paraId="1F676BE5">
      <w:pPr>
        <w:autoSpaceDE w:val="0"/>
        <w:autoSpaceDN w:val="0"/>
        <w:spacing w:line="360" w:lineRule="auto"/>
        <w:ind w:left="0" w:leftChars="0" w:firstLine="4560" w:firstLineChars="19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w:t>
      </w:r>
      <w:r>
        <w:rPr>
          <w:rFonts w:hint="eastAsia" w:ascii="宋体" w:hAnsi="宋体" w:eastAsia="宋体" w:cs="宋体"/>
          <w:color w:val="auto"/>
          <w:kern w:val="0"/>
          <w:sz w:val="24"/>
          <w:highlight w:val="none"/>
          <w:lang w:eastAsia="zh-CN"/>
        </w:rPr>
        <w:t>盖公章</w:t>
      </w:r>
      <w:r>
        <w:rPr>
          <w:rFonts w:hint="eastAsia" w:ascii="宋体" w:hAnsi="宋体" w:eastAsia="宋体" w:cs="宋体"/>
          <w:color w:val="auto"/>
          <w:kern w:val="0"/>
          <w:sz w:val="24"/>
          <w:highlight w:val="none"/>
        </w:rPr>
        <w:t>）：</w:t>
      </w:r>
    </w:p>
    <w:p w14:paraId="6DF3644A">
      <w:pPr>
        <w:spacing w:line="500" w:lineRule="exact"/>
        <w:ind w:firstLine="6360" w:firstLineChars="2650"/>
        <w:rPr>
          <w:rFonts w:hint="eastAsia" w:ascii="宋体" w:hAnsi="宋体" w:eastAsia="宋体" w:cs="宋体"/>
          <w:color w:val="auto"/>
          <w:sz w:val="24"/>
          <w:highlight w:val="none"/>
          <w:lang w:val="zh-CN"/>
        </w:rPr>
        <w:sectPr>
          <w:pgSz w:w="11911" w:h="16838"/>
          <w:pgMar w:top="1134" w:right="1134" w:bottom="1134" w:left="1134" w:header="720" w:footer="720"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color w:val="auto"/>
          <w:kern w:val="0"/>
          <w:sz w:val="24"/>
          <w:szCs w:val="21"/>
          <w:highlight w:val="none"/>
          <w:lang w:val="zh-CN"/>
        </w:rPr>
        <w:t>日期：  年  月   日</w:t>
      </w:r>
    </w:p>
    <w:p w14:paraId="501FE543">
      <w:pPr>
        <w:keepNext/>
        <w:keepLines/>
        <w:widowControl w:val="0"/>
        <w:spacing w:before="260" w:after="260" w:line="416" w:lineRule="auto"/>
        <w:jc w:val="center"/>
        <w:outlineLvl w:val="1"/>
        <w:rPr>
          <w:rFonts w:ascii="宋体" w:hAnsi="宋体" w:eastAsia="宋体" w:cs="Times New Roman"/>
          <w:b w:val="0"/>
          <w:bCs/>
          <w:color w:val="auto"/>
          <w:kern w:val="2"/>
          <w:sz w:val="32"/>
          <w:szCs w:val="32"/>
          <w:highlight w:val="none"/>
          <w:lang w:val="en-US" w:eastAsia="zh-CN" w:bidi="ar-SA"/>
        </w:rPr>
      </w:pPr>
      <w:bookmarkStart w:id="151" w:name="_Toc18482"/>
      <w:bookmarkStart w:id="152" w:name="_Toc13936"/>
      <w:bookmarkStart w:id="153" w:name="_Toc80886946"/>
      <w:bookmarkStart w:id="154" w:name="_Toc80205942"/>
      <w:r>
        <w:rPr>
          <w:rFonts w:hint="eastAsia" w:ascii="宋体" w:hAnsi="宋体" w:eastAsia="宋体" w:cs="Times New Roman"/>
          <w:b/>
          <w:bCs/>
          <w:color w:val="auto"/>
          <w:kern w:val="2"/>
          <w:sz w:val="32"/>
          <w:szCs w:val="32"/>
          <w:highlight w:val="none"/>
          <w:lang w:val="en-US" w:eastAsia="zh-CN" w:bidi="ar-SA"/>
        </w:rPr>
        <w:t>第四节 其他文书、文件格式</w:t>
      </w:r>
      <w:bookmarkEnd w:id="151"/>
      <w:bookmarkEnd w:id="152"/>
      <w:bookmarkEnd w:id="153"/>
      <w:bookmarkEnd w:id="154"/>
    </w:p>
    <w:p w14:paraId="60D7E02C">
      <w:pPr>
        <w:spacing w:line="500" w:lineRule="exact"/>
        <w:ind w:firstLine="0" w:firstLineChars="0"/>
        <w:rPr>
          <w:rFonts w:hint="eastAsia" w:ascii="宋体" w:hAnsi="宋体" w:eastAsia="宋体" w:cs="宋体"/>
          <w:b/>
          <w:color w:val="auto"/>
          <w:sz w:val="30"/>
          <w:szCs w:val="30"/>
          <w:highlight w:val="none"/>
          <w:lang w:val="zh-CN" w:eastAsia="zh-CN"/>
        </w:rPr>
      </w:pPr>
      <w:r>
        <w:rPr>
          <w:rFonts w:hint="eastAsia" w:ascii="宋体" w:hAnsi="宋体" w:eastAsia="宋体" w:cs="宋体"/>
          <w:b/>
          <w:color w:val="auto"/>
          <w:sz w:val="30"/>
          <w:szCs w:val="30"/>
          <w:highlight w:val="none"/>
          <w:lang w:val="en-US" w:eastAsia="zh-CN"/>
        </w:rPr>
        <w:t>1.</w:t>
      </w:r>
      <w:r>
        <w:rPr>
          <w:rFonts w:hint="eastAsia" w:ascii="宋体" w:hAnsi="宋体" w:eastAsia="宋体" w:cs="宋体"/>
          <w:b/>
          <w:color w:val="auto"/>
          <w:sz w:val="30"/>
          <w:szCs w:val="30"/>
          <w:highlight w:val="none"/>
          <w:lang w:val="zh-CN" w:eastAsia="zh-CN"/>
        </w:rPr>
        <w:t>中小企业声明函的格式：</w:t>
      </w:r>
    </w:p>
    <w:p w14:paraId="171B343C">
      <w:pPr>
        <w:widowControl w:val="0"/>
        <w:snapToGrid w:val="0"/>
        <w:jc w:val="left"/>
        <w:rPr>
          <w:rFonts w:hint="eastAsia" w:ascii="宋体" w:hAnsi="宋体" w:eastAsia="宋体" w:cs="宋体"/>
          <w:color w:val="auto"/>
          <w:kern w:val="0"/>
          <w:sz w:val="18"/>
          <w:szCs w:val="18"/>
          <w:highlight w:val="none"/>
          <w:lang w:val="en-US" w:eastAsia="zh-CN" w:bidi="ar-SA"/>
        </w:rPr>
      </w:pPr>
    </w:p>
    <w:p w14:paraId="1A4D4EE0">
      <w:pPr>
        <w:spacing w:line="300" w:lineRule="auto"/>
        <w:ind w:firstLine="3520" w:firstLineChars="800"/>
        <w:jc w:val="both"/>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中小企业声明函</w:t>
      </w:r>
    </w:p>
    <w:p w14:paraId="24884F0C">
      <w:pPr>
        <w:widowControl w:val="0"/>
        <w:spacing w:after="0" w:line="360" w:lineRule="auto"/>
        <w:ind w:left="-426" w:right="142" w:firstLine="640"/>
        <w:contextualSpacing/>
        <w:jc w:val="both"/>
        <w:rPr>
          <w:rFonts w:hint="eastAsia" w:ascii="宋体" w:hAnsi="宋体" w:eastAsia="宋体" w:cs="宋体"/>
          <w:color w:val="auto"/>
          <w:kern w:val="2"/>
          <w:sz w:val="24"/>
          <w:szCs w:val="24"/>
          <w:highlight w:val="none"/>
          <w:lang w:val="en-US" w:eastAsia="zh-CN" w:bidi="ar-SA"/>
        </w:rPr>
      </w:pPr>
    </w:p>
    <w:p w14:paraId="72D9DDBB">
      <w:pPr>
        <w:widowControl w:val="0"/>
        <w:spacing w:after="0" w:line="360" w:lineRule="auto"/>
        <w:ind w:left="-426" w:right="142" w:firstLine="640"/>
        <w:contextualSpacing/>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本公司（联合体）郑重声明，根据《政府采购促进中小企业发展管理办法》（财库﹝2020﹞46号）的规定，本公司（联合体）参加</w:t>
      </w:r>
      <w:r>
        <w:rPr>
          <w:rFonts w:hint="eastAsia" w:ascii="宋体" w:hAnsi="宋体" w:eastAsia="宋体" w:cs="宋体"/>
          <w:i/>
          <w:iCs/>
          <w:color w:val="auto"/>
          <w:kern w:val="2"/>
          <w:sz w:val="24"/>
          <w:szCs w:val="24"/>
          <w:highlight w:val="none"/>
          <w:u w:val="single"/>
          <w:lang w:val="en-US" w:eastAsia="zh-CN" w:bidi="ar-SA"/>
        </w:rPr>
        <w:t>（单位名称）</w:t>
      </w:r>
      <w:r>
        <w:rPr>
          <w:rFonts w:hint="eastAsia" w:ascii="宋体" w:hAnsi="宋体" w:eastAsia="宋体" w:cs="宋体"/>
          <w:color w:val="auto"/>
          <w:kern w:val="2"/>
          <w:sz w:val="24"/>
          <w:szCs w:val="24"/>
          <w:highlight w:val="none"/>
          <w:lang w:val="en-US" w:eastAsia="zh-CN" w:bidi="ar-SA"/>
        </w:rPr>
        <w:t>的</w:t>
      </w:r>
      <w:r>
        <w:rPr>
          <w:rFonts w:hint="eastAsia" w:ascii="宋体" w:hAnsi="宋体" w:eastAsia="宋体" w:cs="宋体"/>
          <w:i/>
          <w:iCs/>
          <w:color w:val="auto"/>
          <w:kern w:val="2"/>
          <w:sz w:val="24"/>
          <w:szCs w:val="24"/>
          <w:highlight w:val="none"/>
          <w:u w:val="single"/>
          <w:lang w:val="en-US" w:eastAsia="zh-CN" w:bidi="ar-SA"/>
        </w:rPr>
        <w:t>（项目名称）</w:t>
      </w:r>
      <w:r>
        <w:rPr>
          <w:rFonts w:hint="eastAsia" w:ascii="宋体" w:hAnsi="宋体" w:eastAsia="宋体" w:cs="宋体"/>
          <w:color w:val="auto"/>
          <w:kern w:val="2"/>
          <w:sz w:val="24"/>
          <w:szCs w:val="24"/>
          <w:highlight w:val="none"/>
          <w:lang w:val="en-US" w:eastAsia="zh-CN" w:bidi="ar-SA"/>
        </w:rPr>
        <w:t>采购活动，</w:t>
      </w:r>
      <w:r>
        <w:rPr>
          <w:rFonts w:hint="eastAsia" w:ascii="宋体" w:hAnsi="宋体" w:eastAsia="宋体" w:cs="宋体"/>
          <w:color w:val="auto"/>
          <w:kern w:val="0"/>
          <w:sz w:val="24"/>
          <w:szCs w:val="24"/>
          <w:highlight w:val="none"/>
          <w:lang w:val="en-US" w:eastAsia="zh-CN" w:bidi="ar-SA"/>
        </w:rPr>
        <w:t>服务全部由符合政策要求的中小企业承接</w:t>
      </w:r>
      <w:r>
        <w:rPr>
          <w:rFonts w:hint="eastAsia" w:ascii="宋体" w:hAnsi="宋体" w:eastAsia="宋体" w:cs="宋体"/>
          <w:color w:val="auto"/>
          <w:kern w:val="2"/>
          <w:sz w:val="24"/>
          <w:szCs w:val="24"/>
          <w:highlight w:val="none"/>
          <w:lang w:val="en-US" w:eastAsia="zh-CN" w:bidi="ar-SA"/>
        </w:rPr>
        <w:t>。相关企业（含联合体中的中小企业、签订分包意向协议的中小企业）的具体情况如下：</w:t>
      </w:r>
    </w:p>
    <w:p w14:paraId="38C85666">
      <w:pPr>
        <w:tabs>
          <w:tab w:val="left" w:pos="1384"/>
          <w:tab w:val="left" w:pos="4562"/>
          <w:tab w:val="left" w:pos="6803"/>
        </w:tabs>
        <w:spacing w:line="360" w:lineRule="auto"/>
        <w:ind w:left="-426" w:right="-58" w:firstLine="655"/>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w:t>
      </w:r>
      <w:r>
        <w:rPr>
          <w:rFonts w:hint="eastAsia" w:ascii="宋体" w:hAnsi="宋体" w:eastAsia="宋体" w:cs="宋体"/>
          <w:i/>
          <w:iCs/>
          <w:color w:val="auto"/>
          <w:sz w:val="24"/>
          <w:highlight w:val="none"/>
          <w:u w:val="single"/>
        </w:rPr>
        <w:t>标的名称</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w:t>
      </w:r>
      <w:r>
        <w:rPr>
          <w:rFonts w:hint="eastAsia" w:ascii="宋体" w:hAnsi="宋体" w:eastAsia="宋体" w:cs="宋体"/>
          <w:i/>
          <w:iCs/>
          <w:color w:val="auto"/>
          <w:sz w:val="24"/>
          <w:highlight w:val="none"/>
          <w:u w:val="single"/>
        </w:rPr>
        <w:t>采购文件中明确的所属行业</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承建（承接）企业</w:t>
      </w:r>
      <w:r>
        <w:rPr>
          <w:rFonts w:hint="eastAsia" w:ascii="宋体" w:hAnsi="宋体" w:eastAsia="宋体" w:cs="宋体"/>
          <w:color w:val="auto"/>
          <w:sz w:val="24"/>
          <w:highlight w:val="none"/>
        </w:rPr>
        <w:t>为</w:t>
      </w:r>
      <w:r>
        <w:rPr>
          <w:rFonts w:hint="eastAsia" w:ascii="宋体" w:hAnsi="宋体" w:eastAsia="宋体" w:cs="宋体"/>
          <w:color w:val="auto"/>
          <w:sz w:val="24"/>
          <w:highlight w:val="none"/>
          <w:u w:val="single"/>
        </w:rPr>
        <w:t>（</w:t>
      </w:r>
      <w:r>
        <w:rPr>
          <w:rFonts w:hint="eastAsia" w:ascii="宋体" w:hAnsi="宋体" w:eastAsia="宋体" w:cs="宋体"/>
          <w:i/>
          <w:iCs/>
          <w:color w:val="auto"/>
          <w:sz w:val="24"/>
          <w:highlight w:val="none"/>
          <w:u w:val="single"/>
        </w:rPr>
        <w:t>企业名称</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w:t>
      </w:r>
      <w:r>
        <w:rPr>
          <w:rFonts w:hint="eastAsia" w:ascii="宋体" w:hAnsi="宋体" w:eastAsia="宋体" w:cs="宋体"/>
          <w:i/>
          <w:iCs/>
          <w:color w:val="auto"/>
          <w:sz w:val="24"/>
          <w:highlight w:val="none"/>
          <w:u w:val="single"/>
        </w:rPr>
        <w:t>中型企业、小型企业、微型企业</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p>
    <w:p w14:paraId="42A34F0B">
      <w:pPr>
        <w:tabs>
          <w:tab w:val="left" w:pos="1065"/>
          <w:tab w:val="left" w:pos="6477"/>
        </w:tabs>
        <w:spacing w:line="360" w:lineRule="auto"/>
        <w:ind w:left="-426" w:right="-58" w:firstLine="655"/>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u w:val="single"/>
        </w:rPr>
        <w:t>（</w:t>
      </w:r>
      <w:r>
        <w:rPr>
          <w:rFonts w:hint="eastAsia" w:ascii="宋体" w:hAnsi="宋体" w:eastAsia="宋体" w:cs="宋体"/>
          <w:i/>
          <w:iCs/>
          <w:color w:val="auto"/>
          <w:sz w:val="24"/>
          <w:highlight w:val="none"/>
          <w:u w:val="single"/>
        </w:rPr>
        <w:t>标的名称</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w:t>
      </w:r>
      <w:r>
        <w:rPr>
          <w:rFonts w:hint="eastAsia" w:ascii="宋体" w:hAnsi="宋体" w:eastAsia="宋体" w:cs="宋体"/>
          <w:i/>
          <w:iCs/>
          <w:color w:val="auto"/>
          <w:sz w:val="24"/>
          <w:highlight w:val="none"/>
          <w:u w:val="single"/>
        </w:rPr>
        <w:t>采购文件中明确的所属行业</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承建（承接）企业</w:t>
      </w:r>
      <w:r>
        <w:rPr>
          <w:rFonts w:hint="eastAsia" w:ascii="宋体" w:hAnsi="宋体" w:eastAsia="宋体" w:cs="宋体"/>
          <w:color w:val="auto"/>
          <w:sz w:val="24"/>
          <w:highlight w:val="none"/>
        </w:rPr>
        <w:t>为</w:t>
      </w:r>
      <w:r>
        <w:rPr>
          <w:rFonts w:hint="eastAsia" w:ascii="宋体" w:hAnsi="宋体" w:eastAsia="宋体" w:cs="宋体"/>
          <w:color w:val="auto"/>
          <w:sz w:val="24"/>
          <w:highlight w:val="none"/>
          <w:u w:val="single"/>
        </w:rPr>
        <w:t>（</w:t>
      </w:r>
      <w:r>
        <w:rPr>
          <w:rFonts w:hint="eastAsia" w:ascii="宋体" w:hAnsi="宋体" w:eastAsia="宋体" w:cs="宋体"/>
          <w:i/>
          <w:iCs/>
          <w:color w:val="auto"/>
          <w:sz w:val="24"/>
          <w:highlight w:val="none"/>
          <w:u w:val="single"/>
        </w:rPr>
        <w:t>企业名称</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w:t>
      </w:r>
      <w:r>
        <w:rPr>
          <w:rFonts w:hint="eastAsia" w:ascii="宋体" w:hAnsi="宋体" w:eastAsia="宋体" w:cs="宋体"/>
          <w:i/>
          <w:iCs/>
          <w:color w:val="auto"/>
          <w:sz w:val="24"/>
          <w:highlight w:val="none"/>
          <w:u w:val="single"/>
        </w:rPr>
        <w:t>中型企业、小型企业、微型企业</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p>
    <w:p w14:paraId="70B4BC9C">
      <w:pPr>
        <w:widowControl w:val="0"/>
        <w:spacing w:after="0" w:line="360" w:lineRule="auto"/>
        <w:ind w:left="142" w:right="142"/>
        <w:contextualSpacing/>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w:t>
      </w:r>
    </w:p>
    <w:p w14:paraId="762CD29E">
      <w:pPr>
        <w:widowControl w:val="0"/>
        <w:spacing w:after="0" w:line="360" w:lineRule="auto"/>
        <w:ind w:left="-405" w:leftChars="-193" w:right="142" w:firstLine="453" w:firstLineChars="189"/>
        <w:contextualSpacing/>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以上企业，不属于大企业的分支机构，不存在控股股东为大企业的情形，也不存在与大企业的负责人为同一人的情形。</w:t>
      </w:r>
    </w:p>
    <w:p w14:paraId="319CD16E">
      <w:pPr>
        <w:widowControl w:val="0"/>
        <w:spacing w:after="0" w:line="360" w:lineRule="auto"/>
        <w:ind w:left="-426" w:right="142" w:firstLine="567"/>
        <w:contextualSpacing/>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本企业对上述声明内容的真实性负责。如有虚假，将依法承担相应责任。</w:t>
      </w:r>
    </w:p>
    <w:p w14:paraId="6F1DBF5E">
      <w:pPr>
        <w:widowControl w:val="0"/>
        <w:spacing w:after="0" w:line="360" w:lineRule="auto"/>
        <w:ind w:left="3960" w:right="1808"/>
        <w:contextualSpacing/>
        <w:jc w:val="both"/>
        <w:rPr>
          <w:rFonts w:hint="eastAsia" w:ascii="宋体" w:hAnsi="宋体" w:eastAsia="宋体" w:cs="宋体"/>
          <w:color w:val="auto"/>
          <w:kern w:val="2"/>
          <w:sz w:val="24"/>
          <w:szCs w:val="24"/>
          <w:highlight w:val="none"/>
          <w:lang w:val="en-US" w:eastAsia="zh-CN" w:bidi="ar-SA"/>
        </w:rPr>
      </w:pPr>
    </w:p>
    <w:p w14:paraId="65B8A092">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w:t>
      </w:r>
      <w:r>
        <w:rPr>
          <w:rFonts w:hint="eastAsia" w:ascii="宋体" w:hAnsi="宋体" w:eastAsia="宋体" w:cs="宋体"/>
          <w:color w:val="auto"/>
          <w:kern w:val="0"/>
          <w:sz w:val="24"/>
          <w:highlight w:val="none"/>
          <w:lang w:eastAsia="zh-CN"/>
        </w:rPr>
        <w:t>盖公章</w:t>
      </w:r>
      <w:r>
        <w:rPr>
          <w:rFonts w:hint="eastAsia" w:ascii="宋体" w:hAnsi="宋体" w:eastAsia="宋体" w:cs="宋体"/>
          <w:color w:val="auto"/>
          <w:kern w:val="0"/>
          <w:sz w:val="24"/>
          <w:highlight w:val="none"/>
        </w:rPr>
        <w:t>）：</w:t>
      </w:r>
    </w:p>
    <w:p w14:paraId="7D0B15D8">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5D59D88B">
      <w:pPr>
        <w:widowControl w:val="0"/>
        <w:spacing w:after="0" w:line="360" w:lineRule="auto"/>
        <w:ind w:left="3960" w:right="1808"/>
        <w:contextualSpacing/>
        <w:jc w:val="both"/>
        <w:rPr>
          <w:rFonts w:hint="eastAsia" w:ascii="宋体" w:hAnsi="宋体" w:eastAsia="宋体" w:cs="宋体"/>
          <w:color w:val="auto"/>
          <w:kern w:val="2"/>
          <w:sz w:val="21"/>
          <w:szCs w:val="24"/>
          <w:highlight w:val="none"/>
          <w:lang w:val="en-US" w:eastAsia="zh-CN" w:bidi="ar-SA"/>
        </w:rPr>
      </w:pPr>
    </w:p>
    <w:p w14:paraId="5F21ED99">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注：享受《政府采购促进中小企业发展管理办法》（财库〔2020〕46号）规定的中小企业扶持政策的，采购人</w:t>
      </w:r>
      <w:r>
        <w:rPr>
          <w:rFonts w:hint="eastAsia" w:ascii="宋体" w:hAnsi="宋体" w:eastAsia="宋体" w:cs="宋体"/>
          <w:color w:val="auto"/>
          <w:sz w:val="24"/>
          <w:highlight w:val="none"/>
          <w:lang w:eastAsia="zh-CN"/>
        </w:rPr>
        <w:t>或者</w:t>
      </w:r>
      <w:r>
        <w:rPr>
          <w:rFonts w:hint="eastAsia" w:ascii="宋体" w:hAnsi="宋体" w:eastAsia="宋体" w:cs="宋体"/>
          <w:color w:val="auto"/>
          <w:sz w:val="24"/>
          <w:highlight w:val="none"/>
        </w:rPr>
        <w:t>采购代理机构应当随成交结果公开成交供应商的《中小企业声明函》</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接受社会监督。从业人员、营业收入、资产总额填报上一年度数据，无上一年度数据的新成立企业可不填报。</w:t>
      </w:r>
    </w:p>
    <w:p w14:paraId="7CF82358">
      <w:pPr>
        <w:snapToGrid w:val="0"/>
        <w:spacing w:before="120" w:beforeLines="50" w:after="50" w:line="360" w:lineRule="auto"/>
        <w:outlineLvl w:val="1"/>
        <w:rPr>
          <w:rFonts w:hint="eastAsia" w:ascii="宋体" w:hAnsi="宋体" w:eastAsia="宋体" w:cs="宋体"/>
          <w:b/>
          <w:bCs/>
          <w:color w:val="auto"/>
          <w:sz w:val="32"/>
          <w:szCs w:val="32"/>
          <w:highlight w:val="none"/>
        </w:rPr>
        <w:sectPr>
          <w:pgSz w:w="11911" w:h="16838"/>
          <w:pgMar w:top="1134" w:right="1134" w:bottom="1134" w:left="1134" w:header="720" w:footer="720" w:gutter="0"/>
          <w:pgBorders>
            <w:top w:val="none" w:sz="0" w:space="0"/>
            <w:left w:val="none" w:sz="0" w:space="0"/>
            <w:bottom w:val="none" w:sz="0" w:space="0"/>
            <w:right w:val="none" w:sz="0" w:space="0"/>
          </w:pgBorders>
          <w:pgNumType w:fmt="decimal"/>
          <w:cols w:space="720" w:num="1"/>
        </w:sectPr>
      </w:pPr>
    </w:p>
    <w:p w14:paraId="2E9104BB">
      <w:pPr>
        <w:numPr>
          <w:ilvl w:val="0"/>
          <w:numId w:val="0"/>
        </w:numPr>
        <w:spacing w:line="520" w:lineRule="exact"/>
        <w:jc w:val="both"/>
        <w:rPr>
          <w:rFonts w:hint="eastAsia"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2.</w:t>
      </w:r>
      <w:r>
        <w:rPr>
          <w:rFonts w:hint="eastAsia" w:hAnsi="宋体" w:eastAsia="宋体" w:cs="宋体"/>
          <w:b/>
          <w:color w:val="auto"/>
          <w:sz w:val="28"/>
          <w:szCs w:val="28"/>
          <w:highlight w:val="none"/>
          <w:lang w:val="en-US" w:eastAsia="zh-CN"/>
        </w:rPr>
        <w:t>残疾人福利性单位声明函的格式：</w:t>
      </w:r>
    </w:p>
    <w:p w14:paraId="5474A09B">
      <w:pPr>
        <w:widowControl w:val="0"/>
        <w:snapToGrid w:val="0"/>
        <w:jc w:val="left"/>
        <w:rPr>
          <w:rFonts w:ascii="Times New Roman" w:hAnsi="Times New Roman" w:eastAsia="宋体" w:cs="Times New Roman"/>
          <w:color w:val="auto"/>
          <w:kern w:val="0"/>
          <w:sz w:val="18"/>
          <w:szCs w:val="18"/>
          <w:highlight w:val="none"/>
          <w:lang w:val="en-US" w:eastAsia="zh-CN" w:bidi="ar-SA"/>
        </w:rPr>
      </w:pPr>
    </w:p>
    <w:p w14:paraId="379D64B9">
      <w:pPr>
        <w:spacing w:line="520" w:lineRule="exact"/>
        <w:jc w:val="center"/>
        <w:rPr>
          <w:rFonts w:hint="eastAsia" w:ascii="方正小标宋简体" w:hAnsi="方正小标宋简体" w:eastAsia="方正小标宋简体" w:cs="方正小标宋简体"/>
          <w:color w:val="auto"/>
          <w:sz w:val="44"/>
          <w:szCs w:val="44"/>
          <w:highlight w:val="none"/>
        </w:rPr>
      </w:pPr>
    </w:p>
    <w:p w14:paraId="154FEE67">
      <w:pPr>
        <w:spacing w:line="520" w:lineRule="exact"/>
        <w:jc w:val="center"/>
        <w:rPr>
          <w:rFonts w:hint="eastAsia" w:ascii="方正小标宋简体" w:hAnsi="方正小标宋简体" w:eastAsia="方正小标宋简体" w:cs="方正小标宋简体"/>
          <w:color w:val="auto"/>
          <w:sz w:val="44"/>
          <w:szCs w:val="44"/>
          <w:highlight w:val="none"/>
        </w:rPr>
      </w:pPr>
    </w:p>
    <w:p w14:paraId="3ACB031A">
      <w:pPr>
        <w:spacing w:line="520" w:lineRule="exact"/>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残疾人福利性单位声明函</w:t>
      </w:r>
    </w:p>
    <w:p w14:paraId="4563D90F">
      <w:pPr>
        <w:spacing w:line="520" w:lineRule="exact"/>
        <w:rPr>
          <w:rFonts w:hint="eastAsia" w:ascii="宋体" w:hAnsi="宋体" w:eastAsia="宋体" w:cs="宋体"/>
          <w:color w:val="auto"/>
          <w:sz w:val="32"/>
          <w:szCs w:val="32"/>
          <w:highlight w:val="none"/>
        </w:rPr>
      </w:pPr>
    </w:p>
    <w:p w14:paraId="1F79BA44">
      <w:pPr>
        <w:spacing w:line="360" w:lineRule="auto"/>
        <w:ind w:firstLine="480" w:firstLineChars="200"/>
        <w:contextualSpacing/>
        <w:rPr>
          <w:rFonts w:hint="eastAsia" w:ascii="宋体" w:hAnsi="宋体" w:eastAsia="宋体" w:cs="宋体"/>
          <w:color w:val="auto"/>
          <w:sz w:val="24"/>
          <w:szCs w:val="24"/>
          <w:highlight w:val="none"/>
        </w:rPr>
      </w:pPr>
    </w:p>
    <w:p w14:paraId="2156950F">
      <w:pPr>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单位的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项目采购活动提供本单位制造的货物（由本单位承担工程/提供服务），或者提供其他残疾人福利性单位制造的货物（不包括使用非残疾人福利性单位注册商标的货物）。</w:t>
      </w:r>
    </w:p>
    <w:p w14:paraId="5A0A0EF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本单位对上述声明的真实性负责。如有虚假，将依法承担相应责任。</w:t>
      </w:r>
    </w:p>
    <w:p w14:paraId="16FAB9E6">
      <w:pPr>
        <w:spacing w:line="360" w:lineRule="auto"/>
        <w:contextualSpacing/>
        <w:rPr>
          <w:rFonts w:hint="eastAsia" w:ascii="宋体" w:hAnsi="宋体" w:eastAsia="宋体" w:cs="宋体"/>
          <w:color w:val="auto"/>
          <w:sz w:val="24"/>
          <w:highlight w:val="none"/>
        </w:rPr>
      </w:pPr>
    </w:p>
    <w:p w14:paraId="56CE1445">
      <w:pPr>
        <w:spacing w:line="360" w:lineRule="auto"/>
        <w:contextualSpacing/>
        <w:rPr>
          <w:rFonts w:hint="eastAsia" w:ascii="宋体" w:hAnsi="宋体" w:eastAsia="宋体" w:cs="宋体"/>
          <w:color w:val="auto"/>
          <w:sz w:val="24"/>
          <w:highlight w:val="none"/>
        </w:rPr>
      </w:pPr>
    </w:p>
    <w:p w14:paraId="49BF0410">
      <w:pPr>
        <w:spacing w:line="360" w:lineRule="auto"/>
        <w:contextualSpacing/>
        <w:rPr>
          <w:rFonts w:hint="eastAsia" w:ascii="宋体" w:hAnsi="宋体" w:eastAsia="宋体" w:cs="宋体"/>
          <w:color w:val="auto"/>
          <w:sz w:val="24"/>
          <w:highlight w:val="none"/>
        </w:rPr>
      </w:pPr>
    </w:p>
    <w:p w14:paraId="589B6AB7">
      <w:pPr>
        <w:spacing w:line="360" w:lineRule="auto"/>
        <w:ind w:firstLine="2400" w:firstLineChars="10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lang w:eastAsia="zh-CN"/>
        </w:rPr>
        <w:t>盖公章</w:t>
      </w:r>
      <w:r>
        <w:rPr>
          <w:rFonts w:hint="eastAsia" w:ascii="宋体" w:hAnsi="宋体" w:eastAsia="宋体" w:cs="宋体"/>
          <w:color w:val="auto"/>
          <w:sz w:val="24"/>
          <w:highlight w:val="none"/>
        </w:rPr>
        <w:t>）：</w:t>
      </w:r>
    </w:p>
    <w:p w14:paraId="0025E223">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73A95D7B">
      <w:pPr>
        <w:spacing w:line="360" w:lineRule="auto"/>
        <w:contextualSpacing/>
        <w:rPr>
          <w:rFonts w:hint="eastAsia" w:ascii="宋体" w:hAnsi="宋体" w:eastAsia="宋体" w:cs="宋体"/>
          <w:color w:val="auto"/>
          <w:sz w:val="24"/>
          <w:highlight w:val="none"/>
        </w:rPr>
      </w:pPr>
    </w:p>
    <w:p w14:paraId="6643791B">
      <w:pPr>
        <w:spacing w:line="360" w:lineRule="auto"/>
        <w:contextualSpacing/>
        <w:rPr>
          <w:rFonts w:hint="eastAsia" w:ascii="宋体" w:hAnsi="宋体" w:eastAsia="宋体" w:cs="宋体"/>
          <w:color w:val="auto"/>
          <w:sz w:val="24"/>
          <w:highlight w:val="none"/>
        </w:rPr>
      </w:pPr>
    </w:p>
    <w:p w14:paraId="40CEA3C6">
      <w:pPr>
        <w:spacing w:line="360" w:lineRule="auto"/>
        <w:contextualSpacing/>
        <w:rPr>
          <w:rFonts w:hint="eastAsia" w:ascii="宋体" w:hAnsi="宋体" w:eastAsia="宋体" w:cs="宋体"/>
          <w:color w:val="auto"/>
          <w:sz w:val="24"/>
          <w:highlight w:val="none"/>
        </w:rPr>
      </w:pPr>
    </w:p>
    <w:p w14:paraId="5830091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注：请根据自己的真实情况出具《残疾人福利性单位声明函》。依法享受中小企业</w:t>
      </w:r>
      <w:r>
        <w:rPr>
          <w:rFonts w:hint="eastAsia" w:ascii="宋体" w:hAnsi="宋体" w:eastAsia="宋体" w:cs="宋体"/>
          <w:color w:val="auto"/>
          <w:sz w:val="24"/>
          <w:highlight w:val="none"/>
          <w:lang w:eastAsia="zh-CN"/>
        </w:rPr>
        <w:t>扶持</w:t>
      </w:r>
      <w:r>
        <w:rPr>
          <w:rFonts w:hint="eastAsia" w:ascii="宋体" w:hAnsi="宋体" w:eastAsia="宋体" w:cs="宋体"/>
          <w:color w:val="auto"/>
          <w:sz w:val="24"/>
          <w:highlight w:val="none"/>
        </w:rPr>
        <w:t>政策的，采购人或者采购代理机构在公告</w:t>
      </w:r>
      <w:r>
        <w:rPr>
          <w:rFonts w:hint="eastAsia" w:ascii="宋体" w:hAnsi="宋体" w:eastAsia="宋体" w:cs="宋体"/>
          <w:color w:val="auto"/>
          <w:sz w:val="24"/>
          <w:highlight w:val="none"/>
          <w:lang w:eastAsia="zh-CN"/>
        </w:rPr>
        <w:t>成交</w:t>
      </w:r>
      <w:r>
        <w:rPr>
          <w:rFonts w:hint="eastAsia" w:ascii="宋体" w:hAnsi="宋体" w:eastAsia="宋体" w:cs="宋体"/>
          <w:color w:val="auto"/>
          <w:sz w:val="24"/>
          <w:highlight w:val="none"/>
        </w:rPr>
        <w:t>结果时，同时公告其《残疾人福利性单位声明函》，接受社会监督。</w:t>
      </w:r>
    </w:p>
    <w:p w14:paraId="776325FD">
      <w:pPr>
        <w:widowControl/>
        <w:shd w:val="clear" w:color="auto" w:fill="FFFFFF"/>
        <w:spacing w:line="480" w:lineRule="atLeast"/>
        <w:jc w:val="both"/>
        <w:rPr>
          <w:rFonts w:hint="eastAsia" w:ascii="宋体" w:hAnsi="宋体" w:eastAsia="宋体" w:cs="宋体"/>
          <w:color w:val="auto"/>
          <w:sz w:val="24"/>
          <w:highlight w:val="none"/>
        </w:rPr>
        <w:sectPr>
          <w:pgSz w:w="11911" w:h="16838"/>
          <w:pgMar w:top="1134" w:right="1134" w:bottom="1134" w:left="1134" w:header="720" w:footer="720" w:gutter="0"/>
          <w:pgBorders>
            <w:top w:val="none" w:sz="0" w:space="0"/>
            <w:left w:val="none" w:sz="0" w:space="0"/>
            <w:bottom w:val="none" w:sz="0" w:space="0"/>
            <w:right w:val="none" w:sz="0" w:space="0"/>
          </w:pgBorders>
          <w:pgNumType w:fmt="decimal"/>
          <w:cols w:space="720" w:num="1"/>
        </w:sectPr>
      </w:pPr>
    </w:p>
    <w:p w14:paraId="62C0C239">
      <w:pPr>
        <w:widowControl/>
        <w:shd w:val="clear" w:color="auto" w:fill="FFFFFF"/>
        <w:spacing w:line="480" w:lineRule="atLeast"/>
        <w:jc w:val="both"/>
        <w:rPr>
          <w:rFonts w:hint="eastAsia" w:ascii="宋体" w:hAnsi="宋体" w:eastAsia="宋体" w:cs="宋体"/>
          <w:color w:val="auto"/>
          <w:kern w:val="0"/>
          <w:sz w:val="28"/>
          <w:szCs w:val="28"/>
          <w:highlight w:val="none"/>
          <w:lang w:eastAsia="zh-CN"/>
        </w:rPr>
      </w:pPr>
      <w:r>
        <w:rPr>
          <w:rFonts w:hint="eastAsia" w:ascii="宋体" w:hAnsi="宋体" w:cs="宋体"/>
          <w:color w:val="auto"/>
          <w:sz w:val="24"/>
          <w:highlight w:val="none"/>
          <w:lang w:val="en-US" w:eastAsia="zh-CN"/>
        </w:rPr>
        <w:t>3</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kern w:val="0"/>
          <w:sz w:val="28"/>
          <w:szCs w:val="28"/>
          <w:highlight w:val="none"/>
        </w:rPr>
        <w:t>广西壮族自治区政府采购项目合同验收书</w:t>
      </w:r>
      <w:r>
        <w:rPr>
          <w:rFonts w:hint="eastAsia" w:ascii="宋体" w:hAnsi="宋体" w:eastAsia="宋体" w:cs="宋体"/>
          <w:color w:val="auto"/>
          <w:kern w:val="0"/>
          <w:sz w:val="28"/>
          <w:szCs w:val="28"/>
          <w:highlight w:val="none"/>
          <w:lang w:eastAsia="zh-CN"/>
        </w:rPr>
        <w:t>的</w:t>
      </w:r>
      <w:r>
        <w:rPr>
          <w:rFonts w:hint="eastAsia" w:ascii="宋体" w:hAnsi="宋体" w:eastAsia="宋体" w:cs="宋体"/>
          <w:color w:val="auto"/>
          <w:kern w:val="0"/>
          <w:sz w:val="28"/>
          <w:szCs w:val="28"/>
          <w:highlight w:val="none"/>
        </w:rPr>
        <w:t>格式</w:t>
      </w:r>
      <w:r>
        <w:rPr>
          <w:rFonts w:hint="eastAsia" w:ascii="宋体" w:hAnsi="宋体" w:eastAsia="宋体" w:cs="宋体"/>
          <w:color w:val="auto"/>
          <w:kern w:val="0"/>
          <w:sz w:val="28"/>
          <w:szCs w:val="28"/>
          <w:highlight w:val="none"/>
          <w:lang w:eastAsia="zh-CN"/>
        </w:rPr>
        <w:t>：</w:t>
      </w:r>
    </w:p>
    <w:p w14:paraId="0F4A6399">
      <w:pPr>
        <w:spacing w:line="360" w:lineRule="auto"/>
        <w:ind w:firstLine="480" w:firstLineChars="200"/>
        <w:contextualSpacing/>
        <w:rPr>
          <w:rFonts w:eastAsia="宋体" w:cs="仿宋_GB2312"/>
          <w:color w:val="auto"/>
          <w:sz w:val="24"/>
          <w:highlight w:val="none"/>
        </w:rPr>
      </w:pPr>
    </w:p>
    <w:p w14:paraId="239827BF">
      <w:pPr>
        <w:widowControl/>
        <w:shd w:val="clear" w:color="auto" w:fill="FFFFFF"/>
        <w:spacing w:line="480" w:lineRule="atLeast"/>
        <w:jc w:val="center"/>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广西壮族自治区政府采购项目合同验收书</w:t>
      </w:r>
    </w:p>
    <w:p w14:paraId="5930A7E5">
      <w:pPr>
        <w:widowControl/>
        <w:shd w:val="clear" w:color="auto" w:fill="FFFFFF"/>
        <w:spacing w:line="480" w:lineRule="atLeast"/>
        <w:jc w:val="center"/>
        <w:rPr>
          <w:rFonts w:hint="eastAsia" w:ascii="宋体" w:hAnsi="宋体" w:eastAsia="宋体" w:cs="宋体"/>
          <w:b/>
          <w:bCs/>
          <w:color w:val="auto"/>
          <w:kern w:val="0"/>
          <w:sz w:val="32"/>
          <w:szCs w:val="32"/>
          <w:highlight w:val="none"/>
        </w:rPr>
      </w:pPr>
    </w:p>
    <w:p w14:paraId="2D84D7C9">
      <w:pPr>
        <w:widowControl/>
        <w:shd w:val="clear" w:color="auto" w:fill="FFFFFF"/>
        <w:snapToGrid w:val="0"/>
        <w:spacing w:line="320" w:lineRule="atLeast"/>
        <w:ind w:firstLine="48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根据政府采购项目（</w:t>
      </w:r>
      <w:r>
        <w:rPr>
          <w:rFonts w:hint="eastAsia" w:ascii="宋体" w:hAnsi="宋体" w:eastAsia="宋体" w:cs="宋体"/>
          <w:color w:val="auto"/>
          <w:kern w:val="0"/>
          <w:sz w:val="24"/>
          <w:highlight w:val="none"/>
          <w:u w:val="single"/>
        </w:rPr>
        <w:t>采购合同编号：</w:t>
      </w:r>
      <w:r>
        <w:rPr>
          <w:rFonts w:hint="eastAsia" w:ascii="宋体" w:hAnsi="宋体" w:eastAsia="宋体" w:cs="宋体"/>
          <w:color w:val="auto"/>
          <w:kern w:val="0"/>
          <w:sz w:val="24"/>
          <w:highlight w:val="none"/>
          <w:u w:val="single"/>
        </w:rPr>
        <w:softHyphen/>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）的约定，我单位对（</w:t>
      </w:r>
      <w:r>
        <w:rPr>
          <w:rFonts w:hint="eastAsia" w:ascii="宋体" w:hAnsi="宋体" w:eastAsia="宋体" w:cs="宋体"/>
          <w:color w:val="auto"/>
          <w:kern w:val="0"/>
          <w:sz w:val="24"/>
          <w:highlight w:val="none"/>
          <w:u w:val="single"/>
        </w:rPr>
        <w:t xml:space="preserve"> 信访信息管理与服务平台</w:t>
      </w:r>
      <w:r>
        <w:rPr>
          <w:rFonts w:hint="eastAsia" w:ascii="宋体" w:hAnsi="宋体" w:eastAsia="宋体" w:cs="宋体"/>
          <w:color w:val="auto"/>
          <w:kern w:val="0"/>
          <w:sz w:val="24"/>
          <w:highlight w:val="none"/>
          <w:u w:val="single"/>
          <w:lang w:eastAsia="zh-CN"/>
        </w:rPr>
        <w:t>驻场运维服务项目</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 政府采购项目成交供应商（</w:t>
      </w:r>
      <w:r>
        <w:rPr>
          <w:rFonts w:hint="eastAsia" w:ascii="宋体" w:hAnsi="宋体" w:eastAsia="宋体" w:cs="宋体"/>
          <w:color w:val="auto"/>
          <w:kern w:val="0"/>
          <w:sz w:val="24"/>
          <w:highlight w:val="none"/>
          <w:u w:val="single"/>
        </w:rPr>
        <w:t xml:space="preserve"> 公司名称 </w:t>
      </w:r>
      <w:r>
        <w:rPr>
          <w:rFonts w:hint="eastAsia" w:ascii="宋体" w:hAnsi="宋体" w:eastAsia="宋体" w:cs="宋体"/>
          <w:color w:val="auto"/>
          <w:kern w:val="0"/>
          <w:sz w:val="24"/>
          <w:highlight w:val="none"/>
        </w:rPr>
        <w:t>） 提供的</w:t>
      </w:r>
      <w:r>
        <w:rPr>
          <w:rFonts w:hint="eastAsia" w:ascii="宋体" w:hAnsi="宋体" w:eastAsia="宋体" w:cs="宋体"/>
          <w:color w:val="auto"/>
          <w:kern w:val="0"/>
          <w:sz w:val="24"/>
          <w:highlight w:val="none"/>
          <w:lang w:eastAsia="zh-CN"/>
        </w:rPr>
        <w:t>驻场运维</w:t>
      </w:r>
      <w:r>
        <w:rPr>
          <w:rFonts w:hint="eastAsia" w:ascii="宋体" w:hAnsi="宋体" w:eastAsia="宋体" w:cs="宋体"/>
          <w:color w:val="auto"/>
          <w:kern w:val="0"/>
          <w:sz w:val="24"/>
          <w:highlight w:val="none"/>
        </w:rPr>
        <w:t>服务进行了验收，验收情况如下：</w:t>
      </w:r>
    </w:p>
    <w:tbl>
      <w:tblPr>
        <w:tblStyle w:val="32"/>
        <w:tblW w:w="8445" w:type="dxa"/>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1428"/>
      </w:tblGrid>
      <w:tr w14:paraId="718A0A17">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vAlign w:val="center"/>
          </w:tcPr>
          <w:p w14:paraId="0DDB4F5F">
            <w:pPr>
              <w:widowControl/>
              <w:snapToGrid w:val="0"/>
              <w:spacing w:before="100" w:beforeAutospacing="1" w:after="100" w:afterAutospacing="1" w:line="320" w:lineRule="atLeast"/>
              <w:ind w:firstLine="5"/>
              <w:jc w:val="center"/>
              <w:rPr>
                <w:rFonts w:ascii="Verdana" w:hAnsi="Verdana" w:eastAsia="宋体" w:cs="宋体"/>
                <w:color w:val="auto"/>
                <w:kern w:val="0"/>
                <w:szCs w:val="21"/>
                <w:highlight w:val="none"/>
              </w:rPr>
            </w:pPr>
            <w:r>
              <w:rPr>
                <w:rFonts w:ascii="Verdana" w:hAnsi="Verdana" w:eastAsia="宋体" w:cs="宋体"/>
                <w:color w:val="auto"/>
                <w:kern w:val="0"/>
                <w:szCs w:val="21"/>
                <w:highlight w:val="none"/>
              </w:rPr>
              <w:t>验收方式：</w:t>
            </w:r>
          </w:p>
        </w:tc>
        <w:tc>
          <w:tcPr>
            <w:tcW w:w="5193" w:type="dxa"/>
            <w:gridSpan w:val="6"/>
            <w:tcBorders>
              <w:top w:val="single" w:color="auto" w:sz="8" w:space="0"/>
              <w:left w:val="nil"/>
              <w:bottom w:val="single" w:color="auto" w:sz="8" w:space="0"/>
              <w:right w:val="single" w:color="auto" w:sz="8" w:space="0"/>
            </w:tcBorders>
            <w:vAlign w:val="center"/>
          </w:tcPr>
          <w:p w14:paraId="6B1D3024">
            <w:pPr>
              <w:widowControl/>
              <w:snapToGrid w:val="0"/>
              <w:spacing w:before="100" w:beforeAutospacing="1" w:after="100" w:afterAutospacing="1" w:line="320" w:lineRule="atLeast"/>
              <w:jc w:val="center"/>
              <w:rPr>
                <w:rFonts w:ascii="Verdana" w:hAnsi="Verdana" w:eastAsia="宋体" w:cs="宋体"/>
                <w:color w:val="auto"/>
                <w:kern w:val="0"/>
                <w:szCs w:val="21"/>
                <w:highlight w:val="none"/>
              </w:rPr>
            </w:pPr>
            <w:r>
              <w:rPr>
                <w:rFonts w:hint="eastAsia" w:ascii="宋体" w:hAnsi="宋体" w:eastAsia="宋体" w:cs="宋体"/>
                <w:color w:val="auto"/>
                <w:kern w:val="0"/>
                <w:szCs w:val="21"/>
                <w:highlight w:val="none"/>
              </w:rPr>
              <w:t>□</w:t>
            </w:r>
            <w:r>
              <w:rPr>
                <w:rFonts w:ascii="Verdana" w:hAnsi="Verdana" w:eastAsia="宋体" w:cs="宋体"/>
                <w:color w:val="auto"/>
                <w:kern w:val="0"/>
                <w:szCs w:val="21"/>
                <w:highlight w:val="none"/>
              </w:rPr>
              <w:t xml:space="preserve">自行验收 </w:t>
            </w:r>
            <w:r>
              <w:rPr>
                <w:rFonts w:hint="eastAsia" w:ascii="宋体" w:hAnsi="宋体" w:eastAsia="宋体" w:cs="宋体"/>
                <w:color w:val="auto"/>
                <w:kern w:val="0"/>
                <w:szCs w:val="21"/>
                <w:highlight w:val="none"/>
              </w:rPr>
              <w:t>□</w:t>
            </w:r>
            <w:r>
              <w:rPr>
                <w:rFonts w:ascii="Verdana" w:hAnsi="Verdana" w:eastAsia="宋体" w:cs="宋体"/>
                <w:color w:val="auto"/>
                <w:kern w:val="0"/>
                <w:szCs w:val="21"/>
                <w:highlight w:val="none"/>
              </w:rPr>
              <w:t>委托验收</w:t>
            </w:r>
          </w:p>
        </w:tc>
      </w:tr>
      <w:tr w14:paraId="53B9778C">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vAlign w:val="center"/>
          </w:tcPr>
          <w:p w14:paraId="645A75B6">
            <w:pPr>
              <w:widowControl/>
              <w:snapToGrid w:val="0"/>
              <w:spacing w:before="100" w:beforeAutospacing="1" w:after="100" w:afterAutospacing="1" w:line="320" w:lineRule="atLeast"/>
              <w:ind w:firstLine="2"/>
              <w:jc w:val="center"/>
              <w:rPr>
                <w:rFonts w:ascii="Verdana" w:hAnsi="Verdana" w:eastAsia="宋体" w:cs="宋体"/>
                <w:color w:val="auto"/>
                <w:kern w:val="0"/>
                <w:szCs w:val="21"/>
                <w:highlight w:val="none"/>
              </w:rPr>
            </w:pPr>
            <w:r>
              <w:rPr>
                <w:rFonts w:ascii="Verdana" w:hAnsi="Verdana" w:eastAsia="宋体" w:cs="宋体"/>
                <w:color w:val="auto"/>
                <w:kern w:val="0"/>
                <w:szCs w:val="21"/>
                <w:highlight w:val="none"/>
              </w:rPr>
              <w:t>序号</w:t>
            </w:r>
          </w:p>
        </w:tc>
        <w:tc>
          <w:tcPr>
            <w:tcW w:w="2448" w:type="dxa"/>
            <w:gridSpan w:val="2"/>
            <w:tcBorders>
              <w:top w:val="nil"/>
              <w:left w:val="nil"/>
              <w:bottom w:val="single" w:color="auto" w:sz="8" w:space="0"/>
              <w:right w:val="single" w:color="auto" w:sz="8" w:space="0"/>
            </w:tcBorders>
            <w:vAlign w:val="center"/>
          </w:tcPr>
          <w:p w14:paraId="1B3A14A6">
            <w:pPr>
              <w:widowControl/>
              <w:snapToGrid w:val="0"/>
              <w:spacing w:before="100" w:beforeAutospacing="1" w:after="100" w:afterAutospacing="1" w:line="320" w:lineRule="atLeast"/>
              <w:ind w:firstLine="2"/>
              <w:jc w:val="center"/>
              <w:rPr>
                <w:rFonts w:ascii="Verdana" w:hAnsi="Verdana" w:eastAsia="宋体" w:cs="宋体"/>
                <w:color w:val="auto"/>
                <w:kern w:val="0"/>
                <w:szCs w:val="21"/>
                <w:highlight w:val="none"/>
              </w:rPr>
            </w:pPr>
            <w:r>
              <w:rPr>
                <w:rFonts w:ascii="Verdana" w:hAnsi="Verdana" w:eastAsia="宋体" w:cs="宋体"/>
                <w:color w:val="auto"/>
                <w:kern w:val="0"/>
                <w:szCs w:val="21"/>
                <w:highlight w:val="none"/>
              </w:rPr>
              <w:t>名称</w:t>
            </w:r>
          </w:p>
        </w:tc>
        <w:tc>
          <w:tcPr>
            <w:tcW w:w="2902" w:type="dxa"/>
            <w:gridSpan w:val="3"/>
            <w:tcBorders>
              <w:top w:val="nil"/>
              <w:left w:val="nil"/>
              <w:bottom w:val="single" w:color="auto" w:sz="8" w:space="0"/>
              <w:right w:val="single" w:color="auto" w:sz="8" w:space="0"/>
            </w:tcBorders>
            <w:vAlign w:val="center"/>
          </w:tcPr>
          <w:p w14:paraId="17B6EC82">
            <w:pPr>
              <w:widowControl/>
              <w:snapToGrid w:val="0"/>
              <w:spacing w:before="100" w:beforeAutospacing="1" w:after="100" w:afterAutospacing="1" w:line="320" w:lineRule="atLeast"/>
              <w:ind w:firstLine="2"/>
              <w:jc w:val="center"/>
              <w:rPr>
                <w:rFonts w:ascii="Verdana" w:hAnsi="Verdana" w:eastAsia="宋体" w:cs="宋体"/>
                <w:color w:val="auto"/>
                <w:kern w:val="0"/>
                <w:szCs w:val="21"/>
                <w:highlight w:val="none"/>
              </w:rPr>
            </w:pPr>
            <w:r>
              <w:rPr>
                <w:rFonts w:ascii="Verdana" w:hAnsi="Verdana" w:eastAsia="宋体" w:cs="宋体"/>
                <w:color w:val="auto"/>
                <w:kern w:val="0"/>
                <w:szCs w:val="21"/>
                <w:highlight w:val="none"/>
              </w:rPr>
              <w:t>货物型号规格、标准及配置等（或者服务内容、标准）</w:t>
            </w:r>
          </w:p>
        </w:tc>
        <w:tc>
          <w:tcPr>
            <w:tcW w:w="863" w:type="dxa"/>
            <w:gridSpan w:val="2"/>
            <w:tcBorders>
              <w:top w:val="nil"/>
              <w:left w:val="nil"/>
              <w:bottom w:val="single" w:color="auto" w:sz="8" w:space="0"/>
              <w:right w:val="single" w:color="auto" w:sz="8" w:space="0"/>
            </w:tcBorders>
            <w:vAlign w:val="center"/>
          </w:tcPr>
          <w:p w14:paraId="69AB0018">
            <w:pPr>
              <w:widowControl/>
              <w:snapToGrid w:val="0"/>
              <w:spacing w:before="100" w:beforeAutospacing="1" w:after="100" w:afterAutospacing="1" w:line="320" w:lineRule="atLeast"/>
              <w:jc w:val="center"/>
              <w:rPr>
                <w:rFonts w:ascii="Verdana" w:hAnsi="Verdana" w:eastAsia="宋体" w:cs="宋体"/>
                <w:color w:val="auto"/>
                <w:kern w:val="0"/>
                <w:szCs w:val="21"/>
                <w:highlight w:val="none"/>
              </w:rPr>
            </w:pPr>
            <w:r>
              <w:rPr>
                <w:rFonts w:ascii="Verdana" w:hAnsi="Verdana" w:eastAsia="宋体" w:cs="宋体"/>
                <w:color w:val="auto"/>
                <w:kern w:val="0"/>
                <w:szCs w:val="21"/>
                <w:highlight w:val="none"/>
              </w:rPr>
              <w:t>数量</w:t>
            </w:r>
          </w:p>
        </w:tc>
        <w:tc>
          <w:tcPr>
            <w:tcW w:w="1428" w:type="dxa"/>
            <w:tcBorders>
              <w:top w:val="nil"/>
              <w:left w:val="nil"/>
              <w:bottom w:val="single" w:color="auto" w:sz="8" w:space="0"/>
              <w:right w:val="single" w:color="auto" w:sz="8" w:space="0"/>
            </w:tcBorders>
            <w:vAlign w:val="center"/>
          </w:tcPr>
          <w:p w14:paraId="2CBD22E8">
            <w:pPr>
              <w:widowControl/>
              <w:snapToGrid w:val="0"/>
              <w:spacing w:before="100" w:beforeAutospacing="1" w:after="100" w:afterAutospacing="1" w:line="320" w:lineRule="atLeast"/>
              <w:ind w:firstLine="2"/>
              <w:jc w:val="center"/>
              <w:rPr>
                <w:rFonts w:ascii="Verdana" w:hAnsi="Verdana" w:eastAsia="宋体" w:cs="宋体"/>
                <w:color w:val="auto"/>
                <w:kern w:val="0"/>
                <w:szCs w:val="21"/>
                <w:highlight w:val="none"/>
              </w:rPr>
            </w:pPr>
            <w:r>
              <w:rPr>
                <w:rFonts w:ascii="Verdana" w:hAnsi="Verdana" w:eastAsia="宋体" w:cs="宋体"/>
                <w:color w:val="auto"/>
                <w:kern w:val="0"/>
                <w:szCs w:val="21"/>
                <w:highlight w:val="none"/>
              </w:rPr>
              <w:t>金额</w:t>
            </w:r>
          </w:p>
        </w:tc>
      </w:tr>
      <w:tr w14:paraId="24E0D3E4">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38C5F80F">
            <w:pPr>
              <w:widowControl/>
              <w:spacing w:before="100" w:beforeAutospacing="1" w:after="100" w:afterAutospacing="1" w:line="240" w:lineRule="atLeast"/>
              <w:jc w:val="center"/>
              <w:rPr>
                <w:rFonts w:ascii="Verdana" w:hAnsi="Verdana" w:eastAsia="宋体"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14:paraId="69BA69E7">
            <w:pPr>
              <w:widowControl/>
              <w:spacing w:before="100" w:beforeAutospacing="1" w:after="100" w:afterAutospacing="1" w:line="240" w:lineRule="atLeast"/>
              <w:jc w:val="center"/>
              <w:rPr>
                <w:rFonts w:ascii="Verdana" w:hAnsi="Verdana" w:eastAsia="宋体"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750738AA">
            <w:pPr>
              <w:widowControl/>
              <w:spacing w:before="100" w:beforeAutospacing="1" w:after="100" w:afterAutospacing="1" w:line="240" w:lineRule="atLeast"/>
              <w:jc w:val="center"/>
              <w:rPr>
                <w:rFonts w:ascii="Verdana" w:hAnsi="Verdana" w:eastAsia="宋体"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66073BE6">
            <w:pPr>
              <w:widowControl/>
              <w:spacing w:before="100" w:beforeAutospacing="1" w:after="100" w:afterAutospacing="1" w:line="240" w:lineRule="atLeast"/>
              <w:jc w:val="center"/>
              <w:rPr>
                <w:rFonts w:ascii="Verdana" w:hAnsi="Verdana" w:eastAsia="宋体"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6C623709">
            <w:pPr>
              <w:widowControl/>
              <w:spacing w:before="100" w:beforeAutospacing="1" w:after="100" w:afterAutospacing="1" w:line="240" w:lineRule="atLeast"/>
              <w:jc w:val="center"/>
              <w:rPr>
                <w:rFonts w:ascii="Verdana" w:hAnsi="Verdana" w:eastAsia="宋体" w:cs="宋体"/>
                <w:color w:val="auto"/>
                <w:kern w:val="0"/>
                <w:szCs w:val="21"/>
                <w:highlight w:val="none"/>
              </w:rPr>
            </w:pPr>
          </w:p>
        </w:tc>
      </w:tr>
      <w:tr w14:paraId="5FFFC0A5">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5967A6BC">
            <w:pPr>
              <w:widowControl/>
              <w:spacing w:before="100" w:beforeAutospacing="1" w:after="100" w:afterAutospacing="1" w:line="240" w:lineRule="atLeast"/>
              <w:jc w:val="center"/>
              <w:rPr>
                <w:rFonts w:ascii="Verdana" w:hAnsi="Verdana" w:eastAsia="宋体"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14:paraId="47FD520D">
            <w:pPr>
              <w:widowControl/>
              <w:spacing w:before="100" w:beforeAutospacing="1" w:after="100" w:afterAutospacing="1" w:line="240" w:lineRule="atLeast"/>
              <w:jc w:val="center"/>
              <w:rPr>
                <w:rFonts w:ascii="Verdana" w:hAnsi="Verdana" w:eastAsia="宋体"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1D6DA4E2">
            <w:pPr>
              <w:widowControl/>
              <w:spacing w:before="100" w:beforeAutospacing="1" w:after="100" w:afterAutospacing="1" w:line="240" w:lineRule="atLeast"/>
              <w:jc w:val="center"/>
              <w:rPr>
                <w:rFonts w:ascii="Verdana" w:hAnsi="Verdana" w:eastAsia="宋体"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21390484">
            <w:pPr>
              <w:widowControl/>
              <w:spacing w:before="100" w:beforeAutospacing="1" w:after="100" w:afterAutospacing="1" w:line="240" w:lineRule="atLeast"/>
              <w:jc w:val="center"/>
              <w:rPr>
                <w:rFonts w:ascii="Verdana" w:hAnsi="Verdana" w:eastAsia="宋体"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6E1C72A6">
            <w:pPr>
              <w:widowControl/>
              <w:spacing w:before="100" w:beforeAutospacing="1" w:after="100" w:afterAutospacing="1" w:line="240" w:lineRule="atLeast"/>
              <w:jc w:val="center"/>
              <w:rPr>
                <w:rFonts w:ascii="Verdana" w:hAnsi="Verdana" w:eastAsia="宋体" w:cs="宋体"/>
                <w:color w:val="auto"/>
                <w:kern w:val="0"/>
                <w:szCs w:val="21"/>
                <w:highlight w:val="none"/>
              </w:rPr>
            </w:pPr>
          </w:p>
        </w:tc>
      </w:tr>
      <w:tr w14:paraId="6DE56723">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43C0DEB1">
            <w:pPr>
              <w:widowControl/>
              <w:spacing w:before="100" w:beforeAutospacing="1" w:after="100" w:afterAutospacing="1" w:line="240" w:lineRule="atLeast"/>
              <w:jc w:val="center"/>
              <w:rPr>
                <w:rFonts w:ascii="Verdana" w:hAnsi="Verdana" w:eastAsia="宋体"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14:paraId="675E3809">
            <w:pPr>
              <w:widowControl/>
              <w:spacing w:before="100" w:beforeAutospacing="1" w:after="100" w:afterAutospacing="1" w:line="240" w:lineRule="atLeast"/>
              <w:jc w:val="center"/>
              <w:rPr>
                <w:rFonts w:ascii="Verdana" w:hAnsi="Verdana" w:eastAsia="宋体"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7CD5BE6E">
            <w:pPr>
              <w:widowControl/>
              <w:spacing w:before="100" w:beforeAutospacing="1" w:after="100" w:afterAutospacing="1" w:line="240" w:lineRule="atLeast"/>
              <w:jc w:val="center"/>
              <w:rPr>
                <w:rFonts w:ascii="Verdana" w:hAnsi="Verdana" w:eastAsia="宋体"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6FA8DEF3">
            <w:pPr>
              <w:widowControl/>
              <w:spacing w:before="100" w:beforeAutospacing="1" w:after="100" w:afterAutospacing="1" w:line="240" w:lineRule="atLeast"/>
              <w:jc w:val="center"/>
              <w:rPr>
                <w:rFonts w:ascii="Verdana" w:hAnsi="Verdana" w:eastAsia="宋体"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5D35CB21">
            <w:pPr>
              <w:widowControl/>
              <w:spacing w:before="100" w:beforeAutospacing="1" w:after="100" w:afterAutospacing="1" w:line="240" w:lineRule="atLeast"/>
              <w:jc w:val="center"/>
              <w:rPr>
                <w:rFonts w:ascii="Verdana" w:hAnsi="Verdana" w:eastAsia="宋体" w:cs="宋体"/>
                <w:color w:val="auto"/>
                <w:kern w:val="0"/>
                <w:szCs w:val="21"/>
                <w:highlight w:val="none"/>
              </w:rPr>
            </w:pPr>
          </w:p>
        </w:tc>
      </w:tr>
      <w:tr w14:paraId="009A802B">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vAlign w:val="center"/>
          </w:tcPr>
          <w:p w14:paraId="4C40797C">
            <w:pPr>
              <w:widowControl/>
              <w:snapToGrid w:val="0"/>
              <w:spacing w:before="100" w:beforeAutospacing="1" w:after="100" w:afterAutospacing="1" w:line="320" w:lineRule="atLeast"/>
              <w:ind w:firstLine="5"/>
              <w:jc w:val="center"/>
              <w:rPr>
                <w:rFonts w:ascii="Verdana" w:hAnsi="Verdana" w:eastAsia="宋体" w:cs="宋体"/>
                <w:color w:val="auto"/>
                <w:kern w:val="0"/>
                <w:szCs w:val="21"/>
                <w:highlight w:val="none"/>
              </w:rPr>
            </w:pPr>
            <w:r>
              <w:rPr>
                <w:rFonts w:ascii="Verdana" w:hAnsi="Verdana" w:eastAsia="宋体" w:cs="宋体"/>
                <w:color w:val="auto"/>
                <w:kern w:val="0"/>
                <w:szCs w:val="21"/>
                <w:highlight w:val="none"/>
              </w:rPr>
              <w:t>合 计</w:t>
            </w:r>
          </w:p>
        </w:tc>
        <w:tc>
          <w:tcPr>
            <w:tcW w:w="863" w:type="dxa"/>
            <w:gridSpan w:val="2"/>
            <w:tcBorders>
              <w:top w:val="nil"/>
              <w:left w:val="nil"/>
              <w:bottom w:val="single" w:color="auto" w:sz="8" w:space="0"/>
              <w:right w:val="single" w:color="auto" w:sz="8" w:space="0"/>
            </w:tcBorders>
            <w:vAlign w:val="center"/>
          </w:tcPr>
          <w:p w14:paraId="08D582AC">
            <w:pPr>
              <w:widowControl/>
              <w:spacing w:before="100" w:beforeAutospacing="1" w:after="100" w:afterAutospacing="1" w:line="240" w:lineRule="atLeast"/>
              <w:jc w:val="center"/>
              <w:rPr>
                <w:rFonts w:ascii="Verdana" w:hAnsi="Verdana" w:eastAsia="宋体"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2939D714">
            <w:pPr>
              <w:widowControl/>
              <w:spacing w:before="100" w:beforeAutospacing="1" w:after="100" w:afterAutospacing="1" w:line="240" w:lineRule="atLeast"/>
              <w:jc w:val="center"/>
              <w:rPr>
                <w:rFonts w:ascii="Verdana" w:hAnsi="Verdana" w:eastAsia="宋体" w:cs="宋体"/>
                <w:color w:val="auto"/>
                <w:kern w:val="0"/>
                <w:szCs w:val="21"/>
                <w:highlight w:val="none"/>
              </w:rPr>
            </w:pPr>
          </w:p>
        </w:tc>
      </w:tr>
      <w:tr w14:paraId="5400C073">
        <w:tblPrEx>
          <w:tblCellMar>
            <w:top w:w="0" w:type="dxa"/>
            <w:left w:w="0" w:type="dxa"/>
            <w:bottom w:w="0" w:type="dxa"/>
            <w:right w:w="0" w:type="dxa"/>
          </w:tblCellMar>
        </w:tblPrEx>
        <w:trPr>
          <w:trHeight w:val="641" w:hRule="atLeast"/>
          <w:jc w:val="center"/>
        </w:trPr>
        <w:tc>
          <w:tcPr>
            <w:tcW w:w="8445" w:type="dxa"/>
            <w:gridSpan w:val="9"/>
            <w:tcBorders>
              <w:top w:val="nil"/>
              <w:left w:val="single" w:color="auto" w:sz="8" w:space="0"/>
              <w:bottom w:val="single" w:color="auto" w:sz="8" w:space="0"/>
              <w:right w:val="single" w:color="auto" w:sz="8" w:space="0"/>
            </w:tcBorders>
            <w:vAlign w:val="center"/>
          </w:tcPr>
          <w:p w14:paraId="737C14D8">
            <w:pPr>
              <w:widowControl/>
              <w:snapToGrid w:val="0"/>
              <w:spacing w:before="100" w:beforeAutospacing="1" w:after="100" w:afterAutospacing="1" w:line="320" w:lineRule="atLeast"/>
              <w:ind w:firstLine="210" w:firstLineChars="100"/>
              <w:jc w:val="left"/>
              <w:rPr>
                <w:rFonts w:ascii="Verdana" w:hAnsi="Verdana" w:eastAsia="宋体" w:cs="宋体"/>
                <w:color w:val="auto"/>
                <w:kern w:val="0"/>
                <w:szCs w:val="21"/>
                <w:highlight w:val="none"/>
              </w:rPr>
            </w:pPr>
            <w:r>
              <w:rPr>
                <w:rFonts w:ascii="Verdana" w:hAnsi="Verdana" w:eastAsia="宋体" w:cs="宋体"/>
                <w:color w:val="auto"/>
                <w:kern w:val="0"/>
                <w:szCs w:val="21"/>
                <w:highlight w:val="none"/>
              </w:rPr>
              <w:t xml:space="preserve">合计大写金额： </w:t>
            </w:r>
            <w:r>
              <w:rPr>
                <w:rFonts w:hint="eastAsia" w:ascii="Verdana" w:hAnsi="Verdana" w:eastAsia="宋体" w:cs="宋体"/>
                <w:color w:val="auto"/>
                <w:kern w:val="0"/>
                <w:szCs w:val="21"/>
                <w:highlight w:val="none"/>
              </w:rPr>
              <w:t xml:space="preserve"> </w:t>
            </w:r>
            <w:r>
              <w:rPr>
                <w:rFonts w:ascii="Verdana" w:hAnsi="Verdana" w:eastAsia="宋体" w:cs="宋体"/>
                <w:color w:val="auto"/>
                <w:kern w:val="0"/>
                <w:szCs w:val="21"/>
                <w:highlight w:val="none"/>
              </w:rPr>
              <w:t xml:space="preserve">仟 </w:t>
            </w:r>
            <w:r>
              <w:rPr>
                <w:rFonts w:hint="eastAsia" w:ascii="Verdana" w:hAnsi="Verdana" w:eastAsia="宋体" w:cs="宋体"/>
                <w:color w:val="auto"/>
                <w:kern w:val="0"/>
                <w:szCs w:val="21"/>
                <w:highlight w:val="none"/>
              </w:rPr>
              <w:t xml:space="preserve"> </w:t>
            </w:r>
            <w:r>
              <w:rPr>
                <w:rFonts w:ascii="Verdana" w:hAnsi="Verdana" w:eastAsia="宋体" w:cs="宋体"/>
                <w:color w:val="auto"/>
                <w:kern w:val="0"/>
                <w:szCs w:val="21"/>
                <w:highlight w:val="none"/>
              </w:rPr>
              <w:t xml:space="preserve">佰 </w:t>
            </w:r>
            <w:r>
              <w:rPr>
                <w:rFonts w:hint="eastAsia" w:ascii="Verdana" w:hAnsi="Verdana" w:eastAsia="宋体" w:cs="宋体"/>
                <w:color w:val="auto"/>
                <w:kern w:val="0"/>
                <w:szCs w:val="21"/>
                <w:highlight w:val="none"/>
              </w:rPr>
              <w:t xml:space="preserve"> </w:t>
            </w:r>
            <w:r>
              <w:rPr>
                <w:rFonts w:ascii="Verdana" w:hAnsi="Verdana" w:eastAsia="宋体" w:cs="宋体"/>
                <w:color w:val="auto"/>
                <w:kern w:val="0"/>
                <w:szCs w:val="21"/>
                <w:highlight w:val="none"/>
              </w:rPr>
              <w:t xml:space="preserve">拾 </w:t>
            </w:r>
            <w:r>
              <w:rPr>
                <w:rFonts w:hint="eastAsia" w:ascii="Verdana" w:hAnsi="Verdana" w:eastAsia="宋体" w:cs="宋体"/>
                <w:color w:val="auto"/>
                <w:kern w:val="0"/>
                <w:szCs w:val="21"/>
                <w:highlight w:val="none"/>
              </w:rPr>
              <w:t xml:space="preserve"> </w:t>
            </w:r>
            <w:r>
              <w:rPr>
                <w:rFonts w:ascii="Verdana" w:hAnsi="Verdana" w:eastAsia="宋体" w:cs="宋体"/>
                <w:color w:val="auto"/>
                <w:kern w:val="0"/>
                <w:szCs w:val="21"/>
                <w:highlight w:val="none"/>
              </w:rPr>
              <w:t xml:space="preserve">万 </w:t>
            </w:r>
            <w:r>
              <w:rPr>
                <w:rFonts w:hint="eastAsia" w:ascii="Verdana" w:hAnsi="Verdana" w:eastAsia="宋体" w:cs="宋体"/>
                <w:color w:val="auto"/>
                <w:kern w:val="0"/>
                <w:szCs w:val="21"/>
                <w:highlight w:val="none"/>
              </w:rPr>
              <w:t xml:space="preserve"> </w:t>
            </w:r>
            <w:r>
              <w:rPr>
                <w:rFonts w:ascii="Verdana" w:hAnsi="Verdana" w:eastAsia="宋体" w:cs="宋体"/>
                <w:color w:val="auto"/>
                <w:kern w:val="0"/>
                <w:szCs w:val="21"/>
                <w:highlight w:val="none"/>
              </w:rPr>
              <w:t xml:space="preserve">仟 </w:t>
            </w:r>
            <w:r>
              <w:rPr>
                <w:rFonts w:hint="eastAsia" w:ascii="Verdana" w:hAnsi="Verdana" w:eastAsia="宋体" w:cs="宋体"/>
                <w:color w:val="auto"/>
                <w:kern w:val="0"/>
                <w:szCs w:val="21"/>
                <w:highlight w:val="none"/>
              </w:rPr>
              <w:t xml:space="preserve"> </w:t>
            </w:r>
            <w:r>
              <w:rPr>
                <w:rFonts w:ascii="Verdana" w:hAnsi="Verdana" w:eastAsia="宋体" w:cs="宋体"/>
                <w:color w:val="auto"/>
                <w:kern w:val="0"/>
                <w:szCs w:val="21"/>
                <w:highlight w:val="none"/>
              </w:rPr>
              <w:t xml:space="preserve">佰 </w:t>
            </w:r>
            <w:r>
              <w:rPr>
                <w:rFonts w:hint="eastAsia" w:ascii="Verdana" w:hAnsi="Verdana" w:eastAsia="宋体" w:cs="宋体"/>
                <w:color w:val="auto"/>
                <w:kern w:val="0"/>
                <w:szCs w:val="21"/>
                <w:highlight w:val="none"/>
              </w:rPr>
              <w:t xml:space="preserve"> </w:t>
            </w:r>
            <w:r>
              <w:rPr>
                <w:rFonts w:ascii="Verdana" w:hAnsi="Verdana" w:eastAsia="宋体" w:cs="宋体"/>
                <w:color w:val="auto"/>
                <w:kern w:val="0"/>
                <w:szCs w:val="21"/>
                <w:highlight w:val="none"/>
              </w:rPr>
              <w:t xml:space="preserve">拾 </w:t>
            </w:r>
            <w:r>
              <w:rPr>
                <w:rFonts w:hint="eastAsia" w:ascii="Verdana" w:hAnsi="Verdana" w:eastAsia="宋体" w:cs="宋体"/>
                <w:color w:val="auto"/>
                <w:kern w:val="0"/>
                <w:szCs w:val="21"/>
                <w:highlight w:val="none"/>
              </w:rPr>
              <w:t xml:space="preserve"> </w:t>
            </w:r>
            <w:r>
              <w:rPr>
                <w:rFonts w:ascii="Verdana" w:hAnsi="Verdana" w:eastAsia="宋体" w:cs="宋体"/>
                <w:color w:val="auto"/>
                <w:kern w:val="0"/>
                <w:szCs w:val="21"/>
                <w:highlight w:val="none"/>
              </w:rPr>
              <w:t>元</w:t>
            </w:r>
          </w:p>
        </w:tc>
      </w:tr>
      <w:tr w14:paraId="59F5ED70">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vAlign w:val="center"/>
          </w:tcPr>
          <w:p w14:paraId="1FF5E1C9">
            <w:pPr>
              <w:widowControl/>
              <w:snapToGrid w:val="0"/>
              <w:spacing w:before="100" w:beforeAutospacing="1" w:after="100" w:afterAutospacing="1" w:line="320" w:lineRule="atLeast"/>
              <w:ind w:firstLine="2"/>
              <w:jc w:val="center"/>
              <w:rPr>
                <w:rFonts w:ascii="Verdana" w:hAnsi="Verdana" w:eastAsia="宋体" w:cs="宋体"/>
                <w:color w:val="auto"/>
                <w:kern w:val="0"/>
                <w:szCs w:val="21"/>
                <w:highlight w:val="none"/>
              </w:rPr>
            </w:pPr>
            <w:r>
              <w:rPr>
                <w:rFonts w:ascii="Verdana" w:hAnsi="Verdana" w:eastAsia="宋体" w:cs="宋体"/>
                <w:color w:val="auto"/>
                <w:kern w:val="0"/>
                <w:szCs w:val="21"/>
                <w:highlight w:val="none"/>
              </w:rPr>
              <w:t>实际供货日期</w:t>
            </w:r>
          </w:p>
        </w:tc>
        <w:tc>
          <w:tcPr>
            <w:tcW w:w="2421" w:type="dxa"/>
            <w:gridSpan w:val="2"/>
            <w:tcBorders>
              <w:top w:val="nil"/>
              <w:left w:val="nil"/>
              <w:bottom w:val="single" w:color="auto" w:sz="8" w:space="0"/>
              <w:right w:val="single" w:color="auto" w:sz="8" w:space="0"/>
            </w:tcBorders>
            <w:vAlign w:val="center"/>
          </w:tcPr>
          <w:p w14:paraId="457D7887">
            <w:pPr>
              <w:widowControl/>
              <w:spacing w:before="100" w:beforeAutospacing="1" w:after="100" w:afterAutospacing="1" w:line="240" w:lineRule="atLeast"/>
              <w:jc w:val="center"/>
              <w:rPr>
                <w:rFonts w:ascii="Verdana" w:hAnsi="Verdana" w:eastAsia="宋体" w:cs="宋体"/>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14:paraId="552BB320">
            <w:pPr>
              <w:widowControl/>
              <w:snapToGrid w:val="0"/>
              <w:spacing w:before="100" w:beforeAutospacing="1" w:after="100" w:afterAutospacing="1" w:line="320" w:lineRule="atLeast"/>
              <w:ind w:firstLine="46"/>
              <w:jc w:val="center"/>
              <w:rPr>
                <w:rFonts w:ascii="Verdana" w:hAnsi="Verdana" w:eastAsia="宋体" w:cs="宋体"/>
                <w:color w:val="auto"/>
                <w:kern w:val="0"/>
                <w:szCs w:val="21"/>
                <w:highlight w:val="none"/>
              </w:rPr>
            </w:pPr>
            <w:r>
              <w:rPr>
                <w:rFonts w:ascii="Verdana" w:hAnsi="Verdana" w:eastAsia="宋体" w:cs="宋体"/>
                <w:color w:val="auto"/>
                <w:kern w:val="0"/>
                <w:szCs w:val="21"/>
                <w:highlight w:val="none"/>
              </w:rPr>
              <w:t>合同交货验收日期</w:t>
            </w:r>
          </w:p>
        </w:tc>
        <w:tc>
          <w:tcPr>
            <w:tcW w:w="2113" w:type="dxa"/>
            <w:gridSpan w:val="2"/>
            <w:tcBorders>
              <w:top w:val="nil"/>
              <w:left w:val="nil"/>
              <w:bottom w:val="single" w:color="auto" w:sz="8" w:space="0"/>
              <w:right w:val="single" w:color="auto" w:sz="8" w:space="0"/>
            </w:tcBorders>
            <w:vAlign w:val="center"/>
          </w:tcPr>
          <w:p w14:paraId="5EF6BA1D">
            <w:pPr>
              <w:widowControl/>
              <w:spacing w:before="100" w:beforeAutospacing="1" w:after="100" w:afterAutospacing="1" w:line="240" w:lineRule="atLeast"/>
              <w:jc w:val="center"/>
              <w:rPr>
                <w:rFonts w:ascii="Verdana" w:hAnsi="Verdana" w:eastAsia="宋体" w:cs="宋体"/>
                <w:color w:val="auto"/>
                <w:kern w:val="0"/>
                <w:szCs w:val="21"/>
                <w:highlight w:val="none"/>
              </w:rPr>
            </w:pPr>
          </w:p>
        </w:tc>
      </w:tr>
      <w:tr w14:paraId="7DD8D4FF">
        <w:tblPrEx>
          <w:tblCellMar>
            <w:top w:w="0" w:type="dxa"/>
            <w:left w:w="0" w:type="dxa"/>
            <w:bottom w:w="0" w:type="dxa"/>
            <w:right w:w="0" w:type="dxa"/>
          </w:tblCellMar>
        </w:tblPrEx>
        <w:trPr>
          <w:trHeight w:val="90" w:hRule="atLeast"/>
          <w:jc w:val="center"/>
        </w:trPr>
        <w:tc>
          <w:tcPr>
            <w:tcW w:w="1629"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5DDAE78">
            <w:pPr>
              <w:widowControl/>
              <w:snapToGrid w:val="0"/>
              <w:spacing w:before="100" w:beforeAutospacing="1" w:after="100" w:afterAutospacing="1" w:line="320" w:lineRule="atLeast"/>
              <w:jc w:val="left"/>
              <w:rPr>
                <w:rFonts w:ascii="Verdana" w:hAnsi="Verdana" w:eastAsia="宋体" w:cs="宋体"/>
                <w:color w:val="auto"/>
                <w:kern w:val="0"/>
                <w:szCs w:val="21"/>
                <w:highlight w:val="none"/>
              </w:rPr>
            </w:pPr>
            <w:r>
              <w:rPr>
                <w:rFonts w:ascii="Verdana" w:hAnsi="Verdana" w:eastAsia="宋体" w:cs="宋体"/>
                <w:color w:val="auto"/>
                <w:kern w:val="0"/>
                <w:szCs w:val="21"/>
                <w:highlight w:val="none"/>
              </w:rPr>
              <w:t>验收具体内容</w:t>
            </w:r>
          </w:p>
        </w:tc>
        <w:tc>
          <w:tcPr>
            <w:tcW w:w="6816"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523C2CEF">
            <w:pPr>
              <w:widowControl/>
              <w:snapToGrid w:val="0"/>
              <w:spacing w:before="100" w:beforeAutospacing="1" w:after="100" w:afterAutospacing="1" w:line="320" w:lineRule="atLeast"/>
              <w:jc w:val="left"/>
              <w:rPr>
                <w:rFonts w:ascii="Verdana" w:hAnsi="Verdana" w:eastAsia="宋体" w:cs="宋体"/>
                <w:color w:val="auto"/>
                <w:kern w:val="0"/>
                <w:szCs w:val="21"/>
                <w:highlight w:val="none"/>
              </w:rPr>
            </w:pPr>
            <w:r>
              <w:rPr>
                <w:rFonts w:ascii="Verdana" w:hAnsi="Verdana" w:eastAsia="宋体" w:cs="宋体"/>
                <w:color w:val="auto"/>
                <w:kern w:val="0"/>
                <w:szCs w:val="21"/>
                <w:highlight w:val="none"/>
              </w:rPr>
              <w:t>（应按采购合同、磋商文件、竞标响应文件及验收方案等进行验收；并核对成交供应商在安装调试等方面是否违反合同约定或者服务规范要求、提供的质量保证证明材料是否齐全、应有的配件及附件是否达到合同约定等。</w:t>
            </w:r>
            <w:r>
              <w:rPr>
                <w:rFonts w:hint="eastAsia" w:ascii="Verdana" w:hAnsi="Verdana" w:eastAsia="宋体" w:cs="宋体"/>
                <w:color w:val="auto"/>
                <w:kern w:val="0"/>
                <w:szCs w:val="21"/>
                <w:highlight w:val="none"/>
                <w:lang w:eastAsia="zh-CN"/>
              </w:rPr>
              <w:t>详见《信息系统驻场运维服务验收文档清单》）</w:t>
            </w:r>
          </w:p>
        </w:tc>
      </w:tr>
      <w:tr w14:paraId="2D4AA625">
        <w:tblPrEx>
          <w:tblCellMar>
            <w:top w:w="0" w:type="dxa"/>
            <w:left w:w="0" w:type="dxa"/>
            <w:bottom w:w="0" w:type="dxa"/>
            <w:right w:w="0" w:type="dxa"/>
          </w:tblCellMar>
        </w:tblPrEx>
        <w:trPr>
          <w:trHeight w:val="1011" w:hRule="atLeast"/>
          <w:jc w:val="center"/>
        </w:trPr>
        <w:tc>
          <w:tcPr>
            <w:tcW w:w="1629" w:type="dxa"/>
            <w:gridSpan w:val="2"/>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46E3364">
            <w:pPr>
              <w:widowControl/>
              <w:spacing w:before="100" w:beforeAutospacing="1" w:after="100" w:afterAutospacing="1" w:line="320" w:lineRule="atLeast"/>
              <w:jc w:val="left"/>
              <w:rPr>
                <w:rFonts w:ascii="Verdana" w:hAnsi="Verdana" w:eastAsia="宋体" w:cs="宋体"/>
                <w:color w:val="auto"/>
                <w:kern w:val="0"/>
                <w:szCs w:val="21"/>
                <w:highlight w:val="none"/>
              </w:rPr>
            </w:pPr>
            <w:r>
              <w:rPr>
                <w:rFonts w:ascii="Verdana" w:hAnsi="Verdana" w:eastAsia="宋体" w:cs="宋体"/>
                <w:color w:val="auto"/>
                <w:kern w:val="0"/>
                <w:szCs w:val="21"/>
                <w:highlight w:val="none"/>
              </w:rPr>
              <w:t>验收小组意见</w:t>
            </w:r>
          </w:p>
        </w:tc>
        <w:tc>
          <w:tcPr>
            <w:tcW w:w="6816" w:type="dxa"/>
            <w:gridSpan w:val="7"/>
            <w:tcBorders>
              <w:top w:val="nil"/>
              <w:left w:val="nil"/>
              <w:bottom w:val="single" w:color="auto" w:sz="8" w:space="0"/>
              <w:right w:val="single" w:color="auto" w:sz="8" w:space="0"/>
            </w:tcBorders>
            <w:vAlign w:val="center"/>
          </w:tcPr>
          <w:p w14:paraId="7D48C6D2">
            <w:pPr>
              <w:widowControl/>
              <w:spacing w:before="100" w:beforeAutospacing="1" w:after="100" w:afterAutospacing="1" w:line="320" w:lineRule="atLeast"/>
              <w:ind w:firstLine="210" w:firstLineChars="100"/>
              <w:jc w:val="left"/>
              <w:rPr>
                <w:rFonts w:hint="default" w:ascii="Verdana" w:hAnsi="Verdana" w:eastAsia="宋体" w:cs="宋体"/>
                <w:color w:val="auto"/>
                <w:kern w:val="0"/>
                <w:szCs w:val="21"/>
                <w:highlight w:val="none"/>
                <w:lang w:val="en-US" w:eastAsia="zh-CN"/>
              </w:rPr>
            </w:pPr>
            <w:r>
              <w:rPr>
                <w:rFonts w:ascii="Verdana" w:hAnsi="Verdana" w:eastAsia="宋体" w:cs="宋体"/>
                <w:color w:val="auto"/>
                <w:kern w:val="0"/>
                <w:szCs w:val="21"/>
                <w:highlight w:val="none"/>
              </w:rPr>
              <w:t>验收结论性意见：</w:t>
            </w:r>
            <w:r>
              <w:rPr>
                <w:rFonts w:hint="eastAsia" w:ascii="Verdana" w:hAnsi="Verdana" w:eastAsia="宋体" w:cs="宋体"/>
                <w:color w:val="auto"/>
                <w:kern w:val="0"/>
                <w:szCs w:val="21"/>
                <w:highlight w:val="none"/>
                <w:lang w:eastAsia="zh-CN"/>
              </w:rPr>
              <w:t>达到</w:t>
            </w:r>
            <w:r>
              <w:rPr>
                <w:rFonts w:hint="eastAsia" w:ascii="Verdana" w:hAnsi="Verdana" w:eastAsia="宋体" w:cs="宋体"/>
                <w:color w:val="auto"/>
                <w:kern w:val="0"/>
                <w:szCs w:val="21"/>
                <w:highlight w:val="none"/>
                <w:lang w:val="en-US" w:eastAsia="zh-CN"/>
              </w:rPr>
              <w:t>/未达到</w:t>
            </w:r>
            <w:r>
              <w:rPr>
                <w:rFonts w:ascii="Verdana" w:hAnsi="Verdana" w:eastAsia="宋体" w:cs="宋体"/>
                <w:color w:val="auto"/>
                <w:kern w:val="0"/>
                <w:szCs w:val="21"/>
                <w:highlight w:val="none"/>
              </w:rPr>
              <w:t>采购合同、磋商文件、竞标响应文件及验收</w:t>
            </w:r>
            <w:r>
              <w:rPr>
                <w:rFonts w:hint="eastAsia" w:ascii="Verdana" w:hAnsi="Verdana" w:eastAsia="宋体" w:cs="宋体"/>
                <w:color w:val="auto"/>
                <w:kern w:val="0"/>
                <w:szCs w:val="21"/>
                <w:highlight w:val="none"/>
                <w:lang w:eastAsia="zh-CN"/>
              </w:rPr>
              <w:t>核验项等要求的内容，同意通过验收</w:t>
            </w:r>
            <w:r>
              <w:rPr>
                <w:rFonts w:hint="eastAsia" w:ascii="Verdana" w:hAnsi="Verdana" w:eastAsia="宋体" w:cs="宋体"/>
                <w:color w:val="auto"/>
                <w:kern w:val="0"/>
                <w:szCs w:val="21"/>
                <w:highlight w:val="none"/>
                <w:lang w:val="en-US" w:eastAsia="zh-CN"/>
              </w:rPr>
              <w:t>/不同意通过验收。</w:t>
            </w:r>
          </w:p>
        </w:tc>
      </w:tr>
      <w:tr w14:paraId="67D45432">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vAlign w:val="center"/>
          </w:tcPr>
          <w:p w14:paraId="698FB027">
            <w:pPr>
              <w:widowControl/>
              <w:jc w:val="left"/>
              <w:rPr>
                <w:rFonts w:ascii="Verdana" w:hAnsi="Verdana" w:eastAsia="宋体" w:cs="宋体"/>
                <w:color w:val="auto"/>
                <w:kern w:val="0"/>
                <w:szCs w:val="21"/>
                <w:highlight w:val="none"/>
              </w:rPr>
            </w:pPr>
          </w:p>
        </w:tc>
        <w:tc>
          <w:tcPr>
            <w:tcW w:w="6816" w:type="dxa"/>
            <w:gridSpan w:val="7"/>
            <w:tcBorders>
              <w:top w:val="nil"/>
              <w:left w:val="nil"/>
              <w:bottom w:val="single" w:color="auto" w:sz="8" w:space="0"/>
              <w:right w:val="single" w:color="auto" w:sz="8" w:space="0"/>
            </w:tcBorders>
            <w:vAlign w:val="center"/>
          </w:tcPr>
          <w:p w14:paraId="4C8040F8">
            <w:pPr>
              <w:widowControl/>
              <w:spacing w:before="100" w:beforeAutospacing="1" w:after="100" w:afterAutospacing="1" w:line="320" w:lineRule="atLeast"/>
              <w:ind w:firstLine="210" w:firstLineChars="100"/>
              <w:jc w:val="left"/>
              <w:rPr>
                <w:rFonts w:ascii="Verdana" w:hAnsi="Verdana" w:eastAsia="宋体" w:cs="宋体"/>
                <w:color w:val="auto"/>
                <w:kern w:val="0"/>
                <w:szCs w:val="21"/>
                <w:highlight w:val="none"/>
              </w:rPr>
            </w:pPr>
            <w:r>
              <w:rPr>
                <w:rFonts w:ascii="Verdana" w:hAnsi="Verdana" w:eastAsia="宋体" w:cs="宋体"/>
                <w:color w:val="auto"/>
                <w:kern w:val="0"/>
                <w:szCs w:val="21"/>
                <w:highlight w:val="none"/>
              </w:rPr>
              <w:t>有异议的意见和说明理由：</w:t>
            </w:r>
          </w:p>
          <w:p w14:paraId="04E8CC20">
            <w:pPr>
              <w:widowControl/>
              <w:spacing w:before="100" w:beforeAutospacing="1" w:after="100" w:afterAutospacing="1" w:line="320" w:lineRule="atLeast"/>
              <w:ind w:firstLine="210" w:firstLineChars="100"/>
              <w:jc w:val="left"/>
              <w:rPr>
                <w:rFonts w:ascii="Verdana" w:hAnsi="Verdana" w:eastAsia="宋体" w:cs="宋体"/>
                <w:color w:val="auto"/>
                <w:kern w:val="0"/>
                <w:szCs w:val="21"/>
                <w:highlight w:val="none"/>
              </w:rPr>
            </w:pPr>
            <w:r>
              <w:rPr>
                <w:rFonts w:ascii="Verdana" w:hAnsi="Verdana" w:eastAsia="宋体" w:cs="宋体"/>
                <w:color w:val="auto"/>
                <w:kern w:val="0"/>
                <w:szCs w:val="21"/>
                <w:highlight w:val="none"/>
              </w:rPr>
              <w:t>签字：</w:t>
            </w:r>
          </w:p>
        </w:tc>
      </w:tr>
      <w:tr w14:paraId="3C814EAE">
        <w:tblPrEx>
          <w:tblCellMar>
            <w:top w:w="0" w:type="dxa"/>
            <w:left w:w="0" w:type="dxa"/>
            <w:bottom w:w="0" w:type="dxa"/>
            <w:right w:w="0" w:type="dxa"/>
          </w:tblCellMar>
        </w:tblPrEx>
        <w:trPr>
          <w:trHeight w:val="507" w:hRule="atLeast"/>
          <w:jc w:val="center"/>
        </w:trPr>
        <w:tc>
          <w:tcPr>
            <w:tcW w:w="8445"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CF3C659">
            <w:pPr>
              <w:widowControl/>
              <w:spacing w:before="100" w:beforeAutospacing="1" w:after="100" w:afterAutospacing="1" w:line="320" w:lineRule="atLeast"/>
              <w:jc w:val="left"/>
              <w:rPr>
                <w:rFonts w:ascii="Verdana" w:hAnsi="Verdana" w:eastAsia="宋体" w:cs="宋体"/>
                <w:color w:val="auto"/>
                <w:kern w:val="0"/>
                <w:szCs w:val="21"/>
                <w:highlight w:val="none"/>
              </w:rPr>
            </w:pPr>
            <w:r>
              <w:rPr>
                <w:rFonts w:ascii="Verdana" w:hAnsi="Verdana" w:eastAsia="宋体" w:cs="宋体"/>
                <w:color w:val="auto"/>
                <w:kern w:val="0"/>
                <w:szCs w:val="21"/>
                <w:highlight w:val="none"/>
              </w:rPr>
              <w:t>验收小组成员签字：</w:t>
            </w:r>
          </w:p>
        </w:tc>
      </w:tr>
      <w:tr w14:paraId="7368FA45">
        <w:tblPrEx>
          <w:tblCellMar>
            <w:top w:w="0" w:type="dxa"/>
            <w:left w:w="0" w:type="dxa"/>
            <w:bottom w:w="0" w:type="dxa"/>
            <w:right w:w="0" w:type="dxa"/>
          </w:tblCellMar>
        </w:tblPrEx>
        <w:trPr>
          <w:trHeight w:val="736" w:hRule="atLeast"/>
          <w:jc w:val="center"/>
        </w:trPr>
        <w:tc>
          <w:tcPr>
            <w:tcW w:w="8445"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E5E3528">
            <w:pPr>
              <w:widowControl/>
              <w:spacing w:before="100" w:beforeAutospacing="1" w:after="100" w:afterAutospacing="1" w:line="320" w:lineRule="atLeast"/>
              <w:jc w:val="left"/>
              <w:rPr>
                <w:rFonts w:ascii="Verdana" w:hAnsi="Verdana" w:eastAsia="宋体" w:cs="宋体"/>
                <w:color w:val="auto"/>
                <w:kern w:val="0"/>
                <w:szCs w:val="21"/>
                <w:highlight w:val="none"/>
              </w:rPr>
            </w:pPr>
            <w:r>
              <w:rPr>
                <w:rFonts w:ascii="Verdana" w:hAnsi="Verdana" w:eastAsia="宋体" w:cs="宋体"/>
                <w:color w:val="auto"/>
                <w:kern w:val="0"/>
                <w:szCs w:val="21"/>
                <w:highlight w:val="none"/>
              </w:rPr>
              <w:t>监督人员或者</w:t>
            </w:r>
            <w:r>
              <w:rPr>
                <w:rFonts w:hint="eastAsia" w:ascii="Verdana" w:hAnsi="Verdana" w:eastAsia="宋体" w:cs="宋体"/>
                <w:color w:val="auto"/>
                <w:kern w:val="0"/>
                <w:szCs w:val="21"/>
                <w:highlight w:val="none"/>
              </w:rPr>
              <w:t>其他</w:t>
            </w:r>
            <w:r>
              <w:rPr>
                <w:rFonts w:ascii="Verdana" w:hAnsi="Verdana" w:eastAsia="宋体" w:cs="宋体"/>
                <w:color w:val="auto"/>
                <w:kern w:val="0"/>
                <w:szCs w:val="21"/>
                <w:highlight w:val="none"/>
              </w:rPr>
              <w:t>相关人员签字：</w:t>
            </w:r>
          </w:p>
          <w:p w14:paraId="20F92948">
            <w:pPr>
              <w:widowControl/>
              <w:spacing w:before="100" w:beforeAutospacing="1" w:after="100" w:afterAutospacing="1" w:line="320" w:lineRule="atLeast"/>
              <w:ind w:firstLine="74"/>
              <w:jc w:val="left"/>
              <w:rPr>
                <w:rFonts w:ascii="Verdana" w:hAnsi="Verdana" w:eastAsia="宋体" w:cs="宋体"/>
                <w:color w:val="auto"/>
                <w:kern w:val="0"/>
                <w:szCs w:val="21"/>
                <w:highlight w:val="none"/>
              </w:rPr>
            </w:pPr>
            <w:r>
              <w:rPr>
                <w:rFonts w:ascii="Verdana" w:hAnsi="Verdana" w:eastAsia="宋体" w:cs="宋体"/>
                <w:color w:val="auto"/>
                <w:kern w:val="0"/>
                <w:szCs w:val="21"/>
                <w:highlight w:val="none"/>
              </w:rPr>
              <w:t>或者受邀机构的意见（盖章）：</w:t>
            </w:r>
          </w:p>
        </w:tc>
      </w:tr>
      <w:tr w14:paraId="2E343D01">
        <w:tblPrEx>
          <w:tblCellMar>
            <w:top w:w="0" w:type="dxa"/>
            <w:left w:w="0" w:type="dxa"/>
            <w:bottom w:w="0" w:type="dxa"/>
            <w:right w:w="0" w:type="dxa"/>
          </w:tblCellMar>
        </w:tblPrEx>
        <w:trPr>
          <w:trHeight w:val="758" w:hRule="atLeast"/>
          <w:jc w:val="center"/>
        </w:trPr>
        <w:tc>
          <w:tcPr>
            <w:tcW w:w="4152" w:type="dxa"/>
            <w:gridSpan w:val="5"/>
            <w:tcBorders>
              <w:top w:val="nil"/>
              <w:left w:val="single" w:color="auto" w:sz="8" w:space="0"/>
              <w:bottom w:val="single" w:color="auto" w:sz="8" w:space="0"/>
              <w:right w:val="nil"/>
            </w:tcBorders>
            <w:tcMar>
              <w:top w:w="0" w:type="dxa"/>
              <w:left w:w="108" w:type="dxa"/>
              <w:bottom w:w="0" w:type="dxa"/>
              <w:right w:w="108" w:type="dxa"/>
            </w:tcMar>
            <w:vAlign w:val="center"/>
          </w:tcPr>
          <w:p w14:paraId="070744B6">
            <w:pPr>
              <w:widowControl/>
              <w:spacing w:before="100" w:beforeAutospacing="1" w:after="100" w:afterAutospacing="1" w:line="320" w:lineRule="atLeast"/>
              <w:jc w:val="left"/>
              <w:rPr>
                <w:rFonts w:ascii="Verdana" w:hAnsi="Verdana" w:eastAsia="宋体" w:cs="宋体"/>
                <w:color w:val="auto"/>
                <w:kern w:val="0"/>
                <w:szCs w:val="21"/>
                <w:highlight w:val="none"/>
              </w:rPr>
            </w:pPr>
            <w:r>
              <w:rPr>
                <w:rFonts w:ascii="Verdana" w:hAnsi="Verdana" w:eastAsia="宋体" w:cs="宋体"/>
                <w:color w:val="auto"/>
                <w:kern w:val="0"/>
                <w:szCs w:val="21"/>
                <w:highlight w:val="none"/>
              </w:rPr>
              <w:t>成交供应商负责人签字或者盖章：</w:t>
            </w:r>
          </w:p>
          <w:p w14:paraId="09338E00">
            <w:pPr>
              <w:widowControl/>
              <w:spacing w:before="100" w:beforeAutospacing="1" w:after="100" w:afterAutospacing="1" w:line="320" w:lineRule="atLeast"/>
              <w:jc w:val="left"/>
              <w:rPr>
                <w:rFonts w:ascii="Verdana" w:hAnsi="Verdana" w:eastAsia="宋体" w:cs="宋体"/>
                <w:color w:val="auto"/>
                <w:kern w:val="0"/>
                <w:szCs w:val="21"/>
                <w:highlight w:val="none"/>
              </w:rPr>
            </w:pPr>
          </w:p>
          <w:p w14:paraId="2E1AC7A3">
            <w:pPr>
              <w:widowControl/>
              <w:spacing w:before="100" w:beforeAutospacing="1" w:after="100" w:afterAutospacing="1" w:line="320" w:lineRule="atLeast"/>
              <w:jc w:val="left"/>
              <w:rPr>
                <w:rFonts w:ascii="Verdana" w:hAnsi="Verdana" w:eastAsia="宋体" w:cs="宋体"/>
                <w:color w:val="auto"/>
                <w:kern w:val="0"/>
                <w:szCs w:val="21"/>
                <w:highlight w:val="none"/>
              </w:rPr>
            </w:pPr>
            <w:r>
              <w:rPr>
                <w:rFonts w:ascii="Verdana" w:hAnsi="Verdana" w:eastAsia="宋体" w:cs="宋体"/>
                <w:color w:val="auto"/>
                <w:kern w:val="0"/>
                <w:szCs w:val="21"/>
                <w:highlight w:val="none"/>
              </w:rPr>
              <w:t>联系电话：</w:t>
            </w:r>
            <w:r>
              <w:rPr>
                <w:rFonts w:hint="eastAsia" w:ascii="Verdana" w:hAnsi="Verdana" w:eastAsia="宋体" w:cs="宋体"/>
                <w:color w:val="auto"/>
                <w:kern w:val="0"/>
                <w:szCs w:val="21"/>
                <w:highlight w:val="none"/>
              </w:rPr>
              <w:t xml:space="preserve">               </w:t>
            </w:r>
            <w:r>
              <w:rPr>
                <w:rFonts w:ascii="Verdana" w:hAnsi="Verdana" w:eastAsia="宋体" w:cs="宋体"/>
                <w:color w:val="auto"/>
                <w:kern w:val="0"/>
                <w:szCs w:val="21"/>
                <w:highlight w:val="none"/>
              </w:rPr>
              <w:t xml:space="preserve"> 年</w:t>
            </w:r>
            <w:r>
              <w:rPr>
                <w:rFonts w:hint="eastAsia" w:ascii="Verdana" w:hAnsi="Verdana" w:eastAsia="宋体" w:cs="宋体"/>
                <w:color w:val="auto"/>
                <w:kern w:val="0"/>
                <w:szCs w:val="21"/>
                <w:highlight w:val="none"/>
              </w:rPr>
              <w:t xml:space="preserve"> </w:t>
            </w:r>
            <w:r>
              <w:rPr>
                <w:rFonts w:ascii="Verdana" w:hAnsi="Verdana" w:eastAsia="宋体" w:cs="宋体"/>
                <w:color w:val="auto"/>
                <w:kern w:val="0"/>
                <w:szCs w:val="21"/>
                <w:highlight w:val="none"/>
              </w:rPr>
              <w:t xml:space="preserve"> 月 </w:t>
            </w:r>
            <w:r>
              <w:rPr>
                <w:rFonts w:hint="eastAsia" w:ascii="Verdana" w:hAnsi="Verdana" w:eastAsia="宋体" w:cs="宋体"/>
                <w:color w:val="auto"/>
                <w:kern w:val="0"/>
                <w:szCs w:val="21"/>
                <w:highlight w:val="none"/>
              </w:rPr>
              <w:t xml:space="preserve"> </w:t>
            </w:r>
            <w:r>
              <w:rPr>
                <w:rFonts w:ascii="Verdana" w:hAnsi="Verdana" w:eastAsia="宋体" w:cs="宋体"/>
                <w:color w:val="auto"/>
                <w:kern w:val="0"/>
                <w:szCs w:val="21"/>
                <w:highlight w:val="none"/>
              </w:rPr>
              <w:t>日</w:t>
            </w:r>
          </w:p>
        </w:tc>
        <w:tc>
          <w:tcPr>
            <w:tcW w:w="4293" w:type="dxa"/>
            <w:gridSpan w:val="4"/>
            <w:tcBorders>
              <w:top w:val="nil"/>
              <w:left w:val="nil"/>
              <w:bottom w:val="single" w:color="auto" w:sz="8" w:space="0"/>
              <w:right w:val="single" w:color="auto" w:sz="8" w:space="0"/>
            </w:tcBorders>
            <w:vAlign w:val="center"/>
          </w:tcPr>
          <w:p w14:paraId="0141BE06">
            <w:pPr>
              <w:widowControl/>
              <w:spacing w:before="100" w:beforeAutospacing="1" w:after="100" w:afterAutospacing="1" w:line="320" w:lineRule="atLeast"/>
              <w:ind w:firstLine="210" w:firstLineChars="100"/>
              <w:jc w:val="left"/>
              <w:rPr>
                <w:rFonts w:ascii="Verdana" w:hAnsi="Verdana" w:eastAsia="宋体" w:cs="宋体"/>
                <w:color w:val="auto"/>
                <w:kern w:val="0"/>
                <w:szCs w:val="21"/>
                <w:highlight w:val="none"/>
              </w:rPr>
            </w:pPr>
            <w:r>
              <w:rPr>
                <w:rFonts w:ascii="Verdana" w:hAnsi="Verdana" w:eastAsia="宋体" w:cs="宋体"/>
                <w:color w:val="auto"/>
                <w:kern w:val="0"/>
                <w:szCs w:val="21"/>
                <w:highlight w:val="none"/>
              </w:rPr>
              <w:t>采购人或者受托机构的意见（盖章）：</w:t>
            </w:r>
          </w:p>
          <w:p w14:paraId="7F8F4B61">
            <w:pPr>
              <w:widowControl/>
              <w:spacing w:before="100" w:beforeAutospacing="1" w:after="100" w:afterAutospacing="1" w:line="320" w:lineRule="atLeast"/>
              <w:ind w:firstLine="210" w:firstLineChars="100"/>
              <w:jc w:val="left"/>
              <w:rPr>
                <w:rFonts w:ascii="Verdana" w:hAnsi="Verdana" w:eastAsia="宋体" w:cs="宋体"/>
                <w:color w:val="auto"/>
                <w:kern w:val="0"/>
                <w:szCs w:val="21"/>
                <w:highlight w:val="none"/>
              </w:rPr>
            </w:pPr>
          </w:p>
          <w:p w14:paraId="2C192DA5">
            <w:pPr>
              <w:widowControl/>
              <w:spacing w:before="100" w:beforeAutospacing="1" w:after="100" w:afterAutospacing="1" w:line="320" w:lineRule="atLeast"/>
              <w:ind w:firstLine="210" w:firstLineChars="100"/>
              <w:jc w:val="left"/>
              <w:rPr>
                <w:rFonts w:ascii="Verdana" w:hAnsi="Verdana" w:eastAsia="宋体" w:cs="宋体"/>
                <w:color w:val="auto"/>
                <w:kern w:val="0"/>
                <w:szCs w:val="21"/>
                <w:highlight w:val="none"/>
              </w:rPr>
            </w:pPr>
            <w:r>
              <w:rPr>
                <w:rFonts w:ascii="Verdana" w:hAnsi="Verdana" w:eastAsia="宋体" w:cs="宋体"/>
                <w:color w:val="auto"/>
                <w:kern w:val="0"/>
                <w:szCs w:val="21"/>
                <w:highlight w:val="none"/>
              </w:rPr>
              <w:t>联系电话：</w:t>
            </w:r>
            <w:r>
              <w:rPr>
                <w:rFonts w:hint="eastAsia" w:ascii="Verdana" w:hAnsi="Verdana" w:eastAsia="宋体" w:cs="宋体"/>
                <w:color w:val="auto"/>
                <w:kern w:val="0"/>
                <w:szCs w:val="21"/>
                <w:highlight w:val="none"/>
              </w:rPr>
              <w:t xml:space="preserve">                  </w:t>
            </w:r>
            <w:r>
              <w:rPr>
                <w:rFonts w:ascii="Verdana" w:hAnsi="Verdana" w:eastAsia="宋体" w:cs="宋体"/>
                <w:color w:val="auto"/>
                <w:kern w:val="0"/>
                <w:szCs w:val="21"/>
                <w:highlight w:val="none"/>
              </w:rPr>
              <w:t>年</w:t>
            </w:r>
            <w:r>
              <w:rPr>
                <w:rFonts w:hint="eastAsia" w:ascii="Verdana" w:hAnsi="Verdana" w:eastAsia="宋体" w:cs="宋体"/>
                <w:color w:val="auto"/>
                <w:kern w:val="0"/>
                <w:szCs w:val="21"/>
                <w:highlight w:val="none"/>
              </w:rPr>
              <w:t xml:space="preserve"> </w:t>
            </w:r>
            <w:r>
              <w:rPr>
                <w:rFonts w:ascii="Verdana" w:hAnsi="Verdana" w:eastAsia="宋体" w:cs="宋体"/>
                <w:color w:val="auto"/>
                <w:kern w:val="0"/>
                <w:szCs w:val="21"/>
                <w:highlight w:val="none"/>
              </w:rPr>
              <w:t xml:space="preserve"> 月</w:t>
            </w:r>
            <w:r>
              <w:rPr>
                <w:rFonts w:hint="eastAsia" w:ascii="Verdana" w:hAnsi="Verdana" w:eastAsia="宋体" w:cs="宋体"/>
                <w:color w:val="auto"/>
                <w:kern w:val="0"/>
                <w:szCs w:val="21"/>
                <w:highlight w:val="none"/>
              </w:rPr>
              <w:t xml:space="preserve"> </w:t>
            </w:r>
            <w:r>
              <w:rPr>
                <w:rFonts w:ascii="Verdana" w:hAnsi="Verdana" w:eastAsia="宋体" w:cs="宋体"/>
                <w:color w:val="auto"/>
                <w:kern w:val="0"/>
                <w:szCs w:val="21"/>
                <w:highlight w:val="none"/>
              </w:rPr>
              <w:t xml:space="preserve"> 日</w:t>
            </w:r>
          </w:p>
        </w:tc>
      </w:tr>
    </w:tbl>
    <w:p w14:paraId="28B3213C">
      <w:pPr>
        <w:jc w:val="both"/>
        <w:rPr>
          <w:rFonts w:hint="eastAsia" w:ascii="宋体" w:hAnsi="宋体" w:eastAsia="宋体" w:cs="宋体"/>
          <w:color w:val="auto"/>
          <w:sz w:val="28"/>
          <w:szCs w:val="28"/>
          <w:highlight w:val="none"/>
          <w:lang w:val="en-US" w:eastAsia="zh-CN"/>
        </w:rPr>
      </w:pPr>
      <w:r>
        <w:rPr>
          <w:rFonts w:hAnsi="宋体" w:eastAsia="宋体"/>
          <w:color w:val="auto"/>
          <w:highlight w:val="none"/>
        </w:rPr>
        <w:br w:type="page"/>
      </w: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lang w:val="en-US" w:eastAsia="zh-CN"/>
        </w:rPr>
        <w:t>.政府采购项目履约保证金退付意见书的格式：</w:t>
      </w:r>
    </w:p>
    <w:p w14:paraId="0EE5AB0E">
      <w:pPr>
        <w:widowControl w:val="0"/>
        <w:snapToGrid w:val="0"/>
        <w:jc w:val="both"/>
        <w:rPr>
          <w:rFonts w:hint="eastAsia" w:ascii="黑体" w:hAnsi="黑体" w:eastAsia="黑体" w:cs="黑体"/>
          <w:color w:val="auto"/>
          <w:kern w:val="0"/>
          <w:sz w:val="32"/>
          <w:szCs w:val="32"/>
          <w:highlight w:val="none"/>
          <w:lang w:val="en-US" w:eastAsia="zh-CN" w:bidi="ar-SA"/>
        </w:rPr>
      </w:pPr>
    </w:p>
    <w:p w14:paraId="155F86BC">
      <w:pPr>
        <w:widowControl w:val="0"/>
        <w:ind w:left="2940"/>
        <w:jc w:val="both"/>
        <w:rPr>
          <w:rFonts w:hint="eastAsia" w:ascii="Times New Roman" w:hAnsi="Times New Roman" w:eastAsia="宋体" w:cs="Times New Roman"/>
          <w:color w:val="auto"/>
          <w:kern w:val="2"/>
          <w:sz w:val="21"/>
          <w:szCs w:val="24"/>
          <w:highlight w:val="none"/>
          <w:lang w:val="en-US" w:eastAsia="zh-CN" w:bidi="ar-SA"/>
        </w:rPr>
      </w:pPr>
    </w:p>
    <w:p w14:paraId="5C6A2FFB">
      <w:pPr>
        <w:pageBreakBefore w:val="0"/>
        <w:wordWrap/>
        <w:spacing w:before="160" w:after="0"/>
        <w:ind w:left="0" w:right="0"/>
        <w:jc w:val="left"/>
        <w:textAlignment w:val="auto"/>
        <w:rPr>
          <w:rFonts w:hint="eastAsia" w:ascii="宋体" w:hAnsi="宋体" w:eastAsia="宋体" w:cs="宋体"/>
          <w:b/>
          <w:i w:val="0"/>
          <w:color w:val="auto"/>
          <w:spacing w:val="0"/>
          <w:sz w:val="28"/>
          <w:highlight w:val="none"/>
          <w:lang w:eastAsia="zh-CN"/>
        </w:rPr>
      </w:pPr>
    </w:p>
    <w:p w14:paraId="7260E877">
      <w:pP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政府采购项目履约保证金退付意见书</w:t>
      </w:r>
    </w:p>
    <w:p w14:paraId="323EAF1A">
      <w:pPr>
        <w:jc w:val="center"/>
        <w:rPr>
          <w:rFonts w:hint="eastAsia" w:ascii="黑体" w:hAnsi="黑体" w:eastAsia="黑体" w:cs="Times New Roman"/>
          <w:color w:val="auto"/>
          <w:sz w:val="36"/>
          <w:szCs w:val="36"/>
          <w:highlight w:val="none"/>
        </w:rPr>
      </w:pPr>
    </w:p>
    <w:tbl>
      <w:tblPr>
        <w:tblStyle w:val="32"/>
        <w:tblW w:w="88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009"/>
      </w:tblGrid>
      <w:tr w14:paraId="0502F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817" w:type="dxa"/>
            <w:vMerge w:val="restart"/>
            <w:noWrap w:val="0"/>
            <w:vAlign w:val="center"/>
          </w:tcPr>
          <w:p w14:paraId="72B243E1">
            <w:pPr>
              <w:jc w:val="center"/>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供</w:t>
            </w:r>
          </w:p>
          <w:p w14:paraId="51B895AC">
            <w:pPr>
              <w:jc w:val="center"/>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应</w:t>
            </w:r>
          </w:p>
          <w:p w14:paraId="62DBEC92">
            <w:pPr>
              <w:jc w:val="center"/>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商</w:t>
            </w:r>
          </w:p>
          <w:p w14:paraId="11614AE6">
            <w:pPr>
              <w:jc w:val="center"/>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申</w:t>
            </w:r>
          </w:p>
          <w:p w14:paraId="438994B0">
            <w:pPr>
              <w:jc w:val="center"/>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请</w:t>
            </w:r>
          </w:p>
        </w:tc>
        <w:tc>
          <w:tcPr>
            <w:tcW w:w="8009" w:type="dxa"/>
            <w:noWrap w:val="0"/>
            <w:vAlign w:val="center"/>
          </w:tcPr>
          <w:p w14:paraId="3B60B702">
            <w:pPr>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项目编号：</w:t>
            </w:r>
          </w:p>
        </w:tc>
      </w:tr>
      <w:tr w14:paraId="13292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817" w:type="dxa"/>
            <w:vMerge w:val="continue"/>
            <w:noWrap w:val="0"/>
            <w:vAlign w:val="center"/>
          </w:tcPr>
          <w:p w14:paraId="223863B6">
            <w:pPr>
              <w:rPr>
                <w:rFonts w:hint="eastAsia" w:ascii="Times New Roman" w:hAnsi="Times New Roman" w:eastAsia="宋体" w:cs="Times New Roman"/>
                <w:color w:val="auto"/>
                <w:sz w:val="24"/>
                <w:highlight w:val="none"/>
              </w:rPr>
            </w:pPr>
          </w:p>
        </w:tc>
        <w:tc>
          <w:tcPr>
            <w:tcW w:w="8009" w:type="dxa"/>
            <w:noWrap w:val="0"/>
            <w:vAlign w:val="center"/>
          </w:tcPr>
          <w:p w14:paraId="5C9BD997">
            <w:pPr>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项目名称：</w:t>
            </w:r>
          </w:p>
        </w:tc>
      </w:tr>
      <w:tr w14:paraId="479E4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7" w:type="dxa"/>
            <w:vMerge w:val="continue"/>
            <w:noWrap w:val="0"/>
            <w:vAlign w:val="top"/>
          </w:tcPr>
          <w:p w14:paraId="52104E76">
            <w:pPr>
              <w:rPr>
                <w:rFonts w:hint="eastAsia" w:ascii="Times New Roman" w:hAnsi="Times New Roman" w:eastAsia="宋体" w:cs="Times New Roman"/>
                <w:color w:val="auto"/>
                <w:sz w:val="24"/>
                <w:highlight w:val="none"/>
              </w:rPr>
            </w:pPr>
          </w:p>
        </w:tc>
        <w:tc>
          <w:tcPr>
            <w:tcW w:w="8009" w:type="dxa"/>
            <w:noWrap w:val="0"/>
            <w:vAlign w:val="top"/>
          </w:tcPr>
          <w:p w14:paraId="24CA761C">
            <w:pPr>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 xml:space="preserve">  </w:t>
            </w:r>
          </w:p>
          <w:p w14:paraId="07C6FEAE">
            <w:pPr>
              <w:ind w:firstLine="480" w:firstLineChars="200"/>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该项目已于</w:t>
            </w:r>
            <w:r>
              <w:rPr>
                <w:rFonts w:hint="eastAsia" w:ascii="Times New Roman" w:hAnsi="Times New Roman" w:eastAsia="宋体" w:cs="Times New Roman"/>
                <w:color w:val="auto"/>
                <w:sz w:val="24"/>
                <w:highlight w:val="none"/>
                <w:u w:val="single"/>
              </w:rPr>
              <w:t xml:space="preserve">       </w:t>
            </w:r>
            <w:r>
              <w:rPr>
                <w:rFonts w:hint="eastAsia" w:ascii="Times New Roman" w:hAnsi="Times New Roman" w:eastAsia="宋体" w:cs="Times New Roman"/>
                <w:color w:val="auto"/>
                <w:sz w:val="24"/>
                <w:highlight w:val="none"/>
              </w:rPr>
              <w:t>年</w:t>
            </w:r>
            <w:r>
              <w:rPr>
                <w:rFonts w:hint="eastAsia" w:ascii="Times New Roman" w:hAnsi="Times New Roman" w:eastAsia="宋体" w:cs="Times New Roman"/>
                <w:color w:val="auto"/>
                <w:sz w:val="24"/>
                <w:highlight w:val="none"/>
                <w:u w:val="single"/>
              </w:rPr>
              <w:t xml:space="preserve">     </w:t>
            </w:r>
            <w:r>
              <w:rPr>
                <w:rFonts w:hint="eastAsia" w:ascii="Times New Roman" w:hAnsi="Times New Roman" w:eastAsia="宋体" w:cs="Times New Roman"/>
                <w:color w:val="auto"/>
                <w:sz w:val="24"/>
                <w:highlight w:val="none"/>
              </w:rPr>
              <w:t>月</w:t>
            </w:r>
            <w:r>
              <w:rPr>
                <w:rFonts w:hint="eastAsia" w:ascii="Times New Roman" w:hAnsi="Times New Roman" w:eastAsia="宋体" w:cs="Times New Roman"/>
                <w:color w:val="auto"/>
                <w:sz w:val="24"/>
                <w:highlight w:val="none"/>
                <w:u w:val="single"/>
              </w:rPr>
              <w:t xml:space="preserve">     </w:t>
            </w:r>
            <w:r>
              <w:rPr>
                <w:rFonts w:hint="eastAsia" w:ascii="Times New Roman" w:hAnsi="Times New Roman" w:eastAsia="宋体" w:cs="Times New Roman"/>
                <w:color w:val="auto"/>
                <w:sz w:val="24"/>
                <w:highlight w:val="none"/>
              </w:rPr>
              <w:t>日</w:t>
            </w:r>
            <w:r>
              <w:rPr>
                <w:rFonts w:hint="eastAsia" w:ascii="Times New Roman" w:hAnsi="Times New Roman" w:eastAsia="宋体" w:cs="Times New Roman"/>
                <w:color w:val="auto"/>
                <w:sz w:val="24"/>
                <w:highlight w:val="none"/>
                <w:lang w:eastAsia="zh-CN"/>
              </w:rPr>
              <w:t>经</w:t>
            </w:r>
            <w:r>
              <w:rPr>
                <w:rFonts w:hint="eastAsia" w:ascii="Times New Roman" w:hAnsi="Times New Roman" w:eastAsia="宋体" w:cs="Times New Roman"/>
                <w:color w:val="auto"/>
                <w:sz w:val="24"/>
                <w:highlight w:val="none"/>
              </w:rPr>
              <w:t>验收</w:t>
            </w:r>
            <w:r>
              <w:rPr>
                <w:rFonts w:hint="eastAsia" w:ascii="Times New Roman" w:hAnsi="Times New Roman" w:eastAsia="宋体" w:cs="Times New Roman"/>
                <w:color w:val="auto"/>
                <w:sz w:val="24"/>
                <w:highlight w:val="none"/>
                <w:lang w:eastAsia="zh-CN"/>
              </w:rPr>
              <w:t>合格</w:t>
            </w:r>
            <w:r>
              <w:rPr>
                <w:rFonts w:hint="eastAsia" w:ascii="Times New Roman" w:hAnsi="Times New Roman" w:eastAsia="宋体" w:cs="Times New Roman"/>
                <w:color w:val="auto"/>
                <w:sz w:val="24"/>
                <w:highlight w:val="none"/>
              </w:rPr>
              <w:t>。根据合同规定，</w:t>
            </w:r>
            <w:r>
              <w:rPr>
                <w:rFonts w:hint="eastAsia" w:ascii="Times New Roman" w:hAnsi="Times New Roman" w:eastAsia="宋体" w:cs="Times New Roman"/>
                <w:color w:val="auto"/>
                <w:sz w:val="24"/>
                <w:highlight w:val="none"/>
                <w:lang w:eastAsia="zh-CN"/>
              </w:rPr>
              <w:t>成交人</w:t>
            </w:r>
            <w:r>
              <w:rPr>
                <w:rFonts w:hint="eastAsia" w:ascii="Times New Roman" w:hAnsi="Times New Roman" w:eastAsia="宋体" w:cs="Times New Roman"/>
                <w:color w:val="auto"/>
                <w:sz w:val="24"/>
                <w:highlight w:val="none"/>
              </w:rPr>
              <w:t>按磋商文件、响应文件、本合同约定或采购人要求完成全部服务内容，服务期限届满，服务成果经采购人全部验收合格且成交人无违约情形的，</w:t>
            </w:r>
            <w:r>
              <w:rPr>
                <w:rFonts w:hint="eastAsia" w:ascii="Times New Roman" w:hAnsi="Times New Roman" w:eastAsia="宋体" w:cs="Times New Roman"/>
                <w:color w:val="auto"/>
                <w:sz w:val="24"/>
                <w:highlight w:val="none"/>
                <w:lang w:eastAsia="zh-CN"/>
              </w:rPr>
              <w:t>可申请退回履约保证金。</w:t>
            </w:r>
            <w:r>
              <w:rPr>
                <w:rFonts w:hint="eastAsia" w:ascii="Times New Roman" w:hAnsi="Times New Roman" w:eastAsia="宋体" w:cs="Times New Roman"/>
                <w:color w:val="auto"/>
                <w:sz w:val="24"/>
                <w:highlight w:val="none"/>
              </w:rPr>
              <w:t>请将履约保证金</w:t>
            </w:r>
          </w:p>
          <w:p w14:paraId="4C3B83AE">
            <w:pPr>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（大写）</w:t>
            </w:r>
            <w:r>
              <w:rPr>
                <w:rFonts w:hint="eastAsia" w:ascii="Times New Roman" w:hAnsi="Times New Roman" w:eastAsia="宋体" w:cs="Times New Roman"/>
                <w:color w:val="auto"/>
                <w:sz w:val="24"/>
                <w:highlight w:val="none"/>
                <w:u w:val="single"/>
                <w:lang w:eastAsia="zh-CN"/>
              </w:rPr>
              <w:t>人民币</w:t>
            </w:r>
            <w:r>
              <w:rPr>
                <w:rFonts w:hint="eastAsia" w:ascii="Times New Roman" w:hAnsi="Times New Roman" w:eastAsia="宋体" w:cs="Times New Roman"/>
                <w:color w:val="auto"/>
                <w:sz w:val="24"/>
                <w:highlight w:val="none"/>
                <w:u w:val="single"/>
              </w:rPr>
              <w:t xml:space="preserve">                            </w:t>
            </w:r>
            <w:r>
              <w:rPr>
                <w:rFonts w:hint="eastAsia" w:ascii="Times New Roman" w:hAnsi="Times New Roman" w:eastAsia="宋体" w:cs="Times New Roman"/>
                <w:color w:val="auto"/>
                <w:sz w:val="24"/>
                <w:highlight w:val="none"/>
              </w:rPr>
              <w:t>（小写）¥</w:t>
            </w:r>
            <w:r>
              <w:rPr>
                <w:rFonts w:hint="eastAsia" w:ascii="Times New Roman" w:hAnsi="Times New Roman" w:eastAsia="宋体" w:cs="Times New Roman"/>
                <w:color w:val="auto"/>
                <w:sz w:val="24"/>
                <w:highlight w:val="none"/>
                <w:u w:val="single"/>
              </w:rPr>
              <w:t xml:space="preserve">          </w:t>
            </w:r>
            <w:r>
              <w:rPr>
                <w:rFonts w:hint="eastAsia" w:ascii="Times New Roman" w:hAnsi="Times New Roman" w:eastAsia="宋体" w:cs="Times New Roman"/>
                <w:color w:val="auto"/>
                <w:sz w:val="24"/>
                <w:highlight w:val="none"/>
              </w:rPr>
              <w:t>退付到达以下</w:t>
            </w:r>
            <w:r>
              <w:rPr>
                <w:rFonts w:hint="eastAsia" w:ascii="Times New Roman" w:hAnsi="Times New Roman" w:eastAsia="宋体" w:cs="Times New Roman"/>
                <w:color w:val="auto"/>
                <w:sz w:val="24"/>
                <w:highlight w:val="none"/>
                <w:lang w:eastAsia="zh-CN"/>
              </w:rPr>
              <w:t>账</w:t>
            </w:r>
            <w:r>
              <w:rPr>
                <w:rFonts w:hint="eastAsia" w:ascii="Times New Roman" w:hAnsi="Times New Roman" w:eastAsia="宋体" w:cs="Times New Roman"/>
                <w:color w:val="auto"/>
                <w:sz w:val="24"/>
                <w:highlight w:val="none"/>
              </w:rPr>
              <w:t>户。</w:t>
            </w:r>
          </w:p>
          <w:p w14:paraId="602EB8AA">
            <w:pPr>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单位名称：</w:t>
            </w:r>
          </w:p>
          <w:p w14:paraId="080D89C5">
            <w:pPr>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开户银行：</w:t>
            </w:r>
          </w:p>
          <w:p w14:paraId="6D8717EA">
            <w:pPr>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eastAsia="zh-CN"/>
              </w:rPr>
              <w:t>账</w:t>
            </w:r>
            <w:r>
              <w:rPr>
                <w:rFonts w:hint="eastAsia" w:ascii="Times New Roman" w:hAnsi="Times New Roman" w:eastAsia="宋体" w:cs="Times New Roman"/>
                <w:color w:val="auto"/>
                <w:sz w:val="24"/>
                <w:highlight w:val="none"/>
              </w:rPr>
              <w:t xml:space="preserve">    号：</w:t>
            </w:r>
          </w:p>
          <w:p w14:paraId="2D08891B">
            <w:pPr>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联系人及电话：</w:t>
            </w:r>
          </w:p>
          <w:p w14:paraId="52D86E93">
            <w:pPr>
              <w:rPr>
                <w:rFonts w:hint="eastAsia" w:ascii="Times New Roman" w:hAnsi="Times New Roman" w:eastAsia="宋体" w:cs="Times New Roman"/>
                <w:color w:val="auto"/>
                <w:sz w:val="24"/>
                <w:highlight w:val="none"/>
              </w:rPr>
            </w:pPr>
          </w:p>
          <w:p w14:paraId="059B5681">
            <w:pPr>
              <w:jc w:val="center"/>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 xml:space="preserve">                           供应商签章：</w:t>
            </w:r>
          </w:p>
          <w:p w14:paraId="24DBBF62">
            <w:pPr>
              <w:jc w:val="center"/>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 xml:space="preserve">                                                年    月    日</w:t>
            </w:r>
          </w:p>
        </w:tc>
      </w:tr>
      <w:tr w14:paraId="7B0F0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jc w:val="center"/>
        </w:trPr>
        <w:tc>
          <w:tcPr>
            <w:tcW w:w="817" w:type="dxa"/>
            <w:noWrap w:val="0"/>
            <w:vAlign w:val="center"/>
          </w:tcPr>
          <w:p w14:paraId="700FEE19">
            <w:pPr>
              <w:jc w:val="center"/>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采</w:t>
            </w:r>
          </w:p>
          <w:p w14:paraId="52177DD9">
            <w:pPr>
              <w:jc w:val="center"/>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购</w:t>
            </w:r>
          </w:p>
          <w:p w14:paraId="08C24158">
            <w:pPr>
              <w:jc w:val="center"/>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单</w:t>
            </w:r>
          </w:p>
          <w:p w14:paraId="7DF89794">
            <w:pPr>
              <w:jc w:val="center"/>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位</w:t>
            </w:r>
          </w:p>
          <w:p w14:paraId="7D05FFFE">
            <w:pPr>
              <w:jc w:val="center"/>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意</w:t>
            </w:r>
          </w:p>
          <w:p w14:paraId="097BCF2F">
            <w:pPr>
              <w:jc w:val="center"/>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见</w:t>
            </w:r>
          </w:p>
        </w:tc>
        <w:tc>
          <w:tcPr>
            <w:tcW w:w="8009" w:type="dxa"/>
            <w:noWrap w:val="0"/>
            <w:vAlign w:val="top"/>
          </w:tcPr>
          <w:p w14:paraId="6A56B277">
            <w:pPr>
              <w:rPr>
                <w:rFonts w:hint="eastAsia" w:ascii="Times New Roman" w:hAnsi="Times New Roman" w:eastAsia="宋体" w:cs="Times New Roman"/>
                <w:color w:val="auto"/>
                <w:sz w:val="24"/>
                <w:highlight w:val="none"/>
              </w:rPr>
            </w:pPr>
          </w:p>
          <w:p w14:paraId="0EC1DE15">
            <w:pPr>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退付意见：是否同意退付履约保证金及退付金额：</w:t>
            </w:r>
          </w:p>
          <w:p w14:paraId="7F8ED151">
            <w:pPr>
              <w:rPr>
                <w:rFonts w:hint="eastAsia" w:ascii="Times New Roman" w:hAnsi="Times New Roman" w:eastAsia="宋体" w:cs="Times New Roman"/>
                <w:color w:val="auto"/>
                <w:sz w:val="24"/>
                <w:highlight w:val="none"/>
              </w:rPr>
            </w:pPr>
          </w:p>
          <w:p w14:paraId="5A4DFA92">
            <w:pPr>
              <w:rPr>
                <w:rFonts w:hint="eastAsia" w:ascii="Times New Roman" w:hAnsi="Times New Roman" w:eastAsia="宋体" w:cs="Times New Roman"/>
                <w:color w:val="auto"/>
                <w:sz w:val="24"/>
                <w:highlight w:val="none"/>
              </w:rPr>
            </w:pPr>
          </w:p>
          <w:p w14:paraId="23BA3249">
            <w:pPr>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 xml:space="preserve">联系人及电话：                                </w:t>
            </w:r>
          </w:p>
          <w:p w14:paraId="37FC32B4">
            <w:pPr>
              <w:rPr>
                <w:rFonts w:hint="eastAsia" w:ascii="Times New Roman" w:hAnsi="Times New Roman" w:eastAsia="宋体" w:cs="Times New Roman"/>
                <w:color w:val="auto"/>
                <w:sz w:val="24"/>
                <w:highlight w:val="none"/>
              </w:rPr>
            </w:pPr>
          </w:p>
          <w:p w14:paraId="74D6DC4C">
            <w:pPr>
              <w:ind w:firstLine="4560" w:firstLineChars="1900"/>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 xml:space="preserve"> 采购人签章：</w:t>
            </w:r>
          </w:p>
          <w:p w14:paraId="08D410A8">
            <w:pPr>
              <w:jc w:val="center"/>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 xml:space="preserve">                                                年    月    日</w:t>
            </w:r>
          </w:p>
        </w:tc>
      </w:tr>
      <w:tr w14:paraId="644C8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817" w:type="dxa"/>
            <w:noWrap w:val="0"/>
            <w:vAlign w:val="center"/>
          </w:tcPr>
          <w:p w14:paraId="75767AD2">
            <w:pPr>
              <w:jc w:val="center"/>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备注</w:t>
            </w:r>
          </w:p>
        </w:tc>
        <w:tc>
          <w:tcPr>
            <w:tcW w:w="8009" w:type="dxa"/>
            <w:noWrap w:val="0"/>
            <w:vAlign w:val="top"/>
          </w:tcPr>
          <w:p w14:paraId="1738FEB9">
            <w:pPr>
              <w:rPr>
                <w:rFonts w:hint="eastAsia" w:ascii="Times New Roman" w:hAnsi="Times New Roman" w:eastAsia="宋体" w:cs="Times New Roman"/>
                <w:color w:val="auto"/>
                <w:sz w:val="24"/>
                <w:highlight w:val="none"/>
              </w:rPr>
            </w:pPr>
          </w:p>
        </w:tc>
      </w:tr>
    </w:tbl>
    <w:p w14:paraId="1EC4B13F">
      <w:pPr>
        <w:widowControl w:val="0"/>
        <w:spacing w:after="120"/>
        <w:ind w:left="1" w:firstLine="2" w:firstLineChars="1"/>
        <w:jc w:val="both"/>
        <w:rPr>
          <w:rFonts w:hint="eastAsia" w:ascii="宋体" w:hAnsi="Times New Roman" w:eastAsia="宋体" w:cs="Times New Roman"/>
          <w:b/>
          <w:bCs/>
          <w:color w:val="auto"/>
          <w:kern w:val="2"/>
          <w:sz w:val="18"/>
          <w:szCs w:val="18"/>
          <w:highlight w:val="none"/>
          <w:lang w:val="en-US" w:eastAsia="zh-CN" w:bidi="ar-SA"/>
        </w:rPr>
      </w:pPr>
    </w:p>
    <w:p w14:paraId="7772294F">
      <w:pPr>
        <w:widowControl w:val="0"/>
        <w:spacing w:after="120"/>
        <w:ind w:left="1" w:firstLine="2" w:firstLineChars="1"/>
        <w:jc w:val="both"/>
        <w:rPr>
          <w:color w:val="auto"/>
          <w:highlight w:val="none"/>
        </w:rPr>
      </w:pPr>
      <w:r>
        <w:rPr>
          <w:rFonts w:hint="eastAsia" w:ascii="宋体" w:hAnsi="Times New Roman" w:eastAsia="宋体" w:cs="Times New Roman"/>
          <w:b/>
          <w:bCs/>
          <w:color w:val="auto"/>
          <w:kern w:val="2"/>
          <w:sz w:val="18"/>
          <w:szCs w:val="18"/>
          <w:highlight w:val="none"/>
          <w:lang w:val="en-US" w:eastAsia="zh-CN" w:bidi="ar-SA"/>
        </w:rPr>
        <w:t>　　　注：供应商凭经采购人审批的退付意见书到履约保证金收取单位财务部门办理履约保证金退付事宜。</w:t>
      </w:r>
    </w:p>
    <w:p w14:paraId="1464E3B4">
      <w:pPr>
        <w:shd w:val="clear" w:color="auto" w:fill="FFFFFF"/>
        <w:spacing w:line="360" w:lineRule="auto"/>
        <w:ind w:firstLine="2349" w:firstLineChars="1300"/>
        <w:jc w:val="left"/>
        <w:rPr>
          <w:color w:val="auto"/>
          <w:sz w:val="24"/>
          <w:highlight w:val="none"/>
        </w:rPr>
      </w:pPr>
      <w:r>
        <w:rPr>
          <w:rFonts w:hint="eastAsia" w:ascii="宋体"/>
          <w:b/>
          <w:bCs/>
          <w:color w:val="auto"/>
          <w:sz w:val="18"/>
          <w:szCs w:val="18"/>
          <w:highlight w:val="none"/>
        </w:rPr>
        <w:br w:type="page"/>
      </w:r>
    </w:p>
    <w:p w14:paraId="391DDEC6">
      <w:pPr>
        <w:pStyle w:val="2"/>
        <w:jc w:val="center"/>
        <w:rPr>
          <w:b w:val="0"/>
          <w:bCs w:val="0"/>
          <w:color w:val="auto"/>
          <w:highlight w:val="none"/>
        </w:rPr>
      </w:pPr>
      <w:bookmarkStart w:id="155" w:name="_Toc9343"/>
      <w:bookmarkStart w:id="156" w:name="_Toc15161"/>
      <w:bookmarkStart w:id="157" w:name="_Toc24786"/>
      <w:bookmarkStart w:id="158" w:name="_Toc15154"/>
      <w:bookmarkStart w:id="159" w:name="_Toc4005"/>
      <w:bookmarkStart w:id="160" w:name="_Toc80886947"/>
      <w:bookmarkStart w:id="161" w:name="_Toc18676"/>
      <w:bookmarkStart w:id="162" w:name="_Toc12748"/>
    </w:p>
    <w:p w14:paraId="01785E2D">
      <w:pPr>
        <w:pStyle w:val="2"/>
        <w:jc w:val="center"/>
        <w:rPr>
          <w:b w:val="0"/>
          <w:bCs w:val="0"/>
          <w:color w:val="auto"/>
          <w:highlight w:val="none"/>
        </w:rPr>
      </w:pPr>
    </w:p>
    <w:p w14:paraId="2C617A62">
      <w:pPr>
        <w:pStyle w:val="2"/>
        <w:jc w:val="center"/>
        <w:rPr>
          <w:b w:val="0"/>
          <w:bCs w:val="0"/>
          <w:color w:val="auto"/>
          <w:highlight w:val="none"/>
        </w:rPr>
      </w:pPr>
    </w:p>
    <w:p w14:paraId="3830C561">
      <w:pPr>
        <w:pStyle w:val="2"/>
        <w:jc w:val="center"/>
        <w:rPr>
          <w:b w:val="0"/>
          <w:bCs w:val="0"/>
          <w:color w:val="auto"/>
          <w:highlight w:val="none"/>
        </w:rPr>
      </w:pPr>
      <w:r>
        <w:rPr>
          <w:rFonts w:hint="eastAsia"/>
          <w:b w:val="0"/>
          <w:bCs w:val="0"/>
          <w:color w:val="auto"/>
          <w:highlight w:val="none"/>
        </w:rPr>
        <w:t xml:space="preserve">第六章 </w:t>
      </w:r>
      <w:r>
        <w:rPr>
          <w:b w:val="0"/>
          <w:bCs w:val="0"/>
          <w:color w:val="auto"/>
          <w:highlight w:val="none"/>
        </w:rPr>
        <w:t xml:space="preserve"> </w:t>
      </w:r>
      <w:r>
        <w:rPr>
          <w:rFonts w:hint="eastAsia"/>
          <w:b w:val="0"/>
          <w:bCs w:val="0"/>
          <w:color w:val="auto"/>
          <w:highlight w:val="none"/>
        </w:rPr>
        <w:t>合同文本</w:t>
      </w:r>
      <w:bookmarkEnd w:id="155"/>
      <w:bookmarkEnd w:id="156"/>
      <w:bookmarkEnd w:id="157"/>
      <w:bookmarkEnd w:id="158"/>
      <w:bookmarkEnd w:id="159"/>
      <w:bookmarkEnd w:id="160"/>
      <w:bookmarkEnd w:id="161"/>
    </w:p>
    <w:p w14:paraId="46489A86">
      <w:pPr>
        <w:snapToGrid w:val="0"/>
        <w:rPr>
          <w:rFonts w:ascii="宋体" w:hAnsi="宋体" w:cs="宋体"/>
          <w:b/>
          <w:bCs/>
          <w:color w:val="auto"/>
          <w:sz w:val="32"/>
          <w:szCs w:val="32"/>
          <w:highlight w:val="none"/>
        </w:rPr>
      </w:pPr>
      <w:r>
        <w:rPr>
          <w:b/>
          <w:bCs/>
          <w:color w:val="auto"/>
          <w:highlight w:val="none"/>
        </w:rPr>
        <w:br w:type="page"/>
      </w:r>
      <w:bookmarkEnd w:id="162"/>
    </w:p>
    <w:p w14:paraId="44F6A4BF">
      <w:pPr>
        <w:snapToGrid w:val="0"/>
        <w:spacing w:line="480" w:lineRule="exact"/>
        <w:jc w:val="center"/>
        <w:rPr>
          <w:rFonts w:ascii="宋体" w:hAnsi="宋体"/>
          <w:b/>
          <w:bCs/>
          <w:color w:val="auto"/>
          <w:sz w:val="32"/>
          <w:szCs w:val="32"/>
          <w:highlight w:val="none"/>
        </w:rPr>
      </w:pPr>
    </w:p>
    <w:p w14:paraId="5BF685E5">
      <w:pPr>
        <w:snapToGrid w:val="0"/>
        <w:spacing w:line="400" w:lineRule="exact"/>
        <w:jc w:val="center"/>
        <w:rPr>
          <w:rFonts w:hint="eastAsia" w:ascii="宋体" w:hAnsi="宋体" w:eastAsia="宋体" w:cs="宋体"/>
          <w:color w:val="auto"/>
          <w:highlight w:val="none"/>
          <w:lang w:eastAsia="zh-CN"/>
        </w:rPr>
      </w:pPr>
      <w:r>
        <w:rPr>
          <w:rFonts w:hint="eastAsia" w:ascii="宋体" w:hAnsi="宋体" w:eastAsia="宋体" w:cs="宋体"/>
          <w:b/>
          <w:bCs/>
          <w:color w:val="auto"/>
          <w:sz w:val="32"/>
          <w:szCs w:val="32"/>
          <w:highlight w:val="none"/>
        </w:rPr>
        <w:t>《广西壮族自治区政府采购合同》</w:t>
      </w:r>
      <w:r>
        <w:rPr>
          <w:rFonts w:hint="eastAsia" w:ascii="宋体" w:hAnsi="宋体" w:eastAsia="宋体" w:cs="宋体"/>
          <w:b/>
          <w:color w:val="auto"/>
          <w:sz w:val="32"/>
          <w:szCs w:val="32"/>
          <w:highlight w:val="none"/>
        </w:rPr>
        <w:t>文本</w:t>
      </w:r>
    </w:p>
    <w:p w14:paraId="0D0136D4">
      <w:pPr>
        <w:spacing w:line="520" w:lineRule="exact"/>
        <w:rPr>
          <w:rFonts w:hint="eastAsia" w:ascii="宋体" w:hAnsi="宋体" w:eastAsia="宋体" w:cs="宋体"/>
          <w:b/>
          <w:color w:val="auto"/>
          <w:sz w:val="32"/>
          <w:szCs w:val="32"/>
          <w:highlight w:val="none"/>
        </w:rPr>
      </w:pPr>
    </w:p>
    <w:p w14:paraId="7393DDD3">
      <w:pPr>
        <w:spacing w:line="360" w:lineRule="auto"/>
        <w:ind w:right="800" w:firstLine="6090" w:firstLineChars="2900"/>
        <w:rPr>
          <w:rFonts w:hint="eastAsia" w:ascii="宋体" w:hAnsi="宋体" w:eastAsia="宋体" w:cs="宋体"/>
          <w:color w:val="auto"/>
          <w:szCs w:val="21"/>
          <w:highlight w:val="none"/>
          <w:u w:val="single"/>
        </w:rPr>
      </w:pPr>
      <w:r>
        <w:rPr>
          <w:rFonts w:hint="eastAsia" w:ascii="宋体" w:hAnsi="宋体" w:eastAsia="宋体" w:cs="宋体"/>
          <w:bCs/>
          <w:color w:val="auto"/>
          <w:szCs w:val="21"/>
          <w:highlight w:val="none"/>
        </w:rPr>
        <w:t>合同编号：</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14:paraId="45FEA6E6">
      <w:pPr>
        <w:spacing w:line="360" w:lineRule="auto"/>
        <w:ind w:right="800" w:firstLine="609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采购计划号：</w:t>
      </w:r>
      <w:r>
        <w:rPr>
          <w:rFonts w:hint="eastAsia" w:ascii="宋体" w:hAnsi="宋体" w:eastAsia="宋体" w:cs="宋体"/>
          <w:color w:val="auto"/>
          <w:szCs w:val="21"/>
          <w:highlight w:val="none"/>
          <w:u w:val="single"/>
        </w:rPr>
        <w:t xml:space="preserve">              </w:t>
      </w:r>
    </w:p>
    <w:p w14:paraId="6891530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采购人（甲方）：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14:paraId="306E00BD">
      <w:pPr>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（乙方）：</w:t>
      </w:r>
      <w:r>
        <w:rPr>
          <w:rFonts w:hint="eastAsia" w:ascii="宋体" w:hAnsi="宋体" w:eastAsia="宋体" w:cs="宋体"/>
          <w:color w:val="auto"/>
          <w:szCs w:val="21"/>
          <w:highlight w:val="none"/>
          <w:u w:val="single"/>
        </w:rPr>
        <w:t xml:space="preserve">                   </w:t>
      </w:r>
    </w:p>
    <w:p w14:paraId="2440DC5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14:paraId="59D3D924">
      <w:pPr>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14:paraId="5363CFB4">
      <w:pPr>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签订地点：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none"/>
          <w:lang w:val="en-US" w:eastAsia="zh-CN"/>
        </w:rPr>
        <w:t xml:space="preserve">                    </w:t>
      </w:r>
      <w:r>
        <w:rPr>
          <w:rFonts w:hint="eastAsia" w:ascii="宋体" w:hAnsi="宋体" w:eastAsia="宋体" w:cs="宋体"/>
          <w:color w:val="auto"/>
          <w:szCs w:val="21"/>
          <w:highlight w:val="none"/>
        </w:rPr>
        <w:t>签订时间：</w:t>
      </w:r>
      <w:r>
        <w:rPr>
          <w:rFonts w:hint="eastAsia" w:ascii="宋体" w:hAnsi="宋体" w:eastAsia="宋体" w:cs="宋体"/>
          <w:color w:val="auto"/>
          <w:szCs w:val="21"/>
          <w:highlight w:val="none"/>
          <w:u w:val="single"/>
        </w:rPr>
        <w:t xml:space="preserve">               </w:t>
      </w:r>
    </w:p>
    <w:p w14:paraId="61135A5D">
      <w:pPr>
        <w:spacing w:line="360" w:lineRule="auto"/>
        <w:rPr>
          <w:rFonts w:hint="eastAsia" w:ascii="宋体" w:hAnsi="宋体" w:eastAsia="宋体" w:cs="宋体"/>
          <w:color w:val="auto"/>
          <w:szCs w:val="21"/>
          <w:highlight w:val="none"/>
          <w:u w:val="single"/>
        </w:rPr>
      </w:pPr>
    </w:p>
    <w:p w14:paraId="2707D14B">
      <w:pPr>
        <w:spacing w:line="360" w:lineRule="auto"/>
        <w:ind w:firstLine="420" w:firstLineChars="200"/>
        <w:rPr>
          <w:rFonts w:hint="eastAsia" w:ascii="宋体" w:hAnsi="宋体" w:eastAsia="宋体" w:cs="宋体"/>
          <w:color w:val="auto"/>
          <w:szCs w:val="21"/>
          <w:highlight w:val="none"/>
        </w:rPr>
      </w:pPr>
    </w:p>
    <w:p w14:paraId="37FB52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根据《中华人民共和国政府采购法》、《中华人民共和国</w:t>
      </w:r>
      <w:r>
        <w:rPr>
          <w:rFonts w:hint="eastAsia" w:ascii="宋体" w:hAnsi="宋体" w:eastAsia="宋体" w:cs="宋体"/>
          <w:color w:val="auto"/>
          <w:szCs w:val="21"/>
          <w:highlight w:val="none"/>
          <w:lang w:eastAsia="zh-CN"/>
        </w:rPr>
        <w:t>民法典</w:t>
      </w:r>
      <w:r>
        <w:rPr>
          <w:rFonts w:hint="eastAsia" w:ascii="宋体" w:hAnsi="宋体" w:eastAsia="宋体" w:cs="宋体"/>
          <w:color w:val="auto"/>
          <w:szCs w:val="21"/>
          <w:highlight w:val="none"/>
        </w:rPr>
        <w:t>》等法律、法规规定，按照</w:t>
      </w:r>
      <w:r>
        <w:rPr>
          <w:rFonts w:hint="eastAsia" w:ascii="宋体" w:hAnsi="宋体" w:eastAsia="宋体" w:cs="宋体"/>
          <w:color w:val="auto"/>
          <w:szCs w:val="21"/>
          <w:highlight w:val="none"/>
          <w:lang w:val="en-US" w:eastAsia="zh-CN"/>
        </w:rPr>
        <w:t>竞争性</w:t>
      </w:r>
      <w:r>
        <w:rPr>
          <w:rFonts w:hint="eastAsia" w:ascii="宋体" w:hAnsi="宋体" w:eastAsia="宋体"/>
          <w:color w:val="auto"/>
          <w:szCs w:val="21"/>
          <w:highlight w:val="none"/>
        </w:rPr>
        <w:t>磋商文件规定条款和乙方响应文件及其承诺，甲乙双方签订本合同。</w:t>
      </w:r>
    </w:p>
    <w:p w14:paraId="4FCC38E3">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第一条　合同标的</w:t>
      </w:r>
    </w:p>
    <w:p w14:paraId="597B4EAE">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1.标的名称：</w:t>
      </w:r>
      <w:r>
        <w:rPr>
          <w:rFonts w:hint="eastAsia" w:ascii="宋体" w:hAnsi="宋体" w:eastAsia="宋体" w:cs="宋体"/>
          <w:color w:val="auto"/>
          <w:szCs w:val="21"/>
          <w:highlight w:val="none"/>
          <w:u w:val="single"/>
          <w:lang w:val="en-US" w:eastAsia="zh-CN"/>
        </w:rPr>
        <w:t xml:space="preserve">                                         </w:t>
      </w:r>
    </w:p>
    <w:p w14:paraId="1944576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2.合同总金额：</w:t>
      </w:r>
      <w:r>
        <w:rPr>
          <w:rFonts w:hint="eastAsia" w:ascii="宋体" w:hAnsi="宋体" w:eastAsia="宋体" w:cs="宋体"/>
          <w:color w:val="auto"/>
          <w:kern w:val="0"/>
          <w:szCs w:val="21"/>
          <w:highlight w:val="none"/>
        </w:rPr>
        <w:t>人民币</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03798FF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服务内容</w:t>
      </w:r>
      <w:r>
        <w:rPr>
          <w:rFonts w:hint="eastAsia" w:ascii="宋体" w:hAnsi="宋体" w:eastAsia="宋体" w:cs="宋体"/>
          <w:color w:val="auto"/>
          <w:szCs w:val="21"/>
          <w:highlight w:val="none"/>
        </w:rPr>
        <w:t>一览表</w:t>
      </w:r>
      <w:r>
        <w:rPr>
          <w:rFonts w:hint="eastAsia" w:ascii="宋体" w:hAnsi="宋体" w:eastAsia="宋体" w:cs="宋体"/>
          <w:color w:val="auto"/>
          <w:szCs w:val="21"/>
          <w:highlight w:val="none"/>
          <w:lang w:eastAsia="zh-CN"/>
        </w:rPr>
        <w:t>（详见附件中的响应报价表）</w:t>
      </w:r>
    </w:p>
    <w:p w14:paraId="5D2FA5F1">
      <w:pPr>
        <w:spacing w:line="360" w:lineRule="auto"/>
        <w:ind w:firstLine="420" w:firstLineChars="200"/>
        <w:rPr>
          <w:rFonts w:hint="eastAsia" w:ascii="宋体" w:hAnsi="宋体" w:eastAsia="宋体" w:cs="宋体"/>
          <w:b w:val="0"/>
          <w:bCs w:val="0"/>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合同</w:t>
      </w:r>
      <w:r>
        <w:rPr>
          <w:rFonts w:hint="eastAsia" w:ascii="宋体" w:hAnsi="宋体" w:eastAsia="宋体" w:cs="宋体"/>
          <w:color w:val="auto"/>
          <w:szCs w:val="21"/>
          <w:highlight w:val="none"/>
          <w:lang w:eastAsia="zh-CN"/>
        </w:rPr>
        <w:t>总</w:t>
      </w:r>
      <w:r>
        <w:rPr>
          <w:rFonts w:hint="eastAsia" w:ascii="宋体" w:hAnsi="宋体" w:eastAsia="宋体" w:cs="宋体"/>
          <w:color w:val="auto"/>
          <w:szCs w:val="21"/>
          <w:highlight w:val="none"/>
        </w:rPr>
        <w:t>金额包</w:t>
      </w:r>
      <w:r>
        <w:rPr>
          <w:rFonts w:hint="eastAsia" w:ascii="宋体" w:hAnsi="宋体" w:eastAsia="宋体" w:cs="宋体"/>
          <w:color w:val="auto"/>
          <w:szCs w:val="21"/>
          <w:highlight w:val="none"/>
          <w:lang w:eastAsia="zh-CN"/>
        </w:rPr>
        <w:t>含</w:t>
      </w:r>
      <w:r>
        <w:rPr>
          <w:rFonts w:hint="eastAsia" w:ascii="宋体" w:hAnsi="宋体" w:eastAsia="宋体" w:cs="宋体"/>
          <w:color w:val="auto"/>
          <w:szCs w:val="21"/>
          <w:highlight w:val="none"/>
        </w:rPr>
        <w:t>满足本次竞标全部采购需求所应提供的服务；包括</w:t>
      </w:r>
      <w:r>
        <w:rPr>
          <w:rFonts w:hint="eastAsia" w:ascii="宋体" w:hAnsi="宋体" w:eastAsia="宋体" w:cs="宋体"/>
          <w:color w:val="auto"/>
          <w:szCs w:val="21"/>
          <w:highlight w:val="none"/>
          <w:lang w:val="en-US" w:eastAsia="zh-CN"/>
        </w:rPr>
        <w:t>乙方</w:t>
      </w:r>
      <w:r>
        <w:rPr>
          <w:rFonts w:hint="eastAsia" w:ascii="宋体" w:hAnsi="宋体" w:eastAsia="宋体" w:cs="宋体"/>
          <w:color w:val="auto"/>
          <w:szCs w:val="21"/>
          <w:highlight w:val="none"/>
        </w:rPr>
        <w:t>完成本项目所需的一切工作内容而发生的所有直接费用、间接费用、其他费用、税金等全部费用和</w:t>
      </w:r>
      <w:r>
        <w:rPr>
          <w:rFonts w:hint="eastAsia" w:ascii="宋体" w:hAnsi="宋体" w:eastAsia="宋体" w:cs="宋体"/>
          <w:color w:val="auto"/>
          <w:szCs w:val="21"/>
          <w:highlight w:val="none"/>
          <w:lang w:val="en-US" w:eastAsia="zh-CN"/>
        </w:rPr>
        <w:t>乙方</w:t>
      </w:r>
      <w:r>
        <w:rPr>
          <w:rFonts w:hint="eastAsia" w:ascii="宋体" w:hAnsi="宋体" w:eastAsia="宋体" w:cs="宋体"/>
          <w:color w:val="auto"/>
          <w:szCs w:val="21"/>
          <w:highlight w:val="none"/>
        </w:rPr>
        <w:t>要求获得的利润以及应由</w:t>
      </w:r>
      <w:r>
        <w:rPr>
          <w:rFonts w:hint="eastAsia" w:ascii="宋体" w:hAnsi="宋体" w:eastAsia="宋体" w:cs="宋体"/>
          <w:color w:val="auto"/>
          <w:szCs w:val="21"/>
          <w:highlight w:val="none"/>
          <w:lang w:val="en-US" w:eastAsia="zh-CN"/>
        </w:rPr>
        <w:t>乙方</w:t>
      </w:r>
      <w:r>
        <w:rPr>
          <w:rFonts w:hint="eastAsia" w:ascii="宋体" w:hAnsi="宋体" w:eastAsia="宋体" w:cs="宋体"/>
          <w:color w:val="auto"/>
          <w:szCs w:val="21"/>
          <w:highlight w:val="none"/>
        </w:rPr>
        <w:t>承担的义务、责任和风险所发生的一切费用，</w:t>
      </w:r>
      <w:r>
        <w:rPr>
          <w:rFonts w:hint="eastAsia" w:ascii="宋体" w:hAnsi="宋体" w:eastAsia="宋体" w:cs="宋体"/>
          <w:color w:val="auto"/>
          <w:szCs w:val="21"/>
          <w:highlight w:val="none"/>
          <w:lang w:val="en-US" w:eastAsia="zh-CN"/>
        </w:rPr>
        <w:t>乙方</w:t>
      </w:r>
      <w:r>
        <w:rPr>
          <w:rFonts w:hint="eastAsia" w:ascii="宋体" w:hAnsi="宋体" w:eastAsia="宋体" w:cs="宋体"/>
          <w:color w:val="auto"/>
          <w:szCs w:val="21"/>
          <w:highlight w:val="none"/>
        </w:rPr>
        <w:t>承诺不再向甲方收取其他任何费用。</w:t>
      </w:r>
    </w:p>
    <w:p w14:paraId="19876002">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第二条　质量保证</w:t>
      </w:r>
    </w:p>
    <w:p w14:paraId="2B222243">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乙方所提供的服务及服务内容必须与响应文件承诺相一致，有国家强制性标准的，还必须符合国家强制性标准的规定，没有国家强制性标准但有</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强制性标准的，必须符合</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强制性标准的规定。</w:t>
      </w:r>
    </w:p>
    <w:p w14:paraId="61573839">
      <w:pP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第三条　权利保证</w:t>
      </w:r>
    </w:p>
    <w:p w14:paraId="250AD66B">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rPr>
        <w:t>乙方应保证所提供服务在使用时不会侵犯任何第三方的专利权、商标权、工业设计权等知识产权及</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合法权利，且所有权、处分权等没有受到任何限制。</w:t>
      </w:r>
    </w:p>
    <w:p w14:paraId="3D978143">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2.</w:t>
      </w:r>
      <w:r>
        <w:rPr>
          <w:rFonts w:hint="eastAsia" w:ascii="宋体" w:hAnsi="宋体" w:eastAsia="宋体" w:cs="宋体"/>
          <w:color w:val="auto"/>
          <w:szCs w:val="21"/>
          <w:highlight w:val="none"/>
        </w:rPr>
        <w:t>没有甲方事先书面同意，乙方不得将由甲方提供的有关合同或者任何合同条文、规格、计划、图纸、样品或者资料提供给</w:t>
      </w:r>
      <w:r>
        <w:rPr>
          <w:rFonts w:hint="eastAsia" w:ascii="宋体" w:hAnsi="宋体" w:eastAsia="宋体" w:cs="宋体"/>
          <w:color w:val="auto"/>
          <w:szCs w:val="21"/>
          <w:highlight w:val="none"/>
          <w:lang w:val="en-US" w:eastAsia="zh-CN"/>
        </w:rPr>
        <w:t>予</w:t>
      </w:r>
      <w:r>
        <w:rPr>
          <w:rFonts w:hint="eastAsia" w:ascii="宋体" w:hAnsi="宋体" w:eastAsia="宋体" w:cs="宋体"/>
          <w:color w:val="auto"/>
          <w:szCs w:val="21"/>
          <w:highlight w:val="none"/>
        </w:rPr>
        <w:t>履行本合同无关的任何</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人。即使向履行本合同有关的人员提供，也应注意保密并限于履行合同的必需范围。乙方的保密义务持续有效，不因为本合同履行终止、解除或者无效而解除。</w:t>
      </w:r>
    </w:p>
    <w:p w14:paraId="39265D3B">
      <w:pP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第四条　交付和验收</w:t>
      </w:r>
    </w:p>
    <w:p w14:paraId="2B8FC9D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1.服务期限</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lang w:val="en-US" w:eastAsia="zh-CN"/>
        </w:rPr>
        <w:t xml:space="preserve">自合同签订之日起 12个月 </w:t>
      </w:r>
      <w:r>
        <w:rPr>
          <w:rFonts w:hint="eastAsia" w:ascii="宋体" w:hAnsi="宋体" w:eastAsia="宋体" w:cs="宋体"/>
          <w:color w:val="auto"/>
          <w:szCs w:val="21"/>
          <w:highlight w:val="none"/>
        </w:rPr>
        <w:t>，服务地点：</w:t>
      </w:r>
      <w:r>
        <w:rPr>
          <w:rFonts w:hint="eastAsia" w:eastAsia="宋体"/>
          <w:color w:val="auto"/>
          <w:highlight w:val="none"/>
          <w:u w:val="single"/>
          <w:lang w:val="en-US" w:eastAsia="zh-CN"/>
        </w:rPr>
        <w:t>甲方指定地点</w:t>
      </w:r>
      <w:r>
        <w:rPr>
          <w:rFonts w:hint="eastAsia" w:ascii="宋体" w:hAnsi="宋体" w:eastAsia="宋体" w:cs="宋体"/>
          <w:color w:val="auto"/>
          <w:szCs w:val="21"/>
          <w:highlight w:val="none"/>
        </w:rPr>
        <w:t>。</w:t>
      </w:r>
    </w:p>
    <w:p w14:paraId="799912BA">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2.</w:t>
      </w:r>
      <w:r>
        <w:rPr>
          <w:rFonts w:hint="eastAsia" w:ascii="宋体" w:hAnsi="宋体" w:eastAsia="宋体" w:cs="宋体"/>
          <w:color w:val="auto"/>
          <w:szCs w:val="21"/>
          <w:highlight w:val="none"/>
        </w:rPr>
        <w:t>乙方应按响应文件的承诺向甲方提供相应的服务，并提供所服务内容的相关技术资料。</w:t>
      </w:r>
    </w:p>
    <w:p w14:paraId="24CCB1B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rPr>
        <w:t>乙方提供不符合响应文件和本合同规定的服务成果，甲方有权拒绝接受。</w:t>
      </w:r>
    </w:p>
    <w:p w14:paraId="07F6E15B">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lang w:eastAsia="zh-CN"/>
        </w:rPr>
        <w:t>4.</w:t>
      </w:r>
      <w:r>
        <w:rPr>
          <w:rFonts w:hint="eastAsia" w:ascii="宋体" w:hAnsi="宋体" w:eastAsia="宋体"/>
          <w:color w:val="auto"/>
          <w:szCs w:val="21"/>
          <w:highlight w:val="none"/>
        </w:rPr>
        <w:t>乙方完成服务后应及时书面通知甲方进行验收，甲方应在收到通知后</w:t>
      </w:r>
      <w:r>
        <w:rPr>
          <w:rFonts w:hint="eastAsia" w:ascii="宋体" w:hAnsi="宋体" w:eastAsia="宋体"/>
          <w:color w:val="auto"/>
          <w:szCs w:val="21"/>
          <w:highlight w:val="none"/>
          <w:lang w:val="en-US" w:eastAsia="zh-CN"/>
        </w:rPr>
        <w:t>七</w:t>
      </w:r>
      <w:r>
        <w:rPr>
          <w:rFonts w:hint="eastAsia" w:ascii="宋体" w:hAnsi="宋体" w:eastAsia="宋体"/>
          <w:color w:val="auto"/>
          <w:szCs w:val="21"/>
          <w:highlight w:val="none"/>
        </w:rPr>
        <w:t>个工作日内进行验收。</w:t>
      </w:r>
      <w:r>
        <w:rPr>
          <w:rFonts w:hint="eastAsia" w:ascii="宋体" w:hAnsi="宋体"/>
          <w:color w:val="auto"/>
          <w:szCs w:val="21"/>
          <w:highlight w:val="none"/>
          <w:lang w:eastAsia="zh-CN"/>
        </w:rPr>
        <w:t>验收核验内容及所需提供材料详见合同附件。</w:t>
      </w:r>
      <w:r>
        <w:rPr>
          <w:rFonts w:hint="eastAsia" w:ascii="宋体" w:hAnsi="宋体" w:eastAsia="宋体"/>
          <w:color w:val="auto"/>
          <w:szCs w:val="21"/>
          <w:highlight w:val="none"/>
        </w:rPr>
        <w:t>验收合格后由甲乙双方签署验收单并加盖</w:t>
      </w:r>
      <w:r>
        <w:rPr>
          <w:rFonts w:hint="eastAsia" w:ascii="宋体" w:hAnsi="宋体" w:eastAsia="宋体"/>
          <w:color w:val="auto"/>
          <w:szCs w:val="21"/>
          <w:highlight w:val="none"/>
          <w:lang w:eastAsia="zh-CN"/>
        </w:rPr>
        <w:t>甲方</w:t>
      </w:r>
      <w:r>
        <w:rPr>
          <w:rFonts w:hint="eastAsia" w:ascii="宋体" w:hAnsi="宋体" w:eastAsia="宋体"/>
          <w:color w:val="auto"/>
          <w:szCs w:val="21"/>
          <w:highlight w:val="none"/>
        </w:rPr>
        <w:t>公章，甲乙双方各执一份。</w:t>
      </w:r>
    </w:p>
    <w:p w14:paraId="27F02674">
      <w:pPr>
        <w:spacing w:line="360" w:lineRule="auto"/>
        <w:ind w:firstLine="420" w:firstLineChars="200"/>
        <w:rPr>
          <w:rFonts w:hint="eastAsia" w:ascii="宋体" w:hAnsi="宋体" w:eastAsia="宋体"/>
          <w:color w:val="auto"/>
          <w:szCs w:val="21"/>
          <w:highlight w:val="none"/>
        </w:rPr>
      </w:pP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甲乙双方应按照《</w:t>
      </w:r>
      <w:r>
        <w:rPr>
          <w:rFonts w:ascii="宋体" w:hAnsi="宋体" w:eastAsia="宋体" w:cs="宋体"/>
          <w:color w:val="auto"/>
          <w:szCs w:val="21"/>
          <w:highlight w:val="none"/>
        </w:rPr>
        <w:t>广西壮族自治区政府采购项目履约验收管理办法</w:t>
      </w:r>
      <w:r>
        <w:rPr>
          <w:rFonts w:hint="eastAsia" w:ascii="宋体" w:hAnsi="宋体" w:eastAsia="宋体" w:cs="宋体"/>
          <w:color w:val="auto"/>
          <w:szCs w:val="21"/>
          <w:highlight w:val="none"/>
        </w:rPr>
        <w:t>》、双方合同、响应文件验收。</w:t>
      </w:r>
    </w:p>
    <w:p w14:paraId="4ADB208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6.</w:t>
      </w:r>
      <w:r>
        <w:rPr>
          <w:rFonts w:hint="eastAsia" w:ascii="宋体" w:hAnsi="宋体" w:eastAsia="宋体" w:cs="宋体"/>
          <w:color w:val="auto"/>
          <w:szCs w:val="21"/>
          <w:highlight w:val="none"/>
        </w:rPr>
        <w:t>甲方在初步验收或者最终验收过程中如发现乙方提供的服务成果不满足响应文件及本合同规定的，可暂缓向乙方付款，直到乙方及时完善并提交相应的服务成果且经甲方验收合格后，方可办理付款。</w:t>
      </w:r>
    </w:p>
    <w:p w14:paraId="6CF48FA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7.</w:t>
      </w:r>
      <w:r>
        <w:rPr>
          <w:rFonts w:hint="eastAsia" w:ascii="宋体" w:hAnsi="宋体" w:eastAsia="宋体" w:cs="宋体"/>
          <w:color w:val="auto"/>
          <w:szCs w:val="21"/>
          <w:highlight w:val="none"/>
        </w:rPr>
        <w:t>甲方验收时以书面形式提出异议的，乙方应自收到甲方书面异议后五个工作日内及时予以解决，否则甲方有权不出具服务验收合格单。</w:t>
      </w:r>
    </w:p>
    <w:p w14:paraId="2E0412D1">
      <w:pPr>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第五条  服务及培训</w:t>
      </w:r>
    </w:p>
    <w:p w14:paraId="756FB2CB">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rPr>
        <w:t>乙方应按照国家有关法律法规和本合同</w:t>
      </w:r>
      <w:r>
        <w:rPr>
          <w:rFonts w:hint="eastAsia" w:ascii="宋体" w:hAnsi="宋体" w:eastAsia="宋体" w:cs="宋体"/>
          <w:color w:val="auto"/>
          <w:szCs w:val="21"/>
          <w:highlight w:val="none"/>
          <w:lang w:val="en-US" w:eastAsia="zh-CN"/>
        </w:rPr>
        <w:t>附件</w:t>
      </w:r>
      <w:r>
        <w:rPr>
          <w:rFonts w:hint="eastAsia" w:ascii="宋体" w:hAnsi="宋体" w:eastAsia="宋体" w:cs="宋体"/>
          <w:color w:val="auto"/>
          <w:szCs w:val="21"/>
          <w:highlight w:val="none"/>
        </w:rPr>
        <w:t>要求为甲方提供相应的服务。</w:t>
      </w:r>
    </w:p>
    <w:p w14:paraId="16CBA2C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2.</w:t>
      </w:r>
      <w:r>
        <w:rPr>
          <w:rFonts w:hint="eastAsia" w:ascii="宋体" w:hAnsi="宋体" w:eastAsia="宋体" w:cs="宋体"/>
          <w:color w:val="auto"/>
          <w:szCs w:val="21"/>
          <w:highlight w:val="none"/>
        </w:rPr>
        <w:t>甲方应提供必要测试条件（如场地、电源、水源等）。</w:t>
      </w:r>
    </w:p>
    <w:p w14:paraId="26C785E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rPr>
        <w:t>乙方负责甲方有关人员的培训。培训时间、地点：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eastAsia="zh-CN"/>
        </w:rPr>
        <w:t>根据甲方实际工作要求为准</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696B285B">
      <w:pPr>
        <w:snapToGrid w:val="0"/>
        <w:spacing w:line="360" w:lineRule="auto"/>
        <w:ind w:firstLine="422" w:firstLineChars="200"/>
        <w:rPr>
          <w:rFonts w:hint="eastAsia" w:ascii="宋体" w:hAnsi="宋体" w:eastAsia="宋体" w:cs="宋体"/>
          <w:color w:val="auto"/>
          <w:szCs w:val="21"/>
          <w:highlight w:val="none"/>
          <w:u w:val="single"/>
        </w:rPr>
      </w:pPr>
      <w:r>
        <w:rPr>
          <w:rFonts w:hint="eastAsia" w:ascii="宋体" w:hAnsi="宋体" w:eastAsia="宋体" w:cs="宋体"/>
          <w:b/>
          <w:color w:val="auto"/>
          <w:szCs w:val="21"/>
          <w:highlight w:val="none"/>
        </w:rPr>
        <w:t>第六条　付款方式</w:t>
      </w:r>
    </w:p>
    <w:p w14:paraId="4B20338E">
      <w:pPr>
        <w:snapToGrid w:val="0"/>
        <w:spacing w:line="360" w:lineRule="auto"/>
        <w:ind w:firstLine="420" w:firstLineChars="200"/>
        <w:rPr>
          <w:rFonts w:hint="eastAsia" w:hAnsi="宋体" w:eastAsia="宋体" w:cs="宋体"/>
          <w:i w:val="0"/>
          <w:iCs w:val="0"/>
          <w:color w:val="auto"/>
          <w:sz w:val="21"/>
          <w:highlight w:val="none"/>
        </w:rPr>
      </w:pPr>
      <w:r>
        <w:rPr>
          <w:rFonts w:hint="eastAsia" w:hAnsi="宋体" w:eastAsia="宋体" w:cs="宋体"/>
          <w:i w:val="0"/>
          <w:iCs w:val="0"/>
          <w:color w:val="auto"/>
          <w:sz w:val="21"/>
          <w:highlight w:val="none"/>
        </w:rPr>
        <w:t>合同签署生效后十个工作日以内，甲方向乙方支付合同总额的100%作为项目款。</w:t>
      </w:r>
    </w:p>
    <w:p w14:paraId="535BCF3D">
      <w:pPr>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第七条　履约保证金</w:t>
      </w:r>
    </w:p>
    <w:p w14:paraId="476E493E">
      <w:pPr>
        <w:spacing w:line="360" w:lineRule="auto"/>
        <w:ind w:firstLine="0" w:firstLineChars="0"/>
        <w:rPr>
          <w:rFonts w:hint="eastAsia" w:ascii="宋体" w:hAnsi="宋体" w:eastAsia="宋体" w:cs="宋体"/>
          <w:b/>
          <w:bCs/>
          <w:color w:val="auto"/>
          <w:szCs w:val="21"/>
          <w:highlight w:val="none"/>
          <w:lang w:eastAsia="zh-CN"/>
        </w:rPr>
      </w:pPr>
      <w:r>
        <w:rPr>
          <w:rFonts w:hint="eastAsia" w:ascii="宋体" w:hAnsi="宋体" w:eastAsia="宋体" w:cs="宋体"/>
          <w:color w:val="auto"/>
          <w:szCs w:val="21"/>
          <w:highlight w:val="none"/>
          <w:lang w:eastAsia="zh-CN"/>
        </w:rPr>
        <w:t>　　</w:t>
      </w:r>
      <w:r>
        <w:rPr>
          <w:rFonts w:hint="eastAsia" w:ascii="宋体" w:hAnsi="宋体" w:cs="宋体"/>
          <w:b/>
          <w:bCs/>
          <w:color w:val="auto"/>
          <w:szCs w:val="21"/>
          <w:highlight w:val="none"/>
          <w:lang w:val="en-US" w:eastAsia="zh-CN"/>
        </w:rPr>
        <w:t>1.</w:t>
      </w:r>
      <w:r>
        <w:rPr>
          <w:rFonts w:hint="eastAsia" w:ascii="宋体" w:hAnsi="宋体" w:eastAsia="宋体" w:cs="宋体"/>
          <w:b/>
          <w:bCs/>
          <w:color w:val="auto"/>
          <w:szCs w:val="21"/>
          <w:highlight w:val="none"/>
          <w:lang w:eastAsia="zh-CN"/>
        </w:rPr>
        <w:t>履约保证金金额：按项目成交总金额的2%收取。</w:t>
      </w:r>
    </w:p>
    <w:p w14:paraId="2F885E90">
      <w:pPr>
        <w:spacing w:line="360" w:lineRule="auto"/>
        <w:ind w:firstLine="422" w:firstLineChars="200"/>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eastAsia="zh-CN"/>
        </w:rPr>
        <w:t>2.履约保证金递交方式：成交人在签订合同前以银行转账、支票、汇票、本票或者金融机构、担保机构出具的保函等非现金方式向采购人提交。</w:t>
      </w:r>
    </w:p>
    <w:p w14:paraId="578AFD03">
      <w:pPr>
        <w:spacing w:line="360" w:lineRule="auto"/>
        <w:ind w:firstLine="422" w:firstLineChars="200"/>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eastAsia="zh-CN"/>
        </w:rPr>
        <w:t>3.履约保证金退付方式、时间及条件：成交人按磋商文件、响应文件、本合同约定或采购人要求完成全部服务内容，服务期限届满，服务成果经采购人全部验收合格且成交人无违约情形的，由成交人向采购人提供审签完成的《广西壮族自治区政府采购项目合同验收书》（格式见详见第五章，规定详见桂财采〔2015〕22号）及《政府采购项目履约保证金退付意见书》（格式见详见第五章），采购人在收到成交人的申请材料，并审核材料合格后5个工作日内办理退还手续（不计利息）。</w:t>
      </w:r>
    </w:p>
    <w:p w14:paraId="6A6BF366">
      <w:pPr>
        <w:spacing w:line="360" w:lineRule="auto"/>
        <w:ind w:firstLine="422" w:firstLineChars="200"/>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eastAsia="zh-CN"/>
        </w:rPr>
        <w:t>4.缴纳履约保证金的指定账户：</w:t>
      </w:r>
    </w:p>
    <w:p w14:paraId="5A027DCF">
      <w:pPr>
        <w:spacing w:line="360" w:lineRule="auto"/>
        <w:ind w:firstLine="422" w:firstLineChars="200"/>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eastAsia="zh-CN"/>
        </w:rPr>
        <w:t>开户名称：广西信访信息中心</w:t>
      </w:r>
    </w:p>
    <w:p w14:paraId="6D8AB8EA">
      <w:pPr>
        <w:spacing w:line="360" w:lineRule="auto"/>
        <w:ind w:firstLine="422" w:firstLineChars="200"/>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eastAsia="zh-CN"/>
        </w:rPr>
        <w:t>开户银行：建行南宁新城支行</w:t>
      </w:r>
    </w:p>
    <w:p w14:paraId="70619D53">
      <w:pPr>
        <w:spacing w:line="360" w:lineRule="auto"/>
        <w:ind w:firstLine="422" w:firstLineChars="200"/>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eastAsia="zh-CN"/>
        </w:rPr>
        <w:t>银行账号：45050160425500000535</w:t>
      </w:r>
    </w:p>
    <w:p w14:paraId="06E0259A">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第八条  税费</w:t>
      </w:r>
    </w:p>
    <w:p w14:paraId="569C6C8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本合同执行中相关的一切税费均由乙方负担，合同另有约定的除外。</w:t>
      </w:r>
    </w:p>
    <w:p w14:paraId="60F956BA">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第九条　违约责任</w:t>
      </w:r>
    </w:p>
    <w:p w14:paraId="005051C1">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olor w:val="auto"/>
          <w:szCs w:val="21"/>
          <w:highlight w:val="none"/>
          <w:lang w:eastAsia="zh-CN"/>
        </w:rPr>
        <w:t>1.</w:t>
      </w:r>
      <w:r>
        <w:rPr>
          <w:rFonts w:hint="eastAsia" w:ascii="宋体" w:hAnsi="宋体" w:eastAsia="宋体"/>
          <w:color w:val="auto"/>
          <w:szCs w:val="21"/>
          <w:highlight w:val="none"/>
        </w:rPr>
        <w:t>除不可抗力原因外，乙方没有按照合同规定的时间提供服务的，甲方可要求乙方支付违约金。每推迟一天按合同</w:t>
      </w:r>
      <w:r>
        <w:rPr>
          <w:rFonts w:hint="eastAsia" w:ascii="宋体" w:hAnsi="宋体" w:eastAsia="宋体"/>
          <w:color w:val="auto"/>
          <w:szCs w:val="21"/>
          <w:highlight w:val="none"/>
          <w:lang w:eastAsia="zh-CN"/>
        </w:rPr>
        <w:t>总</w:t>
      </w:r>
      <w:r>
        <w:rPr>
          <w:rFonts w:hint="eastAsia" w:ascii="宋体" w:hAnsi="宋体" w:eastAsia="宋体"/>
          <w:color w:val="auto"/>
          <w:szCs w:val="21"/>
          <w:highlight w:val="none"/>
        </w:rPr>
        <w:t>金额的</w:t>
      </w:r>
      <w:r>
        <w:rPr>
          <w:rFonts w:hint="eastAsia" w:ascii="宋体" w:hAnsi="宋体" w:eastAsia="宋体"/>
          <w:color w:val="auto"/>
          <w:szCs w:val="21"/>
          <w:highlight w:val="none"/>
          <w:lang w:val="en-US" w:eastAsia="zh-CN"/>
        </w:rPr>
        <w:t>0.3</w:t>
      </w:r>
      <w:r>
        <w:rPr>
          <w:rFonts w:hint="eastAsia" w:ascii="宋体" w:hAnsi="宋体" w:eastAsia="宋体"/>
          <w:color w:val="auto"/>
          <w:szCs w:val="21"/>
          <w:highlight w:val="none"/>
        </w:rPr>
        <w:t>‰支付违约金，该违约金累计不超过合同</w:t>
      </w:r>
      <w:r>
        <w:rPr>
          <w:rFonts w:hint="eastAsia" w:ascii="宋体" w:hAnsi="宋体" w:eastAsia="宋体"/>
          <w:color w:val="auto"/>
          <w:szCs w:val="21"/>
          <w:highlight w:val="none"/>
          <w:lang w:eastAsia="zh-CN"/>
        </w:rPr>
        <w:t>总</w:t>
      </w:r>
      <w:r>
        <w:rPr>
          <w:rFonts w:hint="eastAsia" w:ascii="宋体" w:hAnsi="宋体" w:eastAsia="宋体"/>
          <w:color w:val="auto"/>
          <w:szCs w:val="21"/>
          <w:highlight w:val="none"/>
        </w:rPr>
        <w:t>金额的10%。</w:t>
      </w:r>
      <w:r>
        <w:rPr>
          <w:rFonts w:hint="eastAsia" w:ascii="宋体" w:hAnsi="宋体" w:eastAsia="宋体" w:cs="宋体"/>
          <w:color w:val="auto"/>
          <w:szCs w:val="21"/>
          <w:highlight w:val="none"/>
        </w:rPr>
        <w:t xml:space="preserve">                                  </w:t>
      </w:r>
    </w:p>
    <w:p w14:paraId="69355EE9">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2.</w:t>
      </w:r>
      <w:r>
        <w:rPr>
          <w:rFonts w:hint="eastAsia" w:ascii="宋体" w:hAnsi="宋体" w:eastAsia="宋体" w:cs="宋体"/>
          <w:color w:val="auto"/>
          <w:szCs w:val="21"/>
          <w:highlight w:val="none"/>
        </w:rPr>
        <w:t>乙方提供的服务如侵犯了第三方合法权益而引发的任何纠纷或者诉讼，均由乙方负责交涉并承担全部责任。</w:t>
      </w:r>
    </w:p>
    <w:p w14:paraId="118D2640">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olor w:val="auto"/>
          <w:szCs w:val="21"/>
          <w:highlight w:val="none"/>
          <w:lang w:eastAsia="zh-CN"/>
        </w:rPr>
        <w:t>3.</w:t>
      </w:r>
      <w:r>
        <w:rPr>
          <w:rFonts w:hint="eastAsia" w:ascii="宋体" w:hAnsi="宋体" w:eastAsia="宋体"/>
          <w:color w:val="auto"/>
          <w:szCs w:val="21"/>
          <w:highlight w:val="none"/>
        </w:rPr>
        <w:t>甲方延期付款的，每天向乙方偿付延期款额</w:t>
      </w:r>
      <w:r>
        <w:rPr>
          <w:rFonts w:hint="eastAsia" w:ascii="宋体" w:hAnsi="宋体" w:eastAsia="宋体"/>
          <w:color w:val="auto"/>
          <w:szCs w:val="21"/>
          <w:highlight w:val="none"/>
          <w:lang w:val="en-US" w:eastAsia="zh-CN"/>
        </w:rPr>
        <w:t>0.1</w:t>
      </w:r>
      <w:r>
        <w:rPr>
          <w:rFonts w:hint="eastAsia" w:ascii="宋体" w:hAnsi="宋体" w:eastAsia="宋体"/>
          <w:color w:val="auto"/>
          <w:szCs w:val="21"/>
          <w:highlight w:val="none"/>
        </w:rPr>
        <w:t>‰滞纳金，但滞纳金累计不得超过延期款额5%。</w:t>
      </w:r>
    </w:p>
    <w:p w14:paraId="39A480D1">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第十条  不可抗力事件处理</w:t>
      </w:r>
    </w:p>
    <w:p w14:paraId="519A179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rPr>
        <w:t>在合同有效期内，任何一方因不可抗力事件导致不能履行合同，则合同履行期可延长，其延长期与不可抗力影响期相同。</w:t>
      </w:r>
    </w:p>
    <w:p w14:paraId="3CBBE30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2.</w:t>
      </w:r>
      <w:r>
        <w:rPr>
          <w:rFonts w:hint="eastAsia" w:ascii="宋体" w:hAnsi="宋体" w:eastAsia="宋体" w:cs="宋体"/>
          <w:color w:val="auto"/>
          <w:szCs w:val="21"/>
          <w:highlight w:val="none"/>
        </w:rPr>
        <w:t>不可抗力事件发生后，应立即通知对方，并寄送有关权威机构出具的证明。</w:t>
      </w:r>
    </w:p>
    <w:p w14:paraId="24DD9E4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rPr>
        <w:t>不可抗力事件延续一百二十天以上，双方应通过友好协商，确定是否继续履行合同。</w:t>
      </w:r>
    </w:p>
    <w:p w14:paraId="1B233DD2">
      <w:pP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第十一条  合同争议解决</w:t>
      </w:r>
    </w:p>
    <w:p w14:paraId="7D36DEB0">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rPr>
        <w:t>因服务质量问题发生争议的，应邀请国家认可的质量检测机构进行鉴定。服务符合标准的，鉴定费由甲方承担；服务不符合标准的，鉴定费由乙方承担。</w:t>
      </w:r>
    </w:p>
    <w:p w14:paraId="21F39E15">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2.</w:t>
      </w:r>
      <w:r>
        <w:rPr>
          <w:rFonts w:hint="eastAsia" w:ascii="宋体" w:hAnsi="宋体" w:eastAsia="宋体" w:cs="宋体"/>
          <w:color w:val="auto"/>
          <w:szCs w:val="21"/>
          <w:highlight w:val="none"/>
        </w:rPr>
        <w:t>因履行本合同引起的或者与本合同有关的争议，甲乙双方应首先通过友好协商解决，如果协商不能解决，可向甲方所在地有管辖权的人民法院提起诉讼。</w:t>
      </w:r>
    </w:p>
    <w:p w14:paraId="4C7866BD">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rPr>
        <w:t>诉讼期间，本合同继续履行。</w:t>
      </w:r>
    </w:p>
    <w:p w14:paraId="6A1E9199">
      <w:pPr>
        <w:spacing w:line="360" w:lineRule="auto"/>
        <w:ind w:firstLine="422" w:firstLineChars="200"/>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rPr>
        <w:t>第十二条  合同生效及</w:t>
      </w:r>
      <w:r>
        <w:rPr>
          <w:rFonts w:hint="eastAsia" w:ascii="宋体" w:hAnsi="宋体" w:eastAsia="宋体" w:cs="宋体"/>
          <w:b/>
          <w:color w:val="auto"/>
          <w:szCs w:val="21"/>
          <w:highlight w:val="none"/>
          <w:lang w:eastAsia="zh-CN"/>
        </w:rPr>
        <w:t>其他</w:t>
      </w:r>
    </w:p>
    <w:p w14:paraId="0F5E98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rPr>
        <w:t>合同经双方法定代表人或者授权代表签字并加盖单位公章后生效（委托代理人签字的需后附法定代表人授权委托书，格式自拟）。</w:t>
      </w:r>
    </w:p>
    <w:p w14:paraId="6849794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2.</w:t>
      </w:r>
      <w:r>
        <w:rPr>
          <w:rFonts w:hint="eastAsia" w:ascii="宋体" w:hAnsi="宋体" w:eastAsia="宋体" w:cs="宋体"/>
          <w:color w:val="auto"/>
          <w:szCs w:val="21"/>
          <w:highlight w:val="none"/>
        </w:rPr>
        <w:t>合同执行中涉及采购资金和采购内容修改或者补充的，须经财政部门审批，并签书面补充协议报财政部门备案，方可作为主合同不可分割的一部分。</w:t>
      </w:r>
    </w:p>
    <w:p w14:paraId="15F3641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rPr>
        <w:t>本合同未尽事宜，遵照《</w:t>
      </w:r>
      <w:r>
        <w:rPr>
          <w:rFonts w:hint="eastAsia" w:ascii="宋体" w:hAnsi="宋体" w:eastAsia="宋体" w:cs="宋体"/>
          <w:color w:val="auto"/>
          <w:szCs w:val="21"/>
          <w:highlight w:val="none"/>
          <w:lang w:eastAsia="zh-CN"/>
        </w:rPr>
        <w:t>中华人民共和国民法典</w:t>
      </w:r>
      <w:r>
        <w:rPr>
          <w:rFonts w:hint="eastAsia" w:ascii="宋体" w:hAnsi="宋体" w:eastAsia="宋体" w:cs="宋体"/>
          <w:color w:val="auto"/>
          <w:szCs w:val="21"/>
          <w:highlight w:val="none"/>
        </w:rPr>
        <w:t>》有关条文执行。</w:t>
      </w:r>
    </w:p>
    <w:p w14:paraId="5DE9D3F7">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第十三条　合同的变更、终止与转让</w:t>
      </w:r>
    </w:p>
    <w:p w14:paraId="145F43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rPr>
        <w:t>除《中华人民共和国政府采购法》第五十条规定的情形外，本合同一经签订，甲乙双方不得擅自变更、中止或者终止。</w:t>
      </w:r>
    </w:p>
    <w:p w14:paraId="53F093B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2.</w:t>
      </w:r>
      <w:r>
        <w:rPr>
          <w:rFonts w:hint="eastAsia" w:ascii="宋体" w:hAnsi="宋体" w:eastAsia="宋体" w:cs="宋体"/>
          <w:color w:val="auto"/>
          <w:szCs w:val="21"/>
          <w:highlight w:val="none"/>
        </w:rPr>
        <w:t>乙方不得擅自转让其应履行的合同义务。</w:t>
      </w:r>
    </w:p>
    <w:p w14:paraId="763137EF">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第十四条　签订本合同依据</w:t>
      </w:r>
    </w:p>
    <w:p w14:paraId="65351F1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1.</w:t>
      </w:r>
      <w:r>
        <w:rPr>
          <w:rFonts w:hint="eastAsia" w:ascii="宋体" w:hAnsi="宋体" w:eastAsia="宋体"/>
          <w:color w:val="auto"/>
          <w:szCs w:val="21"/>
          <w:highlight w:val="none"/>
        </w:rPr>
        <w:t>成交通知书</w:t>
      </w:r>
      <w:r>
        <w:rPr>
          <w:rFonts w:hint="eastAsia" w:ascii="宋体" w:hAnsi="宋体" w:eastAsia="宋体" w:cs="宋体"/>
          <w:color w:val="auto"/>
          <w:szCs w:val="21"/>
          <w:highlight w:val="none"/>
        </w:rPr>
        <w:t>；</w:t>
      </w:r>
    </w:p>
    <w:p w14:paraId="343EBEC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2.响应报价表</w:t>
      </w:r>
      <w:r>
        <w:rPr>
          <w:rFonts w:hint="eastAsia" w:ascii="宋体" w:hAnsi="宋体" w:eastAsia="宋体" w:cs="宋体"/>
          <w:color w:val="auto"/>
          <w:szCs w:val="21"/>
          <w:highlight w:val="none"/>
        </w:rPr>
        <w:t>；</w:t>
      </w:r>
    </w:p>
    <w:p w14:paraId="67C08558">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kern w:val="2"/>
          <w:sz w:val="21"/>
          <w:szCs w:val="21"/>
          <w:highlight w:val="none"/>
          <w:lang w:val="en-US" w:eastAsia="zh-CN"/>
        </w:rPr>
        <w:t>3.响应函；</w:t>
      </w:r>
    </w:p>
    <w:p w14:paraId="3E8433A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商务条款偏离表和</w:t>
      </w:r>
      <w:r>
        <w:rPr>
          <w:rFonts w:hint="eastAsia" w:ascii="宋体" w:hAnsi="宋体" w:eastAsia="宋体" w:cs="宋体"/>
          <w:color w:val="auto"/>
          <w:szCs w:val="21"/>
          <w:highlight w:val="none"/>
          <w:lang w:eastAsia="zh-CN"/>
        </w:rPr>
        <w:t>服务要求</w:t>
      </w:r>
      <w:r>
        <w:rPr>
          <w:rFonts w:hint="eastAsia" w:ascii="宋体" w:hAnsi="宋体" w:eastAsia="宋体" w:cs="宋体"/>
          <w:color w:val="auto"/>
          <w:szCs w:val="21"/>
          <w:highlight w:val="none"/>
        </w:rPr>
        <w:t>偏离表；</w:t>
      </w:r>
    </w:p>
    <w:p w14:paraId="47080F9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服务方案；</w:t>
      </w:r>
    </w:p>
    <w:p w14:paraId="6F85A1A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hAnsi="宋体" w:eastAsia="宋体" w:cs="宋体"/>
          <w:color w:val="auto"/>
          <w:sz w:val="21"/>
          <w:highlight w:val="none"/>
          <w:lang w:eastAsia="zh-CN"/>
        </w:rPr>
        <w:t>其他</w:t>
      </w:r>
      <w:r>
        <w:rPr>
          <w:rFonts w:hint="eastAsia" w:hAnsi="宋体" w:eastAsia="宋体" w:cs="宋体"/>
          <w:color w:val="auto"/>
          <w:sz w:val="21"/>
          <w:highlight w:val="none"/>
        </w:rPr>
        <w:t>合同文件</w:t>
      </w:r>
      <w:r>
        <w:rPr>
          <w:rFonts w:hint="eastAsia" w:ascii="宋体" w:hAnsi="宋体" w:eastAsia="宋体" w:cs="宋体"/>
          <w:color w:val="auto"/>
          <w:szCs w:val="21"/>
          <w:highlight w:val="none"/>
        </w:rPr>
        <w:t>。</w:t>
      </w:r>
    </w:p>
    <w:p w14:paraId="5005BDA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上述合同文件互相补充和解释。如果合同文件之间存在矛盾或者不一致之处，以上述文件的排列顺序在先者为准。</w:t>
      </w:r>
    </w:p>
    <w:p w14:paraId="58069FE4">
      <w:pP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第十五条　</w:t>
      </w:r>
      <w:r>
        <w:rPr>
          <w:rFonts w:hint="eastAsia" w:ascii="宋体" w:hAnsi="宋体" w:eastAsia="宋体" w:cs="宋体"/>
          <w:color w:val="auto"/>
          <w:szCs w:val="21"/>
          <w:highlight w:val="none"/>
        </w:rPr>
        <w:t>本合同一式四份，具有同等法律效力，财政部门（政府采购监管部门）、采购代理机构各一份，甲乙双方各一份（可根据需要另增加）。</w:t>
      </w:r>
    </w:p>
    <w:p w14:paraId="043D761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本合同甲乙双方签字盖章后生效，自签订之日起七个工作日内，甲方应当将合同副本报同级财政部门备案。</w:t>
      </w:r>
    </w:p>
    <w:p w14:paraId="4AC61F5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本合同自签订之日起2个工作日内，甲方应当将采购合同在广西壮族自治区财政厅指定的媒体上公告。</w:t>
      </w:r>
    </w:p>
    <w:tbl>
      <w:tblPr>
        <w:tblStyle w:val="32"/>
        <w:tblpPr w:leftFromText="180" w:rightFromText="180" w:vertAnchor="text" w:horzAnchor="margin" w:tblpY="2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5007"/>
      </w:tblGrid>
      <w:tr w14:paraId="73B90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6907DC3B">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甲方：（章）</w:t>
            </w:r>
          </w:p>
          <w:p w14:paraId="055A3E8D">
            <w:pPr>
              <w:snapToGrid w:val="0"/>
              <w:spacing w:line="360" w:lineRule="auto"/>
              <w:rPr>
                <w:rFonts w:hint="eastAsia" w:ascii="宋体" w:hAnsi="宋体" w:eastAsia="宋体" w:cs="宋体"/>
                <w:color w:val="auto"/>
                <w:szCs w:val="21"/>
                <w:highlight w:val="none"/>
              </w:rPr>
            </w:pPr>
          </w:p>
          <w:p w14:paraId="72F05D12">
            <w:pPr>
              <w:snapToGrid w:val="0"/>
              <w:spacing w:line="360" w:lineRule="auto"/>
              <w:rPr>
                <w:rFonts w:hint="eastAsia" w:ascii="宋体" w:hAnsi="宋体" w:eastAsia="宋体" w:cs="宋体"/>
                <w:color w:val="auto"/>
                <w:szCs w:val="21"/>
                <w:highlight w:val="none"/>
              </w:rPr>
            </w:pPr>
          </w:p>
          <w:p w14:paraId="1017777A">
            <w:pPr>
              <w:snapToGrid w:val="0"/>
              <w:spacing w:line="360" w:lineRule="auto"/>
              <w:ind w:firstLine="945" w:firstLineChars="450"/>
              <w:jc w:val="right"/>
              <w:rPr>
                <w:rFonts w:hint="eastAsia" w:ascii="宋体" w:hAnsi="宋体" w:eastAsia="宋体" w:cs="宋体"/>
                <w:color w:val="auto"/>
                <w:szCs w:val="21"/>
                <w:highlight w:val="none"/>
              </w:rPr>
            </w:pPr>
          </w:p>
          <w:p w14:paraId="397A8E23">
            <w:pPr>
              <w:snapToGrid w:val="0"/>
              <w:spacing w:line="360" w:lineRule="auto"/>
              <w:ind w:firstLine="945" w:firstLineChars="450"/>
              <w:jc w:val="right"/>
              <w:rPr>
                <w:rFonts w:ascii="宋体" w:hAnsi="宋体" w:eastAsia="宋体" w:cs="宋体"/>
                <w:color w:val="auto"/>
                <w:szCs w:val="21"/>
                <w:highlight w:val="none"/>
              </w:rPr>
            </w:pPr>
            <w:r>
              <w:rPr>
                <w:rFonts w:hint="eastAsia" w:ascii="宋体" w:hAnsi="宋体" w:eastAsia="宋体" w:cs="宋体"/>
                <w:color w:val="auto"/>
                <w:szCs w:val="21"/>
                <w:highlight w:val="none"/>
              </w:rPr>
              <w:t>年   月   日</w:t>
            </w:r>
          </w:p>
        </w:tc>
        <w:tc>
          <w:tcPr>
            <w:tcW w:w="5007" w:type="dxa"/>
            <w:tcBorders>
              <w:top w:val="single" w:color="auto" w:sz="4" w:space="0"/>
              <w:left w:val="single" w:color="auto" w:sz="4" w:space="0"/>
              <w:bottom w:val="single" w:color="auto" w:sz="4" w:space="0"/>
              <w:right w:val="single" w:color="auto" w:sz="4" w:space="0"/>
            </w:tcBorders>
            <w:noWrap w:val="0"/>
            <w:vAlign w:val="center"/>
          </w:tcPr>
          <w:p w14:paraId="481DC7A4">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乙方：（章） </w:t>
            </w:r>
          </w:p>
          <w:p w14:paraId="646F0C02">
            <w:pPr>
              <w:snapToGrid w:val="0"/>
              <w:spacing w:line="360" w:lineRule="auto"/>
              <w:rPr>
                <w:rFonts w:hint="eastAsia" w:ascii="宋体" w:hAnsi="宋体" w:eastAsia="宋体" w:cs="宋体"/>
                <w:color w:val="auto"/>
                <w:szCs w:val="21"/>
                <w:highlight w:val="none"/>
              </w:rPr>
            </w:pPr>
          </w:p>
          <w:p w14:paraId="463F4AE2">
            <w:pPr>
              <w:snapToGrid w:val="0"/>
              <w:spacing w:line="360" w:lineRule="auto"/>
              <w:rPr>
                <w:rFonts w:hint="eastAsia" w:ascii="宋体" w:hAnsi="宋体" w:eastAsia="宋体" w:cs="宋体"/>
                <w:color w:val="auto"/>
                <w:szCs w:val="21"/>
                <w:highlight w:val="none"/>
              </w:rPr>
            </w:pPr>
          </w:p>
          <w:p w14:paraId="6E9C6823">
            <w:pPr>
              <w:snapToGrid w:val="0"/>
              <w:spacing w:line="360" w:lineRule="auto"/>
              <w:jc w:val="right"/>
              <w:rPr>
                <w:rFonts w:hint="eastAsia" w:ascii="宋体" w:hAnsi="宋体" w:eastAsia="宋体" w:cs="宋体"/>
                <w:color w:val="auto"/>
                <w:szCs w:val="21"/>
                <w:highlight w:val="none"/>
              </w:rPr>
            </w:pPr>
          </w:p>
          <w:p w14:paraId="0FA7028D">
            <w:pPr>
              <w:snapToGrid w:val="0"/>
              <w:spacing w:line="360" w:lineRule="auto"/>
              <w:jc w:val="righ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tc>
      </w:tr>
      <w:tr w14:paraId="51615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6F60E83D">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单位地址：</w:t>
            </w:r>
            <w:r>
              <w:rPr>
                <w:rFonts w:ascii="宋体" w:hAnsi="宋体" w:eastAsia="宋体" w:cs="宋体"/>
                <w:color w:val="auto"/>
                <w:szCs w:val="21"/>
                <w:highlight w:val="none"/>
              </w:rPr>
              <w:t xml:space="preserve"> </w:t>
            </w:r>
          </w:p>
        </w:tc>
        <w:tc>
          <w:tcPr>
            <w:tcW w:w="5007" w:type="dxa"/>
            <w:tcBorders>
              <w:top w:val="single" w:color="auto" w:sz="4" w:space="0"/>
              <w:left w:val="single" w:color="auto" w:sz="4" w:space="0"/>
              <w:bottom w:val="single" w:color="auto" w:sz="4" w:space="0"/>
              <w:right w:val="single" w:color="auto" w:sz="4" w:space="0"/>
            </w:tcBorders>
            <w:noWrap w:val="0"/>
            <w:vAlign w:val="center"/>
          </w:tcPr>
          <w:p w14:paraId="36A2F81D">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单位地址： </w:t>
            </w:r>
          </w:p>
        </w:tc>
      </w:tr>
      <w:tr w14:paraId="1236C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3CA1008C">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法定代表人：</w:t>
            </w:r>
          </w:p>
        </w:tc>
        <w:tc>
          <w:tcPr>
            <w:tcW w:w="5007" w:type="dxa"/>
            <w:tcBorders>
              <w:top w:val="single" w:color="auto" w:sz="4" w:space="0"/>
              <w:left w:val="single" w:color="auto" w:sz="4" w:space="0"/>
              <w:bottom w:val="single" w:color="auto" w:sz="4" w:space="0"/>
              <w:right w:val="single" w:color="auto" w:sz="4" w:space="0"/>
            </w:tcBorders>
            <w:noWrap w:val="0"/>
            <w:vAlign w:val="center"/>
          </w:tcPr>
          <w:p w14:paraId="4804C848">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法定代表人：</w:t>
            </w:r>
          </w:p>
        </w:tc>
      </w:tr>
      <w:tr w14:paraId="4C099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2E0AE968">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委托代理人：</w:t>
            </w:r>
          </w:p>
        </w:tc>
        <w:tc>
          <w:tcPr>
            <w:tcW w:w="5007" w:type="dxa"/>
            <w:tcBorders>
              <w:top w:val="single" w:color="auto" w:sz="4" w:space="0"/>
              <w:left w:val="single" w:color="auto" w:sz="4" w:space="0"/>
              <w:bottom w:val="single" w:color="auto" w:sz="4" w:space="0"/>
              <w:right w:val="single" w:color="auto" w:sz="4" w:space="0"/>
            </w:tcBorders>
            <w:noWrap w:val="0"/>
            <w:vAlign w:val="center"/>
          </w:tcPr>
          <w:p w14:paraId="15E4A915">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委托代理人：</w:t>
            </w:r>
          </w:p>
        </w:tc>
      </w:tr>
      <w:tr w14:paraId="77C96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3A09B0E1">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电话：</w:t>
            </w:r>
          </w:p>
        </w:tc>
        <w:tc>
          <w:tcPr>
            <w:tcW w:w="5007" w:type="dxa"/>
            <w:tcBorders>
              <w:top w:val="single" w:color="auto" w:sz="4" w:space="0"/>
              <w:left w:val="single" w:color="auto" w:sz="4" w:space="0"/>
              <w:bottom w:val="single" w:color="auto" w:sz="4" w:space="0"/>
              <w:right w:val="single" w:color="auto" w:sz="4" w:space="0"/>
            </w:tcBorders>
            <w:noWrap w:val="0"/>
            <w:vAlign w:val="center"/>
          </w:tcPr>
          <w:p w14:paraId="523710E4">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电话：</w:t>
            </w:r>
          </w:p>
        </w:tc>
      </w:tr>
      <w:tr w14:paraId="4C2CE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6455745E">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开户银行： </w:t>
            </w:r>
          </w:p>
        </w:tc>
        <w:tc>
          <w:tcPr>
            <w:tcW w:w="5007" w:type="dxa"/>
            <w:tcBorders>
              <w:top w:val="single" w:color="auto" w:sz="4" w:space="0"/>
              <w:left w:val="single" w:color="auto" w:sz="4" w:space="0"/>
              <w:bottom w:val="single" w:color="auto" w:sz="4" w:space="0"/>
              <w:right w:val="single" w:color="auto" w:sz="4" w:space="0"/>
            </w:tcBorders>
            <w:noWrap w:val="0"/>
            <w:vAlign w:val="center"/>
          </w:tcPr>
          <w:p w14:paraId="42CFB2E9">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开户银行： </w:t>
            </w:r>
          </w:p>
        </w:tc>
      </w:tr>
      <w:tr w14:paraId="6059C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62567EF5">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账号：</w:t>
            </w:r>
          </w:p>
        </w:tc>
        <w:tc>
          <w:tcPr>
            <w:tcW w:w="5007" w:type="dxa"/>
            <w:tcBorders>
              <w:top w:val="single" w:color="auto" w:sz="4" w:space="0"/>
              <w:left w:val="single" w:color="auto" w:sz="4" w:space="0"/>
              <w:bottom w:val="single" w:color="auto" w:sz="4" w:space="0"/>
              <w:right w:val="single" w:color="auto" w:sz="4" w:space="0"/>
            </w:tcBorders>
            <w:noWrap w:val="0"/>
            <w:vAlign w:val="center"/>
          </w:tcPr>
          <w:p w14:paraId="798DEAB4">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账号：</w:t>
            </w:r>
          </w:p>
        </w:tc>
      </w:tr>
      <w:tr w14:paraId="782D9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42E73885">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邮政编码：</w:t>
            </w:r>
          </w:p>
        </w:tc>
        <w:tc>
          <w:tcPr>
            <w:tcW w:w="5007" w:type="dxa"/>
            <w:tcBorders>
              <w:top w:val="single" w:color="auto" w:sz="4" w:space="0"/>
              <w:left w:val="single" w:color="auto" w:sz="4" w:space="0"/>
              <w:bottom w:val="single" w:color="auto" w:sz="4" w:space="0"/>
              <w:right w:val="single" w:color="auto" w:sz="4" w:space="0"/>
            </w:tcBorders>
            <w:noWrap w:val="0"/>
            <w:vAlign w:val="center"/>
          </w:tcPr>
          <w:p w14:paraId="499BB405">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邮政编码：</w:t>
            </w:r>
          </w:p>
        </w:tc>
      </w:tr>
    </w:tbl>
    <w:p w14:paraId="56EFD5B1">
      <w:pPr>
        <w:rPr>
          <w:rFonts w:hint="eastAsia" w:ascii="宋体" w:hAnsi="宋体" w:eastAsia="宋体" w:cs="Courier New"/>
          <w:b/>
          <w:color w:val="auto"/>
          <w:szCs w:val="21"/>
          <w:highlight w:val="none"/>
        </w:rPr>
      </w:pPr>
    </w:p>
    <w:p w14:paraId="187F02E6">
      <w:pPr>
        <w:rPr>
          <w:rFonts w:hint="eastAsia" w:ascii="宋体" w:hAnsi="宋体" w:eastAsia="宋体" w:cs="Courier New"/>
          <w:b/>
          <w:color w:val="auto"/>
          <w:szCs w:val="21"/>
          <w:highlight w:val="none"/>
        </w:rPr>
      </w:pPr>
    </w:p>
    <w:p w14:paraId="670E3F4E">
      <w:pPr>
        <w:rPr>
          <w:rFonts w:hint="eastAsia" w:ascii="宋体" w:hAnsi="宋体" w:eastAsia="宋体" w:cs="Courier New"/>
          <w:b/>
          <w:color w:val="auto"/>
          <w:szCs w:val="21"/>
          <w:highlight w:val="none"/>
        </w:rPr>
      </w:pPr>
    </w:p>
    <w:p w14:paraId="6C6A9979">
      <w:pPr>
        <w:rPr>
          <w:rFonts w:hint="eastAsia" w:ascii="宋体" w:hAnsi="宋体" w:eastAsia="宋体" w:cs="Courier New"/>
          <w:b/>
          <w:color w:val="auto"/>
          <w:szCs w:val="21"/>
          <w:highlight w:val="none"/>
        </w:rPr>
      </w:pPr>
    </w:p>
    <w:p w14:paraId="71360F35">
      <w:pPr>
        <w:rPr>
          <w:rFonts w:hint="eastAsia" w:ascii="宋体" w:hAnsi="宋体" w:eastAsia="宋体" w:cs="Courier New"/>
          <w:b/>
          <w:color w:val="auto"/>
          <w:szCs w:val="21"/>
          <w:highlight w:val="none"/>
        </w:rPr>
      </w:pPr>
    </w:p>
    <w:p w14:paraId="569CD020">
      <w:pPr>
        <w:rPr>
          <w:rFonts w:hint="eastAsia" w:ascii="宋体" w:hAnsi="宋体" w:eastAsia="宋体" w:cs="Courier New"/>
          <w:b/>
          <w:color w:val="auto"/>
          <w:szCs w:val="21"/>
          <w:highlight w:val="none"/>
        </w:rPr>
      </w:pPr>
    </w:p>
    <w:p w14:paraId="4D82A880">
      <w:pPr>
        <w:rPr>
          <w:rFonts w:hint="eastAsia" w:ascii="宋体" w:hAnsi="宋体" w:eastAsia="宋体" w:cs="Courier New"/>
          <w:b/>
          <w:color w:val="auto"/>
          <w:szCs w:val="21"/>
          <w:highlight w:val="none"/>
        </w:rPr>
      </w:pPr>
    </w:p>
    <w:p w14:paraId="17F59BF5">
      <w:pPr>
        <w:rPr>
          <w:rFonts w:hint="eastAsia" w:ascii="宋体" w:hAnsi="宋体" w:eastAsia="宋体" w:cs="Courier New"/>
          <w:b/>
          <w:color w:val="auto"/>
          <w:szCs w:val="21"/>
          <w:highlight w:val="none"/>
        </w:rPr>
      </w:pPr>
    </w:p>
    <w:p w14:paraId="18D5322D">
      <w:pPr>
        <w:rPr>
          <w:rFonts w:hint="eastAsia" w:ascii="宋体" w:hAnsi="宋体" w:eastAsia="宋体" w:cs="Courier New"/>
          <w:b/>
          <w:color w:val="auto"/>
          <w:szCs w:val="21"/>
          <w:highlight w:val="none"/>
        </w:rPr>
      </w:pPr>
    </w:p>
    <w:p w14:paraId="6EE2ED26">
      <w:pPr>
        <w:rPr>
          <w:rFonts w:hint="eastAsia" w:ascii="宋体" w:hAnsi="宋体" w:eastAsia="宋体" w:cs="Courier New"/>
          <w:b/>
          <w:color w:val="auto"/>
          <w:szCs w:val="21"/>
          <w:highlight w:val="none"/>
        </w:rPr>
      </w:pPr>
    </w:p>
    <w:p w14:paraId="6011B008">
      <w:pPr>
        <w:rPr>
          <w:rFonts w:hint="eastAsia" w:ascii="宋体" w:hAnsi="宋体" w:eastAsia="宋体" w:cs="Courier New"/>
          <w:b/>
          <w:color w:val="auto"/>
          <w:szCs w:val="21"/>
          <w:highlight w:val="none"/>
        </w:rPr>
      </w:pPr>
    </w:p>
    <w:p w14:paraId="48F7CDF8">
      <w:pPr>
        <w:rPr>
          <w:rFonts w:hint="eastAsia" w:ascii="宋体" w:hAnsi="宋体" w:eastAsia="宋体" w:cs="Courier New"/>
          <w:b/>
          <w:color w:val="auto"/>
          <w:szCs w:val="21"/>
          <w:highlight w:val="none"/>
        </w:rPr>
      </w:pPr>
    </w:p>
    <w:p w14:paraId="758AD39B">
      <w:pPr>
        <w:rPr>
          <w:rFonts w:hint="eastAsia" w:ascii="宋体" w:hAnsi="宋体" w:eastAsia="宋体" w:cs="Courier New"/>
          <w:b/>
          <w:color w:val="auto"/>
          <w:szCs w:val="21"/>
          <w:highlight w:val="none"/>
        </w:rPr>
      </w:pPr>
    </w:p>
    <w:p w14:paraId="545A7797">
      <w:pPr>
        <w:rPr>
          <w:rFonts w:hint="eastAsia" w:ascii="宋体" w:hAnsi="宋体" w:eastAsia="宋体" w:cs="Courier New"/>
          <w:b/>
          <w:color w:val="auto"/>
          <w:szCs w:val="21"/>
          <w:highlight w:val="none"/>
        </w:rPr>
      </w:pPr>
    </w:p>
    <w:p w14:paraId="7CE4E5FF">
      <w:pPr>
        <w:rPr>
          <w:rFonts w:hint="eastAsia" w:ascii="宋体" w:hAnsi="宋体" w:eastAsia="宋体" w:cs="Courier New"/>
          <w:b/>
          <w:color w:val="auto"/>
          <w:szCs w:val="21"/>
          <w:highlight w:val="none"/>
        </w:rPr>
      </w:pPr>
    </w:p>
    <w:p w14:paraId="3A94E7DB">
      <w:pPr>
        <w:rPr>
          <w:rFonts w:hint="eastAsia" w:ascii="宋体" w:hAnsi="宋体" w:eastAsia="宋体" w:cs="Courier New"/>
          <w:b/>
          <w:color w:val="auto"/>
          <w:szCs w:val="21"/>
          <w:highlight w:val="none"/>
        </w:rPr>
      </w:pPr>
    </w:p>
    <w:p w14:paraId="5F00CB35">
      <w:pPr>
        <w:rPr>
          <w:rFonts w:hint="eastAsia" w:ascii="宋体" w:hAnsi="宋体" w:eastAsia="宋体" w:cs="Courier New"/>
          <w:b/>
          <w:color w:val="auto"/>
          <w:szCs w:val="21"/>
          <w:highlight w:val="none"/>
        </w:rPr>
      </w:pPr>
    </w:p>
    <w:p w14:paraId="579B836E">
      <w:pPr>
        <w:rPr>
          <w:rFonts w:hint="eastAsia" w:ascii="宋体" w:hAnsi="宋体" w:eastAsia="宋体" w:cs="Courier New"/>
          <w:b/>
          <w:color w:val="auto"/>
          <w:szCs w:val="21"/>
          <w:highlight w:val="none"/>
        </w:rPr>
      </w:pPr>
    </w:p>
    <w:p w14:paraId="11992D00">
      <w:pPr>
        <w:rPr>
          <w:rFonts w:hint="eastAsia" w:ascii="宋体" w:hAnsi="宋体" w:eastAsia="宋体" w:cs="Courier New"/>
          <w:b/>
          <w:color w:val="auto"/>
          <w:szCs w:val="21"/>
          <w:highlight w:val="none"/>
        </w:rPr>
      </w:pPr>
    </w:p>
    <w:p w14:paraId="5C71BE06">
      <w:pPr>
        <w:rPr>
          <w:rFonts w:hint="eastAsia" w:ascii="宋体" w:hAnsi="宋体" w:eastAsia="宋体" w:cs="Courier New"/>
          <w:b/>
          <w:color w:val="auto"/>
          <w:szCs w:val="21"/>
          <w:highlight w:val="none"/>
        </w:rPr>
      </w:pPr>
    </w:p>
    <w:p w14:paraId="4CFA7C13">
      <w:pPr>
        <w:rPr>
          <w:rFonts w:hint="eastAsia" w:ascii="宋体" w:hAnsi="宋体" w:eastAsia="宋体" w:cs="Courier New"/>
          <w:b/>
          <w:color w:val="auto"/>
          <w:szCs w:val="21"/>
          <w:highlight w:val="none"/>
        </w:rPr>
      </w:pPr>
    </w:p>
    <w:p w14:paraId="393CC640">
      <w:pPr>
        <w:rPr>
          <w:rFonts w:hint="eastAsia" w:ascii="宋体" w:hAnsi="宋体" w:eastAsia="宋体" w:cs="Courier New"/>
          <w:b/>
          <w:color w:val="auto"/>
          <w:szCs w:val="21"/>
          <w:highlight w:val="none"/>
        </w:rPr>
      </w:pPr>
    </w:p>
    <w:p w14:paraId="364F4FF5">
      <w:pPr>
        <w:rPr>
          <w:rFonts w:hint="eastAsia" w:ascii="宋体" w:hAnsi="宋体" w:eastAsia="宋体" w:cs="Courier New"/>
          <w:b/>
          <w:color w:val="auto"/>
          <w:szCs w:val="21"/>
          <w:highlight w:val="none"/>
        </w:rPr>
      </w:pPr>
    </w:p>
    <w:p w14:paraId="761A2D2B">
      <w:pPr>
        <w:rPr>
          <w:rFonts w:hint="eastAsia" w:ascii="宋体" w:hAnsi="宋体" w:eastAsia="宋体" w:cs="Courier New"/>
          <w:b/>
          <w:color w:val="auto"/>
          <w:szCs w:val="21"/>
          <w:highlight w:val="none"/>
        </w:rPr>
      </w:pPr>
    </w:p>
    <w:p w14:paraId="7AD1D481">
      <w:pPr>
        <w:rPr>
          <w:rFonts w:hint="eastAsia" w:ascii="宋体" w:hAnsi="宋体" w:eastAsia="宋体" w:cs="Courier New"/>
          <w:b/>
          <w:color w:val="auto"/>
          <w:szCs w:val="21"/>
          <w:highlight w:val="none"/>
        </w:rPr>
      </w:pPr>
    </w:p>
    <w:p w14:paraId="51A80F25">
      <w:pPr>
        <w:rPr>
          <w:rFonts w:hint="eastAsia" w:ascii="宋体" w:hAnsi="宋体" w:eastAsia="宋体" w:cs="Courier New"/>
          <w:b/>
          <w:color w:val="auto"/>
          <w:szCs w:val="21"/>
          <w:highlight w:val="none"/>
        </w:rPr>
      </w:pPr>
    </w:p>
    <w:p w14:paraId="2BFC8DBF">
      <w:pPr>
        <w:rPr>
          <w:rFonts w:hint="eastAsia" w:ascii="宋体" w:hAnsi="宋体" w:eastAsia="宋体" w:cs="Courier New"/>
          <w:b/>
          <w:color w:val="auto"/>
          <w:szCs w:val="21"/>
          <w:highlight w:val="none"/>
        </w:rPr>
      </w:pPr>
    </w:p>
    <w:p w14:paraId="2D0F3288">
      <w:pPr>
        <w:pageBreakBefore w:val="0"/>
        <w:wordWrap/>
        <w:spacing w:before="160" w:after="0"/>
        <w:ind w:left="0" w:right="0"/>
        <w:jc w:val="left"/>
        <w:textAlignment w:val="auto"/>
        <w:rPr>
          <w:rFonts w:hint="eastAsia" w:ascii="宋体" w:hAnsi="宋体" w:eastAsia="宋体" w:cs="宋体"/>
          <w:b/>
          <w:i w:val="0"/>
          <w:color w:val="auto"/>
          <w:spacing w:val="0"/>
          <w:sz w:val="24"/>
          <w:highlight w:val="none"/>
          <w:lang w:eastAsia="zh-CN"/>
        </w:rPr>
      </w:pPr>
      <w:r>
        <w:rPr>
          <w:rFonts w:hint="eastAsia" w:ascii="宋体" w:hAnsi="宋体" w:eastAsia="宋体" w:cs="宋体"/>
          <w:b/>
          <w:i w:val="0"/>
          <w:color w:val="auto"/>
          <w:spacing w:val="0"/>
          <w:sz w:val="24"/>
          <w:highlight w:val="none"/>
          <w:lang w:eastAsia="zh-CN"/>
        </w:rPr>
        <w:t>验收书附件</w:t>
      </w:r>
    </w:p>
    <w:p w14:paraId="21583F4F">
      <w:pPr>
        <w:pageBreakBefore w:val="0"/>
        <w:wordWrap/>
        <w:spacing w:before="160" w:after="0"/>
        <w:ind w:left="0" w:right="0"/>
        <w:jc w:val="left"/>
        <w:textAlignment w:val="auto"/>
        <w:rPr>
          <w:rFonts w:hint="eastAsia" w:ascii="宋体" w:hAnsi="宋体" w:eastAsia="宋体" w:cs="宋体"/>
          <w:b/>
          <w:i w:val="0"/>
          <w:color w:val="auto"/>
          <w:spacing w:val="0"/>
          <w:sz w:val="28"/>
          <w:highlight w:val="none"/>
          <w:lang w:val="en-US" w:eastAsia="zh-CN"/>
        </w:rPr>
      </w:pPr>
    </w:p>
    <w:p w14:paraId="42EF23D2">
      <w:pPr>
        <w:pageBreakBefore w:val="0"/>
        <w:wordWrap/>
        <w:spacing w:before="160" w:after="0"/>
        <w:ind w:left="0" w:right="0"/>
        <w:jc w:val="center"/>
        <w:textAlignment w:val="auto"/>
        <w:rPr>
          <w:rFonts w:hint="eastAsia" w:ascii="宋体" w:hAnsi="宋体" w:eastAsia="宋体" w:cs="宋体"/>
          <w:b/>
          <w:i w:val="0"/>
          <w:color w:val="auto"/>
          <w:spacing w:val="0"/>
          <w:sz w:val="28"/>
          <w:highlight w:val="none"/>
        </w:rPr>
      </w:pPr>
      <w:r>
        <w:rPr>
          <w:rFonts w:hint="eastAsia" w:ascii="宋体" w:hAnsi="宋体" w:eastAsia="宋体" w:cs="宋体"/>
          <w:b/>
          <w:i w:val="0"/>
          <w:color w:val="auto"/>
          <w:spacing w:val="0"/>
          <w:sz w:val="28"/>
          <w:highlight w:val="none"/>
          <w:lang w:eastAsia="zh-CN"/>
        </w:rPr>
        <w:t>信访信息管理与服务平台驻场运维服务验收材料</w:t>
      </w:r>
      <w:r>
        <w:rPr>
          <w:rFonts w:hint="eastAsia" w:ascii="宋体" w:hAnsi="宋体" w:eastAsia="宋体" w:cs="宋体"/>
          <w:b/>
          <w:i w:val="0"/>
          <w:color w:val="auto"/>
          <w:spacing w:val="0"/>
          <w:sz w:val="28"/>
          <w:highlight w:val="none"/>
        </w:rPr>
        <w:t>清单</w:t>
      </w:r>
    </w:p>
    <w:p w14:paraId="7837F25D">
      <w:pPr>
        <w:pageBreakBefore w:val="0"/>
        <w:wordWrap/>
        <w:spacing w:before="160" w:after="0"/>
        <w:ind w:left="0" w:right="0"/>
        <w:jc w:val="center"/>
        <w:textAlignment w:val="auto"/>
        <w:rPr>
          <w:rFonts w:hint="eastAsia" w:ascii="宋体" w:hAnsi="宋体" w:eastAsia="宋体" w:cs="宋体"/>
          <w:b/>
          <w:i w:val="0"/>
          <w:color w:val="auto"/>
          <w:spacing w:val="0"/>
          <w:sz w:val="28"/>
          <w:highlight w:val="none"/>
        </w:rPr>
      </w:pPr>
    </w:p>
    <w:p w14:paraId="7A57A01D">
      <w:pPr>
        <w:pageBreakBefore w:val="0"/>
        <w:numPr>
          <w:ilvl w:val="0"/>
          <w:numId w:val="4"/>
        </w:numPr>
        <w:wordWrap/>
        <w:spacing w:before="160" w:after="0"/>
        <w:ind w:left="440" w:right="0" w:hanging="440"/>
        <w:jc w:val="left"/>
        <w:textAlignment w:val="auto"/>
        <w:rPr>
          <w:color w:val="auto"/>
          <w:sz w:val="24"/>
          <w:highlight w:val="none"/>
        </w:rPr>
      </w:pPr>
      <w:r>
        <w:rPr>
          <w:rFonts w:ascii="宋体" w:hAnsi="宋体" w:eastAsia="宋体" w:cs="宋体"/>
          <w:b w:val="0"/>
          <w:bCs/>
          <w:i w:val="0"/>
          <w:color w:val="auto"/>
          <w:spacing w:val="0"/>
          <w:sz w:val="24"/>
          <w:highlight w:val="none"/>
        </w:rPr>
        <w:t>信息系统驻场运维服务验收</w:t>
      </w:r>
      <w:r>
        <w:rPr>
          <w:rFonts w:hint="eastAsia" w:ascii="宋体" w:hAnsi="宋体" w:eastAsia="宋体" w:cs="宋体"/>
          <w:b w:val="0"/>
          <w:bCs/>
          <w:i w:val="0"/>
          <w:color w:val="auto"/>
          <w:spacing w:val="0"/>
          <w:sz w:val="24"/>
          <w:highlight w:val="none"/>
          <w:lang w:eastAsia="zh-CN"/>
        </w:rPr>
        <w:t>申请</w:t>
      </w:r>
    </w:p>
    <w:p w14:paraId="1C85227D">
      <w:pPr>
        <w:pageBreakBefore w:val="0"/>
        <w:numPr>
          <w:ilvl w:val="0"/>
          <w:numId w:val="4"/>
        </w:numPr>
        <w:wordWrap/>
        <w:spacing w:before="160" w:after="0"/>
        <w:ind w:left="440" w:right="0" w:hanging="440"/>
        <w:jc w:val="left"/>
        <w:textAlignment w:val="auto"/>
        <w:rPr>
          <w:color w:val="auto"/>
          <w:sz w:val="24"/>
          <w:highlight w:val="none"/>
        </w:rPr>
      </w:pPr>
      <w:r>
        <w:rPr>
          <w:rFonts w:hint="eastAsia" w:ascii="宋体" w:hAnsi="宋体" w:eastAsia="宋体" w:cs="宋体"/>
          <w:b w:val="0"/>
          <w:i w:val="0"/>
          <w:color w:val="auto"/>
          <w:spacing w:val="0"/>
          <w:sz w:val="24"/>
          <w:highlight w:val="none"/>
          <w:lang w:eastAsia="zh-CN"/>
        </w:rPr>
        <w:t>驻场</w:t>
      </w:r>
      <w:r>
        <w:rPr>
          <w:rFonts w:ascii="宋体" w:hAnsi="宋体" w:eastAsia="宋体" w:cs="宋体"/>
          <w:b w:val="0"/>
          <w:i w:val="0"/>
          <w:color w:val="auto"/>
          <w:spacing w:val="0"/>
          <w:sz w:val="24"/>
          <w:highlight w:val="none"/>
        </w:rPr>
        <w:t>运维服务总体</w:t>
      </w:r>
      <w:r>
        <w:rPr>
          <w:rFonts w:hint="eastAsia" w:ascii="宋体" w:hAnsi="宋体" w:eastAsia="宋体" w:cs="宋体"/>
          <w:b w:val="0"/>
          <w:i w:val="0"/>
          <w:color w:val="auto"/>
          <w:spacing w:val="0"/>
          <w:sz w:val="24"/>
          <w:highlight w:val="none"/>
          <w:lang w:eastAsia="zh-CN"/>
        </w:rPr>
        <w:t>情况</w:t>
      </w:r>
      <w:r>
        <w:rPr>
          <w:rFonts w:ascii="宋体" w:hAnsi="宋体" w:eastAsia="宋体" w:cs="宋体"/>
          <w:b w:val="0"/>
          <w:i w:val="0"/>
          <w:color w:val="auto"/>
          <w:spacing w:val="0"/>
          <w:sz w:val="24"/>
          <w:highlight w:val="none"/>
        </w:rPr>
        <w:t>报告</w:t>
      </w:r>
    </w:p>
    <w:p w14:paraId="2A5BEF91">
      <w:pPr>
        <w:pageBreakBefore w:val="0"/>
        <w:numPr>
          <w:ilvl w:val="0"/>
          <w:numId w:val="4"/>
        </w:numPr>
        <w:wordWrap/>
        <w:spacing w:before="160" w:after="0"/>
        <w:ind w:left="440" w:right="0" w:hanging="440"/>
        <w:jc w:val="left"/>
        <w:textAlignment w:val="auto"/>
        <w:rPr>
          <w:color w:val="auto"/>
          <w:sz w:val="24"/>
          <w:highlight w:val="none"/>
        </w:rPr>
      </w:pPr>
      <w:r>
        <w:rPr>
          <w:rFonts w:ascii="宋体" w:hAnsi="宋体" w:eastAsia="宋体" w:cs="宋体"/>
          <w:b w:val="0"/>
          <w:i w:val="0"/>
          <w:color w:val="auto"/>
          <w:spacing w:val="0"/>
          <w:sz w:val="24"/>
          <w:highlight w:val="none"/>
        </w:rPr>
        <w:t>驻场人员考勤</w:t>
      </w:r>
      <w:r>
        <w:rPr>
          <w:rFonts w:hint="eastAsia" w:ascii="宋体" w:hAnsi="宋体" w:eastAsia="宋体" w:cs="宋体"/>
          <w:b w:val="0"/>
          <w:i w:val="0"/>
          <w:color w:val="auto"/>
          <w:spacing w:val="0"/>
          <w:sz w:val="24"/>
          <w:highlight w:val="none"/>
          <w:lang w:eastAsia="zh-CN"/>
        </w:rPr>
        <w:t>情况表、</w:t>
      </w:r>
      <w:r>
        <w:rPr>
          <w:rFonts w:ascii="宋体" w:hAnsi="宋体" w:eastAsia="宋体" w:cs="宋体"/>
          <w:b w:val="0"/>
          <w:i w:val="0"/>
          <w:color w:val="auto"/>
          <w:spacing w:val="0"/>
          <w:sz w:val="24"/>
          <w:highlight w:val="none"/>
        </w:rPr>
        <w:t>社保缴纳证明</w:t>
      </w:r>
      <w:r>
        <w:rPr>
          <w:rFonts w:hint="eastAsia" w:ascii="宋体" w:hAnsi="宋体" w:eastAsia="宋体" w:cs="宋体"/>
          <w:b w:val="0"/>
          <w:i w:val="0"/>
          <w:color w:val="auto"/>
          <w:spacing w:val="0"/>
          <w:sz w:val="24"/>
          <w:highlight w:val="none"/>
          <w:lang w:eastAsia="zh-CN"/>
        </w:rPr>
        <w:t>、驻场人员保密协议</w:t>
      </w:r>
    </w:p>
    <w:p w14:paraId="13264C84">
      <w:pPr>
        <w:pageBreakBefore w:val="0"/>
        <w:numPr>
          <w:ilvl w:val="0"/>
          <w:numId w:val="4"/>
        </w:numPr>
        <w:wordWrap/>
        <w:spacing w:before="160" w:after="0"/>
        <w:ind w:left="440" w:right="0" w:hanging="440"/>
        <w:jc w:val="left"/>
        <w:textAlignment w:val="auto"/>
        <w:rPr>
          <w:color w:val="auto"/>
          <w:sz w:val="24"/>
          <w:highlight w:val="none"/>
        </w:rPr>
      </w:pPr>
      <w:r>
        <w:rPr>
          <w:rFonts w:ascii="宋体" w:hAnsi="宋体" w:eastAsia="宋体" w:cs="宋体"/>
          <w:b w:val="0"/>
          <w:i w:val="0"/>
          <w:color w:val="auto"/>
          <w:spacing w:val="0"/>
          <w:sz w:val="24"/>
          <w:highlight w:val="none"/>
        </w:rPr>
        <w:t>运维过程文档汇编（</w:t>
      </w:r>
      <w:r>
        <w:rPr>
          <w:rFonts w:hint="eastAsia" w:ascii="宋体" w:hAnsi="宋体" w:eastAsia="宋体" w:cs="宋体"/>
          <w:b w:val="0"/>
          <w:i w:val="0"/>
          <w:color w:val="auto"/>
          <w:spacing w:val="0"/>
          <w:sz w:val="24"/>
          <w:highlight w:val="none"/>
          <w:lang w:eastAsia="zh-CN"/>
        </w:rPr>
        <w:t>季度运维工作报告</w:t>
      </w:r>
      <w:r>
        <w:rPr>
          <w:rFonts w:ascii="宋体" w:hAnsi="宋体" w:eastAsia="宋体" w:cs="宋体"/>
          <w:b w:val="0"/>
          <w:i w:val="0"/>
          <w:color w:val="auto"/>
          <w:spacing w:val="0"/>
          <w:sz w:val="24"/>
          <w:highlight w:val="none"/>
        </w:rPr>
        <w:t>、</w:t>
      </w:r>
      <w:r>
        <w:rPr>
          <w:rFonts w:hint="eastAsia" w:ascii="宋体" w:hAnsi="宋体" w:eastAsia="宋体" w:cs="宋体"/>
          <w:b w:val="0"/>
          <w:i w:val="0"/>
          <w:color w:val="auto"/>
          <w:spacing w:val="0"/>
          <w:sz w:val="24"/>
          <w:highlight w:val="none"/>
          <w:lang w:eastAsia="zh-CN"/>
        </w:rPr>
        <w:t>系统相关</w:t>
      </w:r>
      <w:r>
        <w:rPr>
          <w:rFonts w:ascii="宋体" w:hAnsi="宋体" w:eastAsia="宋体" w:cs="宋体"/>
          <w:b w:val="0"/>
          <w:i w:val="0"/>
          <w:color w:val="auto"/>
          <w:spacing w:val="0"/>
          <w:sz w:val="24"/>
          <w:highlight w:val="none"/>
        </w:rPr>
        <w:t>巡检</w:t>
      </w:r>
      <w:r>
        <w:rPr>
          <w:rFonts w:hint="eastAsia" w:ascii="宋体" w:hAnsi="宋体" w:eastAsia="宋体" w:cs="宋体"/>
          <w:b w:val="0"/>
          <w:i w:val="0"/>
          <w:color w:val="auto"/>
          <w:spacing w:val="0"/>
          <w:sz w:val="24"/>
          <w:highlight w:val="none"/>
          <w:lang w:eastAsia="zh-CN"/>
        </w:rPr>
        <w:t>记录及截图</w:t>
      </w:r>
      <w:r>
        <w:rPr>
          <w:rFonts w:ascii="宋体" w:hAnsi="宋体" w:eastAsia="宋体" w:cs="宋体"/>
          <w:b w:val="0"/>
          <w:i w:val="0"/>
          <w:color w:val="auto"/>
          <w:spacing w:val="0"/>
          <w:sz w:val="24"/>
          <w:highlight w:val="none"/>
        </w:rPr>
        <w:t>、故障</w:t>
      </w:r>
      <w:r>
        <w:rPr>
          <w:rFonts w:hint="eastAsia" w:ascii="宋体" w:hAnsi="宋体" w:eastAsia="宋体" w:cs="宋体"/>
          <w:b w:val="0"/>
          <w:i w:val="0"/>
          <w:color w:val="auto"/>
          <w:spacing w:val="0"/>
          <w:sz w:val="24"/>
          <w:highlight w:val="none"/>
          <w:lang w:eastAsia="zh-CN"/>
        </w:rPr>
        <w:t>问题处置情况说明</w:t>
      </w:r>
      <w:r>
        <w:rPr>
          <w:rFonts w:ascii="宋体" w:hAnsi="宋体" w:eastAsia="宋体" w:cs="宋体"/>
          <w:b w:val="0"/>
          <w:i w:val="0"/>
          <w:color w:val="auto"/>
          <w:spacing w:val="0"/>
          <w:sz w:val="24"/>
          <w:highlight w:val="none"/>
        </w:rPr>
        <w:t>等）</w:t>
      </w:r>
    </w:p>
    <w:p w14:paraId="5A29E488">
      <w:pPr>
        <w:pageBreakBefore w:val="0"/>
        <w:numPr>
          <w:ilvl w:val="0"/>
          <w:numId w:val="4"/>
        </w:numPr>
        <w:wordWrap/>
        <w:spacing w:before="160" w:after="0"/>
        <w:ind w:left="440" w:right="0" w:hanging="440"/>
        <w:jc w:val="left"/>
        <w:textAlignment w:val="auto"/>
        <w:rPr>
          <w:color w:val="auto"/>
          <w:sz w:val="24"/>
          <w:highlight w:val="none"/>
        </w:rPr>
      </w:pPr>
      <w:r>
        <w:rPr>
          <w:rFonts w:hint="eastAsia" w:ascii="宋体" w:hAnsi="宋体" w:eastAsia="宋体" w:cs="宋体"/>
          <w:b w:val="0"/>
          <w:i w:val="0"/>
          <w:color w:val="auto"/>
          <w:spacing w:val="0"/>
          <w:sz w:val="24"/>
          <w:highlight w:val="none"/>
          <w:lang w:eastAsia="zh-CN"/>
        </w:rPr>
        <w:t>需求功能改进和交付记录表、</w:t>
      </w:r>
      <w:r>
        <w:rPr>
          <w:rFonts w:ascii="宋体" w:hAnsi="宋体" w:eastAsia="宋体" w:cs="宋体"/>
          <w:b w:val="0"/>
          <w:i w:val="0"/>
          <w:color w:val="auto"/>
          <w:spacing w:val="0"/>
          <w:sz w:val="24"/>
          <w:highlight w:val="none"/>
        </w:rPr>
        <w:t>培训记录</w:t>
      </w:r>
      <w:r>
        <w:rPr>
          <w:rFonts w:hint="eastAsia" w:ascii="宋体" w:hAnsi="宋体" w:eastAsia="宋体" w:cs="宋体"/>
          <w:b w:val="0"/>
          <w:i w:val="0"/>
          <w:color w:val="auto"/>
          <w:spacing w:val="0"/>
          <w:sz w:val="24"/>
          <w:highlight w:val="none"/>
          <w:lang w:eastAsia="zh-CN"/>
        </w:rPr>
        <w:t>、应急演练登记表</w:t>
      </w:r>
    </w:p>
    <w:p w14:paraId="64153E6B">
      <w:pPr>
        <w:pageBreakBefore w:val="0"/>
        <w:numPr>
          <w:ilvl w:val="0"/>
          <w:numId w:val="4"/>
        </w:numPr>
        <w:wordWrap/>
        <w:spacing w:before="160" w:after="0"/>
        <w:ind w:left="440" w:right="0" w:hanging="440"/>
        <w:jc w:val="left"/>
        <w:textAlignment w:val="auto"/>
        <w:rPr>
          <w:color w:val="auto"/>
          <w:sz w:val="24"/>
          <w:highlight w:val="none"/>
        </w:rPr>
      </w:pPr>
      <w:r>
        <w:rPr>
          <w:rFonts w:hint="eastAsia" w:ascii="宋体" w:hAnsi="宋体" w:eastAsia="宋体" w:cs="宋体"/>
          <w:b w:val="0"/>
          <w:i w:val="0"/>
          <w:color w:val="auto"/>
          <w:spacing w:val="0"/>
          <w:sz w:val="24"/>
          <w:highlight w:val="none"/>
          <w:lang w:eastAsia="zh-CN"/>
        </w:rPr>
        <w:t>驻场运维服务用户评价表（不低于</w:t>
      </w:r>
      <w:r>
        <w:rPr>
          <w:rFonts w:hint="eastAsia" w:ascii="宋体" w:hAnsi="宋体" w:eastAsia="宋体" w:cs="宋体"/>
          <w:b w:val="0"/>
          <w:i w:val="0"/>
          <w:color w:val="auto"/>
          <w:spacing w:val="0"/>
          <w:sz w:val="24"/>
          <w:highlight w:val="none"/>
          <w:lang w:val="en-US" w:eastAsia="zh-CN"/>
        </w:rPr>
        <w:t>5份</w:t>
      </w:r>
      <w:r>
        <w:rPr>
          <w:rFonts w:hint="eastAsia" w:ascii="宋体" w:hAnsi="宋体" w:eastAsia="宋体" w:cs="宋体"/>
          <w:b w:val="0"/>
          <w:i w:val="0"/>
          <w:color w:val="auto"/>
          <w:spacing w:val="0"/>
          <w:sz w:val="24"/>
          <w:highlight w:val="none"/>
          <w:lang w:eastAsia="zh-CN"/>
        </w:rPr>
        <w:t>）</w:t>
      </w:r>
    </w:p>
    <w:p w14:paraId="0A9E0AC3">
      <w:pPr>
        <w:pageBreakBefore w:val="0"/>
        <w:numPr>
          <w:ilvl w:val="0"/>
          <w:numId w:val="4"/>
        </w:numPr>
        <w:wordWrap/>
        <w:spacing w:before="160" w:after="0"/>
        <w:ind w:left="440" w:right="0" w:hanging="440"/>
        <w:jc w:val="left"/>
        <w:textAlignment w:val="auto"/>
        <w:rPr>
          <w:color w:val="auto"/>
          <w:sz w:val="24"/>
          <w:highlight w:val="none"/>
        </w:rPr>
      </w:pPr>
      <w:r>
        <w:rPr>
          <w:rFonts w:hint="eastAsia" w:ascii="宋体" w:hAnsi="宋体" w:eastAsia="宋体" w:cs="宋体"/>
          <w:b w:val="0"/>
          <w:i w:val="0"/>
          <w:color w:val="auto"/>
          <w:spacing w:val="0"/>
          <w:sz w:val="24"/>
          <w:highlight w:val="none"/>
          <w:lang w:eastAsia="zh-CN"/>
        </w:rPr>
        <w:t>其他认为与本次项目验收相关材料文档。</w:t>
      </w:r>
    </w:p>
    <w:p w14:paraId="3A5CA561">
      <w:pPr>
        <w:pageBreakBefore w:val="0"/>
        <w:wordWrap/>
        <w:spacing w:before="160" w:after="0"/>
        <w:ind w:left="0" w:right="0"/>
        <w:jc w:val="both"/>
        <w:textAlignment w:val="auto"/>
        <w:rPr>
          <w:rFonts w:ascii="宋体" w:hAnsi="宋体" w:eastAsia="宋体" w:cs="宋体"/>
          <w:b/>
          <w:i w:val="0"/>
          <w:color w:val="auto"/>
          <w:spacing w:val="0"/>
          <w:sz w:val="28"/>
          <w:highlight w:val="none"/>
        </w:rPr>
      </w:pPr>
    </w:p>
    <w:p w14:paraId="2BD9FEFF">
      <w:pPr>
        <w:pageBreakBefore w:val="0"/>
        <w:wordWrap/>
        <w:spacing w:before="160" w:after="0"/>
        <w:ind w:left="0" w:right="0"/>
        <w:jc w:val="center"/>
        <w:textAlignment w:val="auto"/>
        <w:rPr>
          <w:rFonts w:ascii="宋体" w:hAnsi="宋体" w:eastAsia="宋体" w:cs="宋体"/>
          <w:b/>
          <w:i w:val="0"/>
          <w:color w:val="auto"/>
          <w:spacing w:val="0"/>
          <w:sz w:val="28"/>
          <w:highlight w:val="none"/>
        </w:rPr>
      </w:pPr>
    </w:p>
    <w:p w14:paraId="2DEA1288">
      <w:pPr>
        <w:pageBreakBefore w:val="0"/>
        <w:wordWrap/>
        <w:spacing w:before="160" w:after="0"/>
        <w:ind w:left="0" w:right="0"/>
        <w:jc w:val="center"/>
        <w:textAlignment w:val="auto"/>
        <w:rPr>
          <w:rFonts w:hint="eastAsia" w:ascii="宋体" w:hAnsi="宋体" w:eastAsia="宋体" w:cs="宋体"/>
          <w:b/>
          <w:i w:val="0"/>
          <w:color w:val="auto"/>
          <w:spacing w:val="0"/>
          <w:sz w:val="28"/>
          <w:highlight w:val="none"/>
          <w:lang w:eastAsia="zh-CN"/>
        </w:rPr>
      </w:pPr>
      <w:r>
        <w:rPr>
          <w:rFonts w:hint="eastAsia" w:ascii="宋体" w:hAnsi="宋体" w:eastAsia="宋体" w:cs="宋体"/>
          <w:b/>
          <w:i w:val="0"/>
          <w:color w:val="auto"/>
          <w:spacing w:val="0"/>
          <w:sz w:val="28"/>
          <w:highlight w:val="none"/>
        </w:rPr>
        <w:t>信访信息管理与服务平台</w:t>
      </w:r>
      <w:r>
        <w:rPr>
          <w:rFonts w:ascii="宋体" w:hAnsi="宋体" w:eastAsia="宋体" w:cs="宋体"/>
          <w:b/>
          <w:i w:val="0"/>
          <w:color w:val="auto"/>
          <w:spacing w:val="0"/>
          <w:sz w:val="28"/>
          <w:highlight w:val="none"/>
        </w:rPr>
        <w:t>驻场运维服务</w:t>
      </w:r>
      <w:r>
        <w:rPr>
          <w:rFonts w:hint="eastAsia" w:ascii="宋体" w:hAnsi="宋体" w:eastAsia="宋体" w:cs="宋体"/>
          <w:b/>
          <w:i w:val="0"/>
          <w:color w:val="auto"/>
          <w:spacing w:val="0"/>
          <w:sz w:val="28"/>
          <w:highlight w:val="none"/>
          <w:lang w:eastAsia="zh-CN"/>
        </w:rPr>
        <w:t>核验项</w:t>
      </w:r>
    </w:p>
    <w:p w14:paraId="52F7D32B">
      <w:pPr>
        <w:pageBreakBefore w:val="0"/>
        <w:wordWrap/>
        <w:spacing w:before="160" w:after="0"/>
        <w:ind w:left="0" w:right="0"/>
        <w:jc w:val="left"/>
        <w:textAlignment w:val="auto"/>
        <w:rPr>
          <w:rFonts w:ascii="宋体" w:hAnsi="宋体" w:eastAsia="宋体" w:cs="宋体"/>
          <w:b/>
          <w:i w:val="0"/>
          <w:color w:val="auto"/>
          <w:spacing w:val="0"/>
          <w:sz w:val="24"/>
          <w:highlight w:val="none"/>
        </w:rPr>
      </w:pPr>
    </w:p>
    <w:p w14:paraId="4A9B638F">
      <w:pPr>
        <w:pageBreakBefore w:val="0"/>
        <w:wordWrap/>
        <w:spacing w:before="160" w:after="0"/>
        <w:ind w:left="0" w:right="0"/>
        <w:jc w:val="left"/>
        <w:textAlignment w:val="auto"/>
        <w:rPr>
          <w:color w:val="auto"/>
          <w:sz w:val="24"/>
          <w:highlight w:val="none"/>
        </w:rPr>
      </w:pPr>
      <w:r>
        <w:rPr>
          <w:rFonts w:ascii="宋体" w:hAnsi="宋体" w:eastAsia="宋体" w:cs="宋体"/>
          <w:b/>
          <w:i w:val="0"/>
          <w:color w:val="auto"/>
          <w:spacing w:val="0"/>
          <w:sz w:val="24"/>
          <w:highlight w:val="none"/>
        </w:rPr>
        <w:t>一、 基础合规与合同履约核验</w:t>
      </w:r>
    </w:p>
    <w:p w14:paraId="41B4EE18">
      <w:pPr>
        <w:pageBreakBefore w:val="0"/>
        <w:numPr>
          <w:ilvl w:val="0"/>
          <w:numId w:val="5"/>
        </w:numPr>
        <w:wordWrap/>
        <w:spacing w:before="160" w:after="0"/>
        <w:ind w:left="440" w:right="0" w:hanging="440"/>
        <w:jc w:val="left"/>
        <w:textAlignment w:val="auto"/>
        <w:rPr>
          <w:color w:val="auto"/>
          <w:sz w:val="24"/>
          <w:highlight w:val="none"/>
        </w:rPr>
      </w:pPr>
      <w:r>
        <w:rPr>
          <w:rFonts w:ascii="宋体" w:hAnsi="宋体" w:eastAsia="宋体" w:cs="宋体"/>
          <w:b/>
          <w:i w:val="0"/>
          <w:color w:val="auto"/>
          <w:spacing w:val="0"/>
          <w:sz w:val="24"/>
          <w:highlight w:val="none"/>
        </w:rPr>
        <w:t>服务周期与人员核对</w:t>
      </w:r>
      <w:r>
        <w:rPr>
          <w:rFonts w:ascii="宋体" w:hAnsi="宋体" w:eastAsia="宋体" w:cs="宋体"/>
          <w:b w:val="0"/>
          <w:i w:val="0"/>
          <w:color w:val="auto"/>
          <w:spacing w:val="0"/>
          <w:sz w:val="24"/>
          <w:highlight w:val="none"/>
        </w:rPr>
        <w:t>：核对实际驻场服务周期是否与合同约定一致；核实驻场人员数量、资质、社保缴纳证明及人员稳定性（是否存在未经审批的频繁换人）。</w:t>
      </w:r>
    </w:p>
    <w:p w14:paraId="3A0DC7C0">
      <w:pPr>
        <w:pageBreakBefore w:val="0"/>
        <w:numPr>
          <w:ilvl w:val="0"/>
          <w:numId w:val="5"/>
        </w:numPr>
        <w:wordWrap/>
        <w:spacing w:before="160" w:after="0"/>
        <w:ind w:left="440" w:right="0" w:hanging="440"/>
        <w:jc w:val="left"/>
        <w:textAlignment w:val="auto"/>
        <w:rPr>
          <w:color w:val="auto"/>
          <w:sz w:val="24"/>
          <w:highlight w:val="none"/>
        </w:rPr>
      </w:pPr>
      <w:r>
        <w:rPr>
          <w:rFonts w:ascii="宋体" w:hAnsi="宋体" w:eastAsia="宋体" w:cs="宋体"/>
          <w:b/>
          <w:i w:val="0"/>
          <w:color w:val="auto"/>
          <w:spacing w:val="0"/>
          <w:sz w:val="24"/>
          <w:highlight w:val="none"/>
        </w:rPr>
        <w:t>服务时间达标情况</w:t>
      </w:r>
      <w:r>
        <w:rPr>
          <w:rFonts w:ascii="宋体" w:hAnsi="宋体" w:eastAsia="宋体" w:cs="宋体"/>
          <w:b w:val="0"/>
          <w:i w:val="0"/>
          <w:color w:val="auto"/>
          <w:spacing w:val="0"/>
          <w:sz w:val="24"/>
          <w:highlight w:val="none"/>
        </w:rPr>
        <w:t>：核查是否满足合同约定的服务响应时间要求（如7×24小时热线支持、5×8小时现场驻场、法定节假日值守等）。</w:t>
      </w:r>
    </w:p>
    <w:p w14:paraId="6C756ECF">
      <w:pPr>
        <w:pageBreakBefore w:val="0"/>
        <w:numPr>
          <w:ilvl w:val="0"/>
          <w:numId w:val="5"/>
        </w:numPr>
        <w:wordWrap/>
        <w:spacing w:before="160" w:after="0"/>
        <w:ind w:left="440" w:right="0" w:hanging="440"/>
        <w:jc w:val="left"/>
        <w:textAlignment w:val="auto"/>
        <w:rPr>
          <w:color w:val="auto"/>
          <w:sz w:val="24"/>
          <w:highlight w:val="none"/>
        </w:rPr>
      </w:pPr>
      <w:r>
        <w:rPr>
          <w:rFonts w:ascii="宋体" w:hAnsi="宋体" w:eastAsia="宋体" w:cs="宋体"/>
          <w:b/>
          <w:i w:val="0"/>
          <w:color w:val="auto"/>
          <w:spacing w:val="0"/>
          <w:sz w:val="24"/>
          <w:highlight w:val="none"/>
        </w:rPr>
        <w:t>保密与合规协议</w:t>
      </w:r>
      <w:r>
        <w:rPr>
          <w:rFonts w:ascii="宋体" w:hAnsi="宋体" w:eastAsia="宋体" w:cs="宋体"/>
          <w:b w:val="0"/>
          <w:i w:val="0"/>
          <w:color w:val="auto"/>
          <w:spacing w:val="0"/>
          <w:sz w:val="24"/>
          <w:highlight w:val="none"/>
        </w:rPr>
        <w:t>：检查驻场人员是否签署保密协议，是否通过采购方背景审查，是否严格遵守采购方现场纪律与信息安全管理制度。</w:t>
      </w:r>
    </w:p>
    <w:p w14:paraId="3028652A">
      <w:pPr>
        <w:pageBreakBefore w:val="0"/>
        <w:wordWrap/>
        <w:spacing w:before="160" w:after="0"/>
        <w:ind w:left="0" w:right="0"/>
        <w:jc w:val="left"/>
        <w:textAlignment w:val="auto"/>
        <w:rPr>
          <w:color w:val="auto"/>
          <w:sz w:val="24"/>
          <w:highlight w:val="none"/>
        </w:rPr>
      </w:pPr>
      <w:r>
        <w:rPr>
          <w:rFonts w:ascii="宋体" w:hAnsi="宋体" w:eastAsia="宋体" w:cs="宋体"/>
          <w:b/>
          <w:i w:val="0"/>
          <w:color w:val="auto"/>
          <w:spacing w:val="0"/>
          <w:sz w:val="24"/>
          <w:highlight w:val="none"/>
        </w:rPr>
        <w:t>二、 日常运维与故障处理成效</w:t>
      </w:r>
    </w:p>
    <w:p w14:paraId="0F8E9F4B">
      <w:pPr>
        <w:pageBreakBefore w:val="0"/>
        <w:numPr>
          <w:ilvl w:val="0"/>
          <w:numId w:val="6"/>
        </w:numPr>
        <w:wordWrap/>
        <w:spacing w:before="160" w:after="0"/>
        <w:ind w:left="440" w:right="0" w:hanging="440"/>
        <w:jc w:val="left"/>
        <w:textAlignment w:val="auto"/>
        <w:rPr>
          <w:color w:val="auto"/>
          <w:sz w:val="24"/>
          <w:highlight w:val="none"/>
        </w:rPr>
      </w:pPr>
      <w:r>
        <w:rPr>
          <w:rFonts w:ascii="宋体" w:hAnsi="宋体" w:eastAsia="宋体" w:cs="宋体"/>
          <w:b/>
          <w:i w:val="0"/>
          <w:color w:val="auto"/>
          <w:spacing w:val="0"/>
          <w:sz w:val="24"/>
          <w:highlight w:val="none"/>
        </w:rPr>
        <w:t>系统运行指标</w:t>
      </w:r>
      <w:r>
        <w:rPr>
          <w:rFonts w:ascii="宋体" w:hAnsi="宋体" w:eastAsia="宋体" w:cs="宋体"/>
          <w:b w:val="0"/>
          <w:i w:val="0"/>
          <w:color w:val="auto"/>
          <w:spacing w:val="0"/>
          <w:sz w:val="24"/>
          <w:highlight w:val="none"/>
        </w:rPr>
        <w:t>：评估核心业务系统、数据库、网络及硬件设备的运行可用性（如月度/年度系统停机时间是否达标，资源利用率是否在合理阈值内）。</w:t>
      </w:r>
    </w:p>
    <w:p w14:paraId="08B4CACA">
      <w:pPr>
        <w:pageBreakBefore w:val="0"/>
        <w:numPr>
          <w:ilvl w:val="0"/>
          <w:numId w:val="6"/>
        </w:numPr>
        <w:wordWrap/>
        <w:spacing w:before="160" w:after="0"/>
        <w:ind w:left="440" w:right="0" w:hanging="440"/>
        <w:jc w:val="left"/>
        <w:textAlignment w:val="auto"/>
        <w:rPr>
          <w:color w:val="auto"/>
          <w:sz w:val="24"/>
          <w:highlight w:val="none"/>
        </w:rPr>
      </w:pPr>
      <w:r>
        <w:rPr>
          <w:rFonts w:ascii="宋体" w:hAnsi="宋体" w:eastAsia="宋体" w:cs="宋体"/>
          <w:b/>
          <w:i w:val="0"/>
          <w:color w:val="auto"/>
          <w:spacing w:val="0"/>
          <w:sz w:val="24"/>
          <w:highlight w:val="none"/>
        </w:rPr>
        <w:t>事件与故障处理</w:t>
      </w:r>
      <w:r>
        <w:rPr>
          <w:rFonts w:ascii="宋体" w:hAnsi="宋体" w:eastAsia="宋体" w:cs="宋体"/>
          <w:b w:val="0"/>
          <w:i w:val="0"/>
          <w:color w:val="auto"/>
          <w:spacing w:val="0"/>
          <w:sz w:val="24"/>
          <w:highlight w:val="none"/>
        </w:rPr>
        <w:t>：统计各类故障及事件的发生数量、响应时效与解决率；核查重大故障的根本原因分析（RCA）报告及后续预防整改措施的落实情况。</w:t>
      </w:r>
    </w:p>
    <w:p w14:paraId="2D46CB10">
      <w:pPr>
        <w:pageBreakBefore w:val="0"/>
        <w:numPr>
          <w:ilvl w:val="0"/>
          <w:numId w:val="6"/>
        </w:numPr>
        <w:wordWrap/>
        <w:spacing w:before="160" w:after="0"/>
        <w:ind w:left="440" w:right="0" w:hanging="440"/>
        <w:jc w:val="left"/>
        <w:textAlignment w:val="auto"/>
        <w:rPr>
          <w:color w:val="auto"/>
          <w:sz w:val="24"/>
          <w:highlight w:val="none"/>
        </w:rPr>
      </w:pPr>
      <w:r>
        <w:rPr>
          <w:rFonts w:ascii="宋体" w:hAnsi="宋体" w:eastAsia="宋体" w:cs="宋体"/>
          <w:b/>
          <w:i w:val="0"/>
          <w:color w:val="auto"/>
          <w:spacing w:val="0"/>
          <w:sz w:val="24"/>
          <w:highlight w:val="none"/>
        </w:rPr>
        <w:t>日常巡检与预防</w:t>
      </w:r>
      <w:r>
        <w:rPr>
          <w:rFonts w:ascii="宋体" w:hAnsi="宋体" w:eastAsia="宋体" w:cs="宋体"/>
          <w:b w:val="0"/>
          <w:i w:val="0"/>
          <w:color w:val="auto"/>
          <w:spacing w:val="0"/>
          <w:sz w:val="24"/>
          <w:highlight w:val="none"/>
        </w:rPr>
        <w:t>：核查日常巡检记录的完整性与真实性；评估主动发现并消除系统隐患的次数及成效。</w:t>
      </w:r>
    </w:p>
    <w:p w14:paraId="1461D89A">
      <w:pPr>
        <w:pageBreakBefore w:val="0"/>
        <w:numPr>
          <w:ilvl w:val="0"/>
          <w:numId w:val="6"/>
        </w:numPr>
        <w:wordWrap/>
        <w:spacing w:before="160" w:after="0"/>
        <w:ind w:left="440" w:right="0" w:hanging="440"/>
        <w:jc w:val="left"/>
        <w:textAlignment w:val="auto"/>
        <w:rPr>
          <w:color w:val="auto"/>
          <w:sz w:val="24"/>
          <w:highlight w:val="none"/>
        </w:rPr>
      </w:pPr>
      <w:r>
        <w:rPr>
          <w:rFonts w:ascii="宋体" w:hAnsi="宋体" w:eastAsia="宋体" w:cs="宋体"/>
          <w:b/>
          <w:i w:val="0"/>
          <w:color w:val="auto"/>
          <w:spacing w:val="0"/>
          <w:sz w:val="24"/>
          <w:highlight w:val="none"/>
        </w:rPr>
        <w:t>数据备份与安全</w:t>
      </w:r>
      <w:r>
        <w:rPr>
          <w:rFonts w:ascii="宋体" w:hAnsi="宋体" w:eastAsia="宋体" w:cs="宋体"/>
          <w:b w:val="0"/>
          <w:i w:val="0"/>
          <w:color w:val="auto"/>
          <w:spacing w:val="0"/>
          <w:sz w:val="24"/>
          <w:highlight w:val="none"/>
        </w:rPr>
        <w:t>：验证数据备份策略的执行情况（备份成功率100%），并核查是否定期开展数据恢复演练以验证备份有效性。</w:t>
      </w:r>
    </w:p>
    <w:p w14:paraId="6B987D43">
      <w:pPr>
        <w:pageBreakBefore w:val="0"/>
        <w:wordWrap/>
        <w:spacing w:before="160" w:after="0"/>
        <w:ind w:left="0" w:right="0"/>
        <w:jc w:val="left"/>
        <w:textAlignment w:val="auto"/>
        <w:rPr>
          <w:color w:val="auto"/>
          <w:sz w:val="24"/>
          <w:highlight w:val="none"/>
        </w:rPr>
      </w:pPr>
      <w:r>
        <w:rPr>
          <w:rFonts w:ascii="宋体" w:hAnsi="宋体" w:eastAsia="宋体" w:cs="宋体"/>
          <w:b/>
          <w:i w:val="0"/>
          <w:color w:val="auto"/>
          <w:spacing w:val="0"/>
          <w:sz w:val="24"/>
          <w:highlight w:val="none"/>
        </w:rPr>
        <w:t>三、 定制化开发与变更管理</w:t>
      </w:r>
    </w:p>
    <w:p w14:paraId="2C08B00C">
      <w:pPr>
        <w:pageBreakBefore w:val="0"/>
        <w:numPr>
          <w:ilvl w:val="0"/>
          <w:numId w:val="7"/>
        </w:numPr>
        <w:wordWrap/>
        <w:spacing w:before="160" w:after="0"/>
        <w:ind w:left="440" w:right="0" w:hanging="440"/>
        <w:jc w:val="left"/>
        <w:textAlignment w:val="auto"/>
        <w:rPr>
          <w:color w:val="auto"/>
          <w:sz w:val="24"/>
          <w:highlight w:val="none"/>
        </w:rPr>
      </w:pPr>
      <w:r>
        <w:rPr>
          <w:rFonts w:ascii="宋体" w:hAnsi="宋体" w:eastAsia="宋体" w:cs="宋体"/>
          <w:b/>
          <w:i w:val="0"/>
          <w:color w:val="auto"/>
          <w:spacing w:val="0"/>
          <w:sz w:val="24"/>
          <w:highlight w:val="none"/>
        </w:rPr>
        <w:t>需求响应与开发</w:t>
      </w:r>
      <w:r>
        <w:rPr>
          <w:rFonts w:ascii="宋体" w:hAnsi="宋体" w:eastAsia="宋体" w:cs="宋体"/>
          <w:b w:val="0"/>
          <w:i w:val="0"/>
          <w:color w:val="auto"/>
          <w:spacing w:val="0"/>
          <w:sz w:val="24"/>
          <w:highlight w:val="none"/>
        </w:rPr>
        <w:t>：评估合同范围内的小规模定制开发、流程优化及接口对接工作的完成进度与质量。</w:t>
      </w:r>
    </w:p>
    <w:p w14:paraId="07DDB91C">
      <w:pPr>
        <w:pageBreakBefore w:val="0"/>
        <w:numPr>
          <w:ilvl w:val="0"/>
          <w:numId w:val="7"/>
        </w:numPr>
        <w:wordWrap/>
        <w:spacing w:before="160" w:after="0"/>
        <w:ind w:left="440" w:right="0" w:hanging="440"/>
        <w:jc w:val="left"/>
        <w:textAlignment w:val="auto"/>
        <w:rPr>
          <w:color w:val="auto"/>
          <w:sz w:val="24"/>
          <w:highlight w:val="none"/>
        </w:rPr>
      </w:pPr>
      <w:r>
        <w:rPr>
          <w:rFonts w:ascii="宋体" w:hAnsi="宋体" w:eastAsia="宋体" w:cs="宋体"/>
          <w:b/>
          <w:i w:val="0"/>
          <w:color w:val="auto"/>
          <w:spacing w:val="0"/>
          <w:sz w:val="24"/>
          <w:highlight w:val="none"/>
        </w:rPr>
        <w:t>变更与配置管理</w:t>
      </w:r>
      <w:r>
        <w:rPr>
          <w:rFonts w:ascii="宋体" w:hAnsi="宋体" w:eastAsia="宋体" w:cs="宋体"/>
          <w:b w:val="0"/>
          <w:i w:val="0"/>
          <w:color w:val="auto"/>
          <w:spacing w:val="0"/>
          <w:sz w:val="24"/>
          <w:highlight w:val="none"/>
        </w:rPr>
        <w:t>：核查系统升级、补丁安装、配置调整等变更操作是否严格执行审批流程，是否具备事前测试与回退预案，变更成功率是否达标。</w:t>
      </w:r>
    </w:p>
    <w:p w14:paraId="1BD8A542">
      <w:pPr>
        <w:pageBreakBefore w:val="0"/>
        <w:wordWrap/>
        <w:spacing w:before="160" w:after="0"/>
        <w:ind w:left="0" w:right="0"/>
        <w:jc w:val="left"/>
        <w:textAlignment w:val="auto"/>
        <w:rPr>
          <w:color w:val="auto"/>
          <w:sz w:val="24"/>
          <w:highlight w:val="none"/>
        </w:rPr>
      </w:pPr>
      <w:r>
        <w:rPr>
          <w:rFonts w:ascii="宋体" w:hAnsi="宋体" w:eastAsia="宋体" w:cs="宋体"/>
          <w:b/>
          <w:i w:val="0"/>
          <w:color w:val="auto"/>
          <w:spacing w:val="0"/>
          <w:sz w:val="24"/>
          <w:highlight w:val="none"/>
        </w:rPr>
        <w:t>四、 知识转移与文档交付</w:t>
      </w:r>
    </w:p>
    <w:p w14:paraId="1884A658">
      <w:pPr>
        <w:pageBreakBefore w:val="0"/>
        <w:numPr>
          <w:ilvl w:val="0"/>
          <w:numId w:val="8"/>
        </w:numPr>
        <w:wordWrap/>
        <w:spacing w:before="160" w:after="0"/>
        <w:ind w:left="440" w:right="0" w:hanging="440"/>
        <w:jc w:val="left"/>
        <w:textAlignment w:val="auto"/>
        <w:rPr>
          <w:color w:val="auto"/>
          <w:sz w:val="24"/>
          <w:highlight w:val="none"/>
        </w:rPr>
      </w:pPr>
      <w:r>
        <w:rPr>
          <w:rFonts w:ascii="宋体" w:hAnsi="宋体" w:eastAsia="宋体" w:cs="宋体"/>
          <w:b/>
          <w:i w:val="0"/>
          <w:color w:val="auto"/>
          <w:spacing w:val="0"/>
          <w:sz w:val="24"/>
          <w:highlight w:val="none"/>
        </w:rPr>
        <w:t>运维文档完整性</w:t>
      </w:r>
      <w:r>
        <w:rPr>
          <w:rFonts w:ascii="宋体" w:hAnsi="宋体" w:eastAsia="宋体" w:cs="宋体"/>
          <w:b w:val="0"/>
          <w:i w:val="0"/>
          <w:color w:val="auto"/>
          <w:spacing w:val="0"/>
          <w:sz w:val="24"/>
          <w:highlight w:val="none"/>
        </w:rPr>
        <w:t>：核查是否按约定提交《季度/年度运维</w:t>
      </w:r>
      <w:r>
        <w:rPr>
          <w:rFonts w:hint="eastAsia" w:ascii="宋体" w:hAnsi="宋体" w:eastAsia="宋体" w:cs="宋体"/>
          <w:b w:val="0"/>
          <w:i w:val="0"/>
          <w:color w:val="auto"/>
          <w:spacing w:val="0"/>
          <w:sz w:val="24"/>
          <w:highlight w:val="none"/>
          <w:lang w:eastAsia="zh-CN"/>
        </w:rPr>
        <w:t>工作</w:t>
      </w:r>
      <w:r>
        <w:rPr>
          <w:rFonts w:ascii="宋体" w:hAnsi="宋体" w:eastAsia="宋体" w:cs="宋体"/>
          <w:b w:val="0"/>
          <w:i w:val="0"/>
          <w:color w:val="auto"/>
          <w:spacing w:val="0"/>
          <w:sz w:val="24"/>
          <w:highlight w:val="none"/>
        </w:rPr>
        <w:t>报告》、《巡检记录》、《故障处理报告》及《重大配置变更申请》等过程与总结文档。</w:t>
      </w:r>
    </w:p>
    <w:p w14:paraId="41B88D05">
      <w:pPr>
        <w:pageBreakBefore w:val="0"/>
        <w:numPr>
          <w:ilvl w:val="0"/>
          <w:numId w:val="8"/>
        </w:numPr>
        <w:wordWrap/>
        <w:spacing w:before="160" w:after="0"/>
        <w:ind w:left="440" w:right="0" w:hanging="440"/>
        <w:jc w:val="left"/>
        <w:textAlignment w:val="auto"/>
        <w:rPr>
          <w:color w:val="auto"/>
          <w:sz w:val="24"/>
          <w:highlight w:val="none"/>
        </w:rPr>
      </w:pPr>
      <w:r>
        <w:rPr>
          <w:rFonts w:ascii="宋体" w:hAnsi="宋体" w:eastAsia="宋体" w:cs="宋体"/>
          <w:b/>
          <w:i w:val="0"/>
          <w:color w:val="auto"/>
          <w:spacing w:val="0"/>
          <w:sz w:val="24"/>
          <w:highlight w:val="none"/>
        </w:rPr>
        <w:t>知识沉淀与培训</w:t>
      </w:r>
      <w:r>
        <w:rPr>
          <w:rFonts w:ascii="宋体" w:hAnsi="宋体" w:eastAsia="宋体" w:cs="宋体"/>
          <w:b w:val="0"/>
          <w:i w:val="0"/>
          <w:color w:val="auto"/>
          <w:spacing w:val="0"/>
          <w:sz w:val="24"/>
          <w:highlight w:val="none"/>
        </w:rPr>
        <w:t>：评估是否对常见问题进行梳理并形成知识库；核查是否按计划为采购方人员提供系统操作、日常维护等现场培训，并收集培训效果评估反馈。</w:t>
      </w:r>
    </w:p>
    <w:p w14:paraId="26D01E2F">
      <w:pPr>
        <w:pageBreakBefore w:val="0"/>
        <w:numPr>
          <w:ilvl w:val="0"/>
          <w:numId w:val="0"/>
        </w:numPr>
        <w:wordWrap/>
        <w:spacing w:before="160" w:after="0"/>
        <w:ind w:leftChars="0" w:right="0" w:rightChars="0"/>
        <w:jc w:val="left"/>
        <w:textAlignment w:val="auto"/>
        <w:rPr>
          <w:color w:val="auto"/>
          <w:sz w:val="24"/>
          <w:highlight w:val="none"/>
        </w:rPr>
      </w:pPr>
    </w:p>
    <w:p w14:paraId="75E8F14D">
      <w:pPr>
        <w:pageBreakBefore w:val="0"/>
        <w:wordWrap/>
        <w:spacing w:before="160" w:after="0"/>
        <w:ind w:left="0" w:right="0"/>
        <w:jc w:val="left"/>
        <w:textAlignment w:val="auto"/>
        <w:rPr>
          <w:rFonts w:ascii="宋体" w:hAnsi="宋体" w:eastAsia="宋体" w:cs="宋体"/>
          <w:b/>
          <w:i w:val="0"/>
          <w:color w:val="auto"/>
          <w:spacing w:val="0"/>
          <w:sz w:val="28"/>
          <w:highlight w:val="none"/>
        </w:rPr>
      </w:pPr>
    </w:p>
    <w:p w14:paraId="6B58F054">
      <w:pPr>
        <w:pageBreakBefore w:val="0"/>
        <w:wordWrap/>
        <w:spacing w:before="160" w:after="0"/>
        <w:ind w:left="0" w:right="0"/>
        <w:jc w:val="left"/>
        <w:textAlignment w:val="auto"/>
        <w:rPr>
          <w:rFonts w:hint="eastAsia" w:ascii="黑体" w:hAnsi="黑体" w:eastAsia="黑体" w:cs="黑体"/>
          <w:b/>
          <w:i w:val="0"/>
          <w:color w:val="auto"/>
          <w:spacing w:val="0"/>
          <w:sz w:val="24"/>
          <w:highlight w:val="none"/>
          <w:lang w:eastAsia="zh-CN"/>
        </w:rPr>
      </w:pPr>
      <w:r>
        <w:rPr>
          <w:rFonts w:hint="eastAsia" w:ascii="黑体" w:hAnsi="黑体" w:eastAsia="黑体" w:cs="黑体"/>
          <w:b/>
          <w:i w:val="0"/>
          <w:color w:val="auto"/>
          <w:spacing w:val="0"/>
          <w:sz w:val="24"/>
          <w:highlight w:val="none"/>
          <w:lang w:eastAsia="zh-CN"/>
        </w:rPr>
        <w:t>材料一</w:t>
      </w:r>
    </w:p>
    <w:p w14:paraId="32C1BB59">
      <w:pPr>
        <w:pageBreakBefore w:val="0"/>
        <w:wordWrap/>
        <w:spacing w:before="160" w:after="0"/>
        <w:ind w:left="0" w:right="0"/>
        <w:jc w:val="left"/>
        <w:textAlignment w:val="auto"/>
        <w:rPr>
          <w:rFonts w:hint="eastAsia" w:ascii="黑体" w:hAnsi="黑体" w:eastAsia="黑体" w:cs="黑体"/>
          <w:b/>
          <w:i w:val="0"/>
          <w:color w:val="auto"/>
          <w:spacing w:val="0"/>
          <w:sz w:val="24"/>
          <w:highlight w:val="none"/>
          <w:lang w:eastAsia="zh-CN"/>
        </w:rPr>
      </w:pPr>
    </w:p>
    <w:p w14:paraId="409DF222">
      <w:pPr>
        <w:pageBreakBefore w:val="0"/>
        <w:wordWrap/>
        <w:spacing w:before="160" w:after="0"/>
        <w:ind w:left="0" w:right="0"/>
        <w:jc w:val="center"/>
        <w:textAlignment w:val="auto"/>
        <w:rPr>
          <w:rFonts w:hint="eastAsia" w:ascii="黑体" w:hAnsi="黑体" w:eastAsia="黑体" w:cs="黑体"/>
          <w:color w:val="auto"/>
          <w:sz w:val="24"/>
          <w:highlight w:val="none"/>
        </w:rPr>
      </w:pPr>
      <w:r>
        <w:rPr>
          <w:rFonts w:hint="eastAsia" w:ascii="方正小标宋简体" w:hAnsi="方正小标宋简体" w:eastAsia="方正小标宋简体" w:cs="方正小标宋简体"/>
          <w:b w:val="0"/>
          <w:bCs/>
          <w:i w:val="0"/>
          <w:color w:val="auto"/>
          <w:spacing w:val="0"/>
          <w:sz w:val="36"/>
          <w:szCs w:val="32"/>
          <w:highlight w:val="none"/>
          <w:lang w:eastAsia="zh-CN"/>
        </w:rPr>
        <w:t>信息系统驻场运维服务验收申请</w:t>
      </w:r>
    </w:p>
    <w:p w14:paraId="2760ED0B">
      <w:pPr>
        <w:pageBreakBefore w:val="0"/>
        <w:wordWrap/>
        <w:spacing w:before="160" w:after="0"/>
        <w:ind w:left="0" w:right="0"/>
        <w:jc w:val="left"/>
        <w:textAlignment w:val="auto"/>
        <w:rPr>
          <w:color w:val="auto"/>
          <w:sz w:val="24"/>
          <w:highlight w:val="none"/>
        </w:rPr>
      </w:pPr>
      <w:r>
        <w:rPr>
          <w:rFonts w:ascii="宋体" w:hAnsi="宋体" w:eastAsia="宋体" w:cs="宋体"/>
          <w:b/>
          <w:i w:val="0"/>
          <w:color w:val="auto"/>
          <w:spacing w:val="0"/>
          <w:sz w:val="24"/>
          <w:highlight w:val="none"/>
        </w:rPr>
        <w:t>项目名称</w:t>
      </w:r>
      <w:r>
        <w:rPr>
          <w:rFonts w:ascii="宋体" w:hAnsi="宋体" w:eastAsia="宋体" w:cs="宋体"/>
          <w:b w:val="0"/>
          <w:i w:val="0"/>
          <w:color w:val="auto"/>
          <w:spacing w:val="0"/>
          <w:sz w:val="24"/>
          <w:highlight w:val="none"/>
        </w:rPr>
        <w:t>：</w:t>
      </w:r>
    </w:p>
    <w:p w14:paraId="6A3331FF">
      <w:pPr>
        <w:pageBreakBefore w:val="0"/>
        <w:wordWrap/>
        <w:spacing w:before="160" w:after="0"/>
        <w:ind w:left="0" w:right="0"/>
        <w:jc w:val="left"/>
        <w:textAlignment w:val="auto"/>
        <w:rPr>
          <w:color w:val="auto"/>
          <w:sz w:val="24"/>
          <w:highlight w:val="none"/>
        </w:rPr>
      </w:pPr>
      <w:r>
        <w:rPr>
          <w:rFonts w:ascii="宋体" w:hAnsi="宋体" w:eastAsia="宋体" w:cs="宋体"/>
          <w:b/>
          <w:i w:val="0"/>
          <w:color w:val="auto"/>
          <w:spacing w:val="0"/>
          <w:sz w:val="24"/>
          <w:highlight w:val="none"/>
        </w:rPr>
        <w:t>合同编号</w:t>
      </w:r>
      <w:r>
        <w:rPr>
          <w:rFonts w:ascii="宋体" w:hAnsi="宋体" w:eastAsia="宋体" w:cs="宋体"/>
          <w:b w:val="0"/>
          <w:i w:val="0"/>
          <w:color w:val="auto"/>
          <w:spacing w:val="0"/>
          <w:sz w:val="24"/>
          <w:highlight w:val="none"/>
        </w:rPr>
        <w:t>：</w:t>
      </w:r>
    </w:p>
    <w:p w14:paraId="5323952C">
      <w:pPr>
        <w:pageBreakBefore w:val="0"/>
        <w:wordWrap/>
        <w:spacing w:before="160" w:after="0"/>
        <w:ind w:left="0" w:right="0"/>
        <w:jc w:val="left"/>
        <w:textAlignment w:val="auto"/>
        <w:rPr>
          <w:color w:val="auto"/>
          <w:sz w:val="24"/>
          <w:highlight w:val="none"/>
        </w:rPr>
      </w:pPr>
      <w:r>
        <w:rPr>
          <w:rFonts w:hint="eastAsia" w:ascii="宋体" w:hAnsi="宋体" w:eastAsia="宋体" w:cs="宋体"/>
          <w:b/>
          <w:i w:val="0"/>
          <w:color w:val="auto"/>
          <w:spacing w:val="0"/>
          <w:sz w:val="24"/>
          <w:highlight w:val="none"/>
          <w:lang w:eastAsia="zh-CN"/>
        </w:rPr>
        <w:t>运维</w:t>
      </w:r>
      <w:r>
        <w:rPr>
          <w:rFonts w:ascii="宋体" w:hAnsi="宋体" w:eastAsia="宋体" w:cs="宋体"/>
          <w:b/>
          <w:i w:val="0"/>
          <w:color w:val="auto"/>
          <w:spacing w:val="0"/>
          <w:sz w:val="24"/>
          <w:highlight w:val="none"/>
        </w:rPr>
        <w:t>服务周期</w:t>
      </w:r>
      <w:r>
        <w:rPr>
          <w:rFonts w:ascii="宋体" w:hAnsi="宋体" w:eastAsia="宋体" w:cs="宋体"/>
          <w:b w:val="0"/>
          <w:i w:val="0"/>
          <w:color w:val="auto"/>
          <w:spacing w:val="0"/>
          <w:sz w:val="24"/>
          <w:highlight w:val="none"/>
        </w:rPr>
        <w:t>：</w:t>
      </w:r>
      <w:r>
        <w:rPr>
          <w:rFonts w:hint="eastAsia" w:ascii="宋体" w:hAnsi="宋体" w:eastAsia="宋体" w:cs="宋体"/>
          <w:b w:val="0"/>
          <w:i w:val="0"/>
          <w:color w:val="auto"/>
          <w:spacing w:val="0"/>
          <w:sz w:val="24"/>
          <w:highlight w:val="none"/>
          <w:lang w:val="en-US" w:eastAsia="zh-CN"/>
        </w:rPr>
        <w:t xml:space="preserve">   </w:t>
      </w:r>
      <w:r>
        <w:rPr>
          <w:rFonts w:ascii="宋体" w:hAnsi="宋体" w:eastAsia="宋体" w:cs="宋体"/>
          <w:b w:val="0"/>
          <w:i w:val="0"/>
          <w:color w:val="auto"/>
          <w:spacing w:val="0"/>
          <w:sz w:val="24"/>
          <w:highlight w:val="none"/>
        </w:rPr>
        <w:t>年</w:t>
      </w:r>
      <w:r>
        <w:rPr>
          <w:rFonts w:hint="eastAsia" w:ascii="宋体" w:hAnsi="宋体" w:eastAsia="宋体" w:cs="宋体"/>
          <w:b w:val="0"/>
          <w:i w:val="0"/>
          <w:color w:val="auto"/>
          <w:spacing w:val="0"/>
          <w:sz w:val="24"/>
          <w:highlight w:val="none"/>
          <w:lang w:val="en-US" w:eastAsia="zh-CN"/>
        </w:rPr>
        <w:t xml:space="preserve">   月   </w:t>
      </w:r>
      <w:r>
        <w:rPr>
          <w:rFonts w:ascii="宋体" w:hAnsi="宋体" w:eastAsia="宋体" w:cs="宋体"/>
          <w:b w:val="0"/>
          <w:i w:val="0"/>
          <w:color w:val="auto"/>
          <w:spacing w:val="0"/>
          <w:sz w:val="24"/>
          <w:highlight w:val="none"/>
        </w:rPr>
        <w:t>日</w:t>
      </w:r>
      <w:r>
        <w:rPr>
          <w:rFonts w:hint="eastAsia" w:ascii="宋体" w:hAnsi="宋体" w:eastAsia="宋体" w:cs="宋体"/>
          <w:b w:val="0"/>
          <w:i w:val="0"/>
          <w:color w:val="auto"/>
          <w:spacing w:val="0"/>
          <w:sz w:val="24"/>
          <w:highlight w:val="none"/>
          <w:lang w:val="en-US" w:eastAsia="zh-CN"/>
        </w:rPr>
        <w:t xml:space="preserve">  </w:t>
      </w:r>
      <w:r>
        <w:rPr>
          <w:rFonts w:ascii="宋体" w:hAnsi="宋体" w:eastAsia="宋体" w:cs="宋体"/>
          <w:b w:val="0"/>
          <w:i w:val="0"/>
          <w:color w:val="auto"/>
          <w:spacing w:val="0"/>
          <w:sz w:val="24"/>
          <w:highlight w:val="none"/>
        </w:rPr>
        <w:t>至</w:t>
      </w:r>
      <w:r>
        <w:rPr>
          <w:rFonts w:hint="eastAsia" w:ascii="宋体" w:hAnsi="宋体" w:eastAsia="宋体" w:cs="宋体"/>
          <w:b w:val="0"/>
          <w:i w:val="0"/>
          <w:color w:val="auto"/>
          <w:spacing w:val="0"/>
          <w:sz w:val="24"/>
          <w:highlight w:val="none"/>
          <w:lang w:val="en-US" w:eastAsia="zh-CN"/>
        </w:rPr>
        <w:t xml:space="preserve">   </w:t>
      </w:r>
      <w:r>
        <w:rPr>
          <w:rFonts w:ascii="宋体" w:hAnsi="宋体" w:eastAsia="宋体" w:cs="宋体"/>
          <w:b w:val="0"/>
          <w:i w:val="0"/>
          <w:color w:val="auto"/>
          <w:spacing w:val="0"/>
          <w:sz w:val="24"/>
          <w:highlight w:val="none"/>
        </w:rPr>
        <w:t>年</w:t>
      </w:r>
      <w:r>
        <w:rPr>
          <w:rFonts w:hint="eastAsia" w:ascii="宋体" w:hAnsi="宋体" w:eastAsia="宋体" w:cs="宋体"/>
          <w:b w:val="0"/>
          <w:i w:val="0"/>
          <w:color w:val="auto"/>
          <w:spacing w:val="0"/>
          <w:sz w:val="24"/>
          <w:highlight w:val="none"/>
          <w:lang w:val="en-US" w:eastAsia="zh-CN"/>
        </w:rPr>
        <w:t xml:space="preserve">   </w:t>
      </w:r>
      <w:r>
        <w:rPr>
          <w:rFonts w:ascii="宋体" w:hAnsi="宋体" w:eastAsia="宋体" w:cs="宋体"/>
          <w:b w:val="0"/>
          <w:i w:val="0"/>
          <w:color w:val="auto"/>
          <w:spacing w:val="0"/>
          <w:sz w:val="24"/>
          <w:highlight w:val="none"/>
        </w:rPr>
        <w:t>月</w:t>
      </w:r>
      <w:r>
        <w:rPr>
          <w:rFonts w:hint="eastAsia" w:ascii="宋体" w:hAnsi="宋体" w:eastAsia="宋体" w:cs="宋体"/>
          <w:b w:val="0"/>
          <w:i w:val="0"/>
          <w:color w:val="auto"/>
          <w:spacing w:val="0"/>
          <w:sz w:val="24"/>
          <w:highlight w:val="none"/>
          <w:lang w:val="en-US" w:eastAsia="zh-CN"/>
        </w:rPr>
        <w:t xml:space="preserve">  </w:t>
      </w:r>
      <w:r>
        <w:rPr>
          <w:rFonts w:ascii="宋体" w:hAnsi="宋体" w:eastAsia="宋体" w:cs="宋体"/>
          <w:b w:val="0"/>
          <w:i w:val="0"/>
          <w:color w:val="auto"/>
          <w:spacing w:val="0"/>
          <w:sz w:val="24"/>
          <w:highlight w:val="none"/>
        </w:rPr>
        <w:t>日</w:t>
      </w:r>
    </w:p>
    <w:p w14:paraId="7EDAA1ED">
      <w:pPr>
        <w:pageBreakBefore w:val="0"/>
        <w:wordWrap/>
        <w:spacing w:before="160" w:after="0"/>
        <w:ind w:left="0" w:right="0"/>
        <w:jc w:val="left"/>
        <w:textAlignment w:val="auto"/>
        <w:rPr>
          <w:rFonts w:ascii="宋体" w:hAnsi="宋体" w:eastAsia="宋体" w:cs="宋体"/>
          <w:b/>
          <w:i w:val="0"/>
          <w:color w:val="auto"/>
          <w:spacing w:val="0"/>
          <w:sz w:val="24"/>
          <w:highlight w:val="none"/>
        </w:rPr>
      </w:pPr>
    </w:p>
    <w:p w14:paraId="2701009D">
      <w:pPr>
        <w:pageBreakBefore w:val="0"/>
        <w:wordWrap/>
        <w:spacing w:before="160" w:after="0"/>
        <w:ind w:left="0" w:right="0"/>
        <w:jc w:val="left"/>
        <w:textAlignment w:val="auto"/>
        <w:rPr>
          <w:color w:val="auto"/>
          <w:sz w:val="24"/>
          <w:highlight w:val="none"/>
        </w:rPr>
      </w:pPr>
      <w:r>
        <w:rPr>
          <w:rFonts w:ascii="宋体" w:hAnsi="宋体" w:eastAsia="宋体" w:cs="宋体"/>
          <w:b/>
          <w:i w:val="0"/>
          <w:color w:val="auto"/>
          <w:spacing w:val="0"/>
          <w:sz w:val="24"/>
          <w:highlight w:val="none"/>
        </w:rPr>
        <w:t>致</w:t>
      </w:r>
      <w:r>
        <w:rPr>
          <w:rFonts w:hint="eastAsia" w:ascii="宋体" w:hAnsi="宋体" w:eastAsia="宋体" w:cs="宋体"/>
          <w:b/>
          <w:i w:val="0"/>
          <w:color w:val="auto"/>
          <w:spacing w:val="0"/>
          <w:sz w:val="24"/>
          <w:highlight w:val="none"/>
          <w:lang w:eastAsia="zh-CN"/>
        </w:rPr>
        <w:t>广西信访信息中心</w:t>
      </w:r>
      <w:r>
        <w:rPr>
          <w:rFonts w:ascii="宋体" w:hAnsi="宋体" w:eastAsia="宋体" w:cs="宋体"/>
          <w:b/>
          <w:i w:val="0"/>
          <w:color w:val="auto"/>
          <w:spacing w:val="0"/>
          <w:sz w:val="24"/>
          <w:highlight w:val="none"/>
        </w:rPr>
        <w:t>：</w:t>
      </w:r>
    </w:p>
    <w:p w14:paraId="29B9F536">
      <w:pPr>
        <w:pageBreakBefore w:val="0"/>
        <w:wordWrap/>
        <w:spacing w:before="160" w:after="0"/>
        <w:ind w:left="0" w:right="0" w:firstLine="480" w:firstLineChars="200"/>
        <w:jc w:val="left"/>
        <w:textAlignment w:val="auto"/>
        <w:rPr>
          <w:color w:val="auto"/>
          <w:sz w:val="24"/>
          <w:highlight w:val="none"/>
        </w:rPr>
      </w:pPr>
      <w:r>
        <w:rPr>
          <w:rFonts w:ascii="宋体" w:hAnsi="宋体" w:eastAsia="宋体" w:cs="宋体"/>
          <w:b w:val="0"/>
          <w:i w:val="0"/>
          <w:color w:val="auto"/>
          <w:spacing w:val="0"/>
          <w:sz w:val="24"/>
          <w:highlight w:val="none"/>
        </w:rPr>
        <w:t>根据双方签订的《信息系统驻场运维服务合同》，我方已于上述服务周期内完成全部驻场运维工作。现各项系统运行平稳，相关运维文档、巡检记录及培训资料均已整理完毕并具备移交条件。经我方内部初审，服务质量符合合同约定标准，现正式向贵单位提出验收申请，请予以组织验收。</w:t>
      </w:r>
    </w:p>
    <w:p w14:paraId="402E7E79">
      <w:pPr>
        <w:pageBreakBefore w:val="0"/>
        <w:wordWrap/>
        <w:spacing w:before="160" w:after="0"/>
        <w:ind w:left="0" w:right="0"/>
        <w:jc w:val="left"/>
        <w:textAlignment w:val="auto"/>
        <w:rPr>
          <w:rFonts w:ascii="宋体" w:hAnsi="宋体" w:eastAsia="宋体" w:cs="宋体"/>
          <w:b/>
          <w:i w:val="0"/>
          <w:color w:val="auto"/>
          <w:spacing w:val="0"/>
          <w:sz w:val="24"/>
          <w:highlight w:val="none"/>
        </w:rPr>
      </w:pPr>
    </w:p>
    <w:p w14:paraId="7FE34EA4">
      <w:pPr>
        <w:pageBreakBefore w:val="0"/>
        <w:wordWrap/>
        <w:spacing w:before="160" w:after="0"/>
        <w:ind w:left="0" w:right="0"/>
        <w:jc w:val="left"/>
        <w:textAlignment w:val="auto"/>
        <w:rPr>
          <w:color w:val="auto"/>
          <w:sz w:val="24"/>
          <w:highlight w:val="none"/>
        </w:rPr>
      </w:pPr>
      <w:r>
        <w:rPr>
          <w:rFonts w:ascii="宋体" w:hAnsi="宋体" w:eastAsia="宋体" w:cs="宋体"/>
          <w:b/>
          <w:i w:val="0"/>
          <w:color w:val="auto"/>
          <w:spacing w:val="0"/>
          <w:sz w:val="24"/>
          <w:highlight w:val="none"/>
        </w:rPr>
        <w:t>申请单位（盖章）</w:t>
      </w:r>
      <w:r>
        <w:rPr>
          <w:rFonts w:ascii="宋体" w:hAnsi="宋体" w:eastAsia="宋体" w:cs="宋体"/>
          <w:b w:val="0"/>
          <w:i w:val="0"/>
          <w:color w:val="auto"/>
          <w:spacing w:val="0"/>
          <w:sz w:val="24"/>
          <w:highlight w:val="none"/>
        </w:rPr>
        <w:t>：</w:t>
      </w:r>
    </w:p>
    <w:p w14:paraId="3DB01284">
      <w:pPr>
        <w:pageBreakBefore w:val="0"/>
        <w:wordWrap/>
        <w:spacing w:before="160" w:after="0"/>
        <w:ind w:left="0" w:right="0"/>
        <w:jc w:val="left"/>
        <w:textAlignment w:val="auto"/>
        <w:rPr>
          <w:rFonts w:ascii="宋体" w:hAnsi="宋体" w:eastAsia="宋体" w:cs="宋体"/>
          <w:b/>
          <w:i w:val="0"/>
          <w:color w:val="auto"/>
          <w:spacing w:val="0"/>
          <w:sz w:val="24"/>
          <w:highlight w:val="none"/>
        </w:rPr>
      </w:pPr>
    </w:p>
    <w:p w14:paraId="5F71A01F">
      <w:pPr>
        <w:pageBreakBefore w:val="0"/>
        <w:wordWrap/>
        <w:spacing w:before="160" w:after="0"/>
        <w:ind w:left="0" w:right="0"/>
        <w:jc w:val="left"/>
        <w:textAlignment w:val="auto"/>
        <w:rPr>
          <w:color w:val="auto"/>
          <w:sz w:val="24"/>
          <w:highlight w:val="none"/>
        </w:rPr>
      </w:pPr>
      <w:r>
        <w:rPr>
          <w:rFonts w:ascii="宋体" w:hAnsi="宋体" w:eastAsia="宋体" w:cs="宋体"/>
          <w:b/>
          <w:i w:val="0"/>
          <w:color w:val="auto"/>
          <w:spacing w:val="0"/>
          <w:sz w:val="24"/>
          <w:highlight w:val="none"/>
        </w:rPr>
        <w:t>项目负责人（签字）</w:t>
      </w:r>
      <w:r>
        <w:rPr>
          <w:rFonts w:ascii="宋体" w:hAnsi="宋体" w:eastAsia="宋体" w:cs="宋体"/>
          <w:b w:val="0"/>
          <w:i w:val="0"/>
          <w:color w:val="auto"/>
          <w:spacing w:val="0"/>
          <w:sz w:val="24"/>
          <w:highlight w:val="none"/>
        </w:rPr>
        <w:t>：</w:t>
      </w:r>
    </w:p>
    <w:p w14:paraId="4AE6D24C">
      <w:pPr>
        <w:pageBreakBefore w:val="0"/>
        <w:wordWrap/>
        <w:spacing w:before="160" w:after="0"/>
        <w:ind w:left="0" w:right="0"/>
        <w:jc w:val="center"/>
        <w:textAlignment w:val="auto"/>
        <w:rPr>
          <w:rFonts w:ascii="宋体" w:hAnsi="宋体" w:eastAsia="宋体" w:cs="宋体"/>
          <w:b/>
          <w:i w:val="0"/>
          <w:color w:val="auto"/>
          <w:spacing w:val="0"/>
          <w:sz w:val="24"/>
          <w:highlight w:val="none"/>
        </w:rPr>
      </w:pPr>
    </w:p>
    <w:p w14:paraId="0FA904D8">
      <w:pPr>
        <w:pageBreakBefore w:val="0"/>
        <w:wordWrap/>
        <w:spacing w:before="160" w:after="0"/>
        <w:ind w:left="0" w:right="0"/>
        <w:jc w:val="center"/>
        <w:textAlignment w:val="auto"/>
        <w:rPr>
          <w:rFonts w:ascii="宋体" w:hAnsi="宋体" w:eastAsia="宋体" w:cs="宋体"/>
          <w:b w:val="0"/>
          <w:i w:val="0"/>
          <w:color w:val="auto"/>
          <w:spacing w:val="0"/>
          <w:sz w:val="24"/>
          <w:highlight w:val="none"/>
        </w:rPr>
      </w:pPr>
      <w:r>
        <w:rPr>
          <w:rFonts w:ascii="宋体" w:hAnsi="宋体" w:eastAsia="宋体" w:cs="宋体"/>
          <w:b/>
          <w:i w:val="0"/>
          <w:color w:val="auto"/>
          <w:spacing w:val="0"/>
          <w:sz w:val="24"/>
          <w:highlight w:val="none"/>
        </w:rPr>
        <w:t>申请日期</w:t>
      </w:r>
      <w:r>
        <w:rPr>
          <w:rFonts w:ascii="宋体" w:hAnsi="宋体" w:eastAsia="宋体" w:cs="宋体"/>
          <w:b w:val="0"/>
          <w:i w:val="0"/>
          <w:color w:val="auto"/>
          <w:spacing w:val="0"/>
          <w:sz w:val="24"/>
          <w:highlight w:val="none"/>
        </w:rPr>
        <w:t>：</w:t>
      </w:r>
      <w:r>
        <w:rPr>
          <w:rFonts w:hint="eastAsia" w:ascii="宋体" w:hAnsi="宋体" w:eastAsia="宋体" w:cs="宋体"/>
          <w:b w:val="0"/>
          <w:i w:val="0"/>
          <w:color w:val="auto"/>
          <w:spacing w:val="0"/>
          <w:sz w:val="24"/>
          <w:highlight w:val="none"/>
          <w:lang w:val="en-US" w:eastAsia="zh-CN"/>
        </w:rPr>
        <w:t xml:space="preserve">  </w:t>
      </w:r>
      <w:r>
        <w:rPr>
          <w:rFonts w:ascii="宋体" w:hAnsi="宋体" w:eastAsia="宋体" w:cs="宋体"/>
          <w:b w:val="0"/>
          <w:i w:val="0"/>
          <w:color w:val="auto"/>
          <w:spacing w:val="0"/>
          <w:sz w:val="24"/>
          <w:highlight w:val="none"/>
        </w:rPr>
        <w:t>年</w:t>
      </w:r>
      <w:r>
        <w:rPr>
          <w:rFonts w:hint="eastAsia" w:ascii="宋体" w:hAnsi="宋体" w:eastAsia="宋体" w:cs="宋体"/>
          <w:b w:val="0"/>
          <w:i w:val="0"/>
          <w:color w:val="auto"/>
          <w:spacing w:val="0"/>
          <w:sz w:val="24"/>
          <w:highlight w:val="none"/>
          <w:lang w:val="en-US" w:eastAsia="zh-CN"/>
        </w:rPr>
        <w:t xml:space="preserve">  </w:t>
      </w:r>
      <w:r>
        <w:rPr>
          <w:rFonts w:ascii="宋体" w:hAnsi="宋体" w:eastAsia="宋体" w:cs="宋体"/>
          <w:b w:val="0"/>
          <w:i w:val="0"/>
          <w:color w:val="auto"/>
          <w:spacing w:val="0"/>
          <w:sz w:val="24"/>
          <w:highlight w:val="none"/>
        </w:rPr>
        <w:t>月</w:t>
      </w:r>
      <w:r>
        <w:rPr>
          <w:rFonts w:hint="eastAsia" w:ascii="宋体" w:hAnsi="宋体" w:eastAsia="宋体" w:cs="宋体"/>
          <w:b w:val="0"/>
          <w:i w:val="0"/>
          <w:color w:val="auto"/>
          <w:spacing w:val="0"/>
          <w:sz w:val="24"/>
          <w:highlight w:val="none"/>
          <w:lang w:val="en-US" w:eastAsia="zh-CN"/>
        </w:rPr>
        <w:t xml:space="preserve">  </w:t>
      </w:r>
      <w:r>
        <w:rPr>
          <w:rFonts w:ascii="宋体" w:hAnsi="宋体" w:eastAsia="宋体" w:cs="宋体"/>
          <w:b w:val="0"/>
          <w:i w:val="0"/>
          <w:color w:val="auto"/>
          <w:spacing w:val="0"/>
          <w:sz w:val="24"/>
          <w:highlight w:val="none"/>
        </w:rPr>
        <w:t>日</w:t>
      </w:r>
    </w:p>
    <w:p w14:paraId="0F69A35D">
      <w:pPr>
        <w:pageBreakBefore w:val="0"/>
        <w:wordWrap/>
        <w:spacing w:before="160" w:after="0"/>
        <w:ind w:left="0" w:right="0"/>
        <w:jc w:val="left"/>
        <w:textAlignment w:val="auto"/>
        <w:rPr>
          <w:rFonts w:ascii="宋体" w:hAnsi="宋体" w:eastAsia="宋体" w:cs="宋体"/>
          <w:b w:val="0"/>
          <w:i w:val="0"/>
          <w:color w:val="auto"/>
          <w:spacing w:val="0"/>
          <w:sz w:val="24"/>
          <w:highlight w:val="none"/>
        </w:rPr>
      </w:pPr>
    </w:p>
    <w:p w14:paraId="710A240F">
      <w:pPr>
        <w:pageBreakBefore w:val="0"/>
        <w:wordWrap/>
        <w:spacing w:before="160" w:after="0"/>
        <w:ind w:left="0" w:right="0"/>
        <w:jc w:val="left"/>
        <w:textAlignment w:val="auto"/>
        <w:rPr>
          <w:rFonts w:ascii="宋体" w:hAnsi="宋体" w:eastAsia="宋体" w:cs="宋体"/>
          <w:b w:val="0"/>
          <w:i w:val="0"/>
          <w:color w:val="auto"/>
          <w:spacing w:val="0"/>
          <w:sz w:val="24"/>
          <w:highlight w:val="none"/>
        </w:rPr>
      </w:pPr>
    </w:p>
    <w:p w14:paraId="41F8407A">
      <w:pPr>
        <w:pageBreakBefore w:val="0"/>
        <w:wordWrap/>
        <w:spacing w:before="160" w:after="0"/>
        <w:ind w:left="0" w:right="0"/>
        <w:jc w:val="left"/>
        <w:textAlignment w:val="auto"/>
        <w:rPr>
          <w:rFonts w:hint="eastAsia" w:ascii="黑体" w:hAnsi="黑体" w:eastAsia="黑体" w:cs="黑体"/>
          <w:b/>
          <w:i w:val="0"/>
          <w:color w:val="auto"/>
          <w:spacing w:val="0"/>
          <w:sz w:val="24"/>
          <w:highlight w:val="none"/>
          <w:lang w:eastAsia="zh-CN"/>
        </w:rPr>
      </w:pPr>
    </w:p>
    <w:p w14:paraId="04283F16">
      <w:pPr>
        <w:pageBreakBefore w:val="0"/>
        <w:wordWrap/>
        <w:spacing w:before="160" w:after="0"/>
        <w:ind w:left="0" w:right="0"/>
        <w:jc w:val="left"/>
        <w:textAlignment w:val="auto"/>
        <w:rPr>
          <w:rFonts w:hint="eastAsia" w:ascii="黑体" w:hAnsi="黑体" w:eastAsia="黑体" w:cs="黑体"/>
          <w:b/>
          <w:i w:val="0"/>
          <w:color w:val="auto"/>
          <w:spacing w:val="0"/>
          <w:sz w:val="24"/>
          <w:highlight w:val="none"/>
          <w:lang w:eastAsia="zh-CN"/>
        </w:rPr>
      </w:pPr>
    </w:p>
    <w:p w14:paraId="2F616C12">
      <w:pPr>
        <w:pageBreakBefore w:val="0"/>
        <w:wordWrap/>
        <w:spacing w:before="160" w:after="0"/>
        <w:ind w:left="0" w:right="0"/>
        <w:jc w:val="left"/>
        <w:textAlignment w:val="auto"/>
        <w:rPr>
          <w:rFonts w:hint="eastAsia" w:ascii="黑体" w:hAnsi="黑体" w:eastAsia="黑体" w:cs="黑体"/>
          <w:b/>
          <w:i w:val="0"/>
          <w:color w:val="auto"/>
          <w:spacing w:val="0"/>
          <w:sz w:val="24"/>
          <w:highlight w:val="none"/>
          <w:lang w:eastAsia="zh-CN"/>
        </w:rPr>
      </w:pPr>
      <w:r>
        <w:rPr>
          <w:rFonts w:hint="eastAsia" w:ascii="黑体" w:hAnsi="黑体" w:eastAsia="黑体" w:cs="黑体"/>
          <w:b/>
          <w:i w:val="0"/>
          <w:color w:val="auto"/>
          <w:spacing w:val="0"/>
          <w:sz w:val="24"/>
          <w:highlight w:val="none"/>
          <w:lang w:eastAsia="zh-CN"/>
        </w:rPr>
        <w:t>材料二</w:t>
      </w:r>
    </w:p>
    <w:p w14:paraId="1EC62C42">
      <w:pPr>
        <w:pageBreakBefore w:val="0"/>
        <w:wordWrap/>
        <w:spacing w:before="160" w:after="0"/>
        <w:ind w:left="0" w:right="0"/>
        <w:jc w:val="left"/>
        <w:textAlignment w:val="auto"/>
        <w:rPr>
          <w:rFonts w:hint="eastAsia" w:ascii="宋体" w:hAnsi="宋体" w:eastAsia="宋体" w:cs="宋体"/>
          <w:b/>
          <w:i w:val="0"/>
          <w:color w:val="auto"/>
          <w:spacing w:val="0"/>
          <w:sz w:val="24"/>
          <w:highlight w:val="none"/>
          <w:lang w:eastAsia="zh-CN"/>
        </w:rPr>
      </w:pPr>
    </w:p>
    <w:p w14:paraId="3D1E4C1F">
      <w:pPr>
        <w:pageBreakBefore w:val="0"/>
        <w:wordWrap/>
        <w:spacing w:before="160" w:after="0"/>
        <w:ind w:left="0" w:right="0"/>
        <w:jc w:val="center"/>
        <w:textAlignment w:val="auto"/>
        <w:rPr>
          <w:rFonts w:hint="eastAsia" w:ascii="方正小标宋简体" w:hAnsi="方正小标宋简体" w:eastAsia="方正小标宋简体" w:cs="方正小标宋简体"/>
          <w:b w:val="0"/>
          <w:bCs/>
          <w:i w:val="0"/>
          <w:color w:val="auto"/>
          <w:spacing w:val="0"/>
          <w:sz w:val="36"/>
          <w:szCs w:val="32"/>
          <w:highlight w:val="none"/>
          <w:lang w:eastAsia="zh-CN"/>
        </w:rPr>
      </w:pPr>
      <w:r>
        <w:rPr>
          <w:rFonts w:hint="eastAsia" w:ascii="方正小标宋简体" w:hAnsi="方正小标宋简体" w:eastAsia="方正小标宋简体" w:cs="方正小标宋简体"/>
          <w:b w:val="0"/>
          <w:bCs/>
          <w:i w:val="0"/>
          <w:color w:val="auto"/>
          <w:spacing w:val="0"/>
          <w:sz w:val="36"/>
          <w:szCs w:val="32"/>
          <w:highlight w:val="none"/>
          <w:lang w:eastAsia="zh-CN"/>
        </w:rPr>
        <w:t>信访信息管理与服务平台驻场运维服务</w:t>
      </w:r>
    </w:p>
    <w:p w14:paraId="2A70F766">
      <w:pPr>
        <w:pageBreakBefore w:val="0"/>
        <w:wordWrap/>
        <w:spacing w:before="160" w:after="0"/>
        <w:ind w:left="0" w:right="0"/>
        <w:jc w:val="center"/>
        <w:textAlignment w:val="auto"/>
        <w:rPr>
          <w:color w:val="auto"/>
          <w:sz w:val="24"/>
          <w:highlight w:val="none"/>
        </w:rPr>
      </w:pPr>
      <w:r>
        <w:rPr>
          <w:rFonts w:hint="eastAsia" w:ascii="方正小标宋简体" w:hAnsi="方正小标宋简体" w:eastAsia="方正小标宋简体" w:cs="方正小标宋简体"/>
          <w:b w:val="0"/>
          <w:bCs/>
          <w:i w:val="0"/>
          <w:color w:val="auto"/>
          <w:spacing w:val="0"/>
          <w:sz w:val="36"/>
          <w:szCs w:val="32"/>
          <w:highlight w:val="none"/>
          <w:lang w:eastAsia="zh-CN"/>
        </w:rPr>
        <w:t>总体情况报告（提纲）</w:t>
      </w:r>
    </w:p>
    <w:p w14:paraId="0D1FFB7E">
      <w:pPr>
        <w:pageBreakBefore w:val="0"/>
        <w:wordWrap/>
        <w:spacing w:before="160" w:after="0"/>
        <w:ind w:left="0" w:right="0"/>
        <w:jc w:val="left"/>
        <w:textAlignment w:val="auto"/>
        <w:rPr>
          <w:rFonts w:hint="eastAsia" w:ascii="方正小标宋简体" w:hAnsi="方正小标宋简体" w:eastAsia="方正小标宋简体" w:cs="方正小标宋简体"/>
          <w:b w:val="0"/>
          <w:bCs/>
          <w:i w:val="0"/>
          <w:color w:val="auto"/>
          <w:spacing w:val="0"/>
          <w:sz w:val="36"/>
          <w:szCs w:val="32"/>
          <w:highlight w:val="none"/>
          <w:lang w:eastAsia="zh-CN"/>
        </w:rPr>
      </w:pPr>
    </w:p>
    <w:p w14:paraId="3BC9EB8E">
      <w:pPr>
        <w:pageBreakBefore w:val="0"/>
        <w:wordWrap/>
        <w:spacing w:before="160" w:after="0"/>
        <w:ind w:left="0" w:right="0"/>
        <w:jc w:val="left"/>
        <w:textAlignment w:val="auto"/>
        <w:rPr>
          <w:rFonts w:ascii="宋体" w:hAnsi="宋体" w:eastAsia="宋体" w:cs="宋体"/>
          <w:b/>
          <w:i w:val="0"/>
          <w:color w:val="auto"/>
          <w:spacing w:val="0"/>
          <w:sz w:val="24"/>
          <w:highlight w:val="none"/>
        </w:rPr>
      </w:pPr>
    </w:p>
    <w:p w14:paraId="56EAA2CD">
      <w:pPr>
        <w:pageBreakBefore w:val="0"/>
        <w:wordWrap/>
        <w:spacing w:before="160" w:after="0"/>
        <w:ind w:left="0" w:right="0"/>
        <w:jc w:val="left"/>
        <w:textAlignment w:val="auto"/>
        <w:rPr>
          <w:color w:val="auto"/>
          <w:sz w:val="24"/>
          <w:highlight w:val="none"/>
        </w:rPr>
      </w:pPr>
      <w:r>
        <w:rPr>
          <w:rFonts w:ascii="宋体" w:hAnsi="宋体" w:eastAsia="宋体" w:cs="宋体"/>
          <w:b/>
          <w:i w:val="0"/>
          <w:color w:val="auto"/>
          <w:spacing w:val="0"/>
          <w:sz w:val="24"/>
          <w:highlight w:val="none"/>
        </w:rPr>
        <w:t>一、 项目概况</w:t>
      </w:r>
    </w:p>
    <w:p w14:paraId="3402CBDA">
      <w:pPr>
        <w:pageBreakBefore w:val="0"/>
        <w:numPr>
          <w:ilvl w:val="0"/>
          <w:numId w:val="9"/>
        </w:numPr>
        <w:wordWrap/>
        <w:spacing w:before="160" w:after="0"/>
        <w:ind w:left="440" w:right="0" w:hanging="440"/>
        <w:jc w:val="left"/>
        <w:textAlignment w:val="auto"/>
        <w:rPr>
          <w:color w:val="auto"/>
          <w:sz w:val="24"/>
          <w:highlight w:val="none"/>
        </w:rPr>
      </w:pPr>
      <w:r>
        <w:rPr>
          <w:rFonts w:ascii="宋体" w:hAnsi="宋体" w:eastAsia="宋体" w:cs="宋体"/>
          <w:b w:val="0"/>
          <w:i w:val="0"/>
          <w:color w:val="auto"/>
          <w:spacing w:val="0"/>
          <w:sz w:val="24"/>
          <w:highlight w:val="none"/>
        </w:rPr>
        <w:t>项目背景与运维目标。</w:t>
      </w:r>
    </w:p>
    <w:p w14:paraId="0520F600">
      <w:pPr>
        <w:pageBreakBefore w:val="0"/>
        <w:numPr>
          <w:ilvl w:val="0"/>
          <w:numId w:val="9"/>
        </w:numPr>
        <w:wordWrap/>
        <w:spacing w:before="160" w:after="0"/>
        <w:ind w:left="440" w:right="0" w:hanging="440"/>
        <w:jc w:val="left"/>
        <w:textAlignment w:val="auto"/>
        <w:rPr>
          <w:color w:val="auto"/>
          <w:sz w:val="24"/>
          <w:highlight w:val="none"/>
        </w:rPr>
      </w:pPr>
      <w:r>
        <w:rPr>
          <w:rFonts w:ascii="宋体" w:hAnsi="宋体" w:eastAsia="宋体" w:cs="宋体"/>
          <w:b w:val="0"/>
          <w:i w:val="0"/>
          <w:color w:val="auto"/>
          <w:spacing w:val="0"/>
          <w:sz w:val="24"/>
          <w:highlight w:val="none"/>
        </w:rPr>
        <w:t>运维服务范围（涵盖的系统、软硬件资产清单）。</w:t>
      </w:r>
    </w:p>
    <w:p w14:paraId="142E2770">
      <w:pPr>
        <w:pageBreakBefore w:val="0"/>
        <w:numPr>
          <w:ilvl w:val="0"/>
          <w:numId w:val="9"/>
        </w:numPr>
        <w:wordWrap/>
        <w:spacing w:before="160" w:after="0"/>
        <w:ind w:left="440" w:right="0" w:hanging="440"/>
        <w:jc w:val="left"/>
        <w:textAlignment w:val="auto"/>
        <w:rPr>
          <w:color w:val="auto"/>
          <w:sz w:val="24"/>
          <w:highlight w:val="none"/>
        </w:rPr>
      </w:pPr>
      <w:r>
        <w:rPr>
          <w:rFonts w:ascii="宋体" w:hAnsi="宋体" w:eastAsia="宋体" w:cs="宋体"/>
          <w:b w:val="0"/>
          <w:i w:val="0"/>
          <w:color w:val="auto"/>
          <w:spacing w:val="0"/>
          <w:sz w:val="24"/>
          <w:highlight w:val="none"/>
        </w:rPr>
        <w:t>服务周期与驻场团队人员配置情况。</w:t>
      </w:r>
    </w:p>
    <w:p w14:paraId="1E8AF1C9">
      <w:pPr>
        <w:pageBreakBefore w:val="0"/>
        <w:wordWrap/>
        <w:spacing w:before="160" w:after="0"/>
        <w:ind w:left="0" w:right="0"/>
        <w:jc w:val="left"/>
        <w:textAlignment w:val="auto"/>
        <w:rPr>
          <w:color w:val="auto"/>
          <w:sz w:val="24"/>
          <w:highlight w:val="none"/>
        </w:rPr>
      </w:pPr>
      <w:r>
        <w:rPr>
          <w:rFonts w:ascii="宋体" w:hAnsi="宋体" w:eastAsia="宋体" w:cs="宋体"/>
          <w:b/>
          <w:i w:val="0"/>
          <w:color w:val="auto"/>
          <w:spacing w:val="0"/>
          <w:sz w:val="24"/>
          <w:highlight w:val="none"/>
        </w:rPr>
        <w:t>二、 运维服务执行情况</w:t>
      </w:r>
    </w:p>
    <w:p w14:paraId="78171BD8">
      <w:pPr>
        <w:pageBreakBefore w:val="0"/>
        <w:numPr>
          <w:ilvl w:val="0"/>
          <w:numId w:val="10"/>
        </w:numPr>
        <w:wordWrap/>
        <w:spacing w:before="160" w:after="0"/>
        <w:ind w:left="440" w:right="0" w:hanging="440"/>
        <w:jc w:val="left"/>
        <w:textAlignment w:val="auto"/>
        <w:rPr>
          <w:color w:val="auto"/>
          <w:sz w:val="24"/>
          <w:highlight w:val="none"/>
        </w:rPr>
      </w:pPr>
      <w:r>
        <w:rPr>
          <w:rFonts w:ascii="宋体" w:hAnsi="宋体" w:eastAsia="宋体" w:cs="宋体"/>
          <w:b w:val="0"/>
          <w:i w:val="0"/>
          <w:color w:val="auto"/>
          <w:spacing w:val="0"/>
          <w:sz w:val="24"/>
          <w:highlight w:val="none"/>
        </w:rPr>
        <w:t>日常保障与监控分析（系统健康度、资源消耗趋势）。</w:t>
      </w:r>
    </w:p>
    <w:p w14:paraId="66CE39CE">
      <w:pPr>
        <w:pageBreakBefore w:val="0"/>
        <w:numPr>
          <w:ilvl w:val="0"/>
          <w:numId w:val="10"/>
        </w:numPr>
        <w:wordWrap/>
        <w:spacing w:before="160" w:after="0"/>
        <w:ind w:left="440" w:right="0" w:hanging="440"/>
        <w:jc w:val="left"/>
        <w:textAlignment w:val="auto"/>
        <w:rPr>
          <w:color w:val="auto"/>
          <w:sz w:val="24"/>
          <w:highlight w:val="none"/>
        </w:rPr>
      </w:pPr>
      <w:r>
        <w:rPr>
          <w:rFonts w:ascii="宋体" w:hAnsi="宋体" w:eastAsia="宋体" w:cs="宋体"/>
          <w:b w:val="0"/>
          <w:i w:val="0"/>
          <w:color w:val="auto"/>
          <w:spacing w:val="0"/>
          <w:sz w:val="24"/>
          <w:highlight w:val="none"/>
        </w:rPr>
        <w:t>事件与故障处理统计（SLA达标率、典型重大故障复盘）。</w:t>
      </w:r>
    </w:p>
    <w:p w14:paraId="139D1EB6">
      <w:pPr>
        <w:pageBreakBefore w:val="0"/>
        <w:numPr>
          <w:ilvl w:val="0"/>
          <w:numId w:val="10"/>
        </w:numPr>
        <w:wordWrap/>
        <w:spacing w:before="160" w:after="0"/>
        <w:ind w:left="440" w:right="0" w:hanging="440"/>
        <w:jc w:val="left"/>
        <w:textAlignment w:val="auto"/>
        <w:rPr>
          <w:color w:val="auto"/>
          <w:sz w:val="24"/>
          <w:highlight w:val="none"/>
        </w:rPr>
      </w:pPr>
      <w:r>
        <w:rPr>
          <w:rFonts w:ascii="宋体" w:hAnsi="宋体" w:eastAsia="宋体" w:cs="宋体"/>
          <w:b w:val="0"/>
          <w:i w:val="0"/>
          <w:color w:val="auto"/>
          <w:spacing w:val="0"/>
          <w:sz w:val="24"/>
          <w:highlight w:val="none"/>
        </w:rPr>
        <w:t>变更管理与数据安全保障情况。</w:t>
      </w:r>
    </w:p>
    <w:p w14:paraId="58088139">
      <w:pPr>
        <w:pageBreakBefore w:val="0"/>
        <w:numPr>
          <w:ilvl w:val="0"/>
          <w:numId w:val="10"/>
        </w:numPr>
        <w:wordWrap/>
        <w:spacing w:before="160" w:after="0"/>
        <w:ind w:left="440" w:right="0" w:hanging="440"/>
        <w:jc w:val="left"/>
        <w:textAlignment w:val="auto"/>
        <w:rPr>
          <w:color w:val="auto"/>
          <w:sz w:val="24"/>
          <w:highlight w:val="none"/>
        </w:rPr>
      </w:pPr>
      <w:r>
        <w:rPr>
          <w:rFonts w:ascii="宋体" w:hAnsi="宋体" w:eastAsia="宋体" w:cs="宋体"/>
          <w:b w:val="0"/>
          <w:i w:val="0"/>
          <w:color w:val="auto"/>
          <w:spacing w:val="0"/>
          <w:sz w:val="24"/>
          <w:highlight w:val="none"/>
        </w:rPr>
        <w:t>定制化开发与流程优化成果。</w:t>
      </w:r>
    </w:p>
    <w:p w14:paraId="4C36B5B4">
      <w:pPr>
        <w:pageBreakBefore w:val="0"/>
        <w:wordWrap/>
        <w:spacing w:before="160" w:after="0"/>
        <w:ind w:left="0" w:right="0"/>
        <w:jc w:val="left"/>
        <w:textAlignment w:val="auto"/>
        <w:rPr>
          <w:color w:val="auto"/>
          <w:sz w:val="24"/>
          <w:highlight w:val="none"/>
        </w:rPr>
      </w:pPr>
      <w:r>
        <w:rPr>
          <w:rFonts w:ascii="宋体" w:hAnsi="宋体" w:eastAsia="宋体" w:cs="宋体"/>
          <w:b/>
          <w:i w:val="0"/>
          <w:color w:val="auto"/>
          <w:spacing w:val="0"/>
          <w:sz w:val="24"/>
          <w:highlight w:val="none"/>
        </w:rPr>
        <w:t>三、 服务考核与质量评估</w:t>
      </w:r>
    </w:p>
    <w:p w14:paraId="31B4A674">
      <w:pPr>
        <w:pageBreakBefore w:val="0"/>
        <w:numPr>
          <w:ilvl w:val="0"/>
          <w:numId w:val="11"/>
        </w:numPr>
        <w:wordWrap/>
        <w:spacing w:before="160" w:after="0"/>
        <w:ind w:left="440" w:right="0" w:hanging="440"/>
        <w:jc w:val="left"/>
        <w:textAlignment w:val="auto"/>
        <w:rPr>
          <w:color w:val="auto"/>
          <w:sz w:val="24"/>
          <w:highlight w:val="none"/>
        </w:rPr>
      </w:pPr>
      <w:r>
        <w:rPr>
          <w:rFonts w:ascii="宋体" w:hAnsi="宋体" w:eastAsia="宋体" w:cs="宋体"/>
          <w:b w:val="0"/>
          <w:i w:val="0"/>
          <w:color w:val="auto"/>
          <w:spacing w:val="0"/>
          <w:sz w:val="24"/>
          <w:highlight w:val="none"/>
        </w:rPr>
        <w:t>阶段性考核得分及扣款/奖励情况说明。</w:t>
      </w:r>
    </w:p>
    <w:p w14:paraId="6EB9D5D5">
      <w:pPr>
        <w:pageBreakBefore w:val="0"/>
        <w:numPr>
          <w:ilvl w:val="0"/>
          <w:numId w:val="11"/>
        </w:numPr>
        <w:wordWrap/>
        <w:spacing w:before="160" w:after="0"/>
        <w:ind w:left="440" w:right="0" w:hanging="440"/>
        <w:jc w:val="left"/>
        <w:textAlignment w:val="auto"/>
        <w:rPr>
          <w:color w:val="auto"/>
          <w:sz w:val="24"/>
          <w:highlight w:val="none"/>
        </w:rPr>
      </w:pPr>
      <w:r>
        <w:rPr>
          <w:rFonts w:ascii="宋体" w:hAnsi="宋体" w:eastAsia="宋体" w:cs="宋体"/>
          <w:b w:val="0"/>
          <w:i w:val="0"/>
          <w:color w:val="auto"/>
          <w:spacing w:val="0"/>
          <w:sz w:val="24"/>
          <w:highlight w:val="none"/>
        </w:rPr>
        <w:t>用户满意度调查结果及投诉处理情况。</w:t>
      </w:r>
    </w:p>
    <w:p w14:paraId="2ABDC059">
      <w:pPr>
        <w:pageBreakBefore w:val="0"/>
        <w:wordWrap/>
        <w:spacing w:before="160" w:after="0"/>
        <w:ind w:left="0" w:right="0"/>
        <w:jc w:val="left"/>
        <w:textAlignment w:val="auto"/>
        <w:rPr>
          <w:color w:val="auto"/>
          <w:sz w:val="24"/>
          <w:highlight w:val="none"/>
        </w:rPr>
      </w:pPr>
      <w:r>
        <w:rPr>
          <w:rFonts w:ascii="宋体" w:hAnsi="宋体" w:eastAsia="宋体" w:cs="宋体"/>
          <w:b/>
          <w:i w:val="0"/>
          <w:color w:val="auto"/>
          <w:spacing w:val="0"/>
          <w:sz w:val="24"/>
          <w:highlight w:val="none"/>
        </w:rPr>
        <w:t>四、 存在问题与改进建议</w:t>
      </w:r>
    </w:p>
    <w:p w14:paraId="4AF46D39">
      <w:pPr>
        <w:pageBreakBefore w:val="0"/>
        <w:numPr>
          <w:ilvl w:val="0"/>
          <w:numId w:val="12"/>
        </w:numPr>
        <w:wordWrap/>
        <w:spacing w:before="160" w:after="0"/>
        <w:ind w:left="440" w:right="0" w:hanging="440"/>
        <w:jc w:val="left"/>
        <w:textAlignment w:val="auto"/>
        <w:rPr>
          <w:color w:val="auto"/>
          <w:sz w:val="24"/>
          <w:highlight w:val="none"/>
        </w:rPr>
      </w:pPr>
      <w:r>
        <w:rPr>
          <w:rFonts w:ascii="宋体" w:hAnsi="宋体" w:eastAsia="宋体" w:cs="宋体"/>
          <w:b w:val="0"/>
          <w:i w:val="0"/>
          <w:color w:val="auto"/>
          <w:spacing w:val="0"/>
          <w:sz w:val="24"/>
          <w:highlight w:val="none"/>
        </w:rPr>
        <w:t>当前系统架构或运维流程中的潜在风险。</w:t>
      </w:r>
    </w:p>
    <w:p w14:paraId="2C33E991">
      <w:pPr>
        <w:pageBreakBefore w:val="0"/>
        <w:numPr>
          <w:ilvl w:val="0"/>
          <w:numId w:val="12"/>
        </w:numPr>
        <w:wordWrap/>
        <w:spacing w:before="160" w:after="0"/>
        <w:ind w:left="440" w:right="0" w:hanging="440"/>
        <w:jc w:val="left"/>
        <w:textAlignment w:val="auto"/>
        <w:rPr>
          <w:color w:val="auto"/>
          <w:sz w:val="24"/>
          <w:highlight w:val="none"/>
        </w:rPr>
      </w:pPr>
      <w:r>
        <w:rPr>
          <w:rFonts w:ascii="宋体" w:hAnsi="宋体" w:eastAsia="宋体" w:cs="宋体"/>
          <w:b w:val="0"/>
          <w:i w:val="0"/>
          <w:color w:val="auto"/>
          <w:spacing w:val="0"/>
          <w:sz w:val="24"/>
          <w:highlight w:val="none"/>
        </w:rPr>
        <w:t>下一阶段运维优化方案与资源投入建议。</w:t>
      </w:r>
    </w:p>
    <w:p w14:paraId="55C8C31C">
      <w:pPr>
        <w:pageBreakBefore w:val="0"/>
        <w:wordWrap/>
        <w:spacing w:before="160" w:after="0"/>
        <w:ind w:left="0" w:right="0"/>
        <w:jc w:val="left"/>
        <w:textAlignment w:val="auto"/>
        <w:rPr>
          <w:color w:val="auto"/>
          <w:sz w:val="24"/>
          <w:highlight w:val="none"/>
        </w:rPr>
      </w:pPr>
      <w:r>
        <w:rPr>
          <w:rFonts w:ascii="宋体" w:hAnsi="宋体" w:eastAsia="宋体" w:cs="宋体"/>
          <w:b/>
          <w:i w:val="0"/>
          <w:color w:val="auto"/>
          <w:spacing w:val="0"/>
          <w:sz w:val="24"/>
          <w:highlight w:val="none"/>
        </w:rPr>
        <w:t>五、 验收结论</w:t>
      </w:r>
    </w:p>
    <w:p w14:paraId="5670A3A5">
      <w:pPr>
        <w:pageBreakBefore w:val="0"/>
        <w:wordWrap/>
        <w:spacing w:before="160" w:after="0"/>
        <w:ind w:left="0" w:right="0"/>
        <w:jc w:val="left"/>
        <w:textAlignment w:val="auto"/>
        <w:rPr>
          <w:color w:val="auto"/>
          <w:sz w:val="24"/>
          <w:highlight w:val="none"/>
        </w:rPr>
      </w:pPr>
      <w:r>
        <w:rPr>
          <w:rFonts w:ascii="宋体" w:hAnsi="宋体" w:eastAsia="宋体" w:cs="宋体"/>
          <w:b w:val="0"/>
          <w:i w:val="0"/>
          <w:color w:val="auto"/>
          <w:spacing w:val="0"/>
          <w:sz w:val="24"/>
          <w:highlight w:val="none"/>
        </w:rPr>
        <w:t>明确陈述服务是否达到合同约定标准，给出“同意通过验收”、“整改后复验”或“不予通过”的结论。</w:t>
      </w:r>
    </w:p>
    <w:p w14:paraId="33FF4892">
      <w:pPr>
        <w:pageBreakBefore w:val="0"/>
        <w:wordWrap/>
        <w:spacing w:before="160" w:after="0"/>
        <w:ind w:left="0" w:right="0"/>
        <w:jc w:val="left"/>
        <w:textAlignment w:val="auto"/>
        <w:rPr>
          <w:rFonts w:hint="eastAsia" w:ascii="宋体" w:hAnsi="宋体" w:eastAsia="宋体" w:cs="宋体"/>
          <w:b/>
          <w:i w:val="0"/>
          <w:color w:val="auto"/>
          <w:spacing w:val="0"/>
          <w:sz w:val="24"/>
          <w:highlight w:val="none"/>
          <w:lang w:eastAsia="zh-CN"/>
        </w:rPr>
      </w:pPr>
    </w:p>
    <w:p w14:paraId="04E08F51">
      <w:pPr>
        <w:pageBreakBefore w:val="0"/>
        <w:wordWrap/>
        <w:spacing w:before="160" w:after="0"/>
        <w:ind w:left="0" w:right="0"/>
        <w:jc w:val="left"/>
        <w:textAlignment w:val="auto"/>
        <w:rPr>
          <w:rFonts w:hint="eastAsia" w:ascii="黑体" w:hAnsi="黑体" w:eastAsia="黑体" w:cs="黑体"/>
          <w:b/>
          <w:i w:val="0"/>
          <w:color w:val="auto"/>
          <w:spacing w:val="0"/>
          <w:sz w:val="24"/>
          <w:highlight w:val="none"/>
          <w:lang w:eastAsia="zh-CN"/>
        </w:rPr>
      </w:pPr>
    </w:p>
    <w:p w14:paraId="44D072B6">
      <w:pPr>
        <w:pageBreakBefore w:val="0"/>
        <w:wordWrap/>
        <w:spacing w:before="160" w:after="0"/>
        <w:ind w:left="0" w:right="0"/>
        <w:jc w:val="left"/>
        <w:textAlignment w:val="auto"/>
        <w:rPr>
          <w:rFonts w:hint="eastAsia" w:ascii="黑体" w:hAnsi="黑体" w:eastAsia="黑体" w:cs="黑体"/>
          <w:b/>
          <w:i w:val="0"/>
          <w:color w:val="auto"/>
          <w:spacing w:val="0"/>
          <w:sz w:val="24"/>
          <w:highlight w:val="none"/>
          <w:lang w:eastAsia="zh-CN"/>
        </w:rPr>
      </w:pPr>
    </w:p>
    <w:p w14:paraId="305EAD48">
      <w:pPr>
        <w:pageBreakBefore w:val="0"/>
        <w:wordWrap/>
        <w:spacing w:before="160" w:after="0"/>
        <w:ind w:left="0" w:right="0"/>
        <w:jc w:val="left"/>
        <w:textAlignment w:val="auto"/>
        <w:rPr>
          <w:rFonts w:hint="eastAsia" w:ascii="黑体" w:hAnsi="黑体" w:eastAsia="黑体" w:cs="黑体"/>
          <w:b/>
          <w:i w:val="0"/>
          <w:color w:val="auto"/>
          <w:spacing w:val="0"/>
          <w:sz w:val="24"/>
          <w:highlight w:val="none"/>
          <w:lang w:eastAsia="zh-CN"/>
        </w:rPr>
      </w:pPr>
    </w:p>
    <w:p w14:paraId="0D52C9CE">
      <w:pPr>
        <w:pageBreakBefore w:val="0"/>
        <w:wordWrap/>
        <w:spacing w:before="160" w:after="0"/>
        <w:ind w:left="0" w:right="0"/>
        <w:jc w:val="left"/>
        <w:textAlignment w:val="auto"/>
        <w:rPr>
          <w:rFonts w:hint="eastAsia" w:ascii="黑体" w:hAnsi="黑体" w:eastAsia="黑体" w:cs="黑体"/>
          <w:b/>
          <w:i w:val="0"/>
          <w:color w:val="auto"/>
          <w:spacing w:val="0"/>
          <w:sz w:val="24"/>
          <w:highlight w:val="none"/>
          <w:lang w:eastAsia="zh-CN"/>
        </w:rPr>
      </w:pPr>
    </w:p>
    <w:p w14:paraId="74E7D080">
      <w:pPr>
        <w:pageBreakBefore w:val="0"/>
        <w:wordWrap/>
        <w:spacing w:before="160" w:after="0"/>
        <w:ind w:left="0" w:right="0"/>
        <w:jc w:val="left"/>
        <w:textAlignment w:val="auto"/>
        <w:rPr>
          <w:rFonts w:hint="eastAsia" w:ascii="黑体" w:hAnsi="黑体" w:eastAsia="黑体" w:cs="黑体"/>
          <w:b/>
          <w:i w:val="0"/>
          <w:color w:val="auto"/>
          <w:spacing w:val="0"/>
          <w:sz w:val="24"/>
          <w:highlight w:val="none"/>
          <w:lang w:eastAsia="zh-CN"/>
        </w:rPr>
      </w:pPr>
    </w:p>
    <w:p w14:paraId="1929FADB">
      <w:pPr>
        <w:pageBreakBefore w:val="0"/>
        <w:wordWrap/>
        <w:spacing w:before="160" w:after="0"/>
        <w:ind w:left="0" w:right="0"/>
        <w:jc w:val="left"/>
        <w:textAlignment w:val="auto"/>
        <w:rPr>
          <w:rFonts w:hint="eastAsia" w:ascii="黑体" w:hAnsi="黑体" w:eastAsia="黑体" w:cs="黑体"/>
          <w:b/>
          <w:i w:val="0"/>
          <w:color w:val="auto"/>
          <w:spacing w:val="0"/>
          <w:sz w:val="24"/>
          <w:highlight w:val="none"/>
          <w:lang w:eastAsia="zh-CN"/>
        </w:rPr>
      </w:pPr>
      <w:r>
        <w:rPr>
          <w:rFonts w:hint="eastAsia" w:ascii="黑体" w:hAnsi="黑体" w:eastAsia="黑体" w:cs="黑体"/>
          <w:b/>
          <w:i w:val="0"/>
          <w:color w:val="auto"/>
          <w:spacing w:val="0"/>
          <w:sz w:val="24"/>
          <w:highlight w:val="none"/>
          <w:lang w:eastAsia="zh-CN"/>
        </w:rPr>
        <w:t>材料三</w:t>
      </w:r>
    </w:p>
    <w:p w14:paraId="52CBDD45">
      <w:pPr>
        <w:pageBreakBefore w:val="0"/>
        <w:wordWrap/>
        <w:spacing w:before="160" w:after="0"/>
        <w:ind w:left="0" w:right="0"/>
        <w:jc w:val="center"/>
        <w:textAlignment w:val="auto"/>
        <w:rPr>
          <w:rFonts w:hint="eastAsia" w:ascii="方正小标宋简体" w:hAnsi="方正小标宋简体" w:eastAsia="方正小标宋简体" w:cs="方正小标宋简体"/>
          <w:b w:val="0"/>
          <w:bCs/>
          <w:i w:val="0"/>
          <w:color w:val="auto"/>
          <w:spacing w:val="0"/>
          <w:sz w:val="36"/>
          <w:szCs w:val="32"/>
          <w:highlight w:val="none"/>
          <w:lang w:eastAsia="zh-CN"/>
        </w:rPr>
      </w:pPr>
    </w:p>
    <w:p w14:paraId="1D64085D">
      <w:pPr>
        <w:pageBreakBefore w:val="0"/>
        <w:wordWrap/>
        <w:spacing w:before="160" w:after="0"/>
        <w:ind w:left="0" w:right="0"/>
        <w:jc w:val="center"/>
        <w:textAlignment w:val="auto"/>
        <w:rPr>
          <w:rFonts w:hint="eastAsia" w:ascii="方正小标宋简体" w:hAnsi="方正小标宋简体" w:eastAsia="方正小标宋简体" w:cs="方正小标宋简体"/>
          <w:b w:val="0"/>
          <w:bCs/>
          <w:i w:val="0"/>
          <w:color w:val="auto"/>
          <w:spacing w:val="0"/>
          <w:sz w:val="36"/>
          <w:szCs w:val="32"/>
          <w:highlight w:val="none"/>
          <w:lang w:eastAsia="zh-CN"/>
        </w:rPr>
      </w:pPr>
      <w:r>
        <w:rPr>
          <w:rFonts w:hint="eastAsia" w:ascii="方正小标宋简体" w:hAnsi="方正小标宋简体" w:eastAsia="方正小标宋简体" w:cs="方正小标宋简体"/>
          <w:b w:val="0"/>
          <w:bCs/>
          <w:i w:val="0"/>
          <w:color w:val="auto"/>
          <w:spacing w:val="0"/>
          <w:sz w:val="36"/>
          <w:szCs w:val="32"/>
          <w:highlight w:val="none"/>
          <w:lang w:eastAsia="zh-CN"/>
        </w:rPr>
        <w:t>信访信息管理与服务平台驻场运维服务验收审批表</w:t>
      </w:r>
    </w:p>
    <w:p w14:paraId="268C4B5C">
      <w:pPr>
        <w:pageBreakBefore w:val="0"/>
        <w:wordWrap/>
        <w:spacing w:before="160" w:after="0"/>
        <w:ind w:left="0" w:right="0"/>
        <w:jc w:val="left"/>
        <w:textAlignment w:val="auto"/>
        <w:rPr>
          <w:rFonts w:hint="eastAsia" w:ascii="黑体" w:hAnsi="黑体" w:eastAsia="黑体" w:cs="黑体"/>
          <w:b/>
          <w:i w:val="0"/>
          <w:color w:val="auto"/>
          <w:spacing w:val="0"/>
          <w:sz w:val="36"/>
          <w:szCs w:val="32"/>
          <w:highlight w:val="none"/>
          <w:lang w:eastAsia="zh-CN"/>
        </w:rPr>
      </w:pPr>
      <w:r>
        <w:rPr>
          <w:rFonts w:hint="eastAsia" w:ascii="宋体" w:hAnsi="宋体" w:eastAsia="宋体" w:cs="宋体"/>
          <w:b/>
          <w:i w:val="0"/>
          <w:color w:val="auto"/>
          <w:spacing w:val="0"/>
          <w:sz w:val="24"/>
          <w:highlight w:val="none"/>
          <w:lang w:eastAsia="zh-CN"/>
        </w:rPr>
        <w:t>运维服务</w:t>
      </w:r>
      <w:r>
        <w:rPr>
          <w:rFonts w:ascii="宋体" w:hAnsi="宋体" w:eastAsia="宋体" w:cs="宋体"/>
          <w:b/>
          <w:i w:val="0"/>
          <w:color w:val="auto"/>
          <w:spacing w:val="0"/>
          <w:sz w:val="24"/>
          <w:highlight w:val="none"/>
        </w:rPr>
        <w:t>周期</w:t>
      </w:r>
      <w:r>
        <w:rPr>
          <w:rFonts w:ascii="宋体" w:hAnsi="宋体" w:eastAsia="宋体" w:cs="宋体"/>
          <w:b w:val="0"/>
          <w:i w:val="0"/>
          <w:color w:val="auto"/>
          <w:spacing w:val="0"/>
          <w:sz w:val="24"/>
          <w:highlight w:val="none"/>
        </w:rPr>
        <w:t>：</w:t>
      </w:r>
      <w:r>
        <w:rPr>
          <w:rFonts w:hint="eastAsia" w:ascii="宋体" w:hAnsi="宋体" w:eastAsia="宋体" w:cs="宋体"/>
          <w:b w:val="0"/>
          <w:i w:val="0"/>
          <w:color w:val="auto"/>
          <w:spacing w:val="0"/>
          <w:sz w:val="24"/>
          <w:highlight w:val="none"/>
          <w:lang w:val="en-US" w:eastAsia="zh-CN"/>
        </w:rPr>
        <w:t xml:space="preserve">   </w:t>
      </w:r>
      <w:r>
        <w:rPr>
          <w:rFonts w:hint="eastAsia" w:ascii="宋体" w:hAnsi="宋体" w:eastAsia="宋体" w:cs="宋体"/>
          <w:b w:val="0"/>
          <w:i w:val="0"/>
          <w:color w:val="auto"/>
          <w:spacing w:val="0"/>
          <w:sz w:val="24"/>
          <w:highlight w:val="none"/>
          <w:lang w:eastAsia="zh-CN"/>
        </w:rPr>
        <w:t>年</w:t>
      </w:r>
      <w:r>
        <w:rPr>
          <w:rFonts w:hint="eastAsia" w:ascii="宋体" w:hAnsi="宋体" w:eastAsia="宋体" w:cs="宋体"/>
          <w:b w:val="0"/>
          <w:i w:val="0"/>
          <w:color w:val="auto"/>
          <w:spacing w:val="0"/>
          <w:sz w:val="24"/>
          <w:highlight w:val="none"/>
          <w:lang w:val="en-US" w:eastAsia="zh-CN"/>
        </w:rPr>
        <w:t xml:space="preserve">  月  日</w:t>
      </w:r>
      <w:r>
        <w:rPr>
          <w:rFonts w:hint="eastAsia" w:ascii="宋体" w:hAnsi="宋体" w:eastAsia="宋体" w:cs="宋体"/>
          <w:b w:val="0"/>
          <w:i w:val="0"/>
          <w:color w:val="auto"/>
          <w:spacing w:val="0"/>
          <w:sz w:val="24"/>
          <w:highlight w:val="none"/>
          <w:lang w:eastAsia="zh-CN"/>
        </w:rPr>
        <w:t>——</w:t>
      </w:r>
      <w:r>
        <w:rPr>
          <w:rFonts w:ascii="宋体" w:hAnsi="宋体" w:eastAsia="宋体" w:cs="宋体"/>
          <w:b w:val="0"/>
          <w:i w:val="0"/>
          <w:color w:val="auto"/>
          <w:spacing w:val="0"/>
          <w:sz w:val="24"/>
          <w:highlight w:val="none"/>
        </w:rPr>
        <w:t xml:space="preserve"> </w:t>
      </w:r>
      <w:r>
        <w:rPr>
          <w:rFonts w:hint="eastAsia" w:ascii="宋体" w:hAnsi="宋体" w:eastAsia="宋体" w:cs="宋体"/>
          <w:b w:val="0"/>
          <w:i w:val="0"/>
          <w:color w:val="auto"/>
          <w:spacing w:val="0"/>
          <w:sz w:val="24"/>
          <w:highlight w:val="none"/>
          <w:lang w:val="en-US" w:eastAsia="zh-CN"/>
        </w:rPr>
        <w:t xml:space="preserve">   </w:t>
      </w:r>
      <w:r>
        <w:rPr>
          <w:rFonts w:hint="eastAsia" w:ascii="宋体" w:hAnsi="宋体" w:eastAsia="宋体" w:cs="宋体"/>
          <w:b w:val="0"/>
          <w:i w:val="0"/>
          <w:color w:val="auto"/>
          <w:spacing w:val="0"/>
          <w:sz w:val="24"/>
          <w:highlight w:val="none"/>
          <w:lang w:eastAsia="zh-CN"/>
        </w:rPr>
        <w:t>年</w:t>
      </w:r>
      <w:r>
        <w:rPr>
          <w:rFonts w:hint="eastAsia" w:ascii="宋体" w:hAnsi="宋体" w:eastAsia="宋体" w:cs="宋体"/>
          <w:b w:val="0"/>
          <w:i w:val="0"/>
          <w:color w:val="auto"/>
          <w:spacing w:val="0"/>
          <w:sz w:val="24"/>
          <w:highlight w:val="none"/>
          <w:lang w:val="en-US" w:eastAsia="zh-CN"/>
        </w:rPr>
        <w:t xml:space="preserve">  月  日</w:t>
      </w:r>
    </w:p>
    <w:tbl>
      <w:tblPr>
        <w:tblStyle w:val="32"/>
        <w:tblW w:w="0" w:type="auto"/>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2060"/>
        <w:gridCol w:w="2060"/>
        <w:gridCol w:w="2060"/>
        <w:gridCol w:w="2060"/>
      </w:tblGrid>
      <w:tr w14:paraId="682979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00" w:hRule="atLeast"/>
        </w:trPr>
        <w:tc>
          <w:tcPr>
            <w:tcW w:w="2060" w:type="dxa"/>
          </w:tcPr>
          <w:p w14:paraId="634C4DC9">
            <w:pPr>
              <w:pageBreakBefore w:val="0"/>
              <w:wordWrap/>
              <w:spacing w:before="0" w:after="0"/>
              <w:ind w:left="0" w:right="0" w:firstLine="0"/>
              <w:jc w:val="left"/>
              <w:textAlignment w:val="auto"/>
              <w:rPr>
                <w:color w:val="auto"/>
                <w:sz w:val="24"/>
                <w:highlight w:val="none"/>
              </w:rPr>
            </w:pPr>
            <w:r>
              <w:rPr>
                <w:rFonts w:ascii="宋体" w:hAnsi="宋体" w:eastAsia="宋体" w:cs="宋体"/>
                <w:b w:val="0"/>
                <w:i w:val="0"/>
                <w:color w:val="auto"/>
                <w:spacing w:val="0"/>
                <w:sz w:val="24"/>
                <w:highlight w:val="none"/>
              </w:rPr>
              <w:t>项目名称</w:t>
            </w:r>
          </w:p>
        </w:tc>
        <w:tc>
          <w:tcPr>
            <w:tcW w:w="2060" w:type="dxa"/>
          </w:tcPr>
          <w:p w14:paraId="7A8C89BE">
            <w:pPr>
              <w:pageBreakBefore w:val="0"/>
              <w:wordWrap/>
              <w:spacing w:before="0" w:after="0"/>
              <w:ind w:left="0" w:right="0" w:firstLine="0"/>
              <w:jc w:val="left"/>
              <w:textAlignment w:val="auto"/>
              <w:rPr>
                <w:color w:val="auto"/>
                <w:sz w:val="24"/>
                <w:highlight w:val="none"/>
              </w:rPr>
            </w:pPr>
            <w:r>
              <w:rPr>
                <w:rFonts w:hint="eastAsia"/>
                <w:color w:val="auto"/>
                <w:sz w:val="24"/>
                <w:highlight w:val="none"/>
              </w:rPr>
              <w:t>信访信息管理与服务平台</w:t>
            </w:r>
          </w:p>
        </w:tc>
        <w:tc>
          <w:tcPr>
            <w:tcW w:w="2060" w:type="dxa"/>
          </w:tcPr>
          <w:p w14:paraId="6473A2E4">
            <w:pPr>
              <w:pageBreakBefore w:val="0"/>
              <w:wordWrap/>
              <w:spacing w:before="0" w:after="0"/>
              <w:ind w:left="0" w:right="0" w:firstLine="0"/>
              <w:jc w:val="left"/>
              <w:textAlignment w:val="auto"/>
              <w:rPr>
                <w:color w:val="auto"/>
                <w:sz w:val="24"/>
                <w:highlight w:val="none"/>
              </w:rPr>
            </w:pPr>
            <w:r>
              <w:rPr>
                <w:rFonts w:ascii="宋体" w:hAnsi="宋体" w:eastAsia="宋体" w:cs="宋体"/>
                <w:b w:val="0"/>
                <w:i w:val="0"/>
                <w:color w:val="auto"/>
                <w:spacing w:val="0"/>
                <w:sz w:val="24"/>
                <w:highlight w:val="none"/>
              </w:rPr>
              <w:t>合同编号</w:t>
            </w:r>
          </w:p>
        </w:tc>
        <w:tc>
          <w:tcPr>
            <w:tcW w:w="2060" w:type="dxa"/>
          </w:tcPr>
          <w:p w14:paraId="3DC346DB">
            <w:pPr>
              <w:pageBreakBefore w:val="0"/>
              <w:wordWrap/>
              <w:spacing w:before="0" w:after="0"/>
              <w:ind w:left="0" w:right="0" w:firstLine="0"/>
              <w:jc w:val="left"/>
              <w:textAlignment w:val="auto"/>
              <w:rPr>
                <w:color w:val="auto"/>
                <w:sz w:val="24"/>
                <w:highlight w:val="none"/>
              </w:rPr>
            </w:pPr>
          </w:p>
        </w:tc>
      </w:tr>
      <w:tr w14:paraId="1ACD36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00" w:hRule="atLeast"/>
        </w:trPr>
        <w:tc>
          <w:tcPr>
            <w:tcW w:w="2060" w:type="dxa"/>
          </w:tcPr>
          <w:p w14:paraId="77002CBE">
            <w:pPr>
              <w:pageBreakBefore w:val="0"/>
              <w:wordWrap/>
              <w:spacing w:before="0" w:after="0"/>
              <w:ind w:left="0" w:right="0" w:firstLine="0"/>
              <w:jc w:val="left"/>
              <w:textAlignment w:val="auto"/>
              <w:rPr>
                <w:color w:val="auto"/>
                <w:sz w:val="24"/>
                <w:highlight w:val="none"/>
              </w:rPr>
            </w:pPr>
            <w:r>
              <w:rPr>
                <w:rFonts w:ascii="宋体" w:hAnsi="宋体" w:eastAsia="宋体" w:cs="宋体"/>
                <w:b/>
                <w:i w:val="0"/>
                <w:color w:val="auto"/>
                <w:spacing w:val="0"/>
                <w:sz w:val="24"/>
                <w:highlight w:val="none"/>
              </w:rPr>
              <w:t>服务方</w:t>
            </w:r>
          </w:p>
        </w:tc>
        <w:tc>
          <w:tcPr>
            <w:tcW w:w="2060" w:type="dxa"/>
          </w:tcPr>
          <w:p w14:paraId="0A7D784F">
            <w:pPr>
              <w:pageBreakBefore w:val="0"/>
              <w:wordWrap/>
              <w:spacing w:before="0" w:after="0"/>
              <w:ind w:left="0" w:right="0" w:firstLine="0"/>
              <w:jc w:val="left"/>
              <w:textAlignment w:val="auto"/>
              <w:rPr>
                <w:color w:val="auto"/>
                <w:sz w:val="24"/>
                <w:highlight w:val="none"/>
              </w:rPr>
            </w:pPr>
          </w:p>
        </w:tc>
        <w:tc>
          <w:tcPr>
            <w:tcW w:w="2060" w:type="dxa"/>
          </w:tcPr>
          <w:p w14:paraId="138F22C5">
            <w:pPr>
              <w:pageBreakBefore w:val="0"/>
              <w:wordWrap/>
              <w:spacing w:before="0" w:after="0"/>
              <w:ind w:left="0" w:right="0" w:firstLine="0"/>
              <w:jc w:val="left"/>
              <w:textAlignment w:val="auto"/>
              <w:rPr>
                <w:color w:val="auto"/>
                <w:sz w:val="24"/>
                <w:highlight w:val="none"/>
              </w:rPr>
            </w:pPr>
            <w:r>
              <w:rPr>
                <w:rFonts w:ascii="宋体" w:hAnsi="宋体" w:eastAsia="宋体" w:cs="宋体"/>
                <w:b/>
                <w:i w:val="0"/>
                <w:color w:val="auto"/>
                <w:spacing w:val="0"/>
                <w:sz w:val="24"/>
                <w:highlight w:val="none"/>
              </w:rPr>
              <w:t>采购方</w:t>
            </w:r>
          </w:p>
        </w:tc>
        <w:tc>
          <w:tcPr>
            <w:tcW w:w="2060" w:type="dxa"/>
          </w:tcPr>
          <w:p w14:paraId="46B1B022">
            <w:pPr>
              <w:pageBreakBefore w:val="0"/>
              <w:wordWrap/>
              <w:spacing w:before="0" w:after="0"/>
              <w:ind w:left="0" w:right="0" w:firstLine="0"/>
              <w:jc w:val="left"/>
              <w:textAlignment w:val="auto"/>
              <w:rPr>
                <w:rFonts w:hint="eastAsia" w:eastAsia="宋体"/>
                <w:color w:val="auto"/>
                <w:sz w:val="24"/>
                <w:highlight w:val="none"/>
                <w:lang w:eastAsia="zh-CN"/>
              </w:rPr>
            </w:pPr>
            <w:r>
              <w:rPr>
                <w:rFonts w:hint="eastAsia"/>
                <w:color w:val="auto"/>
                <w:sz w:val="24"/>
                <w:highlight w:val="none"/>
                <w:lang w:eastAsia="zh-CN"/>
              </w:rPr>
              <w:t>广西信访信息中心</w:t>
            </w:r>
          </w:p>
        </w:tc>
      </w:tr>
      <w:tr w14:paraId="1C5732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00" w:hRule="atLeast"/>
        </w:trPr>
        <w:tc>
          <w:tcPr>
            <w:tcW w:w="2060" w:type="dxa"/>
          </w:tcPr>
          <w:p w14:paraId="4B71EEAF">
            <w:pPr>
              <w:pageBreakBefore w:val="0"/>
              <w:wordWrap/>
              <w:spacing w:before="0" w:after="0"/>
              <w:ind w:left="0" w:right="0" w:firstLine="0"/>
              <w:jc w:val="left"/>
              <w:textAlignment w:val="auto"/>
              <w:rPr>
                <w:color w:val="auto"/>
                <w:sz w:val="24"/>
                <w:highlight w:val="none"/>
              </w:rPr>
            </w:pPr>
            <w:r>
              <w:rPr>
                <w:rFonts w:ascii="宋体" w:hAnsi="宋体" w:eastAsia="宋体" w:cs="宋体"/>
                <w:b/>
                <w:i w:val="0"/>
                <w:color w:val="auto"/>
                <w:spacing w:val="0"/>
                <w:sz w:val="24"/>
                <w:highlight w:val="none"/>
              </w:rPr>
              <w:t>验收核验内容</w:t>
            </w:r>
          </w:p>
        </w:tc>
        <w:tc>
          <w:tcPr>
            <w:tcW w:w="6180" w:type="dxa"/>
            <w:gridSpan w:val="3"/>
          </w:tcPr>
          <w:p w14:paraId="07528385">
            <w:pPr>
              <w:pageBreakBefore w:val="0"/>
              <w:numPr>
                <w:ilvl w:val="0"/>
                <w:numId w:val="13"/>
              </w:numPr>
              <w:wordWrap/>
              <w:spacing w:before="0" w:after="0"/>
              <w:ind w:left="0" w:right="0" w:firstLine="0"/>
              <w:jc w:val="left"/>
              <w:textAlignment w:val="auto"/>
              <w:rPr>
                <w:rFonts w:ascii="宋体" w:hAnsi="宋体" w:eastAsia="宋体" w:cs="宋体"/>
                <w:b w:val="0"/>
                <w:i w:val="0"/>
                <w:color w:val="auto"/>
                <w:spacing w:val="0"/>
                <w:sz w:val="24"/>
                <w:highlight w:val="none"/>
              </w:rPr>
            </w:pPr>
            <w:r>
              <w:rPr>
                <w:rFonts w:ascii="宋体" w:hAnsi="宋体" w:eastAsia="宋体" w:cs="宋体"/>
                <w:b w:val="0"/>
                <w:i w:val="0"/>
                <w:color w:val="auto"/>
                <w:spacing w:val="0"/>
                <w:sz w:val="24"/>
                <w:highlight w:val="none"/>
              </w:rPr>
              <w:t>合同履约与服务期限：□符合 □不符合</w:t>
            </w:r>
          </w:p>
          <w:p w14:paraId="68CCD7F8">
            <w:pPr>
              <w:pageBreakBefore w:val="0"/>
              <w:numPr>
                <w:ilvl w:val="0"/>
                <w:numId w:val="13"/>
              </w:numPr>
              <w:wordWrap/>
              <w:spacing w:before="0" w:after="0"/>
              <w:ind w:left="0" w:leftChars="0" w:right="0" w:rightChars="0" w:firstLine="0" w:firstLineChars="0"/>
              <w:jc w:val="left"/>
              <w:textAlignment w:val="auto"/>
              <w:rPr>
                <w:rFonts w:ascii="宋体" w:hAnsi="宋体" w:eastAsia="宋体" w:cs="宋体"/>
                <w:b w:val="0"/>
                <w:i w:val="0"/>
                <w:color w:val="auto"/>
                <w:spacing w:val="0"/>
                <w:sz w:val="24"/>
                <w:highlight w:val="none"/>
              </w:rPr>
            </w:pPr>
            <w:r>
              <w:rPr>
                <w:rFonts w:ascii="宋体" w:hAnsi="宋体" w:eastAsia="宋体" w:cs="宋体"/>
                <w:b w:val="0"/>
                <w:i w:val="0"/>
                <w:color w:val="auto"/>
                <w:spacing w:val="0"/>
                <w:sz w:val="24"/>
                <w:highlight w:val="none"/>
              </w:rPr>
              <w:t>驻场人员资质与到岗率：□符合 □不符合</w:t>
            </w:r>
          </w:p>
          <w:p w14:paraId="5CDE4896">
            <w:pPr>
              <w:pageBreakBefore w:val="0"/>
              <w:numPr>
                <w:ilvl w:val="0"/>
                <w:numId w:val="13"/>
              </w:numPr>
              <w:wordWrap/>
              <w:spacing w:before="0" w:after="0"/>
              <w:ind w:left="0" w:leftChars="0" w:right="0" w:rightChars="0" w:firstLine="0" w:firstLineChars="0"/>
              <w:jc w:val="left"/>
              <w:textAlignment w:val="auto"/>
              <w:rPr>
                <w:rFonts w:ascii="宋体" w:hAnsi="宋体" w:eastAsia="宋体" w:cs="宋体"/>
                <w:b w:val="0"/>
                <w:i w:val="0"/>
                <w:color w:val="auto"/>
                <w:spacing w:val="0"/>
                <w:sz w:val="24"/>
                <w:highlight w:val="none"/>
              </w:rPr>
            </w:pPr>
            <w:r>
              <w:rPr>
                <w:rFonts w:ascii="宋体" w:hAnsi="宋体" w:eastAsia="宋体" w:cs="宋体"/>
                <w:b w:val="0"/>
                <w:i w:val="0"/>
                <w:color w:val="auto"/>
                <w:spacing w:val="0"/>
                <w:sz w:val="24"/>
                <w:highlight w:val="none"/>
              </w:rPr>
              <w:t>系统可用性与SLA达标情况：□符合 □不符合</w:t>
            </w:r>
          </w:p>
          <w:p w14:paraId="7C4D44FA">
            <w:pPr>
              <w:pageBreakBefore w:val="0"/>
              <w:numPr>
                <w:ilvl w:val="0"/>
                <w:numId w:val="0"/>
              </w:numPr>
              <w:wordWrap/>
              <w:spacing w:before="0" w:after="0"/>
              <w:ind w:leftChars="0" w:right="0" w:rightChars="0"/>
              <w:jc w:val="left"/>
              <w:textAlignment w:val="auto"/>
              <w:rPr>
                <w:color w:val="auto"/>
                <w:sz w:val="24"/>
                <w:highlight w:val="none"/>
              </w:rPr>
            </w:pPr>
            <w:r>
              <w:rPr>
                <w:rFonts w:ascii="宋体" w:hAnsi="宋体" w:eastAsia="宋体" w:cs="宋体"/>
                <w:b w:val="0"/>
                <w:i w:val="0"/>
                <w:color w:val="auto"/>
                <w:spacing w:val="0"/>
                <w:sz w:val="24"/>
                <w:highlight w:val="none"/>
              </w:rPr>
              <w:t>4. 交付文档完整性与规范性：□符合 □不符合</w:t>
            </w:r>
          </w:p>
        </w:tc>
      </w:tr>
      <w:tr w14:paraId="08A4A7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35" w:hRule="atLeast"/>
        </w:trPr>
        <w:tc>
          <w:tcPr>
            <w:tcW w:w="2060" w:type="dxa"/>
          </w:tcPr>
          <w:p w14:paraId="6C2DA57B">
            <w:pPr>
              <w:pageBreakBefore w:val="0"/>
              <w:wordWrap/>
              <w:spacing w:before="0" w:after="0"/>
              <w:ind w:left="0" w:right="0" w:firstLine="0"/>
              <w:jc w:val="left"/>
              <w:textAlignment w:val="auto"/>
              <w:rPr>
                <w:color w:val="auto"/>
                <w:sz w:val="24"/>
                <w:highlight w:val="none"/>
              </w:rPr>
            </w:pPr>
            <w:r>
              <w:rPr>
                <w:rFonts w:ascii="宋体" w:hAnsi="宋体" w:eastAsia="宋体" w:cs="宋体"/>
                <w:b/>
                <w:i w:val="0"/>
                <w:color w:val="auto"/>
                <w:spacing w:val="0"/>
                <w:sz w:val="24"/>
                <w:highlight w:val="none"/>
              </w:rPr>
              <w:t>遗留问题及整改要求</w:t>
            </w:r>
          </w:p>
        </w:tc>
        <w:tc>
          <w:tcPr>
            <w:tcW w:w="6180" w:type="dxa"/>
            <w:gridSpan w:val="3"/>
          </w:tcPr>
          <w:p w14:paraId="1774FC21">
            <w:pPr>
              <w:pageBreakBefore w:val="0"/>
              <w:wordWrap/>
              <w:spacing w:before="0" w:after="0"/>
              <w:ind w:left="0" w:right="0" w:firstLine="0"/>
              <w:jc w:val="left"/>
              <w:textAlignment w:val="auto"/>
              <w:rPr>
                <w:color w:val="auto"/>
                <w:sz w:val="24"/>
                <w:highlight w:val="none"/>
              </w:rPr>
            </w:pPr>
            <w:r>
              <w:rPr>
                <w:rFonts w:ascii="宋体" w:hAnsi="宋体" w:eastAsia="宋体" w:cs="宋体"/>
                <w:b w:val="0"/>
                <w:i w:val="0"/>
                <w:color w:val="auto"/>
                <w:spacing w:val="0"/>
                <w:sz w:val="24"/>
                <w:highlight w:val="none"/>
              </w:rPr>
              <w:t>[如无遗留问题填“无”；如有，详细列出问题描述、整改责任人及限期整改完成时间]</w:t>
            </w:r>
          </w:p>
        </w:tc>
      </w:tr>
      <w:tr w14:paraId="2DE290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00" w:hRule="atLeast"/>
        </w:trPr>
        <w:tc>
          <w:tcPr>
            <w:tcW w:w="2060" w:type="dxa"/>
          </w:tcPr>
          <w:p w14:paraId="684EE4CD">
            <w:pPr>
              <w:pageBreakBefore w:val="0"/>
              <w:wordWrap/>
              <w:spacing w:before="0" w:after="0"/>
              <w:ind w:left="0" w:right="0" w:firstLine="0"/>
              <w:jc w:val="left"/>
              <w:textAlignment w:val="auto"/>
              <w:rPr>
                <w:color w:val="auto"/>
                <w:sz w:val="24"/>
                <w:highlight w:val="none"/>
              </w:rPr>
            </w:pPr>
            <w:r>
              <w:rPr>
                <w:rFonts w:ascii="宋体" w:hAnsi="宋体" w:eastAsia="宋体" w:cs="宋体"/>
                <w:b/>
                <w:i w:val="0"/>
                <w:color w:val="auto"/>
                <w:spacing w:val="0"/>
                <w:sz w:val="24"/>
                <w:highlight w:val="none"/>
              </w:rPr>
              <w:t>验收结论</w:t>
            </w:r>
          </w:p>
        </w:tc>
        <w:tc>
          <w:tcPr>
            <w:tcW w:w="6180" w:type="dxa"/>
            <w:gridSpan w:val="3"/>
          </w:tcPr>
          <w:p w14:paraId="71C83883">
            <w:pPr>
              <w:pageBreakBefore w:val="0"/>
              <w:wordWrap/>
              <w:spacing w:before="0" w:after="0"/>
              <w:ind w:left="0" w:right="0" w:firstLine="0"/>
              <w:jc w:val="left"/>
              <w:textAlignment w:val="auto"/>
              <w:rPr>
                <w:rFonts w:hint="eastAsia" w:ascii="宋体" w:hAnsi="宋体" w:eastAsia="宋体" w:cs="宋体"/>
                <w:b w:val="0"/>
                <w:i w:val="0"/>
                <w:color w:val="auto"/>
                <w:spacing w:val="0"/>
                <w:sz w:val="24"/>
                <w:highlight w:val="none"/>
                <w:lang w:eastAsia="zh-CN"/>
              </w:rPr>
            </w:pPr>
            <w:r>
              <w:rPr>
                <w:rFonts w:ascii="宋体" w:hAnsi="宋体" w:eastAsia="宋体" w:cs="宋体"/>
                <w:b w:val="0"/>
                <w:i w:val="0"/>
                <w:color w:val="auto"/>
                <w:spacing w:val="0"/>
                <w:sz w:val="24"/>
                <w:highlight w:val="none"/>
              </w:rPr>
              <w:t>□ 验收合格，同意结项并支付</w:t>
            </w:r>
            <w:r>
              <w:rPr>
                <w:rFonts w:hint="eastAsia" w:ascii="宋体" w:hAnsi="宋体" w:eastAsia="宋体" w:cs="宋体"/>
                <w:b w:val="0"/>
                <w:i w:val="0"/>
                <w:color w:val="auto"/>
                <w:spacing w:val="0"/>
                <w:sz w:val="24"/>
                <w:highlight w:val="none"/>
                <w:lang w:eastAsia="zh-CN"/>
              </w:rPr>
              <w:t>履约保证金。</w:t>
            </w:r>
          </w:p>
          <w:p w14:paraId="2DC7D3BA">
            <w:pPr>
              <w:pageBreakBefore w:val="0"/>
              <w:wordWrap/>
              <w:spacing w:before="0" w:after="0"/>
              <w:ind w:left="0" w:right="0" w:firstLine="0"/>
              <w:jc w:val="left"/>
              <w:textAlignment w:val="auto"/>
              <w:rPr>
                <w:rFonts w:ascii="宋体" w:hAnsi="宋体" w:eastAsia="宋体" w:cs="宋体"/>
                <w:b w:val="0"/>
                <w:i w:val="0"/>
                <w:color w:val="auto"/>
                <w:spacing w:val="0"/>
                <w:sz w:val="24"/>
                <w:highlight w:val="none"/>
              </w:rPr>
            </w:pPr>
            <w:r>
              <w:rPr>
                <w:rFonts w:ascii="宋体" w:hAnsi="宋体" w:eastAsia="宋体" w:cs="宋体"/>
                <w:b w:val="0"/>
                <w:i w:val="0"/>
                <w:color w:val="auto"/>
                <w:spacing w:val="0"/>
                <w:sz w:val="24"/>
                <w:highlight w:val="none"/>
              </w:rPr>
              <w:t>□验收基本合格，限期整改后由</w:t>
            </w:r>
            <w:r>
              <w:rPr>
                <w:rFonts w:hint="eastAsia" w:ascii="宋体" w:hAnsi="宋体" w:eastAsia="宋体" w:cs="宋体"/>
                <w:b w:val="0"/>
                <w:i w:val="0"/>
                <w:color w:val="auto"/>
                <w:spacing w:val="0"/>
                <w:sz w:val="24"/>
                <w:highlight w:val="none"/>
                <w:lang w:eastAsia="zh-CN"/>
              </w:rPr>
              <w:t>广西信访中心指定人员进行</w:t>
            </w:r>
            <w:r>
              <w:rPr>
                <w:rFonts w:ascii="宋体" w:hAnsi="宋体" w:eastAsia="宋体" w:cs="宋体"/>
                <w:b w:val="0"/>
                <w:i w:val="0"/>
                <w:color w:val="auto"/>
                <w:spacing w:val="0"/>
                <w:sz w:val="24"/>
                <w:highlight w:val="none"/>
              </w:rPr>
              <w:t>复核确认</w:t>
            </w:r>
          </w:p>
          <w:p w14:paraId="01EE8CEA">
            <w:pPr>
              <w:pageBreakBefore w:val="0"/>
              <w:wordWrap/>
              <w:spacing w:before="0" w:after="0"/>
              <w:ind w:left="0" w:right="0" w:firstLine="0"/>
              <w:jc w:val="left"/>
              <w:textAlignment w:val="auto"/>
              <w:rPr>
                <w:color w:val="auto"/>
                <w:sz w:val="24"/>
                <w:highlight w:val="none"/>
              </w:rPr>
            </w:pPr>
            <w:r>
              <w:rPr>
                <w:rFonts w:ascii="宋体" w:hAnsi="宋体" w:eastAsia="宋体" w:cs="宋体"/>
                <w:b w:val="0"/>
                <w:i w:val="0"/>
                <w:color w:val="auto"/>
                <w:spacing w:val="0"/>
                <w:sz w:val="24"/>
                <w:highlight w:val="none"/>
              </w:rPr>
              <w:t>□ 验收不合格，按合同违约条款处理</w:t>
            </w:r>
          </w:p>
        </w:tc>
      </w:tr>
      <w:tr w14:paraId="1CFB82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00" w:hRule="atLeast"/>
        </w:trPr>
        <w:tc>
          <w:tcPr>
            <w:tcW w:w="2060" w:type="dxa"/>
          </w:tcPr>
          <w:p w14:paraId="0518B579">
            <w:pPr>
              <w:pageBreakBefore w:val="0"/>
              <w:wordWrap/>
              <w:spacing w:before="0" w:after="0"/>
              <w:ind w:left="0" w:right="0" w:firstLine="0"/>
              <w:jc w:val="left"/>
              <w:textAlignment w:val="auto"/>
              <w:rPr>
                <w:color w:val="auto"/>
                <w:sz w:val="24"/>
                <w:highlight w:val="none"/>
              </w:rPr>
            </w:pPr>
            <w:r>
              <w:rPr>
                <w:rFonts w:ascii="宋体" w:hAnsi="宋体" w:eastAsia="宋体" w:cs="宋体"/>
                <w:b/>
                <w:i w:val="0"/>
                <w:color w:val="auto"/>
                <w:spacing w:val="0"/>
                <w:sz w:val="24"/>
                <w:highlight w:val="none"/>
              </w:rPr>
              <w:t>验收组签字</w:t>
            </w:r>
          </w:p>
        </w:tc>
        <w:tc>
          <w:tcPr>
            <w:tcW w:w="6180" w:type="dxa"/>
            <w:gridSpan w:val="3"/>
          </w:tcPr>
          <w:p w14:paraId="0D14E745">
            <w:pPr>
              <w:pageBreakBefore w:val="0"/>
              <w:wordWrap/>
              <w:spacing w:before="0" w:after="0"/>
              <w:ind w:left="0" w:right="0" w:firstLine="0"/>
              <w:jc w:val="left"/>
              <w:textAlignment w:val="auto"/>
              <w:rPr>
                <w:rFonts w:ascii="宋体" w:hAnsi="宋体" w:eastAsia="宋体" w:cs="宋体"/>
                <w:b w:val="0"/>
                <w:bCs/>
                <w:i w:val="0"/>
                <w:color w:val="auto"/>
                <w:spacing w:val="0"/>
                <w:sz w:val="24"/>
                <w:highlight w:val="none"/>
              </w:rPr>
            </w:pPr>
            <w:r>
              <w:rPr>
                <w:rFonts w:ascii="宋体" w:hAnsi="宋体" w:eastAsia="宋体" w:cs="宋体"/>
                <w:b w:val="0"/>
                <w:bCs/>
                <w:i w:val="0"/>
                <w:color w:val="auto"/>
                <w:spacing w:val="0"/>
                <w:sz w:val="24"/>
                <w:highlight w:val="none"/>
              </w:rPr>
              <w:t>采购方业务代表</w:t>
            </w:r>
            <w:r>
              <w:rPr>
                <w:rFonts w:hint="eastAsia" w:ascii="宋体" w:hAnsi="宋体" w:eastAsia="宋体" w:cs="宋体"/>
                <w:b w:val="0"/>
                <w:bCs/>
                <w:i w:val="0"/>
                <w:color w:val="auto"/>
                <w:spacing w:val="0"/>
                <w:sz w:val="24"/>
                <w:highlight w:val="none"/>
                <w:lang w:eastAsia="zh-CN"/>
              </w:rPr>
              <w:t>签字</w:t>
            </w:r>
            <w:r>
              <w:rPr>
                <w:rFonts w:ascii="宋体" w:hAnsi="宋体" w:eastAsia="宋体" w:cs="宋体"/>
                <w:b w:val="0"/>
                <w:bCs/>
                <w:i w:val="0"/>
                <w:color w:val="auto"/>
                <w:spacing w:val="0"/>
                <w:sz w:val="24"/>
                <w:highlight w:val="none"/>
              </w:rPr>
              <w:t xml:space="preserve">： </w:t>
            </w:r>
            <w:r>
              <w:rPr>
                <w:rFonts w:hint="eastAsia" w:ascii="宋体" w:hAnsi="宋体" w:eastAsia="宋体" w:cs="宋体"/>
                <w:b w:val="0"/>
                <w:bCs/>
                <w:i w:val="0"/>
                <w:color w:val="auto"/>
                <w:spacing w:val="0"/>
                <w:sz w:val="24"/>
                <w:highlight w:val="none"/>
                <w:lang w:val="en-US" w:eastAsia="zh-CN"/>
              </w:rPr>
              <w:t xml:space="preserve">           </w:t>
            </w:r>
            <w:r>
              <w:rPr>
                <w:rFonts w:ascii="宋体" w:hAnsi="宋体" w:eastAsia="宋体" w:cs="宋体"/>
                <w:b w:val="0"/>
                <w:bCs/>
                <w:i w:val="0"/>
                <w:color w:val="auto"/>
                <w:spacing w:val="0"/>
                <w:sz w:val="24"/>
                <w:highlight w:val="none"/>
              </w:rPr>
              <w:t>日期：</w:t>
            </w:r>
          </w:p>
          <w:p w14:paraId="528D22FE">
            <w:pPr>
              <w:pageBreakBefore w:val="0"/>
              <w:wordWrap/>
              <w:spacing w:before="0" w:after="0"/>
              <w:ind w:left="0" w:right="0" w:firstLine="0"/>
              <w:jc w:val="left"/>
              <w:textAlignment w:val="auto"/>
              <w:rPr>
                <w:rFonts w:ascii="宋体" w:hAnsi="宋体" w:eastAsia="宋体" w:cs="宋体"/>
                <w:b w:val="0"/>
                <w:bCs/>
                <w:i w:val="0"/>
                <w:color w:val="auto"/>
                <w:spacing w:val="0"/>
                <w:sz w:val="24"/>
                <w:highlight w:val="none"/>
              </w:rPr>
            </w:pPr>
            <w:r>
              <w:rPr>
                <w:rFonts w:ascii="宋体" w:hAnsi="宋体" w:eastAsia="宋体" w:cs="宋体"/>
                <w:b w:val="0"/>
                <w:bCs/>
                <w:i w:val="0"/>
                <w:color w:val="auto"/>
                <w:spacing w:val="0"/>
                <w:sz w:val="24"/>
                <w:highlight w:val="none"/>
              </w:rPr>
              <w:t>采购方</w:t>
            </w:r>
            <w:r>
              <w:rPr>
                <w:rFonts w:hint="eastAsia" w:ascii="宋体" w:hAnsi="宋体" w:eastAsia="宋体" w:cs="宋体"/>
                <w:b w:val="0"/>
                <w:bCs/>
                <w:i w:val="0"/>
                <w:color w:val="auto"/>
                <w:spacing w:val="0"/>
                <w:sz w:val="24"/>
                <w:highlight w:val="none"/>
                <w:lang w:eastAsia="zh-CN"/>
              </w:rPr>
              <w:t>系统使用方业务处室代表</w:t>
            </w:r>
            <w:r>
              <w:rPr>
                <w:rFonts w:ascii="宋体" w:hAnsi="宋体" w:eastAsia="宋体" w:cs="宋体"/>
                <w:b w:val="0"/>
                <w:bCs/>
                <w:i w:val="0"/>
                <w:color w:val="auto"/>
                <w:spacing w:val="0"/>
                <w:sz w:val="24"/>
                <w:highlight w:val="none"/>
              </w:rPr>
              <w:t xml:space="preserve">： </w:t>
            </w:r>
            <w:r>
              <w:rPr>
                <w:rFonts w:hint="eastAsia" w:ascii="宋体" w:hAnsi="宋体" w:eastAsia="宋体" w:cs="宋体"/>
                <w:b w:val="0"/>
                <w:bCs/>
                <w:i w:val="0"/>
                <w:color w:val="auto"/>
                <w:spacing w:val="0"/>
                <w:sz w:val="24"/>
                <w:highlight w:val="none"/>
                <w:lang w:val="en-US" w:eastAsia="zh-CN"/>
              </w:rPr>
              <w:t xml:space="preserve">    </w:t>
            </w:r>
            <w:r>
              <w:rPr>
                <w:rFonts w:ascii="宋体" w:hAnsi="宋体" w:eastAsia="宋体" w:cs="宋体"/>
                <w:b w:val="0"/>
                <w:bCs/>
                <w:i w:val="0"/>
                <w:color w:val="auto"/>
                <w:spacing w:val="0"/>
                <w:sz w:val="24"/>
                <w:highlight w:val="none"/>
              </w:rPr>
              <w:t>日期：</w:t>
            </w:r>
          </w:p>
          <w:p w14:paraId="19EEF553">
            <w:pPr>
              <w:pageBreakBefore w:val="0"/>
              <w:wordWrap/>
              <w:spacing w:before="0" w:after="0"/>
              <w:ind w:left="0" w:right="0" w:firstLine="0"/>
              <w:jc w:val="left"/>
              <w:textAlignment w:val="auto"/>
              <w:rPr>
                <w:b w:val="0"/>
                <w:bCs/>
                <w:color w:val="auto"/>
                <w:sz w:val="24"/>
                <w:highlight w:val="none"/>
              </w:rPr>
            </w:pPr>
            <w:r>
              <w:rPr>
                <w:rFonts w:ascii="宋体" w:hAnsi="宋体" w:eastAsia="宋体" w:cs="宋体"/>
                <w:b w:val="0"/>
                <w:bCs/>
                <w:i w:val="0"/>
                <w:color w:val="auto"/>
                <w:spacing w:val="0"/>
                <w:sz w:val="24"/>
                <w:highlight w:val="none"/>
              </w:rPr>
              <w:t xml:space="preserve">运维方项目负责人： </w:t>
            </w:r>
            <w:r>
              <w:rPr>
                <w:rFonts w:hint="eastAsia" w:ascii="宋体" w:hAnsi="宋体" w:eastAsia="宋体" w:cs="宋体"/>
                <w:b w:val="0"/>
                <w:bCs/>
                <w:i w:val="0"/>
                <w:color w:val="auto"/>
                <w:spacing w:val="0"/>
                <w:sz w:val="24"/>
                <w:highlight w:val="none"/>
                <w:lang w:val="en-US" w:eastAsia="zh-CN"/>
              </w:rPr>
              <w:t xml:space="preserve">         </w:t>
            </w:r>
            <w:r>
              <w:rPr>
                <w:rFonts w:ascii="宋体" w:hAnsi="宋体" w:eastAsia="宋体" w:cs="宋体"/>
                <w:b w:val="0"/>
                <w:bCs/>
                <w:i w:val="0"/>
                <w:color w:val="auto"/>
                <w:spacing w:val="0"/>
                <w:sz w:val="24"/>
                <w:highlight w:val="none"/>
              </w:rPr>
              <w:t>日期：</w:t>
            </w:r>
          </w:p>
        </w:tc>
      </w:tr>
      <w:tr w14:paraId="109B2F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00" w:hRule="atLeast"/>
        </w:trPr>
        <w:tc>
          <w:tcPr>
            <w:tcW w:w="2060" w:type="dxa"/>
          </w:tcPr>
          <w:p w14:paraId="686EF7E3">
            <w:pPr>
              <w:pageBreakBefore w:val="0"/>
              <w:wordWrap/>
              <w:spacing w:before="0" w:after="0"/>
              <w:ind w:left="0" w:right="0" w:firstLine="0"/>
              <w:jc w:val="left"/>
              <w:textAlignment w:val="auto"/>
              <w:rPr>
                <w:color w:val="auto"/>
                <w:sz w:val="24"/>
                <w:highlight w:val="none"/>
              </w:rPr>
            </w:pPr>
            <w:r>
              <w:rPr>
                <w:rFonts w:ascii="宋体" w:hAnsi="宋体" w:eastAsia="宋体" w:cs="宋体"/>
                <w:b/>
                <w:i w:val="0"/>
                <w:color w:val="auto"/>
                <w:spacing w:val="0"/>
                <w:sz w:val="24"/>
                <w:highlight w:val="none"/>
              </w:rPr>
              <w:t>单位审批</w:t>
            </w:r>
          </w:p>
        </w:tc>
        <w:tc>
          <w:tcPr>
            <w:tcW w:w="6180" w:type="dxa"/>
            <w:gridSpan w:val="3"/>
          </w:tcPr>
          <w:p w14:paraId="510AE71A">
            <w:pPr>
              <w:pageBreakBefore w:val="0"/>
              <w:wordWrap/>
              <w:spacing w:before="0" w:after="0"/>
              <w:ind w:left="0" w:right="0" w:firstLine="0"/>
              <w:jc w:val="left"/>
              <w:textAlignment w:val="auto"/>
              <w:rPr>
                <w:rFonts w:ascii="宋体" w:hAnsi="宋体" w:eastAsia="宋体" w:cs="宋体"/>
                <w:b w:val="0"/>
                <w:bCs/>
                <w:i w:val="0"/>
                <w:color w:val="auto"/>
                <w:spacing w:val="0"/>
                <w:sz w:val="24"/>
                <w:highlight w:val="none"/>
              </w:rPr>
            </w:pPr>
            <w:r>
              <w:rPr>
                <w:rFonts w:ascii="宋体" w:hAnsi="宋体" w:eastAsia="宋体" w:cs="宋体"/>
                <w:b w:val="0"/>
                <w:bCs/>
                <w:i w:val="0"/>
                <w:color w:val="auto"/>
                <w:spacing w:val="0"/>
                <w:sz w:val="24"/>
                <w:highlight w:val="none"/>
              </w:rPr>
              <w:t>采购方（盖章）：</w:t>
            </w:r>
          </w:p>
          <w:p w14:paraId="5CC3407F">
            <w:pPr>
              <w:pageBreakBefore w:val="0"/>
              <w:wordWrap/>
              <w:spacing w:before="0" w:after="0"/>
              <w:ind w:left="0" w:right="0" w:firstLine="0"/>
              <w:jc w:val="left"/>
              <w:textAlignment w:val="auto"/>
              <w:rPr>
                <w:rFonts w:ascii="宋体" w:hAnsi="宋体" w:eastAsia="宋体" w:cs="宋体"/>
                <w:b w:val="0"/>
                <w:bCs/>
                <w:i w:val="0"/>
                <w:color w:val="auto"/>
                <w:spacing w:val="0"/>
                <w:sz w:val="24"/>
                <w:highlight w:val="none"/>
              </w:rPr>
            </w:pPr>
            <w:r>
              <w:rPr>
                <w:rFonts w:hint="eastAsia" w:ascii="宋体" w:hAnsi="宋体" w:eastAsia="宋体" w:cs="宋体"/>
                <w:b w:val="0"/>
                <w:bCs/>
                <w:i w:val="0"/>
                <w:color w:val="auto"/>
                <w:spacing w:val="0"/>
                <w:sz w:val="24"/>
                <w:highlight w:val="none"/>
                <w:lang w:eastAsia="zh-CN"/>
              </w:rPr>
              <w:t>采购方</w:t>
            </w:r>
            <w:r>
              <w:rPr>
                <w:rFonts w:ascii="宋体" w:hAnsi="宋体" w:eastAsia="宋体" w:cs="宋体"/>
                <w:b w:val="0"/>
                <w:bCs/>
                <w:i w:val="0"/>
                <w:color w:val="auto"/>
                <w:spacing w:val="0"/>
                <w:sz w:val="24"/>
                <w:highlight w:val="none"/>
              </w:rPr>
              <w:t xml:space="preserve">负责人签字： </w:t>
            </w:r>
          </w:p>
          <w:p w14:paraId="50D713D9">
            <w:pPr>
              <w:pageBreakBefore w:val="0"/>
              <w:wordWrap/>
              <w:spacing w:before="0" w:after="0"/>
              <w:ind w:left="0" w:right="0" w:firstLine="0"/>
              <w:jc w:val="left"/>
              <w:textAlignment w:val="auto"/>
              <w:rPr>
                <w:b w:val="0"/>
                <w:bCs/>
                <w:color w:val="auto"/>
                <w:sz w:val="24"/>
                <w:highlight w:val="none"/>
              </w:rPr>
            </w:pPr>
            <w:r>
              <w:rPr>
                <w:rFonts w:ascii="宋体" w:hAnsi="宋体" w:eastAsia="宋体" w:cs="宋体"/>
                <w:b w:val="0"/>
                <w:bCs/>
                <w:i w:val="0"/>
                <w:color w:val="auto"/>
                <w:spacing w:val="0"/>
                <w:sz w:val="24"/>
                <w:highlight w:val="none"/>
              </w:rPr>
              <w:t>日期：</w:t>
            </w:r>
          </w:p>
        </w:tc>
      </w:tr>
    </w:tbl>
    <w:p w14:paraId="7839626B">
      <w:pPr>
        <w:pageBreakBefore w:val="0"/>
        <w:wordWrap/>
        <w:spacing w:before="160" w:after="0"/>
        <w:ind w:left="0" w:right="0"/>
        <w:jc w:val="left"/>
        <w:textAlignment w:val="auto"/>
        <w:rPr>
          <w:rFonts w:hint="eastAsia" w:ascii="黑体" w:hAnsi="黑体" w:eastAsia="黑体" w:cs="黑体"/>
          <w:b/>
          <w:i w:val="0"/>
          <w:color w:val="auto"/>
          <w:spacing w:val="0"/>
          <w:sz w:val="24"/>
          <w:highlight w:val="none"/>
          <w:lang w:eastAsia="zh-CN"/>
        </w:rPr>
      </w:pPr>
    </w:p>
    <w:p w14:paraId="329A7E5F">
      <w:pPr>
        <w:pageBreakBefore w:val="0"/>
        <w:wordWrap/>
        <w:spacing w:before="160" w:after="0"/>
        <w:ind w:left="0" w:right="0"/>
        <w:jc w:val="left"/>
        <w:textAlignment w:val="auto"/>
        <w:rPr>
          <w:rFonts w:hint="eastAsia" w:ascii="黑体" w:hAnsi="黑体" w:eastAsia="黑体" w:cs="黑体"/>
          <w:b/>
          <w:i w:val="0"/>
          <w:color w:val="auto"/>
          <w:spacing w:val="0"/>
          <w:sz w:val="24"/>
          <w:highlight w:val="none"/>
          <w:lang w:eastAsia="zh-CN"/>
        </w:rPr>
      </w:pPr>
    </w:p>
    <w:p w14:paraId="338CDAED">
      <w:pPr>
        <w:pageBreakBefore w:val="0"/>
        <w:wordWrap/>
        <w:spacing w:before="160" w:after="0"/>
        <w:ind w:left="0" w:right="0"/>
        <w:jc w:val="left"/>
        <w:textAlignment w:val="auto"/>
        <w:rPr>
          <w:rFonts w:hint="eastAsia" w:ascii="黑体" w:hAnsi="黑体" w:eastAsia="黑体" w:cs="黑体"/>
          <w:b/>
          <w:i w:val="0"/>
          <w:color w:val="auto"/>
          <w:spacing w:val="0"/>
          <w:sz w:val="24"/>
          <w:highlight w:val="none"/>
          <w:lang w:eastAsia="zh-CN"/>
        </w:rPr>
      </w:pPr>
    </w:p>
    <w:p w14:paraId="6EFE26AE">
      <w:pPr>
        <w:pageBreakBefore w:val="0"/>
        <w:wordWrap/>
        <w:spacing w:before="160" w:after="0"/>
        <w:ind w:left="0" w:right="0"/>
        <w:jc w:val="left"/>
        <w:textAlignment w:val="auto"/>
        <w:rPr>
          <w:rFonts w:hint="eastAsia" w:ascii="黑体" w:hAnsi="黑体" w:eastAsia="黑体" w:cs="黑体"/>
          <w:b/>
          <w:i w:val="0"/>
          <w:color w:val="auto"/>
          <w:spacing w:val="0"/>
          <w:sz w:val="24"/>
          <w:highlight w:val="none"/>
          <w:lang w:eastAsia="zh-CN"/>
        </w:rPr>
      </w:pPr>
    </w:p>
    <w:p w14:paraId="65549897">
      <w:pPr>
        <w:pageBreakBefore w:val="0"/>
        <w:wordWrap/>
        <w:spacing w:before="160" w:after="0"/>
        <w:ind w:left="0" w:right="0"/>
        <w:jc w:val="left"/>
        <w:textAlignment w:val="auto"/>
        <w:rPr>
          <w:rFonts w:hint="eastAsia" w:ascii="黑体" w:hAnsi="黑体" w:eastAsia="黑体" w:cs="黑体"/>
          <w:b/>
          <w:i w:val="0"/>
          <w:color w:val="auto"/>
          <w:spacing w:val="0"/>
          <w:sz w:val="24"/>
          <w:highlight w:val="none"/>
          <w:lang w:eastAsia="zh-CN"/>
        </w:rPr>
      </w:pPr>
    </w:p>
    <w:p w14:paraId="225C483E">
      <w:pPr>
        <w:pageBreakBefore w:val="0"/>
        <w:wordWrap/>
        <w:spacing w:before="160" w:after="0"/>
        <w:ind w:left="0" w:right="0"/>
        <w:jc w:val="left"/>
        <w:textAlignment w:val="auto"/>
        <w:rPr>
          <w:rFonts w:hint="eastAsia" w:ascii="黑体" w:hAnsi="黑体" w:eastAsia="黑体" w:cs="黑体"/>
          <w:b/>
          <w:i w:val="0"/>
          <w:color w:val="auto"/>
          <w:spacing w:val="0"/>
          <w:sz w:val="24"/>
          <w:highlight w:val="none"/>
          <w:lang w:eastAsia="zh-CN"/>
        </w:rPr>
      </w:pPr>
    </w:p>
    <w:p w14:paraId="4B58E741">
      <w:pPr>
        <w:pageBreakBefore w:val="0"/>
        <w:wordWrap/>
        <w:spacing w:before="160" w:after="0"/>
        <w:ind w:left="0" w:right="0"/>
        <w:jc w:val="left"/>
        <w:textAlignment w:val="auto"/>
        <w:rPr>
          <w:rFonts w:hint="eastAsia" w:ascii="黑体" w:hAnsi="黑体" w:eastAsia="黑体" w:cs="黑体"/>
          <w:b/>
          <w:i w:val="0"/>
          <w:color w:val="auto"/>
          <w:spacing w:val="0"/>
          <w:sz w:val="24"/>
          <w:highlight w:val="none"/>
          <w:lang w:eastAsia="zh-CN"/>
        </w:rPr>
      </w:pPr>
    </w:p>
    <w:p w14:paraId="02789248">
      <w:pPr>
        <w:pageBreakBefore w:val="0"/>
        <w:wordWrap/>
        <w:spacing w:before="160" w:after="0"/>
        <w:ind w:left="0" w:right="0"/>
        <w:jc w:val="left"/>
        <w:textAlignment w:val="auto"/>
        <w:rPr>
          <w:rFonts w:hint="eastAsia" w:ascii="黑体" w:hAnsi="黑体" w:eastAsia="黑体" w:cs="黑体"/>
          <w:b/>
          <w:i w:val="0"/>
          <w:color w:val="auto"/>
          <w:spacing w:val="0"/>
          <w:sz w:val="24"/>
          <w:highlight w:val="none"/>
          <w:lang w:eastAsia="zh-CN"/>
        </w:rPr>
      </w:pPr>
    </w:p>
    <w:p w14:paraId="1F99A0C4">
      <w:pPr>
        <w:pageBreakBefore w:val="0"/>
        <w:wordWrap/>
        <w:spacing w:before="160" w:after="0"/>
        <w:ind w:left="0" w:right="0"/>
        <w:jc w:val="left"/>
        <w:textAlignment w:val="auto"/>
        <w:rPr>
          <w:rFonts w:hint="eastAsia" w:ascii="黑体" w:hAnsi="黑体" w:eastAsia="黑体" w:cs="黑体"/>
          <w:b/>
          <w:i w:val="0"/>
          <w:color w:val="auto"/>
          <w:spacing w:val="0"/>
          <w:sz w:val="24"/>
          <w:highlight w:val="none"/>
          <w:lang w:eastAsia="zh-CN"/>
        </w:rPr>
      </w:pPr>
    </w:p>
    <w:p w14:paraId="3162A65E">
      <w:pPr>
        <w:pageBreakBefore w:val="0"/>
        <w:wordWrap/>
        <w:spacing w:before="160" w:after="0"/>
        <w:ind w:left="0" w:right="0"/>
        <w:jc w:val="left"/>
        <w:textAlignment w:val="auto"/>
        <w:rPr>
          <w:rFonts w:hint="eastAsia" w:ascii="黑体" w:hAnsi="黑体" w:eastAsia="黑体" w:cs="黑体"/>
          <w:b/>
          <w:i w:val="0"/>
          <w:color w:val="auto"/>
          <w:spacing w:val="0"/>
          <w:sz w:val="24"/>
          <w:highlight w:val="none"/>
          <w:lang w:eastAsia="zh-CN"/>
        </w:rPr>
      </w:pPr>
    </w:p>
    <w:p w14:paraId="7F073BF4">
      <w:pPr>
        <w:pageBreakBefore w:val="0"/>
        <w:wordWrap/>
        <w:spacing w:before="160" w:after="0"/>
        <w:ind w:left="0" w:right="0"/>
        <w:jc w:val="left"/>
        <w:textAlignment w:val="auto"/>
        <w:rPr>
          <w:rFonts w:hint="eastAsia" w:ascii="黑体" w:hAnsi="黑体" w:eastAsia="黑体" w:cs="黑体"/>
          <w:b/>
          <w:i w:val="0"/>
          <w:color w:val="auto"/>
          <w:spacing w:val="0"/>
          <w:sz w:val="24"/>
          <w:highlight w:val="none"/>
          <w:lang w:eastAsia="zh-CN"/>
        </w:rPr>
      </w:pPr>
    </w:p>
    <w:p w14:paraId="5ED0D6B7">
      <w:pPr>
        <w:pageBreakBefore w:val="0"/>
        <w:wordWrap/>
        <w:spacing w:before="160" w:after="0"/>
        <w:ind w:left="0" w:right="0"/>
        <w:jc w:val="left"/>
        <w:textAlignment w:val="auto"/>
        <w:rPr>
          <w:rFonts w:hint="eastAsia" w:ascii="黑体" w:hAnsi="黑体" w:eastAsia="黑体" w:cs="黑体"/>
          <w:b/>
          <w:i w:val="0"/>
          <w:color w:val="auto"/>
          <w:spacing w:val="0"/>
          <w:sz w:val="24"/>
          <w:highlight w:val="none"/>
          <w:lang w:eastAsia="zh-CN"/>
        </w:rPr>
      </w:pPr>
      <w:r>
        <w:rPr>
          <w:rFonts w:hint="eastAsia" w:ascii="黑体" w:hAnsi="黑体" w:eastAsia="黑体" w:cs="黑体"/>
          <w:b/>
          <w:i w:val="0"/>
          <w:color w:val="auto"/>
          <w:spacing w:val="0"/>
          <w:sz w:val="24"/>
          <w:highlight w:val="none"/>
          <w:lang w:eastAsia="zh-CN"/>
        </w:rPr>
        <w:t>材料四</w:t>
      </w:r>
    </w:p>
    <w:p w14:paraId="6217A8EC">
      <w:pPr>
        <w:pageBreakBefore w:val="0"/>
        <w:wordWrap/>
        <w:spacing w:before="160" w:after="0"/>
        <w:ind w:left="0" w:right="0"/>
        <w:jc w:val="left"/>
        <w:textAlignment w:val="auto"/>
        <w:rPr>
          <w:rFonts w:hint="eastAsia" w:ascii="黑体" w:hAnsi="黑体" w:eastAsia="黑体" w:cs="黑体"/>
          <w:b/>
          <w:i w:val="0"/>
          <w:color w:val="auto"/>
          <w:spacing w:val="0"/>
          <w:sz w:val="24"/>
          <w:highlight w:val="none"/>
          <w:lang w:eastAsia="zh-CN"/>
        </w:rPr>
      </w:pPr>
    </w:p>
    <w:p w14:paraId="0162B840">
      <w:pPr>
        <w:pageBreakBefore w:val="0"/>
        <w:wordWrap/>
        <w:spacing w:before="160" w:after="0"/>
        <w:ind w:left="0" w:right="0"/>
        <w:jc w:val="center"/>
        <w:textAlignment w:val="auto"/>
        <w:rPr>
          <w:rFonts w:hint="eastAsia" w:ascii="方正小标宋简体" w:hAnsi="方正小标宋简体" w:eastAsia="方正小标宋简体" w:cs="方正小标宋简体"/>
          <w:b w:val="0"/>
          <w:bCs/>
          <w:i w:val="0"/>
          <w:color w:val="auto"/>
          <w:spacing w:val="0"/>
          <w:sz w:val="36"/>
          <w:szCs w:val="32"/>
          <w:highlight w:val="none"/>
          <w:lang w:eastAsia="zh-CN"/>
        </w:rPr>
      </w:pPr>
      <w:r>
        <w:rPr>
          <w:rFonts w:hint="eastAsia" w:ascii="方正小标宋简体" w:hAnsi="方正小标宋简体" w:eastAsia="方正小标宋简体" w:cs="方正小标宋简体"/>
          <w:b w:val="0"/>
          <w:bCs/>
          <w:i w:val="0"/>
          <w:color w:val="auto"/>
          <w:spacing w:val="0"/>
          <w:sz w:val="36"/>
          <w:szCs w:val="32"/>
          <w:highlight w:val="none"/>
          <w:lang w:eastAsia="zh-CN"/>
        </w:rPr>
        <w:t>信访信息管理与服务平台驻场运维服务</w:t>
      </w:r>
    </w:p>
    <w:p w14:paraId="1F22F903">
      <w:pPr>
        <w:pageBreakBefore w:val="0"/>
        <w:wordWrap/>
        <w:spacing w:before="160" w:after="0"/>
        <w:ind w:left="0" w:right="0"/>
        <w:jc w:val="center"/>
        <w:textAlignment w:val="auto"/>
        <w:rPr>
          <w:rFonts w:hint="eastAsia" w:ascii="黑体" w:hAnsi="黑体" w:eastAsia="黑体" w:cs="黑体"/>
          <w:b/>
          <w:i w:val="0"/>
          <w:color w:val="auto"/>
          <w:spacing w:val="0"/>
          <w:sz w:val="24"/>
          <w:highlight w:val="none"/>
          <w:lang w:eastAsia="zh-CN"/>
        </w:rPr>
      </w:pPr>
      <w:r>
        <w:rPr>
          <w:rFonts w:hint="eastAsia" w:ascii="方正小标宋简体" w:hAnsi="方正小标宋简体" w:eastAsia="方正小标宋简体" w:cs="方正小标宋简体"/>
          <w:b w:val="0"/>
          <w:bCs/>
          <w:i w:val="0"/>
          <w:color w:val="auto"/>
          <w:spacing w:val="0"/>
          <w:sz w:val="36"/>
          <w:szCs w:val="32"/>
          <w:highlight w:val="none"/>
          <w:lang w:eastAsia="zh-CN"/>
        </w:rPr>
        <w:t>用户评价表</w:t>
      </w:r>
    </w:p>
    <w:p w14:paraId="6AC91AB2">
      <w:pPr>
        <w:pageBreakBefore w:val="0"/>
        <w:wordWrap/>
        <w:spacing w:before="160" w:after="0"/>
        <w:ind w:left="0" w:right="0"/>
        <w:jc w:val="left"/>
        <w:textAlignment w:val="auto"/>
        <w:rPr>
          <w:rFonts w:hint="eastAsia" w:ascii="宋体" w:hAnsi="宋体" w:eastAsia="宋体" w:cs="宋体"/>
          <w:b w:val="0"/>
          <w:i w:val="0"/>
          <w:color w:val="auto"/>
          <w:spacing w:val="0"/>
          <w:sz w:val="24"/>
          <w:highlight w:val="none"/>
          <w:lang w:val="en-US" w:eastAsia="zh-CN"/>
        </w:rPr>
      </w:pPr>
      <w:r>
        <w:rPr>
          <w:rFonts w:hint="eastAsia" w:ascii="宋体" w:hAnsi="宋体" w:eastAsia="宋体" w:cs="宋体"/>
          <w:b/>
          <w:i w:val="0"/>
          <w:color w:val="auto"/>
          <w:spacing w:val="0"/>
          <w:sz w:val="24"/>
          <w:highlight w:val="none"/>
          <w:lang w:eastAsia="zh-CN"/>
        </w:rPr>
        <w:t>运维服务</w:t>
      </w:r>
      <w:r>
        <w:rPr>
          <w:rFonts w:ascii="宋体" w:hAnsi="宋体" w:eastAsia="宋体" w:cs="宋体"/>
          <w:b/>
          <w:i w:val="0"/>
          <w:color w:val="auto"/>
          <w:spacing w:val="0"/>
          <w:sz w:val="24"/>
          <w:highlight w:val="none"/>
        </w:rPr>
        <w:t>周期</w:t>
      </w:r>
      <w:r>
        <w:rPr>
          <w:rFonts w:ascii="宋体" w:hAnsi="宋体" w:eastAsia="宋体" w:cs="宋体"/>
          <w:b w:val="0"/>
          <w:i w:val="0"/>
          <w:color w:val="auto"/>
          <w:spacing w:val="0"/>
          <w:sz w:val="24"/>
          <w:highlight w:val="none"/>
        </w:rPr>
        <w:t>：</w:t>
      </w:r>
      <w:r>
        <w:rPr>
          <w:rFonts w:hint="eastAsia" w:ascii="宋体" w:hAnsi="宋体" w:eastAsia="宋体" w:cs="宋体"/>
          <w:b w:val="0"/>
          <w:i w:val="0"/>
          <w:color w:val="auto"/>
          <w:spacing w:val="0"/>
          <w:sz w:val="24"/>
          <w:highlight w:val="none"/>
          <w:lang w:val="en-US" w:eastAsia="zh-CN"/>
        </w:rPr>
        <w:t xml:space="preserve">   </w:t>
      </w:r>
      <w:r>
        <w:rPr>
          <w:rFonts w:hint="eastAsia" w:ascii="宋体" w:hAnsi="宋体" w:eastAsia="宋体" w:cs="宋体"/>
          <w:b w:val="0"/>
          <w:i w:val="0"/>
          <w:color w:val="auto"/>
          <w:spacing w:val="0"/>
          <w:sz w:val="24"/>
          <w:highlight w:val="none"/>
          <w:lang w:eastAsia="zh-CN"/>
        </w:rPr>
        <w:t>年</w:t>
      </w:r>
      <w:r>
        <w:rPr>
          <w:rFonts w:hint="eastAsia" w:ascii="宋体" w:hAnsi="宋体" w:eastAsia="宋体" w:cs="宋体"/>
          <w:b w:val="0"/>
          <w:i w:val="0"/>
          <w:color w:val="auto"/>
          <w:spacing w:val="0"/>
          <w:sz w:val="24"/>
          <w:highlight w:val="none"/>
          <w:lang w:val="en-US" w:eastAsia="zh-CN"/>
        </w:rPr>
        <w:t xml:space="preserve">  月  日</w:t>
      </w:r>
      <w:r>
        <w:rPr>
          <w:rFonts w:hint="eastAsia" w:ascii="宋体" w:hAnsi="宋体" w:eastAsia="宋体" w:cs="宋体"/>
          <w:b w:val="0"/>
          <w:i w:val="0"/>
          <w:color w:val="auto"/>
          <w:spacing w:val="0"/>
          <w:sz w:val="24"/>
          <w:highlight w:val="none"/>
          <w:lang w:eastAsia="zh-CN"/>
        </w:rPr>
        <w:t>——</w:t>
      </w:r>
      <w:r>
        <w:rPr>
          <w:rFonts w:ascii="宋体" w:hAnsi="宋体" w:eastAsia="宋体" w:cs="宋体"/>
          <w:b w:val="0"/>
          <w:i w:val="0"/>
          <w:color w:val="auto"/>
          <w:spacing w:val="0"/>
          <w:sz w:val="24"/>
          <w:highlight w:val="none"/>
        </w:rPr>
        <w:t xml:space="preserve"> </w:t>
      </w:r>
      <w:r>
        <w:rPr>
          <w:rFonts w:hint="eastAsia" w:ascii="宋体" w:hAnsi="宋体" w:eastAsia="宋体" w:cs="宋体"/>
          <w:b w:val="0"/>
          <w:i w:val="0"/>
          <w:color w:val="auto"/>
          <w:spacing w:val="0"/>
          <w:sz w:val="24"/>
          <w:highlight w:val="none"/>
          <w:lang w:val="en-US" w:eastAsia="zh-CN"/>
        </w:rPr>
        <w:t xml:space="preserve">   </w:t>
      </w:r>
      <w:r>
        <w:rPr>
          <w:rFonts w:hint="eastAsia" w:ascii="宋体" w:hAnsi="宋体" w:eastAsia="宋体" w:cs="宋体"/>
          <w:b w:val="0"/>
          <w:i w:val="0"/>
          <w:color w:val="auto"/>
          <w:spacing w:val="0"/>
          <w:sz w:val="24"/>
          <w:highlight w:val="none"/>
          <w:lang w:eastAsia="zh-CN"/>
        </w:rPr>
        <w:t>年</w:t>
      </w:r>
      <w:r>
        <w:rPr>
          <w:rFonts w:hint="eastAsia" w:ascii="宋体" w:hAnsi="宋体" w:eastAsia="宋体" w:cs="宋体"/>
          <w:b w:val="0"/>
          <w:i w:val="0"/>
          <w:color w:val="auto"/>
          <w:spacing w:val="0"/>
          <w:sz w:val="24"/>
          <w:highlight w:val="none"/>
          <w:lang w:val="en-US" w:eastAsia="zh-CN"/>
        </w:rPr>
        <w:t xml:space="preserve">  月  日</w:t>
      </w:r>
    </w:p>
    <w:p w14:paraId="161A8973">
      <w:pPr>
        <w:pageBreakBefore w:val="0"/>
        <w:wordWrap/>
        <w:spacing w:before="160" w:after="0"/>
        <w:ind w:left="0" w:right="0"/>
        <w:jc w:val="left"/>
        <w:textAlignment w:val="auto"/>
        <w:rPr>
          <w:rFonts w:hint="eastAsia" w:ascii="宋体" w:hAnsi="宋体" w:eastAsia="宋体" w:cs="宋体"/>
          <w:b/>
          <w:bCs/>
          <w:i w:val="0"/>
          <w:color w:val="auto"/>
          <w:spacing w:val="0"/>
          <w:sz w:val="24"/>
          <w:highlight w:val="none"/>
          <w:lang w:val="en-US" w:eastAsia="zh-CN"/>
        </w:rPr>
      </w:pPr>
      <w:r>
        <w:rPr>
          <w:rFonts w:hint="eastAsia" w:ascii="宋体" w:hAnsi="宋体" w:eastAsia="宋体" w:cs="宋体"/>
          <w:b/>
          <w:bCs/>
          <w:i w:val="0"/>
          <w:color w:val="auto"/>
          <w:spacing w:val="0"/>
          <w:sz w:val="24"/>
          <w:highlight w:val="none"/>
          <w:lang w:val="en-US" w:eastAsia="zh-CN"/>
        </w:rPr>
        <w:t>评价处（室）、中心：</w:t>
      </w:r>
    </w:p>
    <w:tbl>
      <w:tblPr>
        <w:tblStyle w:val="32"/>
        <w:tblW w:w="0" w:type="auto"/>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2060"/>
        <w:gridCol w:w="2060"/>
        <w:gridCol w:w="2060"/>
        <w:gridCol w:w="2060"/>
      </w:tblGrid>
      <w:tr w14:paraId="440140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00" w:hRule="atLeast"/>
        </w:trPr>
        <w:tc>
          <w:tcPr>
            <w:tcW w:w="2060" w:type="dxa"/>
            <w:vAlign w:val="center"/>
          </w:tcPr>
          <w:p w14:paraId="1807F690">
            <w:pPr>
              <w:pageBreakBefore w:val="0"/>
              <w:wordWrap/>
              <w:spacing w:before="0" w:after="0"/>
              <w:ind w:left="0" w:right="0" w:firstLine="0"/>
              <w:jc w:val="center"/>
              <w:textAlignment w:val="auto"/>
              <w:rPr>
                <w:color w:val="auto"/>
                <w:sz w:val="24"/>
                <w:highlight w:val="none"/>
              </w:rPr>
            </w:pPr>
            <w:r>
              <w:rPr>
                <w:rFonts w:hint="eastAsia" w:ascii="黑体" w:hAnsi="黑体" w:eastAsia="黑体" w:cs="黑体"/>
                <w:b w:val="0"/>
                <w:bCs w:val="0"/>
                <w:i w:val="0"/>
                <w:color w:val="auto"/>
                <w:spacing w:val="0"/>
                <w:sz w:val="24"/>
                <w:highlight w:val="none"/>
              </w:rPr>
              <w:t>考核维度</w:t>
            </w:r>
          </w:p>
        </w:tc>
        <w:tc>
          <w:tcPr>
            <w:tcW w:w="2060" w:type="dxa"/>
            <w:vAlign w:val="center"/>
          </w:tcPr>
          <w:p w14:paraId="1DBF05FD">
            <w:pPr>
              <w:pageBreakBefore w:val="0"/>
              <w:wordWrap/>
              <w:spacing w:before="0" w:after="0"/>
              <w:ind w:left="0" w:right="0" w:firstLine="0"/>
              <w:jc w:val="center"/>
              <w:textAlignment w:val="auto"/>
              <w:rPr>
                <w:rFonts w:hint="eastAsia" w:ascii="黑体" w:hAnsi="黑体" w:eastAsia="黑体" w:cs="黑体"/>
                <w:b w:val="0"/>
                <w:bCs w:val="0"/>
                <w:i w:val="0"/>
                <w:color w:val="auto"/>
                <w:spacing w:val="0"/>
                <w:sz w:val="24"/>
                <w:highlight w:val="none"/>
              </w:rPr>
            </w:pPr>
            <w:r>
              <w:rPr>
                <w:rFonts w:hint="eastAsia" w:ascii="黑体" w:hAnsi="黑体" w:eastAsia="黑体" w:cs="黑体"/>
                <w:b w:val="0"/>
                <w:bCs w:val="0"/>
                <w:i w:val="0"/>
                <w:color w:val="auto"/>
                <w:spacing w:val="0"/>
                <w:sz w:val="24"/>
                <w:highlight w:val="none"/>
              </w:rPr>
              <w:t>评价指标</w:t>
            </w:r>
          </w:p>
        </w:tc>
        <w:tc>
          <w:tcPr>
            <w:tcW w:w="2060" w:type="dxa"/>
            <w:vAlign w:val="center"/>
          </w:tcPr>
          <w:p w14:paraId="37573156">
            <w:pPr>
              <w:pageBreakBefore w:val="0"/>
              <w:wordWrap/>
              <w:spacing w:before="0" w:after="0"/>
              <w:ind w:left="0" w:right="0" w:firstLine="0"/>
              <w:jc w:val="center"/>
              <w:textAlignment w:val="auto"/>
              <w:rPr>
                <w:rFonts w:hint="eastAsia" w:ascii="黑体" w:hAnsi="黑体" w:eastAsia="黑体" w:cs="黑体"/>
                <w:b w:val="0"/>
                <w:bCs w:val="0"/>
                <w:i w:val="0"/>
                <w:color w:val="auto"/>
                <w:spacing w:val="0"/>
                <w:sz w:val="24"/>
                <w:highlight w:val="none"/>
              </w:rPr>
            </w:pPr>
            <w:r>
              <w:rPr>
                <w:rFonts w:hint="eastAsia" w:ascii="黑体" w:hAnsi="黑体" w:eastAsia="黑体" w:cs="黑体"/>
                <w:b w:val="0"/>
                <w:bCs w:val="0"/>
                <w:i w:val="0"/>
                <w:color w:val="auto"/>
                <w:spacing w:val="0"/>
                <w:sz w:val="24"/>
                <w:highlight w:val="none"/>
              </w:rPr>
              <w:t>评分标准</w:t>
            </w:r>
          </w:p>
        </w:tc>
        <w:tc>
          <w:tcPr>
            <w:tcW w:w="2060" w:type="dxa"/>
            <w:vAlign w:val="center"/>
          </w:tcPr>
          <w:p w14:paraId="72CDB649">
            <w:pPr>
              <w:pageBreakBefore w:val="0"/>
              <w:wordWrap/>
              <w:spacing w:before="0" w:after="0"/>
              <w:ind w:left="0" w:right="0" w:firstLine="0"/>
              <w:jc w:val="center"/>
              <w:textAlignment w:val="auto"/>
              <w:rPr>
                <w:rFonts w:hint="eastAsia" w:ascii="黑体" w:hAnsi="黑体" w:eastAsia="黑体" w:cs="黑体"/>
                <w:b w:val="0"/>
                <w:bCs w:val="0"/>
                <w:i w:val="0"/>
                <w:color w:val="auto"/>
                <w:spacing w:val="0"/>
                <w:sz w:val="24"/>
                <w:highlight w:val="none"/>
              </w:rPr>
            </w:pPr>
            <w:r>
              <w:rPr>
                <w:rFonts w:hint="eastAsia" w:ascii="黑体" w:hAnsi="黑体" w:eastAsia="黑体" w:cs="黑体"/>
                <w:b w:val="0"/>
                <w:bCs w:val="0"/>
                <w:i w:val="0"/>
                <w:color w:val="auto"/>
                <w:spacing w:val="0"/>
                <w:sz w:val="24"/>
                <w:highlight w:val="none"/>
              </w:rPr>
              <w:t>得分</w:t>
            </w:r>
          </w:p>
        </w:tc>
      </w:tr>
      <w:tr w14:paraId="681D1E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00" w:hRule="atLeast"/>
        </w:trPr>
        <w:tc>
          <w:tcPr>
            <w:tcW w:w="2060" w:type="dxa"/>
            <w:vAlign w:val="center"/>
          </w:tcPr>
          <w:p w14:paraId="48C1E02D">
            <w:pPr>
              <w:pageBreakBefore w:val="0"/>
              <w:wordWrap/>
              <w:spacing w:before="0" w:after="0"/>
              <w:ind w:left="0" w:right="0" w:firstLine="0"/>
              <w:jc w:val="center"/>
              <w:textAlignment w:val="auto"/>
              <w:rPr>
                <w:color w:val="auto"/>
                <w:sz w:val="24"/>
                <w:highlight w:val="none"/>
              </w:rPr>
            </w:pPr>
            <w:r>
              <w:rPr>
                <w:rFonts w:ascii="宋体" w:hAnsi="宋体" w:eastAsia="宋体" w:cs="宋体"/>
                <w:b/>
                <w:i w:val="0"/>
                <w:color w:val="auto"/>
                <w:spacing w:val="0"/>
                <w:sz w:val="24"/>
                <w:highlight w:val="none"/>
              </w:rPr>
              <w:t>服务态度与纪律</w:t>
            </w:r>
            <w:r>
              <w:rPr>
                <w:rFonts w:ascii="宋体" w:hAnsi="宋体" w:eastAsia="宋体" w:cs="宋体"/>
                <w:b w:val="0"/>
                <w:i w:val="0"/>
                <w:color w:val="auto"/>
                <w:spacing w:val="0"/>
                <w:sz w:val="24"/>
                <w:highlight w:val="none"/>
              </w:rPr>
              <w:t xml:space="preserve"> (30分)</w:t>
            </w:r>
          </w:p>
        </w:tc>
        <w:tc>
          <w:tcPr>
            <w:tcW w:w="2060" w:type="dxa"/>
          </w:tcPr>
          <w:p w14:paraId="4B51F16F">
            <w:pPr>
              <w:pageBreakBefore w:val="0"/>
              <w:wordWrap/>
              <w:spacing w:before="0" w:after="0"/>
              <w:ind w:left="0" w:right="0" w:firstLine="0"/>
              <w:jc w:val="left"/>
              <w:textAlignment w:val="auto"/>
              <w:rPr>
                <w:color w:val="auto"/>
                <w:sz w:val="24"/>
                <w:highlight w:val="none"/>
              </w:rPr>
            </w:pPr>
            <w:r>
              <w:rPr>
                <w:rFonts w:ascii="宋体" w:hAnsi="宋体" w:eastAsia="宋体" w:cs="宋体"/>
                <w:b w:val="0"/>
                <w:i w:val="0"/>
                <w:color w:val="auto"/>
                <w:spacing w:val="0"/>
                <w:sz w:val="24"/>
                <w:highlight w:val="none"/>
              </w:rPr>
              <w:t>1. 遵守采购方作息时间，无迟到早退、上班处理私事等行为。2. 沟通顺畅，服务态度良好，无有效投诉。</w:t>
            </w:r>
          </w:p>
        </w:tc>
        <w:tc>
          <w:tcPr>
            <w:tcW w:w="2060" w:type="dxa"/>
          </w:tcPr>
          <w:p w14:paraId="1ADFA5D7">
            <w:pPr>
              <w:pageBreakBefore w:val="0"/>
              <w:wordWrap/>
              <w:spacing w:before="0" w:after="0"/>
              <w:ind w:left="0" w:right="0" w:firstLine="0"/>
              <w:jc w:val="left"/>
              <w:textAlignment w:val="auto"/>
              <w:rPr>
                <w:color w:val="auto"/>
                <w:sz w:val="24"/>
                <w:highlight w:val="none"/>
              </w:rPr>
            </w:pPr>
            <w:r>
              <w:rPr>
                <w:rFonts w:ascii="宋体" w:hAnsi="宋体" w:eastAsia="宋体" w:cs="宋体"/>
                <w:b w:val="0"/>
                <w:i w:val="0"/>
                <w:color w:val="auto"/>
                <w:spacing w:val="0"/>
                <w:sz w:val="24"/>
                <w:highlight w:val="none"/>
              </w:rPr>
              <w:t>发现一次违规扣5分；被投诉一次扣10分。</w:t>
            </w:r>
          </w:p>
        </w:tc>
        <w:tc>
          <w:tcPr>
            <w:tcW w:w="2060" w:type="dxa"/>
          </w:tcPr>
          <w:p w14:paraId="7A9E8937">
            <w:pPr>
              <w:pageBreakBefore w:val="0"/>
              <w:wordWrap/>
              <w:spacing w:before="0" w:after="0"/>
              <w:ind w:left="0" w:right="0" w:firstLine="0"/>
              <w:jc w:val="left"/>
              <w:textAlignment w:val="auto"/>
              <w:rPr>
                <w:color w:val="auto"/>
                <w:sz w:val="24"/>
                <w:highlight w:val="none"/>
              </w:rPr>
            </w:pPr>
          </w:p>
        </w:tc>
      </w:tr>
      <w:tr w14:paraId="711915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00" w:hRule="atLeast"/>
        </w:trPr>
        <w:tc>
          <w:tcPr>
            <w:tcW w:w="2060" w:type="dxa"/>
            <w:vAlign w:val="center"/>
          </w:tcPr>
          <w:p w14:paraId="01E66713">
            <w:pPr>
              <w:pageBreakBefore w:val="0"/>
              <w:wordWrap/>
              <w:spacing w:before="0" w:after="0"/>
              <w:ind w:left="0" w:right="0" w:firstLine="0"/>
              <w:jc w:val="center"/>
              <w:textAlignment w:val="auto"/>
              <w:rPr>
                <w:color w:val="auto"/>
                <w:sz w:val="24"/>
                <w:highlight w:val="none"/>
              </w:rPr>
            </w:pPr>
            <w:r>
              <w:rPr>
                <w:rFonts w:ascii="宋体" w:hAnsi="宋体" w:eastAsia="宋体" w:cs="宋体"/>
                <w:b/>
                <w:i w:val="0"/>
                <w:color w:val="auto"/>
                <w:spacing w:val="0"/>
                <w:sz w:val="24"/>
                <w:highlight w:val="none"/>
              </w:rPr>
              <w:t>技术能力与响应</w:t>
            </w:r>
            <w:r>
              <w:rPr>
                <w:rFonts w:ascii="宋体" w:hAnsi="宋体" w:eastAsia="宋体" w:cs="宋体"/>
                <w:b w:val="0"/>
                <w:i w:val="0"/>
                <w:color w:val="auto"/>
                <w:spacing w:val="0"/>
                <w:sz w:val="24"/>
                <w:highlight w:val="none"/>
              </w:rPr>
              <w:t xml:space="preserve"> (40分)</w:t>
            </w:r>
          </w:p>
        </w:tc>
        <w:tc>
          <w:tcPr>
            <w:tcW w:w="2060" w:type="dxa"/>
          </w:tcPr>
          <w:p w14:paraId="3C8EED74">
            <w:pPr>
              <w:pageBreakBefore w:val="0"/>
              <w:wordWrap/>
              <w:spacing w:before="0" w:after="0"/>
              <w:ind w:left="0" w:right="0" w:firstLine="0"/>
              <w:jc w:val="left"/>
              <w:textAlignment w:val="auto"/>
              <w:rPr>
                <w:color w:val="auto"/>
                <w:sz w:val="24"/>
                <w:highlight w:val="none"/>
              </w:rPr>
            </w:pPr>
            <w:r>
              <w:rPr>
                <w:rFonts w:ascii="宋体" w:hAnsi="宋体" w:eastAsia="宋体" w:cs="宋体"/>
                <w:b w:val="0"/>
                <w:i w:val="0"/>
                <w:color w:val="auto"/>
                <w:spacing w:val="0"/>
                <w:sz w:val="24"/>
                <w:highlight w:val="none"/>
              </w:rPr>
              <w:t>1. 故障响应及时，能在规定时间内定位并解决问题。2. 具备独立排查能力，疑难问题能及时上报并跟进。</w:t>
            </w:r>
          </w:p>
        </w:tc>
        <w:tc>
          <w:tcPr>
            <w:tcW w:w="2060" w:type="dxa"/>
          </w:tcPr>
          <w:p w14:paraId="39DA9B86">
            <w:pPr>
              <w:pageBreakBefore w:val="0"/>
              <w:wordWrap/>
              <w:spacing w:before="0" w:after="0"/>
              <w:ind w:left="0" w:right="0" w:firstLine="0"/>
              <w:jc w:val="left"/>
              <w:textAlignment w:val="auto"/>
              <w:rPr>
                <w:color w:val="auto"/>
                <w:sz w:val="24"/>
                <w:highlight w:val="none"/>
              </w:rPr>
            </w:pPr>
            <w:r>
              <w:rPr>
                <w:rFonts w:ascii="宋体" w:hAnsi="宋体" w:eastAsia="宋体" w:cs="宋体"/>
                <w:b w:val="0"/>
                <w:i w:val="0"/>
                <w:color w:val="auto"/>
                <w:spacing w:val="0"/>
                <w:sz w:val="24"/>
                <w:highlight w:val="none"/>
              </w:rPr>
              <w:t>响应超时一次扣5分；推诿不上报一次扣10分。</w:t>
            </w:r>
          </w:p>
        </w:tc>
        <w:tc>
          <w:tcPr>
            <w:tcW w:w="2060" w:type="dxa"/>
          </w:tcPr>
          <w:p w14:paraId="7AE8CB1E">
            <w:pPr>
              <w:pageBreakBefore w:val="0"/>
              <w:wordWrap/>
              <w:spacing w:before="0" w:after="0"/>
              <w:ind w:left="0" w:right="0" w:firstLine="0"/>
              <w:jc w:val="left"/>
              <w:textAlignment w:val="auto"/>
              <w:rPr>
                <w:color w:val="auto"/>
                <w:sz w:val="24"/>
                <w:highlight w:val="none"/>
              </w:rPr>
            </w:pPr>
          </w:p>
        </w:tc>
      </w:tr>
      <w:tr w14:paraId="7A433E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00" w:hRule="atLeast"/>
        </w:trPr>
        <w:tc>
          <w:tcPr>
            <w:tcW w:w="2060" w:type="dxa"/>
            <w:vAlign w:val="center"/>
          </w:tcPr>
          <w:p w14:paraId="20914BC6">
            <w:pPr>
              <w:pageBreakBefore w:val="0"/>
              <w:wordWrap/>
              <w:spacing w:before="0" w:after="0"/>
              <w:ind w:left="0" w:right="0" w:firstLine="0"/>
              <w:jc w:val="center"/>
              <w:textAlignment w:val="auto"/>
              <w:rPr>
                <w:color w:val="auto"/>
                <w:sz w:val="24"/>
                <w:highlight w:val="none"/>
              </w:rPr>
            </w:pPr>
            <w:r>
              <w:rPr>
                <w:rFonts w:ascii="宋体" w:hAnsi="宋体" w:eastAsia="宋体" w:cs="宋体"/>
                <w:b/>
                <w:i w:val="0"/>
                <w:color w:val="auto"/>
                <w:spacing w:val="0"/>
                <w:sz w:val="24"/>
                <w:highlight w:val="none"/>
              </w:rPr>
              <w:t>工作规范与交付</w:t>
            </w:r>
            <w:r>
              <w:rPr>
                <w:rFonts w:ascii="宋体" w:hAnsi="宋体" w:eastAsia="宋体" w:cs="宋体"/>
                <w:b w:val="0"/>
                <w:i w:val="0"/>
                <w:color w:val="auto"/>
                <w:spacing w:val="0"/>
                <w:sz w:val="24"/>
                <w:highlight w:val="none"/>
              </w:rPr>
              <w:t xml:space="preserve"> (30分)</w:t>
            </w:r>
          </w:p>
        </w:tc>
        <w:tc>
          <w:tcPr>
            <w:tcW w:w="2060" w:type="dxa"/>
          </w:tcPr>
          <w:p w14:paraId="17E94828">
            <w:pPr>
              <w:pageBreakBefore w:val="0"/>
              <w:wordWrap/>
              <w:spacing w:before="0" w:after="0"/>
              <w:ind w:left="0" w:right="0" w:firstLine="0"/>
              <w:jc w:val="left"/>
              <w:textAlignment w:val="auto"/>
              <w:rPr>
                <w:color w:val="auto"/>
                <w:sz w:val="24"/>
                <w:highlight w:val="none"/>
              </w:rPr>
            </w:pPr>
            <w:r>
              <w:rPr>
                <w:rFonts w:ascii="宋体" w:hAnsi="宋体" w:eastAsia="宋体" w:cs="宋体"/>
                <w:b w:val="0"/>
                <w:i w:val="0"/>
                <w:color w:val="auto"/>
                <w:spacing w:val="0"/>
                <w:sz w:val="24"/>
                <w:highlight w:val="none"/>
              </w:rPr>
              <w:t xml:space="preserve">1. </w:t>
            </w:r>
            <w:r>
              <w:rPr>
                <w:rFonts w:hint="eastAsia" w:ascii="宋体" w:hAnsi="宋体" w:eastAsia="宋体" w:cs="宋体"/>
                <w:b w:val="0"/>
                <w:i w:val="0"/>
                <w:color w:val="auto"/>
                <w:spacing w:val="0"/>
                <w:sz w:val="24"/>
                <w:highlight w:val="none"/>
                <w:lang w:eastAsia="zh-CN"/>
              </w:rPr>
              <w:t>每季度</w:t>
            </w:r>
            <w:r>
              <w:rPr>
                <w:rFonts w:ascii="宋体" w:hAnsi="宋体" w:eastAsia="宋体" w:cs="宋体"/>
                <w:b w:val="0"/>
                <w:i w:val="0"/>
                <w:color w:val="auto"/>
                <w:spacing w:val="0"/>
                <w:sz w:val="24"/>
                <w:highlight w:val="none"/>
              </w:rPr>
              <w:t>按时提交</w:t>
            </w:r>
            <w:r>
              <w:rPr>
                <w:rFonts w:hint="eastAsia" w:ascii="宋体" w:hAnsi="宋体" w:eastAsia="宋体" w:cs="宋体"/>
                <w:b w:val="0"/>
                <w:i w:val="0"/>
                <w:color w:val="auto"/>
                <w:spacing w:val="0"/>
                <w:sz w:val="24"/>
                <w:highlight w:val="none"/>
                <w:lang w:eastAsia="zh-CN"/>
              </w:rPr>
              <w:t>运维工作情况报告</w:t>
            </w:r>
            <w:r>
              <w:rPr>
                <w:rFonts w:ascii="宋体" w:hAnsi="宋体" w:eastAsia="宋体" w:cs="宋体"/>
                <w:b w:val="0"/>
                <w:i w:val="0"/>
                <w:color w:val="auto"/>
                <w:spacing w:val="0"/>
                <w:sz w:val="24"/>
                <w:highlight w:val="none"/>
              </w:rPr>
              <w:t>，记录详实准确。2. 变更操作规范，未因人为失误导致系统受损。</w:t>
            </w:r>
          </w:p>
        </w:tc>
        <w:tc>
          <w:tcPr>
            <w:tcW w:w="2060" w:type="dxa"/>
          </w:tcPr>
          <w:p w14:paraId="17F9F7DF">
            <w:pPr>
              <w:pageBreakBefore w:val="0"/>
              <w:wordWrap/>
              <w:spacing w:before="0" w:after="0"/>
              <w:ind w:left="0" w:right="0" w:firstLine="0"/>
              <w:jc w:val="left"/>
              <w:textAlignment w:val="auto"/>
              <w:rPr>
                <w:color w:val="auto"/>
                <w:sz w:val="24"/>
                <w:highlight w:val="none"/>
              </w:rPr>
            </w:pPr>
            <w:r>
              <w:rPr>
                <w:rFonts w:ascii="宋体" w:hAnsi="宋体" w:eastAsia="宋体" w:cs="宋体"/>
                <w:b w:val="0"/>
                <w:i w:val="0"/>
                <w:color w:val="auto"/>
                <w:spacing w:val="0"/>
                <w:sz w:val="24"/>
                <w:highlight w:val="none"/>
              </w:rPr>
              <w:t>迟交/漏交报告一次扣5分；违规操作一次扣15分。</w:t>
            </w:r>
          </w:p>
        </w:tc>
        <w:tc>
          <w:tcPr>
            <w:tcW w:w="2060" w:type="dxa"/>
          </w:tcPr>
          <w:p w14:paraId="6F73A0FD">
            <w:pPr>
              <w:pageBreakBefore w:val="0"/>
              <w:wordWrap/>
              <w:spacing w:before="0" w:after="0"/>
              <w:ind w:left="0" w:right="0" w:firstLine="0"/>
              <w:jc w:val="left"/>
              <w:textAlignment w:val="auto"/>
              <w:rPr>
                <w:color w:val="auto"/>
                <w:sz w:val="24"/>
                <w:highlight w:val="none"/>
              </w:rPr>
            </w:pPr>
          </w:p>
        </w:tc>
      </w:tr>
      <w:tr w14:paraId="610CE8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00" w:hRule="atLeast"/>
        </w:trPr>
        <w:tc>
          <w:tcPr>
            <w:tcW w:w="2060" w:type="dxa"/>
            <w:vAlign w:val="center"/>
          </w:tcPr>
          <w:p w14:paraId="13FFA42A">
            <w:pPr>
              <w:pageBreakBefore w:val="0"/>
              <w:wordWrap/>
              <w:spacing w:before="0" w:after="0"/>
              <w:ind w:left="0" w:right="0" w:firstLine="0"/>
              <w:jc w:val="center"/>
              <w:textAlignment w:val="auto"/>
              <w:rPr>
                <w:color w:val="auto"/>
                <w:sz w:val="24"/>
                <w:highlight w:val="none"/>
              </w:rPr>
            </w:pPr>
            <w:r>
              <w:rPr>
                <w:rFonts w:ascii="宋体" w:hAnsi="宋体" w:eastAsia="宋体" w:cs="宋体"/>
                <w:b/>
                <w:i w:val="0"/>
                <w:color w:val="auto"/>
                <w:spacing w:val="0"/>
                <w:sz w:val="24"/>
                <w:highlight w:val="none"/>
              </w:rPr>
              <w:t>综合得分</w:t>
            </w:r>
          </w:p>
        </w:tc>
        <w:tc>
          <w:tcPr>
            <w:tcW w:w="6180" w:type="dxa"/>
            <w:gridSpan w:val="3"/>
          </w:tcPr>
          <w:p w14:paraId="1B7A8793">
            <w:pPr>
              <w:pageBreakBefore w:val="0"/>
              <w:wordWrap/>
              <w:spacing w:before="0" w:after="0"/>
              <w:ind w:left="0" w:right="0" w:firstLine="0"/>
              <w:jc w:val="center"/>
              <w:textAlignment w:val="auto"/>
              <w:rPr>
                <w:rFonts w:ascii="宋体" w:hAnsi="宋体" w:eastAsia="宋体" w:cs="宋体"/>
                <w:b w:val="0"/>
                <w:i w:val="0"/>
                <w:color w:val="auto"/>
                <w:spacing w:val="0"/>
                <w:sz w:val="24"/>
                <w:highlight w:val="none"/>
              </w:rPr>
            </w:pPr>
            <w:r>
              <w:rPr>
                <w:rFonts w:ascii="宋体" w:hAnsi="宋体" w:eastAsia="宋体" w:cs="宋体"/>
                <w:b/>
                <w:i w:val="0"/>
                <w:color w:val="auto"/>
                <w:spacing w:val="0"/>
                <w:sz w:val="24"/>
                <w:highlight w:val="none"/>
              </w:rPr>
              <w:t>总</w:t>
            </w:r>
            <w:r>
              <w:rPr>
                <w:rFonts w:hint="eastAsia" w:ascii="宋体" w:hAnsi="宋体" w:eastAsia="宋体" w:cs="宋体"/>
                <w:b/>
                <w:i w:val="0"/>
                <w:color w:val="auto"/>
                <w:spacing w:val="0"/>
                <w:sz w:val="24"/>
                <w:highlight w:val="none"/>
                <w:lang w:eastAsia="zh-CN"/>
              </w:rPr>
              <w:t>得</w:t>
            </w:r>
            <w:r>
              <w:rPr>
                <w:rFonts w:ascii="宋体" w:hAnsi="宋体" w:eastAsia="宋体" w:cs="宋体"/>
                <w:b/>
                <w:i w:val="0"/>
                <w:color w:val="auto"/>
                <w:spacing w:val="0"/>
                <w:sz w:val="24"/>
                <w:highlight w:val="none"/>
              </w:rPr>
              <w:t>分：[ ]分</w:t>
            </w:r>
          </w:p>
          <w:p w14:paraId="5C13CF04">
            <w:pPr>
              <w:pageBreakBefore w:val="0"/>
              <w:wordWrap/>
              <w:spacing w:before="0" w:after="0"/>
              <w:ind w:left="0" w:right="0" w:firstLine="0"/>
              <w:jc w:val="center"/>
              <w:textAlignment w:val="auto"/>
              <w:rPr>
                <w:color w:val="auto"/>
                <w:sz w:val="24"/>
                <w:highlight w:val="none"/>
              </w:rPr>
            </w:pPr>
            <w:r>
              <w:rPr>
                <w:rFonts w:ascii="宋体" w:hAnsi="宋体" w:eastAsia="宋体" w:cs="宋体"/>
                <w:b w:val="0"/>
                <w:i w:val="0"/>
                <w:color w:val="auto"/>
                <w:spacing w:val="0"/>
                <w:sz w:val="24"/>
                <w:highlight w:val="none"/>
              </w:rPr>
              <w:t>注：低于80分</w:t>
            </w:r>
            <w:r>
              <w:rPr>
                <w:rFonts w:hint="eastAsia" w:ascii="宋体" w:hAnsi="宋体" w:eastAsia="宋体" w:cs="宋体"/>
                <w:b w:val="0"/>
                <w:i w:val="0"/>
                <w:color w:val="auto"/>
                <w:spacing w:val="0"/>
                <w:sz w:val="24"/>
                <w:highlight w:val="none"/>
                <w:lang w:eastAsia="zh-CN"/>
              </w:rPr>
              <w:t>视为评价不合格</w:t>
            </w:r>
          </w:p>
        </w:tc>
      </w:tr>
      <w:tr w14:paraId="44EA31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00" w:hRule="atLeast"/>
        </w:trPr>
        <w:tc>
          <w:tcPr>
            <w:tcW w:w="2060" w:type="dxa"/>
            <w:vAlign w:val="center"/>
          </w:tcPr>
          <w:p w14:paraId="0AB35F5E">
            <w:pPr>
              <w:pageBreakBefore w:val="0"/>
              <w:wordWrap/>
              <w:spacing w:before="0" w:after="0"/>
              <w:ind w:left="0" w:right="0" w:firstLine="0"/>
              <w:jc w:val="center"/>
              <w:textAlignment w:val="auto"/>
              <w:rPr>
                <w:color w:val="auto"/>
                <w:sz w:val="24"/>
                <w:highlight w:val="none"/>
              </w:rPr>
            </w:pPr>
            <w:r>
              <w:rPr>
                <w:rFonts w:ascii="宋体" w:hAnsi="宋体" w:eastAsia="宋体" w:cs="宋体"/>
                <w:b/>
                <w:i w:val="0"/>
                <w:color w:val="auto"/>
                <w:spacing w:val="0"/>
                <w:sz w:val="24"/>
                <w:highlight w:val="none"/>
              </w:rPr>
              <w:t>用户意见与建议</w:t>
            </w:r>
          </w:p>
        </w:tc>
        <w:tc>
          <w:tcPr>
            <w:tcW w:w="6180" w:type="dxa"/>
            <w:gridSpan w:val="3"/>
            <w:vAlign w:val="center"/>
          </w:tcPr>
          <w:p w14:paraId="0337FD93">
            <w:pPr>
              <w:pageBreakBefore w:val="0"/>
              <w:wordWrap/>
              <w:spacing w:before="0" w:after="0"/>
              <w:ind w:left="0" w:right="0" w:firstLine="0"/>
              <w:jc w:val="center"/>
              <w:textAlignment w:val="auto"/>
              <w:rPr>
                <w:color w:val="auto"/>
                <w:sz w:val="24"/>
                <w:highlight w:val="none"/>
              </w:rPr>
            </w:pPr>
          </w:p>
        </w:tc>
      </w:tr>
    </w:tbl>
    <w:p w14:paraId="07A97389">
      <w:pPr>
        <w:pageBreakBefore w:val="0"/>
        <w:wordWrap/>
        <w:spacing w:before="160" w:after="0"/>
        <w:ind w:left="0" w:right="0"/>
        <w:jc w:val="left"/>
        <w:textAlignment w:val="auto"/>
        <w:rPr>
          <w:rFonts w:hint="default" w:eastAsia="宋体"/>
          <w:color w:val="auto"/>
          <w:sz w:val="24"/>
          <w:highlight w:val="none"/>
          <w:lang w:val="en-US" w:eastAsia="zh-CN"/>
        </w:rPr>
      </w:pPr>
      <w:r>
        <w:rPr>
          <w:rFonts w:ascii="宋体" w:hAnsi="宋体" w:eastAsia="宋体" w:cs="宋体"/>
          <w:b w:val="0"/>
          <w:bCs/>
          <w:i w:val="0"/>
          <w:color w:val="auto"/>
          <w:spacing w:val="0"/>
          <w:sz w:val="24"/>
          <w:highlight w:val="none"/>
        </w:rPr>
        <w:t xml:space="preserve">评价人（签字）： </w:t>
      </w:r>
      <w:r>
        <w:rPr>
          <w:rFonts w:hint="eastAsia" w:ascii="宋体" w:hAnsi="宋体" w:eastAsia="宋体" w:cs="宋体"/>
          <w:b w:val="0"/>
          <w:bCs/>
          <w:i w:val="0"/>
          <w:color w:val="auto"/>
          <w:spacing w:val="0"/>
          <w:sz w:val="24"/>
          <w:highlight w:val="none"/>
          <w:lang w:val="en-US" w:eastAsia="zh-CN"/>
        </w:rPr>
        <w:t xml:space="preserve">  </w:t>
      </w:r>
      <w:r>
        <w:rPr>
          <w:rFonts w:hint="eastAsia" w:ascii="宋体" w:hAnsi="宋体" w:eastAsia="宋体" w:cs="宋体"/>
          <w:b w:val="0"/>
          <w:i w:val="0"/>
          <w:color w:val="auto"/>
          <w:spacing w:val="0"/>
          <w:sz w:val="24"/>
          <w:highlight w:val="none"/>
          <w:lang w:val="en-US" w:eastAsia="zh-CN"/>
        </w:rPr>
        <w:t xml:space="preserve">                    评价</w:t>
      </w:r>
      <w:r>
        <w:rPr>
          <w:rFonts w:ascii="宋体" w:hAnsi="宋体" w:eastAsia="宋体" w:cs="宋体"/>
          <w:b w:val="0"/>
          <w:i w:val="0"/>
          <w:color w:val="auto"/>
          <w:spacing w:val="0"/>
          <w:sz w:val="24"/>
          <w:highlight w:val="none"/>
        </w:rPr>
        <w:t>日期：</w:t>
      </w:r>
      <w:r>
        <w:rPr>
          <w:rFonts w:hint="eastAsia" w:ascii="宋体" w:hAnsi="宋体" w:eastAsia="宋体" w:cs="宋体"/>
          <w:b w:val="0"/>
          <w:i w:val="0"/>
          <w:color w:val="auto"/>
          <w:spacing w:val="0"/>
          <w:sz w:val="24"/>
          <w:highlight w:val="none"/>
          <w:lang w:val="en-US" w:eastAsia="zh-CN"/>
        </w:rPr>
        <w:t xml:space="preserve">  年   月   日</w:t>
      </w:r>
    </w:p>
    <w:p w14:paraId="587064D0">
      <w:pPr>
        <w:rPr>
          <w:rFonts w:cs="仿宋_GB2312"/>
          <w:b/>
          <w:color w:val="auto"/>
          <w:sz w:val="44"/>
          <w:szCs w:val="44"/>
          <w:highlight w:val="none"/>
        </w:rPr>
      </w:pPr>
    </w:p>
    <w:p w14:paraId="1BC23904">
      <w:pPr>
        <w:tabs>
          <w:tab w:val="left" w:pos="3261"/>
        </w:tabs>
        <w:spacing w:line="360" w:lineRule="auto"/>
        <w:contextualSpacing/>
        <w:jc w:val="both"/>
        <w:rPr>
          <w:rFonts w:cs="仿宋_GB2312"/>
          <w:b/>
          <w:color w:val="auto"/>
          <w:sz w:val="44"/>
          <w:szCs w:val="44"/>
          <w:highlight w:val="none"/>
        </w:rPr>
      </w:pPr>
    </w:p>
    <w:p w14:paraId="48D7F820">
      <w:pPr>
        <w:tabs>
          <w:tab w:val="left" w:pos="3261"/>
        </w:tabs>
        <w:spacing w:line="360" w:lineRule="auto"/>
        <w:contextualSpacing/>
        <w:jc w:val="center"/>
        <w:rPr>
          <w:rFonts w:cs="仿宋_GB2312"/>
          <w:b/>
          <w:color w:val="auto"/>
          <w:sz w:val="44"/>
          <w:szCs w:val="44"/>
          <w:highlight w:val="none"/>
        </w:rPr>
      </w:pPr>
    </w:p>
    <w:p w14:paraId="726666EF">
      <w:pPr>
        <w:tabs>
          <w:tab w:val="left" w:pos="3261"/>
        </w:tabs>
        <w:spacing w:line="360" w:lineRule="auto"/>
        <w:contextualSpacing/>
        <w:jc w:val="center"/>
        <w:rPr>
          <w:rFonts w:cs="仿宋_GB2312"/>
          <w:b/>
          <w:color w:val="auto"/>
          <w:sz w:val="44"/>
          <w:szCs w:val="44"/>
          <w:highlight w:val="none"/>
        </w:rPr>
      </w:pPr>
    </w:p>
    <w:p w14:paraId="389AA476">
      <w:pPr>
        <w:pStyle w:val="2"/>
        <w:jc w:val="center"/>
        <w:rPr>
          <w:rFonts w:cs="仿宋_GB2312"/>
          <w:b w:val="0"/>
          <w:color w:val="auto"/>
          <w:highlight w:val="none"/>
        </w:rPr>
      </w:pPr>
      <w:bookmarkStart w:id="163" w:name="_Toc29624"/>
      <w:bookmarkStart w:id="164" w:name="_Toc13011"/>
      <w:bookmarkStart w:id="165" w:name="_Toc8963"/>
      <w:bookmarkStart w:id="166" w:name="_Toc20915"/>
      <w:bookmarkStart w:id="167" w:name="_Toc80886951"/>
      <w:bookmarkStart w:id="168" w:name="_Toc610"/>
      <w:bookmarkStart w:id="169" w:name="_Toc178"/>
      <w:bookmarkStart w:id="170" w:name="_Toc28283"/>
    </w:p>
    <w:p w14:paraId="4A94FB01">
      <w:pPr>
        <w:pStyle w:val="2"/>
        <w:jc w:val="center"/>
        <w:rPr>
          <w:rFonts w:cs="仿宋_GB2312"/>
          <w:b w:val="0"/>
          <w:color w:val="auto"/>
          <w:highlight w:val="none"/>
        </w:rPr>
      </w:pPr>
    </w:p>
    <w:p w14:paraId="34FAC64A">
      <w:pPr>
        <w:pStyle w:val="2"/>
        <w:jc w:val="center"/>
        <w:rPr>
          <w:rFonts w:cs="仿宋_GB2312"/>
          <w:color w:val="auto"/>
          <w:highlight w:val="none"/>
        </w:rPr>
        <w:sectPr>
          <w:pgSz w:w="11911" w:h="16838"/>
          <w:pgMar w:top="1134" w:right="1134" w:bottom="1134" w:left="1134" w:header="720" w:footer="720" w:gutter="0"/>
          <w:pgBorders>
            <w:top w:val="none" w:sz="0" w:space="0"/>
            <w:left w:val="none" w:sz="0" w:space="0"/>
            <w:bottom w:val="none" w:sz="0" w:space="0"/>
            <w:right w:val="none" w:sz="0" w:space="0"/>
          </w:pgBorders>
          <w:cols w:space="720" w:num="1"/>
        </w:sectPr>
      </w:pPr>
      <w:r>
        <w:rPr>
          <w:rFonts w:hint="eastAsia" w:cs="仿宋_GB2312"/>
          <w:b w:val="0"/>
          <w:color w:val="auto"/>
          <w:highlight w:val="none"/>
        </w:rPr>
        <w:t>第七章 质疑、投诉材料格式</w:t>
      </w:r>
      <w:bookmarkEnd w:id="163"/>
      <w:bookmarkEnd w:id="164"/>
      <w:bookmarkEnd w:id="165"/>
      <w:bookmarkEnd w:id="166"/>
      <w:bookmarkEnd w:id="167"/>
      <w:bookmarkEnd w:id="168"/>
      <w:bookmarkEnd w:id="169"/>
      <w:bookmarkEnd w:id="170"/>
    </w:p>
    <w:p w14:paraId="0A551A35">
      <w:pPr>
        <w:spacing w:line="360" w:lineRule="auto"/>
        <w:jc w:val="center"/>
        <w:rPr>
          <w:b/>
          <w:bCs/>
          <w:color w:val="auto"/>
          <w:sz w:val="32"/>
          <w:szCs w:val="32"/>
          <w:highlight w:val="none"/>
        </w:rPr>
      </w:pPr>
      <w:r>
        <w:rPr>
          <w:rFonts w:hint="eastAsia"/>
          <w:b/>
          <w:bCs/>
          <w:color w:val="auto"/>
          <w:sz w:val="32"/>
          <w:szCs w:val="32"/>
          <w:highlight w:val="none"/>
        </w:rPr>
        <w:t>质疑函（格式）</w:t>
      </w:r>
    </w:p>
    <w:p w14:paraId="38C588D2">
      <w:pPr>
        <w:spacing w:line="360" w:lineRule="auto"/>
        <w:ind w:firstLine="482" w:firstLineChars="200"/>
        <w:contextualSpacing/>
        <w:rPr>
          <w:rFonts w:ascii="宋体" w:hAnsi="宋体" w:cs="宋体"/>
          <w:b/>
          <w:bCs/>
          <w:color w:val="auto"/>
          <w:kern w:val="0"/>
          <w:sz w:val="24"/>
          <w:highlight w:val="none"/>
        </w:rPr>
      </w:pPr>
      <w:r>
        <w:rPr>
          <w:rFonts w:hint="eastAsia" w:ascii="宋体" w:hAnsi="宋体" w:cs="宋体"/>
          <w:b/>
          <w:bCs/>
          <w:color w:val="auto"/>
          <w:kern w:val="0"/>
          <w:sz w:val="24"/>
          <w:highlight w:val="none"/>
        </w:rPr>
        <w:t>一、质疑供应商基本信息：</w:t>
      </w:r>
    </w:p>
    <w:p w14:paraId="792E8F5C">
      <w:pPr>
        <w:spacing w:line="360" w:lineRule="auto"/>
        <w:ind w:firstLine="480" w:firstLineChars="200"/>
        <w:contextualSpacing/>
        <w:rPr>
          <w:rFonts w:ascii="宋体" w:hAnsi="宋体" w:cs="宋体"/>
          <w:bCs/>
          <w:color w:val="auto"/>
          <w:kern w:val="0"/>
          <w:sz w:val="24"/>
          <w:highlight w:val="none"/>
          <w:u w:val="single"/>
        </w:rPr>
      </w:pPr>
      <w:r>
        <w:rPr>
          <w:rFonts w:hint="eastAsia" w:ascii="宋体" w:hAnsi="宋体" w:cs="宋体"/>
          <w:bCs/>
          <w:color w:val="auto"/>
          <w:kern w:val="0"/>
          <w:sz w:val="24"/>
          <w:highlight w:val="none"/>
        </w:rPr>
        <w:t>质疑供应商：</w:t>
      </w:r>
      <w:r>
        <w:rPr>
          <w:rFonts w:hint="eastAsia" w:ascii="宋体" w:hAnsi="宋体" w:cs="宋体"/>
          <w:bCs/>
          <w:color w:val="auto"/>
          <w:kern w:val="0"/>
          <w:sz w:val="24"/>
          <w:highlight w:val="none"/>
          <w:u w:val="single"/>
        </w:rPr>
        <w:t xml:space="preserve">                                       </w:t>
      </w:r>
    </w:p>
    <w:p w14:paraId="185B8FE1">
      <w:pPr>
        <w:spacing w:line="360" w:lineRule="auto"/>
        <w:ind w:firstLine="480" w:firstLineChars="200"/>
        <w:contextualSpacing/>
        <w:rPr>
          <w:rFonts w:ascii="宋体" w:hAnsi="宋体" w:cs="宋体"/>
          <w:bCs/>
          <w:color w:val="auto"/>
          <w:kern w:val="0"/>
          <w:sz w:val="24"/>
          <w:highlight w:val="none"/>
        </w:rPr>
      </w:pPr>
      <w:r>
        <w:rPr>
          <w:rFonts w:hint="eastAsia" w:ascii="宋体" w:hAnsi="宋体" w:cs="宋体"/>
          <w:bCs/>
          <w:color w:val="auto"/>
          <w:kern w:val="0"/>
          <w:sz w:val="24"/>
          <w:highlight w:val="none"/>
        </w:rPr>
        <w:t>地址：</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邮编：</w:t>
      </w:r>
      <w:r>
        <w:rPr>
          <w:rFonts w:hint="eastAsia" w:ascii="宋体" w:hAnsi="宋体" w:cs="宋体"/>
          <w:bCs/>
          <w:color w:val="auto"/>
          <w:kern w:val="0"/>
          <w:sz w:val="24"/>
          <w:highlight w:val="none"/>
          <w:u w:val="single"/>
        </w:rPr>
        <w:t xml:space="preserve">                  </w:t>
      </w:r>
    </w:p>
    <w:p w14:paraId="7D3AC38E">
      <w:pPr>
        <w:spacing w:line="360" w:lineRule="auto"/>
        <w:ind w:firstLine="480" w:firstLineChars="200"/>
        <w:contextualSpacing/>
        <w:rPr>
          <w:rFonts w:ascii="宋体" w:hAnsi="宋体" w:cs="宋体"/>
          <w:bCs/>
          <w:color w:val="auto"/>
          <w:kern w:val="0"/>
          <w:sz w:val="24"/>
          <w:highlight w:val="none"/>
        </w:rPr>
      </w:pPr>
      <w:r>
        <w:rPr>
          <w:rFonts w:hint="eastAsia" w:ascii="宋体" w:hAnsi="宋体" w:cs="宋体"/>
          <w:bCs/>
          <w:color w:val="auto"/>
          <w:kern w:val="0"/>
          <w:sz w:val="24"/>
          <w:highlight w:val="none"/>
        </w:rPr>
        <w:t>联系人：</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联系电话：</w:t>
      </w:r>
      <w:r>
        <w:rPr>
          <w:rFonts w:hint="eastAsia" w:ascii="宋体" w:hAnsi="宋体" w:cs="宋体"/>
          <w:bCs/>
          <w:color w:val="auto"/>
          <w:kern w:val="0"/>
          <w:sz w:val="24"/>
          <w:highlight w:val="none"/>
          <w:u w:val="single"/>
        </w:rPr>
        <w:t xml:space="preserve">                 </w:t>
      </w:r>
    </w:p>
    <w:p w14:paraId="1459ECDC">
      <w:pPr>
        <w:spacing w:line="360" w:lineRule="auto"/>
        <w:ind w:firstLine="480" w:firstLineChars="200"/>
        <w:contextualSpacing/>
        <w:rPr>
          <w:rFonts w:ascii="宋体" w:hAnsi="宋体" w:cs="宋体"/>
          <w:bCs/>
          <w:color w:val="auto"/>
          <w:kern w:val="0"/>
          <w:sz w:val="24"/>
          <w:highlight w:val="none"/>
        </w:rPr>
      </w:pPr>
      <w:r>
        <w:rPr>
          <w:rFonts w:hint="eastAsia" w:ascii="宋体" w:hAnsi="宋体" w:cs="宋体"/>
          <w:bCs/>
          <w:color w:val="auto"/>
          <w:kern w:val="0"/>
          <w:sz w:val="24"/>
          <w:highlight w:val="none"/>
        </w:rPr>
        <w:t>授权代表：</w:t>
      </w:r>
      <w:r>
        <w:rPr>
          <w:rFonts w:hint="eastAsia" w:ascii="宋体" w:hAnsi="宋体" w:cs="宋体"/>
          <w:bCs/>
          <w:color w:val="auto"/>
          <w:kern w:val="0"/>
          <w:sz w:val="24"/>
          <w:highlight w:val="none"/>
          <w:u w:val="single"/>
        </w:rPr>
        <w:t xml:space="preserve">                      </w:t>
      </w:r>
    </w:p>
    <w:p w14:paraId="6E1EC5E9">
      <w:pPr>
        <w:spacing w:line="360" w:lineRule="auto"/>
        <w:ind w:firstLine="480" w:firstLineChars="200"/>
        <w:contextualSpacing/>
        <w:rPr>
          <w:rFonts w:ascii="宋体" w:hAnsi="宋体" w:cs="宋体"/>
          <w:bCs/>
          <w:color w:val="auto"/>
          <w:kern w:val="0"/>
          <w:sz w:val="24"/>
          <w:highlight w:val="none"/>
          <w:u w:val="single"/>
        </w:rPr>
      </w:pPr>
      <w:r>
        <w:rPr>
          <w:rFonts w:hint="eastAsia" w:ascii="宋体" w:hAnsi="宋体" w:cs="宋体"/>
          <w:bCs/>
          <w:color w:val="auto"/>
          <w:kern w:val="0"/>
          <w:sz w:val="24"/>
          <w:highlight w:val="none"/>
        </w:rPr>
        <w:t>联系电话：</w:t>
      </w:r>
      <w:r>
        <w:rPr>
          <w:rFonts w:hint="eastAsia" w:ascii="宋体" w:hAnsi="宋体" w:cs="宋体"/>
          <w:bCs/>
          <w:color w:val="auto"/>
          <w:kern w:val="0"/>
          <w:sz w:val="24"/>
          <w:highlight w:val="none"/>
          <w:u w:val="single"/>
        </w:rPr>
        <w:t xml:space="preserve">                      </w:t>
      </w:r>
    </w:p>
    <w:p w14:paraId="4F0DAD28">
      <w:pPr>
        <w:spacing w:line="360" w:lineRule="auto"/>
        <w:ind w:firstLine="480" w:firstLineChars="200"/>
        <w:contextualSpacing/>
        <w:rPr>
          <w:rFonts w:ascii="宋体" w:hAnsi="宋体" w:cs="宋体"/>
          <w:bCs/>
          <w:color w:val="auto"/>
          <w:kern w:val="0"/>
          <w:sz w:val="24"/>
          <w:highlight w:val="none"/>
        </w:rPr>
      </w:pPr>
      <w:r>
        <w:rPr>
          <w:rFonts w:hint="eastAsia" w:ascii="宋体" w:hAnsi="宋体" w:cs="宋体"/>
          <w:bCs/>
          <w:color w:val="auto"/>
          <w:kern w:val="0"/>
          <w:sz w:val="24"/>
          <w:highlight w:val="none"/>
        </w:rPr>
        <w:t>地址：</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邮编：</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 xml:space="preserve">     </w:t>
      </w:r>
    </w:p>
    <w:p w14:paraId="33CA8E36">
      <w:pPr>
        <w:spacing w:line="360" w:lineRule="auto"/>
        <w:ind w:firstLine="482" w:firstLineChars="200"/>
        <w:contextualSpacing/>
        <w:rPr>
          <w:rFonts w:ascii="宋体" w:hAnsi="宋体" w:cs="宋体"/>
          <w:b/>
          <w:bCs/>
          <w:color w:val="auto"/>
          <w:kern w:val="0"/>
          <w:sz w:val="24"/>
          <w:highlight w:val="none"/>
        </w:rPr>
      </w:pPr>
      <w:r>
        <w:rPr>
          <w:rFonts w:hint="eastAsia" w:ascii="宋体" w:hAnsi="宋体" w:cs="宋体"/>
          <w:b/>
          <w:bCs/>
          <w:color w:val="auto"/>
          <w:kern w:val="0"/>
          <w:sz w:val="24"/>
          <w:highlight w:val="none"/>
        </w:rPr>
        <w:t>二、质疑项目基本情况：</w:t>
      </w:r>
    </w:p>
    <w:p w14:paraId="7ECD04AB">
      <w:pPr>
        <w:spacing w:line="360" w:lineRule="auto"/>
        <w:ind w:left="25" w:leftChars="12" w:firstLine="472" w:firstLineChars="197"/>
        <w:contextualSpacing/>
        <w:rPr>
          <w:rFonts w:ascii="宋体" w:hAnsi="宋体" w:cs="宋体"/>
          <w:color w:val="auto"/>
          <w:kern w:val="0"/>
          <w:sz w:val="24"/>
          <w:highlight w:val="none"/>
        </w:rPr>
      </w:pPr>
      <w:r>
        <w:rPr>
          <w:rFonts w:hint="eastAsia" w:ascii="宋体" w:hAnsi="宋体" w:cs="宋体"/>
          <w:bCs/>
          <w:color w:val="auto"/>
          <w:kern w:val="0"/>
          <w:sz w:val="24"/>
          <w:highlight w:val="none"/>
        </w:rPr>
        <w:t>质疑</w:t>
      </w:r>
      <w:r>
        <w:rPr>
          <w:rFonts w:hint="eastAsia" w:ascii="宋体" w:hAnsi="宋体" w:cs="宋体"/>
          <w:color w:val="auto"/>
          <w:kern w:val="0"/>
          <w:sz w:val="24"/>
          <w:highlight w:val="none"/>
        </w:rPr>
        <w:t>项目的名称：</w:t>
      </w:r>
      <w:r>
        <w:rPr>
          <w:rFonts w:hint="eastAsia" w:ascii="宋体" w:hAnsi="宋体" w:cs="宋体"/>
          <w:bCs/>
          <w:color w:val="auto"/>
          <w:kern w:val="0"/>
          <w:sz w:val="24"/>
          <w:highlight w:val="none"/>
          <w:u w:val="single"/>
        </w:rPr>
        <w:t xml:space="preserve">                                     </w:t>
      </w:r>
    </w:p>
    <w:p w14:paraId="7AAEC8DB">
      <w:pPr>
        <w:spacing w:line="360" w:lineRule="auto"/>
        <w:ind w:left="25" w:leftChars="12" w:firstLine="472" w:firstLineChars="197"/>
        <w:contextualSpacing/>
        <w:rPr>
          <w:rFonts w:ascii="宋体" w:hAnsi="宋体" w:cs="宋体"/>
          <w:color w:val="auto"/>
          <w:kern w:val="0"/>
          <w:sz w:val="24"/>
          <w:highlight w:val="none"/>
        </w:rPr>
      </w:pPr>
      <w:r>
        <w:rPr>
          <w:rFonts w:hint="eastAsia" w:ascii="宋体" w:hAnsi="宋体" w:cs="宋体"/>
          <w:bCs/>
          <w:color w:val="auto"/>
          <w:kern w:val="0"/>
          <w:sz w:val="24"/>
          <w:highlight w:val="none"/>
        </w:rPr>
        <w:t>质疑</w:t>
      </w:r>
      <w:r>
        <w:rPr>
          <w:rFonts w:hint="eastAsia" w:ascii="宋体" w:hAnsi="宋体" w:cs="宋体"/>
          <w:color w:val="auto"/>
          <w:kern w:val="0"/>
          <w:sz w:val="24"/>
          <w:highlight w:val="none"/>
        </w:rPr>
        <w:t>项目的编号：</w:t>
      </w:r>
      <w:r>
        <w:rPr>
          <w:rFonts w:hint="eastAsia" w:ascii="宋体" w:hAnsi="宋体" w:cs="宋体"/>
          <w:bCs/>
          <w:color w:val="auto"/>
          <w:kern w:val="0"/>
          <w:sz w:val="24"/>
          <w:highlight w:val="none"/>
          <w:u w:val="single"/>
        </w:rPr>
        <w:t xml:space="preserve">                                     </w:t>
      </w:r>
    </w:p>
    <w:p w14:paraId="2ED3A202">
      <w:pPr>
        <w:spacing w:line="360" w:lineRule="auto"/>
        <w:ind w:left="25" w:leftChars="12" w:firstLine="472" w:firstLineChars="197"/>
        <w:contextualSpacing/>
        <w:rPr>
          <w:rFonts w:ascii="宋体" w:hAnsi="宋体" w:cs="宋体"/>
          <w:color w:val="auto"/>
          <w:kern w:val="0"/>
          <w:sz w:val="24"/>
          <w:highlight w:val="none"/>
        </w:rPr>
      </w:pPr>
      <w:r>
        <w:rPr>
          <w:rFonts w:hint="eastAsia" w:ascii="宋体" w:hAnsi="宋体" w:cs="宋体"/>
          <w:color w:val="auto"/>
          <w:kern w:val="0"/>
          <w:sz w:val="24"/>
          <w:highlight w:val="none"/>
        </w:rPr>
        <w:t>采购人名称：</w:t>
      </w:r>
      <w:r>
        <w:rPr>
          <w:rFonts w:hint="eastAsia" w:ascii="宋体" w:hAnsi="宋体" w:cs="宋体"/>
          <w:bCs/>
          <w:color w:val="auto"/>
          <w:kern w:val="0"/>
          <w:sz w:val="24"/>
          <w:highlight w:val="none"/>
          <w:u w:val="single"/>
        </w:rPr>
        <w:t xml:space="preserve">                                         </w:t>
      </w:r>
    </w:p>
    <w:p w14:paraId="694AF343">
      <w:pPr>
        <w:spacing w:line="360" w:lineRule="auto"/>
        <w:ind w:left="25" w:leftChars="12" w:firstLine="472" w:firstLineChars="197"/>
        <w:contextualSpacing/>
        <w:rPr>
          <w:rFonts w:ascii="宋体" w:hAnsi="宋体" w:cs="宋体"/>
          <w:color w:val="auto"/>
          <w:kern w:val="0"/>
          <w:sz w:val="24"/>
          <w:highlight w:val="none"/>
        </w:rPr>
      </w:pPr>
      <w:r>
        <w:rPr>
          <w:rFonts w:hint="eastAsia" w:ascii="宋体" w:hAnsi="宋体" w:cs="宋体"/>
          <w:color w:val="auto"/>
          <w:kern w:val="0"/>
          <w:sz w:val="24"/>
          <w:highlight w:val="none"/>
        </w:rPr>
        <w:t>质疑事项：</w:t>
      </w:r>
    </w:p>
    <w:p w14:paraId="14ADC59F">
      <w:pPr>
        <w:spacing w:line="360" w:lineRule="auto"/>
        <w:ind w:left="25" w:leftChars="12" w:firstLine="352" w:firstLineChars="147"/>
        <w:contextualSpacing/>
        <w:rPr>
          <w:rFonts w:ascii="宋体" w:hAnsi="宋体" w:cs="宋体"/>
          <w:color w:val="auto"/>
          <w:kern w:val="0"/>
          <w:sz w:val="24"/>
          <w:highlight w:val="none"/>
        </w:rPr>
      </w:pPr>
      <w:r>
        <w:rPr>
          <w:rFonts w:hint="eastAsia" w:ascii="宋体" w:hAnsi="宋体" w:cs="宋体"/>
          <w:color w:val="auto"/>
          <w:kern w:val="0"/>
          <w:sz w:val="24"/>
          <w:highlight w:val="none"/>
        </w:rPr>
        <w:t>□采购文件   采购文件获取日期：</w:t>
      </w:r>
      <w:r>
        <w:rPr>
          <w:rFonts w:hint="eastAsia" w:ascii="宋体" w:hAnsi="宋体" w:cs="宋体"/>
          <w:bCs/>
          <w:color w:val="auto"/>
          <w:kern w:val="0"/>
          <w:sz w:val="24"/>
          <w:highlight w:val="none"/>
          <w:u w:val="single"/>
        </w:rPr>
        <w:t xml:space="preserve">                                   </w:t>
      </w:r>
    </w:p>
    <w:p w14:paraId="4F4835B2">
      <w:pPr>
        <w:spacing w:line="360" w:lineRule="auto"/>
        <w:ind w:left="25" w:leftChars="12" w:firstLine="352" w:firstLineChars="147"/>
        <w:contextualSpacing/>
        <w:rPr>
          <w:rFonts w:ascii="宋体" w:hAnsi="宋体" w:cs="宋体"/>
          <w:color w:val="auto"/>
          <w:kern w:val="0"/>
          <w:sz w:val="24"/>
          <w:highlight w:val="none"/>
        </w:rPr>
      </w:pPr>
      <w:r>
        <w:rPr>
          <w:rFonts w:hint="eastAsia" w:ascii="宋体" w:hAnsi="宋体" w:cs="宋体"/>
          <w:color w:val="auto"/>
          <w:kern w:val="0"/>
          <w:sz w:val="24"/>
          <w:highlight w:val="none"/>
        </w:rPr>
        <w:t xml:space="preserve">□采购过程   </w:t>
      </w:r>
    </w:p>
    <w:p w14:paraId="2626B229">
      <w:pPr>
        <w:spacing w:line="360" w:lineRule="auto"/>
        <w:ind w:left="25" w:leftChars="12" w:firstLine="352" w:firstLineChars="147"/>
        <w:contextualSpacing/>
        <w:rPr>
          <w:rFonts w:ascii="宋体" w:hAnsi="宋体" w:cs="宋体"/>
          <w:bCs/>
          <w:color w:val="auto"/>
          <w:kern w:val="0"/>
          <w:sz w:val="24"/>
          <w:highlight w:val="none"/>
          <w:u w:val="single"/>
        </w:rPr>
      </w:pPr>
      <w:r>
        <w:rPr>
          <w:rFonts w:hint="eastAsia" w:ascii="宋体" w:hAnsi="宋体" w:cs="宋体"/>
          <w:color w:val="auto"/>
          <w:kern w:val="0"/>
          <w:sz w:val="24"/>
          <w:highlight w:val="none"/>
        </w:rPr>
        <w:t xml:space="preserve">□成交结果   </w:t>
      </w:r>
    </w:p>
    <w:p w14:paraId="08680FA9">
      <w:pPr>
        <w:spacing w:line="360" w:lineRule="auto"/>
        <w:ind w:left="25" w:leftChars="12" w:firstLine="472" w:firstLineChars="196"/>
        <w:contextualSpacing/>
        <w:rPr>
          <w:rFonts w:ascii="宋体" w:hAnsi="宋体" w:cs="宋体"/>
          <w:b/>
          <w:color w:val="auto"/>
          <w:kern w:val="0"/>
          <w:sz w:val="24"/>
          <w:highlight w:val="none"/>
        </w:rPr>
      </w:pPr>
      <w:r>
        <w:rPr>
          <w:rFonts w:hint="eastAsia" w:ascii="宋体" w:hAnsi="宋体" w:cs="宋体"/>
          <w:b/>
          <w:color w:val="auto"/>
          <w:kern w:val="0"/>
          <w:sz w:val="24"/>
          <w:highlight w:val="none"/>
        </w:rPr>
        <w:t>三、质疑事项具体内容</w:t>
      </w:r>
    </w:p>
    <w:p w14:paraId="73380550">
      <w:pPr>
        <w:spacing w:line="360" w:lineRule="auto"/>
        <w:ind w:left="25" w:leftChars="12" w:firstLine="472" w:firstLineChars="197"/>
        <w:contextualSpacing/>
        <w:rPr>
          <w:rFonts w:ascii="宋体" w:hAnsi="宋体" w:cs="宋体"/>
          <w:color w:val="auto"/>
          <w:kern w:val="0"/>
          <w:sz w:val="24"/>
          <w:highlight w:val="none"/>
        </w:rPr>
      </w:pPr>
      <w:r>
        <w:rPr>
          <w:rFonts w:hint="eastAsia" w:ascii="宋体" w:hAnsi="宋体" w:cs="宋体"/>
          <w:color w:val="auto"/>
          <w:kern w:val="0"/>
          <w:sz w:val="24"/>
          <w:highlight w:val="none"/>
        </w:rPr>
        <w:t>质疑事项1：</w:t>
      </w:r>
      <w:r>
        <w:rPr>
          <w:rFonts w:hint="eastAsia" w:ascii="宋体" w:hAnsi="宋体" w:cs="宋体"/>
          <w:bCs/>
          <w:color w:val="auto"/>
          <w:kern w:val="0"/>
          <w:sz w:val="24"/>
          <w:highlight w:val="none"/>
          <w:u w:val="single"/>
        </w:rPr>
        <w:t xml:space="preserve">                                                                 </w:t>
      </w:r>
    </w:p>
    <w:p w14:paraId="3641A3C5">
      <w:pPr>
        <w:spacing w:line="360" w:lineRule="auto"/>
        <w:ind w:left="25" w:leftChars="12" w:firstLine="472" w:firstLineChars="197"/>
        <w:contextualSpacing/>
        <w:rPr>
          <w:rFonts w:ascii="宋体" w:hAnsi="宋体" w:cs="宋体"/>
          <w:color w:val="auto"/>
          <w:kern w:val="0"/>
          <w:sz w:val="24"/>
          <w:highlight w:val="none"/>
        </w:rPr>
      </w:pPr>
      <w:r>
        <w:rPr>
          <w:rFonts w:hint="eastAsia" w:ascii="宋体" w:hAnsi="宋体" w:cs="宋体"/>
          <w:color w:val="auto"/>
          <w:kern w:val="0"/>
          <w:sz w:val="24"/>
          <w:highlight w:val="none"/>
        </w:rPr>
        <w:t>事实依据：</w:t>
      </w:r>
      <w:r>
        <w:rPr>
          <w:rFonts w:hint="eastAsia" w:ascii="宋体" w:hAnsi="宋体" w:cs="宋体"/>
          <w:bCs/>
          <w:color w:val="auto"/>
          <w:kern w:val="0"/>
          <w:sz w:val="24"/>
          <w:highlight w:val="none"/>
          <w:u w:val="single"/>
        </w:rPr>
        <w:t xml:space="preserve">                                                                  </w:t>
      </w:r>
    </w:p>
    <w:p w14:paraId="3D16E0C8">
      <w:pPr>
        <w:spacing w:line="360" w:lineRule="auto"/>
        <w:ind w:left="25" w:leftChars="12" w:firstLine="472" w:firstLineChars="197"/>
        <w:contextualSpacing/>
        <w:rPr>
          <w:rFonts w:ascii="宋体" w:hAnsi="宋体" w:cs="宋体"/>
          <w:color w:val="auto"/>
          <w:kern w:val="0"/>
          <w:sz w:val="24"/>
          <w:highlight w:val="none"/>
        </w:rPr>
      </w:pPr>
      <w:r>
        <w:rPr>
          <w:rFonts w:hint="eastAsia" w:ascii="宋体" w:hAnsi="宋体" w:cs="宋体"/>
          <w:color w:val="auto"/>
          <w:kern w:val="0"/>
          <w:sz w:val="24"/>
          <w:highlight w:val="none"/>
        </w:rPr>
        <w:t>法律依据：</w:t>
      </w:r>
      <w:r>
        <w:rPr>
          <w:rFonts w:hint="eastAsia" w:ascii="宋体" w:hAnsi="宋体" w:cs="宋体"/>
          <w:color w:val="auto"/>
          <w:kern w:val="0"/>
          <w:sz w:val="24"/>
          <w:highlight w:val="none"/>
          <w:u w:val="single"/>
        </w:rPr>
        <w:t xml:space="preserve">                                                        </w:t>
      </w:r>
      <w:r>
        <w:rPr>
          <w:rFonts w:hint="eastAsia" w:ascii="宋体" w:hAnsi="宋体" w:cs="宋体"/>
          <w:bCs/>
          <w:color w:val="auto"/>
          <w:kern w:val="0"/>
          <w:sz w:val="24"/>
          <w:highlight w:val="none"/>
          <w:u w:val="single"/>
        </w:rPr>
        <w:t xml:space="preserve">          </w:t>
      </w:r>
    </w:p>
    <w:p w14:paraId="3C3B1E4B">
      <w:pPr>
        <w:spacing w:line="360" w:lineRule="auto"/>
        <w:ind w:left="25" w:leftChars="12" w:firstLine="472" w:firstLineChars="197"/>
        <w:contextualSpacing/>
        <w:rPr>
          <w:rFonts w:ascii="宋体" w:hAnsi="宋体" w:cs="宋体"/>
          <w:color w:val="auto"/>
          <w:kern w:val="0"/>
          <w:sz w:val="24"/>
          <w:highlight w:val="none"/>
        </w:rPr>
      </w:pPr>
      <w:r>
        <w:rPr>
          <w:rFonts w:hint="eastAsia" w:ascii="宋体" w:hAnsi="宋体" w:cs="宋体"/>
          <w:color w:val="auto"/>
          <w:kern w:val="0"/>
          <w:sz w:val="24"/>
          <w:highlight w:val="none"/>
        </w:rPr>
        <w:t>质疑事项2</w:t>
      </w:r>
    </w:p>
    <w:p w14:paraId="6FDDC779">
      <w:pPr>
        <w:spacing w:line="360" w:lineRule="auto"/>
        <w:ind w:left="25" w:leftChars="12" w:firstLine="472" w:firstLineChars="197"/>
        <w:contextualSpacing/>
        <w:rPr>
          <w:rFonts w:ascii="宋体" w:hAnsi="宋体" w:cs="宋体"/>
          <w:color w:val="auto"/>
          <w:kern w:val="0"/>
          <w:sz w:val="24"/>
          <w:highlight w:val="none"/>
        </w:rPr>
      </w:pPr>
      <w:r>
        <w:rPr>
          <w:rFonts w:hint="eastAsia" w:ascii="宋体" w:hAnsi="宋体" w:cs="宋体"/>
          <w:color w:val="auto"/>
          <w:kern w:val="0"/>
          <w:sz w:val="24"/>
          <w:highlight w:val="none"/>
        </w:rPr>
        <w:t>……</w:t>
      </w:r>
    </w:p>
    <w:p w14:paraId="6DB22584">
      <w:pPr>
        <w:spacing w:line="360" w:lineRule="auto"/>
        <w:ind w:left="25" w:leftChars="12" w:firstLine="472" w:firstLineChars="197"/>
        <w:contextualSpacing/>
        <w:rPr>
          <w:rFonts w:ascii="宋体" w:hAnsi="宋体" w:cs="宋体"/>
          <w:color w:val="auto"/>
          <w:kern w:val="0"/>
          <w:sz w:val="24"/>
          <w:highlight w:val="none"/>
        </w:rPr>
      </w:pPr>
      <w:r>
        <w:rPr>
          <w:rFonts w:hint="eastAsia" w:ascii="宋体" w:hAnsi="宋体" w:cs="宋体"/>
          <w:color w:val="auto"/>
          <w:kern w:val="0"/>
          <w:sz w:val="24"/>
          <w:highlight w:val="none"/>
        </w:rPr>
        <w:t>四、与质疑事项相关的质疑请求：</w:t>
      </w:r>
    </w:p>
    <w:p w14:paraId="2DD9B640">
      <w:pPr>
        <w:spacing w:line="360" w:lineRule="auto"/>
        <w:ind w:left="25" w:leftChars="12" w:firstLine="472" w:firstLineChars="197"/>
        <w:contextualSpacing/>
        <w:rPr>
          <w:rFonts w:ascii="宋体" w:hAnsi="宋体" w:cs="宋体"/>
          <w:color w:val="auto"/>
          <w:kern w:val="0"/>
          <w:sz w:val="24"/>
          <w:highlight w:val="none"/>
        </w:rPr>
      </w:pPr>
      <w:r>
        <w:rPr>
          <w:rFonts w:hint="eastAsia" w:ascii="宋体" w:hAnsi="宋体" w:cs="宋体"/>
          <w:color w:val="auto"/>
          <w:kern w:val="0"/>
          <w:sz w:val="24"/>
          <w:highlight w:val="none"/>
        </w:rPr>
        <w:t>请求：</w:t>
      </w:r>
      <w:r>
        <w:rPr>
          <w:rFonts w:hint="eastAsia" w:ascii="宋体" w:hAnsi="宋体" w:cs="宋体"/>
          <w:bCs/>
          <w:color w:val="auto"/>
          <w:kern w:val="0"/>
          <w:sz w:val="24"/>
          <w:highlight w:val="none"/>
          <w:u w:val="single"/>
        </w:rPr>
        <w:t xml:space="preserve">                                                                </w:t>
      </w:r>
    </w:p>
    <w:p w14:paraId="300C1173">
      <w:pPr>
        <w:spacing w:line="360" w:lineRule="auto"/>
        <w:ind w:left="25" w:leftChars="12" w:firstLine="352" w:firstLineChars="147"/>
        <w:contextualSpacing/>
        <w:rPr>
          <w:rFonts w:ascii="宋体" w:hAnsi="宋体" w:cs="宋体"/>
          <w:color w:val="auto"/>
          <w:kern w:val="0"/>
          <w:sz w:val="24"/>
          <w:highlight w:val="none"/>
        </w:rPr>
      </w:pPr>
    </w:p>
    <w:p w14:paraId="578E5D5C">
      <w:pPr>
        <w:spacing w:line="360" w:lineRule="auto"/>
        <w:ind w:left="25" w:leftChars="12" w:firstLine="472" w:firstLineChars="197"/>
        <w:contextualSpacing/>
        <w:rPr>
          <w:rFonts w:ascii="宋体" w:hAnsi="宋体" w:cs="宋体"/>
          <w:color w:val="auto"/>
          <w:kern w:val="0"/>
          <w:sz w:val="24"/>
          <w:highlight w:val="none"/>
        </w:rPr>
      </w:pPr>
      <w:r>
        <w:rPr>
          <w:rFonts w:hint="eastAsia" w:ascii="宋体" w:hAnsi="宋体" w:cs="宋体"/>
          <w:color w:val="auto"/>
          <w:kern w:val="0"/>
          <w:sz w:val="24"/>
          <w:highlight w:val="none"/>
        </w:rPr>
        <w:t>签字（签章）：                                       公章：</w:t>
      </w:r>
    </w:p>
    <w:p w14:paraId="2714A4DC">
      <w:pPr>
        <w:spacing w:line="360" w:lineRule="auto"/>
        <w:ind w:left="25" w:leftChars="12" w:firstLine="352" w:firstLineChars="147"/>
        <w:contextualSpacing/>
        <w:rPr>
          <w:rFonts w:ascii="宋体" w:hAnsi="宋体" w:cs="宋体"/>
          <w:color w:val="auto"/>
          <w:kern w:val="0"/>
          <w:sz w:val="24"/>
          <w:highlight w:val="none"/>
        </w:rPr>
      </w:pPr>
    </w:p>
    <w:p w14:paraId="70426C45">
      <w:pPr>
        <w:spacing w:line="360" w:lineRule="auto"/>
        <w:ind w:left="25" w:leftChars="12" w:firstLine="472" w:firstLineChars="197"/>
        <w:contextualSpacing/>
        <w:rPr>
          <w:rFonts w:ascii="宋体" w:hAnsi="宋体" w:cs="宋体"/>
          <w:color w:val="auto"/>
          <w:kern w:val="0"/>
          <w:sz w:val="24"/>
          <w:highlight w:val="none"/>
        </w:rPr>
      </w:pPr>
      <w:r>
        <w:rPr>
          <w:rFonts w:hint="eastAsia" w:ascii="宋体" w:hAnsi="宋体" w:cs="宋体"/>
          <w:color w:val="auto"/>
          <w:kern w:val="0"/>
          <w:sz w:val="24"/>
          <w:highlight w:val="none"/>
        </w:rPr>
        <w:t>日期：</w:t>
      </w:r>
    </w:p>
    <w:p w14:paraId="34FF5466">
      <w:pPr>
        <w:spacing w:line="360" w:lineRule="auto"/>
        <w:contextualSpacing/>
        <w:rPr>
          <w:b/>
          <w:color w:val="auto"/>
          <w:kern w:val="0"/>
          <w:sz w:val="24"/>
          <w:highlight w:val="none"/>
        </w:rPr>
      </w:pPr>
    </w:p>
    <w:p w14:paraId="2799443B">
      <w:pPr>
        <w:spacing w:line="360" w:lineRule="auto"/>
        <w:contextualSpacing/>
        <w:rPr>
          <w:b/>
          <w:color w:val="auto"/>
          <w:kern w:val="0"/>
          <w:sz w:val="24"/>
          <w:highlight w:val="none"/>
        </w:rPr>
      </w:pPr>
      <w:r>
        <w:rPr>
          <w:rFonts w:hint="eastAsia"/>
          <w:b/>
          <w:color w:val="auto"/>
          <w:kern w:val="0"/>
          <w:sz w:val="24"/>
          <w:highlight w:val="none"/>
        </w:rPr>
        <w:t>说明：</w:t>
      </w:r>
    </w:p>
    <w:p w14:paraId="4E792CD4">
      <w:pPr>
        <w:spacing w:line="360" w:lineRule="auto"/>
        <w:ind w:left="25" w:leftChars="12" w:firstLine="354" w:firstLineChars="147"/>
        <w:contextualSpacing/>
        <w:rPr>
          <w:rFonts w:ascii="宋体" w:hAnsi="宋体" w:cs="宋体"/>
          <w:b/>
          <w:bCs/>
          <w:color w:val="auto"/>
          <w:kern w:val="0"/>
          <w:sz w:val="24"/>
          <w:highlight w:val="none"/>
        </w:rPr>
      </w:pPr>
      <w:r>
        <w:rPr>
          <w:rFonts w:hint="eastAsia" w:ascii="宋体" w:hAnsi="宋体" w:cs="宋体"/>
          <w:b/>
          <w:color w:val="auto"/>
          <w:kern w:val="0"/>
          <w:sz w:val="24"/>
          <w:highlight w:val="none"/>
        </w:rPr>
        <w:t>1.供应商提出质疑时，应提交质疑函和必要的证明材料</w:t>
      </w:r>
      <w:r>
        <w:rPr>
          <w:rFonts w:hint="eastAsia" w:ascii="宋体" w:hAnsi="宋体" w:cs="宋体"/>
          <w:b/>
          <w:bCs/>
          <w:color w:val="auto"/>
          <w:kern w:val="0"/>
          <w:sz w:val="24"/>
          <w:highlight w:val="none"/>
        </w:rPr>
        <w:t>。</w:t>
      </w:r>
    </w:p>
    <w:p w14:paraId="66E7CA72">
      <w:pPr>
        <w:spacing w:line="360" w:lineRule="auto"/>
        <w:ind w:left="25" w:leftChars="12" w:firstLine="354" w:firstLineChars="147"/>
        <w:contextualSpacing/>
        <w:rPr>
          <w:rFonts w:ascii="宋体" w:hAnsi="宋体" w:cs="宋体"/>
          <w:b/>
          <w:color w:val="auto"/>
          <w:kern w:val="0"/>
          <w:sz w:val="24"/>
          <w:highlight w:val="none"/>
        </w:rPr>
      </w:pPr>
      <w:r>
        <w:rPr>
          <w:rFonts w:hint="eastAsia" w:ascii="宋体" w:hAnsi="宋体" w:cs="宋体"/>
          <w:b/>
          <w:color w:val="auto"/>
          <w:kern w:val="0"/>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A3C65D6">
      <w:pPr>
        <w:spacing w:line="360" w:lineRule="auto"/>
        <w:ind w:left="25" w:leftChars="12" w:firstLine="354" w:firstLineChars="147"/>
        <w:contextualSpacing/>
        <w:rPr>
          <w:rFonts w:ascii="宋体" w:hAnsi="宋体" w:cs="宋体"/>
          <w:b/>
          <w:color w:val="auto"/>
          <w:kern w:val="0"/>
          <w:sz w:val="24"/>
          <w:highlight w:val="none"/>
        </w:rPr>
      </w:pPr>
      <w:r>
        <w:rPr>
          <w:rFonts w:hint="eastAsia" w:ascii="宋体" w:hAnsi="宋体" w:cs="宋体"/>
          <w:b/>
          <w:color w:val="auto"/>
          <w:kern w:val="0"/>
          <w:sz w:val="24"/>
          <w:highlight w:val="none"/>
        </w:rPr>
        <w:t>3.质疑函的质疑事项应具体、明确，并有必要的事实依据和法律依据。</w:t>
      </w:r>
    </w:p>
    <w:p w14:paraId="59D99C48">
      <w:pPr>
        <w:spacing w:line="360" w:lineRule="auto"/>
        <w:ind w:left="25" w:leftChars="12" w:firstLine="354" w:firstLineChars="147"/>
        <w:contextualSpacing/>
        <w:rPr>
          <w:rFonts w:ascii="宋体" w:hAnsi="宋体" w:cs="宋体"/>
          <w:b/>
          <w:color w:val="auto"/>
          <w:kern w:val="0"/>
          <w:sz w:val="24"/>
          <w:highlight w:val="none"/>
        </w:rPr>
      </w:pPr>
      <w:r>
        <w:rPr>
          <w:rFonts w:hint="eastAsia" w:ascii="宋体" w:hAnsi="宋体" w:cs="宋体"/>
          <w:b/>
          <w:color w:val="auto"/>
          <w:kern w:val="0"/>
          <w:sz w:val="24"/>
          <w:highlight w:val="none"/>
        </w:rPr>
        <w:t>4.质疑函的质疑请求应与质疑事项相关。</w:t>
      </w:r>
    </w:p>
    <w:p w14:paraId="62AF6D8E">
      <w:pPr>
        <w:spacing w:line="360" w:lineRule="auto"/>
        <w:ind w:left="25" w:leftChars="12" w:firstLine="354" w:firstLineChars="147"/>
        <w:contextualSpacing/>
        <w:rPr>
          <w:rFonts w:ascii="宋体" w:hAnsi="宋体" w:cs="宋体"/>
          <w:b/>
          <w:color w:val="auto"/>
          <w:kern w:val="0"/>
          <w:sz w:val="20"/>
          <w:szCs w:val="21"/>
          <w:highlight w:val="none"/>
        </w:rPr>
      </w:pPr>
      <w:r>
        <w:rPr>
          <w:rFonts w:hint="eastAsia" w:ascii="宋体" w:hAnsi="宋体" w:cs="宋体"/>
          <w:b/>
          <w:color w:val="auto"/>
          <w:kern w:val="0"/>
          <w:sz w:val="24"/>
          <w:highlight w:val="none"/>
        </w:rPr>
        <w:t>5.质疑供应商为法人或者其他组织的，质疑函应由法定代表人、主要负责人，或者其授权代表签字或者盖章，并加盖公章。</w:t>
      </w:r>
    </w:p>
    <w:p w14:paraId="20429D77">
      <w:pPr>
        <w:snapToGrid w:val="0"/>
        <w:rPr>
          <w:rFonts w:hAnsi="Courier New"/>
          <w:b/>
          <w:color w:val="auto"/>
          <w:kern w:val="0"/>
          <w:sz w:val="24"/>
          <w:highlight w:val="none"/>
        </w:rPr>
      </w:pPr>
    </w:p>
    <w:p w14:paraId="53088552">
      <w:pPr>
        <w:spacing w:line="460" w:lineRule="exact"/>
        <w:jc w:val="center"/>
        <w:rPr>
          <w:rFonts w:ascii="Calibri" w:hAnsi="Calibri" w:eastAsia="隶书"/>
          <w:color w:val="auto"/>
          <w:sz w:val="44"/>
          <w:highlight w:val="none"/>
        </w:rPr>
      </w:pPr>
      <w:r>
        <w:rPr>
          <w:rFonts w:ascii="Calibri" w:hAnsi="Calibri" w:eastAsia="隶书"/>
          <w:color w:val="auto"/>
          <w:sz w:val="44"/>
          <w:highlight w:val="none"/>
        </w:rPr>
        <w:br w:type="page"/>
      </w:r>
    </w:p>
    <w:p w14:paraId="60D5F8BC">
      <w:pPr>
        <w:spacing w:line="360" w:lineRule="auto"/>
        <w:jc w:val="center"/>
        <w:rPr>
          <w:b/>
          <w:bCs/>
          <w:color w:val="auto"/>
          <w:sz w:val="32"/>
          <w:szCs w:val="32"/>
          <w:highlight w:val="none"/>
        </w:rPr>
      </w:pPr>
      <w:r>
        <w:rPr>
          <w:rFonts w:hint="eastAsia"/>
          <w:b/>
          <w:bCs/>
          <w:color w:val="auto"/>
          <w:sz w:val="32"/>
          <w:szCs w:val="32"/>
          <w:highlight w:val="none"/>
        </w:rPr>
        <w:t>投诉书（格式）</w:t>
      </w:r>
    </w:p>
    <w:p w14:paraId="7EAF6EB2">
      <w:pPr>
        <w:snapToGrid w:val="0"/>
        <w:spacing w:line="360" w:lineRule="auto"/>
        <w:ind w:firstLine="482" w:firstLineChars="200"/>
        <w:rPr>
          <w:rFonts w:ascii="宋体" w:hAnsi="宋体" w:cs="宋体"/>
          <w:b/>
          <w:bCs/>
          <w:color w:val="auto"/>
          <w:kern w:val="0"/>
          <w:sz w:val="24"/>
          <w:highlight w:val="none"/>
        </w:rPr>
      </w:pPr>
      <w:r>
        <w:rPr>
          <w:rFonts w:hint="eastAsia" w:ascii="宋体" w:hAnsi="宋体" w:cs="宋体"/>
          <w:b/>
          <w:bCs/>
          <w:color w:val="auto"/>
          <w:kern w:val="0"/>
          <w:sz w:val="24"/>
          <w:highlight w:val="none"/>
        </w:rPr>
        <w:t>一、投诉相关主体基本情况：</w:t>
      </w:r>
    </w:p>
    <w:p w14:paraId="05D999A2">
      <w:pPr>
        <w:snapToGrid w:val="0"/>
        <w:spacing w:line="360" w:lineRule="auto"/>
        <w:ind w:firstLine="480" w:firstLineChars="200"/>
        <w:rPr>
          <w:rFonts w:ascii="宋体" w:hAnsi="宋体" w:cs="宋体"/>
          <w:bCs/>
          <w:color w:val="auto"/>
          <w:kern w:val="0"/>
          <w:sz w:val="24"/>
          <w:highlight w:val="none"/>
          <w:u w:val="single"/>
        </w:rPr>
      </w:pPr>
      <w:r>
        <w:rPr>
          <w:rFonts w:hint="eastAsia" w:ascii="宋体" w:hAnsi="宋体" w:cs="宋体"/>
          <w:bCs/>
          <w:color w:val="auto"/>
          <w:kern w:val="0"/>
          <w:sz w:val="24"/>
          <w:highlight w:val="none"/>
        </w:rPr>
        <w:t>供应商：</w:t>
      </w:r>
      <w:r>
        <w:rPr>
          <w:rFonts w:hint="eastAsia" w:ascii="宋体" w:hAnsi="宋体" w:cs="宋体"/>
          <w:bCs/>
          <w:color w:val="auto"/>
          <w:kern w:val="0"/>
          <w:sz w:val="24"/>
          <w:highlight w:val="none"/>
          <w:u w:val="single"/>
        </w:rPr>
        <w:t xml:space="preserve">                                                                    </w:t>
      </w:r>
    </w:p>
    <w:p w14:paraId="60333B91">
      <w:pPr>
        <w:snapToGrid w:val="0"/>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地址：</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邮编：</w:t>
      </w:r>
      <w:r>
        <w:rPr>
          <w:rFonts w:hint="eastAsia" w:ascii="宋体" w:hAnsi="宋体" w:cs="宋体"/>
          <w:bCs/>
          <w:color w:val="auto"/>
          <w:kern w:val="0"/>
          <w:sz w:val="24"/>
          <w:highlight w:val="none"/>
          <w:u w:val="single"/>
        </w:rPr>
        <w:t xml:space="preserve">                       </w:t>
      </w:r>
    </w:p>
    <w:p w14:paraId="08E9A816">
      <w:pPr>
        <w:snapToGrid w:val="0"/>
        <w:spacing w:line="360" w:lineRule="auto"/>
        <w:ind w:firstLine="480" w:firstLineChars="200"/>
        <w:rPr>
          <w:rFonts w:ascii="宋体" w:hAnsi="宋体" w:cs="宋体"/>
          <w:bCs/>
          <w:color w:val="auto"/>
          <w:kern w:val="0"/>
          <w:sz w:val="24"/>
          <w:highlight w:val="none"/>
          <w:u w:val="single"/>
        </w:rPr>
      </w:pPr>
      <w:r>
        <w:rPr>
          <w:rFonts w:hint="eastAsia" w:ascii="宋体" w:hAnsi="宋体" w:cs="宋体"/>
          <w:bCs/>
          <w:color w:val="auto"/>
          <w:kern w:val="0"/>
          <w:sz w:val="24"/>
          <w:highlight w:val="none"/>
        </w:rPr>
        <w:t>法定代表人/主要负责人：</w:t>
      </w:r>
      <w:r>
        <w:rPr>
          <w:rFonts w:hint="eastAsia" w:ascii="宋体" w:hAnsi="宋体" w:cs="宋体"/>
          <w:bCs/>
          <w:color w:val="auto"/>
          <w:kern w:val="0"/>
          <w:sz w:val="24"/>
          <w:highlight w:val="none"/>
          <w:u w:val="single"/>
        </w:rPr>
        <w:t xml:space="preserve">                                                     </w:t>
      </w:r>
    </w:p>
    <w:p w14:paraId="12D67020">
      <w:pPr>
        <w:snapToGrid w:val="0"/>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联系电话：</w:t>
      </w:r>
      <w:r>
        <w:rPr>
          <w:rFonts w:hint="eastAsia" w:ascii="宋体" w:hAnsi="宋体" w:cs="宋体"/>
          <w:bCs/>
          <w:color w:val="auto"/>
          <w:kern w:val="0"/>
          <w:sz w:val="24"/>
          <w:highlight w:val="none"/>
          <w:u w:val="single"/>
        </w:rPr>
        <w:t xml:space="preserve">                                         </w:t>
      </w:r>
    </w:p>
    <w:p w14:paraId="375A7627">
      <w:pPr>
        <w:snapToGrid w:val="0"/>
        <w:spacing w:line="360" w:lineRule="auto"/>
        <w:ind w:firstLine="480" w:firstLineChars="200"/>
        <w:rPr>
          <w:rFonts w:ascii="宋体" w:hAnsi="宋体" w:cs="宋体"/>
          <w:bCs/>
          <w:color w:val="auto"/>
          <w:kern w:val="0"/>
          <w:sz w:val="24"/>
          <w:highlight w:val="none"/>
          <w:u w:val="single"/>
        </w:rPr>
      </w:pPr>
      <w:r>
        <w:rPr>
          <w:rFonts w:hint="eastAsia" w:ascii="宋体" w:hAnsi="宋体" w:cs="宋体"/>
          <w:bCs/>
          <w:color w:val="auto"/>
          <w:kern w:val="0"/>
          <w:sz w:val="24"/>
          <w:highlight w:val="none"/>
        </w:rPr>
        <w:t>授权代表：</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联系电话：</w:t>
      </w:r>
      <w:r>
        <w:rPr>
          <w:rFonts w:hint="eastAsia" w:ascii="宋体" w:hAnsi="宋体" w:cs="宋体"/>
          <w:bCs/>
          <w:color w:val="auto"/>
          <w:kern w:val="0"/>
          <w:sz w:val="24"/>
          <w:highlight w:val="none"/>
          <w:u w:val="single"/>
        </w:rPr>
        <w:t xml:space="preserve">                   </w:t>
      </w:r>
    </w:p>
    <w:p w14:paraId="065642FC">
      <w:pPr>
        <w:snapToGrid w:val="0"/>
        <w:spacing w:line="360" w:lineRule="auto"/>
        <w:ind w:firstLine="480" w:firstLineChars="200"/>
        <w:rPr>
          <w:rFonts w:ascii="宋体" w:hAnsi="宋体" w:cs="宋体"/>
          <w:bCs/>
          <w:color w:val="auto"/>
          <w:kern w:val="0"/>
          <w:sz w:val="24"/>
          <w:highlight w:val="none"/>
          <w:u w:val="single"/>
        </w:rPr>
      </w:pPr>
      <w:r>
        <w:rPr>
          <w:rFonts w:hint="eastAsia" w:ascii="宋体" w:hAnsi="宋体" w:cs="宋体"/>
          <w:bCs/>
          <w:color w:val="auto"/>
          <w:kern w:val="0"/>
          <w:sz w:val="24"/>
          <w:highlight w:val="none"/>
        </w:rPr>
        <w:t>地址：</w:t>
      </w:r>
      <w:r>
        <w:rPr>
          <w:rFonts w:hint="eastAsia" w:ascii="宋体" w:hAnsi="宋体" w:cs="宋体"/>
          <w:bCs/>
          <w:color w:val="auto"/>
          <w:kern w:val="0"/>
          <w:sz w:val="24"/>
          <w:highlight w:val="none"/>
          <w:u w:val="single"/>
        </w:rPr>
        <w:t xml:space="preserve">                                                            </w:t>
      </w:r>
    </w:p>
    <w:p w14:paraId="1B62DE6C">
      <w:pPr>
        <w:snapToGrid w:val="0"/>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邮编：</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 xml:space="preserve">   </w:t>
      </w:r>
    </w:p>
    <w:p w14:paraId="7C76F601">
      <w:pPr>
        <w:snapToGrid w:val="0"/>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被投诉人1：</w:t>
      </w:r>
    </w:p>
    <w:p w14:paraId="11F5A6D3">
      <w:pPr>
        <w:snapToGrid w:val="0"/>
        <w:spacing w:line="360" w:lineRule="auto"/>
        <w:ind w:firstLine="480" w:firstLineChars="200"/>
        <w:rPr>
          <w:rFonts w:ascii="宋体" w:hAnsi="宋体" w:cs="宋体"/>
          <w:bCs/>
          <w:color w:val="auto"/>
          <w:kern w:val="0"/>
          <w:sz w:val="24"/>
          <w:highlight w:val="none"/>
          <w:u w:val="single"/>
        </w:rPr>
      </w:pPr>
      <w:r>
        <w:rPr>
          <w:rFonts w:hint="eastAsia" w:ascii="宋体" w:hAnsi="宋体" w:cs="宋体"/>
          <w:bCs/>
          <w:color w:val="auto"/>
          <w:kern w:val="0"/>
          <w:sz w:val="24"/>
          <w:highlight w:val="none"/>
        </w:rPr>
        <w:t>地址：</w:t>
      </w:r>
      <w:r>
        <w:rPr>
          <w:rFonts w:hint="eastAsia" w:ascii="宋体" w:hAnsi="宋体" w:cs="宋体"/>
          <w:bCs/>
          <w:color w:val="auto"/>
          <w:kern w:val="0"/>
          <w:sz w:val="24"/>
          <w:highlight w:val="none"/>
          <w:u w:val="single"/>
        </w:rPr>
        <w:t xml:space="preserve">                                                            </w:t>
      </w:r>
    </w:p>
    <w:p w14:paraId="61A3C669">
      <w:pPr>
        <w:snapToGrid w:val="0"/>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邮编：</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 xml:space="preserve">  </w:t>
      </w:r>
    </w:p>
    <w:p w14:paraId="542EF989">
      <w:pPr>
        <w:snapToGrid w:val="0"/>
        <w:spacing w:line="360" w:lineRule="auto"/>
        <w:ind w:firstLine="480" w:firstLineChars="200"/>
        <w:rPr>
          <w:rFonts w:ascii="宋体" w:hAnsi="宋体" w:cs="宋体"/>
          <w:bCs/>
          <w:color w:val="auto"/>
          <w:kern w:val="0"/>
          <w:sz w:val="24"/>
          <w:highlight w:val="none"/>
          <w:u w:val="single"/>
        </w:rPr>
      </w:pPr>
      <w:r>
        <w:rPr>
          <w:rFonts w:hint="eastAsia" w:ascii="宋体" w:hAnsi="宋体" w:cs="宋体"/>
          <w:bCs/>
          <w:color w:val="auto"/>
          <w:kern w:val="0"/>
          <w:sz w:val="24"/>
          <w:highlight w:val="none"/>
        </w:rPr>
        <w:t>联系人：</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联系电话：</w:t>
      </w:r>
      <w:r>
        <w:rPr>
          <w:rFonts w:hint="eastAsia" w:ascii="宋体" w:hAnsi="宋体" w:cs="宋体"/>
          <w:bCs/>
          <w:color w:val="auto"/>
          <w:kern w:val="0"/>
          <w:sz w:val="24"/>
          <w:highlight w:val="none"/>
          <w:u w:val="single"/>
        </w:rPr>
        <w:t xml:space="preserve">                </w:t>
      </w:r>
    </w:p>
    <w:p w14:paraId="6CDEA201">
      <w:pPr>
        <w:snapToGrid w:val="0"/>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被投诉人2：</w:t>
      </w:r>
    </w:p>
    <w:p w14:paraId="76433C4B">
      <w:pPr>
        <w:snapToGrid w:val="0"/>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w:t>
      </w:r>
    </w:p>
    <w:p w14:paraId="2CC1BB1F">
      <w:pPr>
        <w:snapToGrid w:val="0"/>
        <w:spacing w:line="360" w:lineRule="auto"/>
        <w:ind w:firstLine="480" w:firstLineChars="200"/>
        <w:rPr>
          <w:rFonts w:ascii="宋体" w:hAnsi="宋体" w:cs="宋体"/>
          <w:bCs/>
          <w:color w:val="auto"/>
          <w:kern w:val="0"/>
          <w:sz w:val="24"/>
          <w:highlight w:val="none"/>
          <w:u w:val="single"/>
        </w:rPr>
      </w:pPr>
      <w:r>
        <w:rPr>
          <w:rFonts w:hint="eastAsia" w:ascii="宋体" w:hAnsi="宋体" w:cs="宋体"/>
          <w:bCs/>
          <w:color w:val="auto"/>
          <w:kern w:val="0"/>
          <w:sz w:val="24"/>
          <w:highlight w:val="none"/>
        </w:rPr>
        <w:t>相关供应商：</w:t>
      </w:r>
      <w:r>
        <w:rPr>
          <w:rFonts w:hint="eastAsia" w:ascii="宋体" w:hAnsi="宋体" w:cs="宋体"/>
          <w:bCs/>
          <w:color w:val="auto"/>
          <w:kern w:val="0"/>
          <w:sz w:val="24"/>
          <w:highlight w:val="none"/>
          <w:u w:val="single"/>
        </w:rPr>
        <w:t xml:space="preserve">                                                                </w:t>
      </w:r>
    </w:p>
    <w:p w14:paraId="69B874D3">
      <w:pPr>
        <w:snapToGrid w:val="0"/>
        <w:spacing w:line="360" w:lineRule="auto"/>
        <w:ind w:firstLine="480" w:firstLineChars="200"/>
        <w:rPr>
          <w:rFonts w:ascii="宋体" w:hAnsi="宋体" w:cs="宋体"/>
          <w:bCs/>
          <w:color w:val="auto"/>
          <w:kern w:val="0"/>
          <w:sz w:val="24"/>
          <w:highlight w:val="none"/>
          <w:u w:val="single"/>
        </w:rPr>
      </w:pPr>
      <w:r>
        <w:rPr>
          <w:rFonts w:hint="eastAsia" w:ascii="宋体" w:hAnsi="宋体" w:cs="宋体"/>
          <w:bCs/>
          <w:color w:val="auto"/>
          <w:kern w:val="0"/>
          <w:sz w:val="24"/>
          <w:highlight w:val="none"/>
        </w:rPr>
        <w:t>地址：</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邮编：</w:t>
      </w:r>
      <w:r>
        <w:rPr>
          <w:rFonts w:hint="eastAsia" w:ascii="宋体" w:hAnsi="宋体" w:cs="宋体"/>
          <w:bCs/>
          <w:color w:val="auto"/>
          <w:kern w:val="0"/>
          <w:sz w:val="24"/>
          <w:highlight w:val="none"/>
          <w:u w:val="single"/>
        </w:rPr>
        <w:t xml:space="preserve">                      </w:t>
      </w:r>
    </w:p>
    <w:p w14:paraId="6FE456A0">
      <w:pPr>
        <w:snapToGrid w:val="0"/>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联系人：</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联系电话：</w:t>
      </w:r>
      <w:r>
        <w:rPr>
          <w:rFonts w:hint="eastAsia" w:ascii="宋体" w:hAnsi="宋体" w:cs="宋体"/>
          <w:bCs/>
          <w:color w:val="auto"/>
          <w:kern w:val="0"/>
          <w:sz w:val="24"/>
          <w:highlight w:val="none"/>
          <w:u w:val="single"/>
        </w:rPr>
        <w:t xml:space="preserve">                  </w:t>
      </w:r>
    </w:p>
    <w:p w14:paraId="0C4FDAAF">
      <w:pPr>
        <w:snapToGrid w:val="0"/>
        <w:spacing w:line="360" w:lineRule="auto"/>
        <w:ind w:firstLine="482" w:firstLineChars="200"/>
        <w:rPr>
          <w:rFonts w:ascii="宋体" w:hAnsi="宋体" w:cs="宋体"/>
          <w:b/>
          <w:bCs/>
          <w:color w:val="auto"/>
          <w:kern w:val="0"/>
          <w:sz w:val="24"/>
          <w:highlight w:val="none"/>
        </w:rPr>
      </w:pPr>
      <w:r>
        <w:rPr>
          <w:rFonts w:hint="eastAsia" w:ascii="宋体" w:hAnsi="宋体" w:cs="宋体"/>
          <w:b/>
          <w:bCs/>
          <w:color w:val="auto"/>
          <w:kern w:val="0"/>
          <w:sz w:val="24"/>
          <w:highlight w:val="none"/>
        </w:rPr>
        <w:t>二、投诉项目基本情况：</w:t>
      </w:r>
    </w:p>
    <w:p w14:paraId="4189BE03">
      <w:pPr>
        <w:spacing w:line="360" w:lineRule="auto"/>
        <w:ind w:left="25" w:leftChars="12" w:firstLine="472" w:firstLineChars="197"/>
        <w:rPr>
          <w:rFonts w:ascii="宋体" w:hAnsi="宋体" w:cs="宋体"/>
          <w:color w:val="auto"/>
          <w:kern w:val="0"/>
          <w:sz w:val="24"/>
          <w:highlight w:val="none"/>
        </w:rPr>
      </w:pPr>
      <w:r>
        <w:rPr>
          <w:rFonts w:hint="eastAsia" w:ascii="宋体" w:hAnsi="宋体" w:cs="宋体"/>
          <w:bCs/>
          <w:color w:val="auto"/>
          <w:kern w:val="0"/>
          <w:sz w:val="24"/>
          <w:highlight w:val="none"/>
        </w:rPr>
        <w:t>采购</w:t>
      </w:r>
      <w:r>
        <w:rPr>
          <w:rFonts w:hint="eastAsia" w:ascii="宋体" w:hAnsi="宋体" w:cs="宋体"/>
          <w:color w:val="auto"/>
          <w:kern w:val="0"/>
          <w:sz w:val="24"/>
          <w:highlight w:val="none"/>
        </w:rPr>
        <w:t>项目的名称：</w:t>
      </w:r>
      <w:r>
        <w:rPr>
          <w:rFonts w:hint="eastAsia" w:ascii="宋体" w:hAnsi="宋体" w:cs="宋体"/>
          <w:bCs/>
          <w:color w:val="auto"/>
          <w:kern w:val="0"/>
          <w:sz w:val="24"/>
          <w:highlight w:val="none"/>
          <w:u w:val="single"/>
        </w:rPr>
        <w:t xml:space="preserve">                                                            </w:t>
      </w:r>
    </w:p>
    <w:p w14:paraId="40E37B8E">
      <w:pPr>
        <w:spacing w:line="360" w:lineRule="auto"/>
        <w:ind w:left="25" w:leftChars="12" w:firstLine="472" w:firstLineChars="197"/>
        <w:rPr>
          <w:rFonts w:ascii="宋体" w:hAnsi="宋体" w:cs="宋体"/>
          <w:color w:val="auto"/>
          <w:kern w:val="0"/>
          <w:sz w:val="24"/>
          <w:highlight w:val="none"/>
        </w:rPr>
      </w:pPr>
      <w:r>
        <w:rPr>
          <w:rFonts w:hint="eastAsia" w:ascii="宋体" w:hAnsi="宋体" w:cs="宋体"/>
          <w:bCs/>
          <w:color w:val="auto"/>
          <w:kern w:val="0"/>
          <w:sz w:val="24"/>
          <w:highlight w:val="none"/>
        </w:rPr>
        <w:t>采购</w:t>
      </w:r>
      <w:r>
        <w:rPr>
          <w:rFonts w:hint="eastAsia" w:ascii="宋体" w:hAnsi="宋体" w:cs="宋体"/>
          <w:color w:val="auto"/>
          <w:kern w:val="0"/>
          <w:sz w:val="24"/>
          <w:highlight w:val="none"/>
        </w:rPr>
        <w:t>项目的编号：</w:t>
      </w:r>
      <w:r>
        <w:rPr>
          <w:rFonts w:hint="eastAsia" w:ascii="宋体" w:hAnsi="宋体" w:cs="宋体"/>
          <w:bCs/>
          <w:color w:val="auto"/>
          <w:kern w:val="0"/>
          <w:sz w:val="24"/>
          <w:highlight w:val="none"/>
          <w:u w:val="single"/>
        </w:rPr>
        <w:t xml:space="preserve">                                          </w:t>
      </w:r>
    </w:p>
    <w:p w14:paraId="57B615D0">
      <w:pPr>
        <w:spacing w:line="360" w:lineRule="auto"/>
        <w:ind w:left="25" w:leftChars="12" w:firstLine="472" w:firstLineChars="197"/>
        <w:rPr>
          <w:rFonts w:ascii="宋体" w:hAnsi="宋体" w:cs="宋体"/>
          <w:bCs/>
          <w:color w:val="auto"/>
          <w:kern w:val="0"/>
          <w:sz w:val="24"/>
          <w:highlight w:val="none"/>
          <w:u w:val="single"/>
        </w:rPr>
      </w:pPr>
      <w:r>
        <w:rPr>
          <w:rFonts w:hint="eastAsia" w:ascii="宋体" w:hAnsi="宋体" w:cs="宋体"/>
          <w:color w:val="auto"/>
          <w:kern w:val="0"/>
          <w:sz w:val="24"/>
          <w:highlight w:val="none"/>
        </w:rPr>
        <w:t>采购人名称：</w:t>
      </w:r>
      <w:r>
        <w:rPr>
          <w:rFonts w:hint="eastAsia" w:ascii="宋体" w:hAnsi="宋体" w:cs="宋体"/>
          <w:bCs/>
          <w:color w:val="auto"/>
          <w:kern w:val="0"/>
          <w:sz w:val="24"/>
          <w:highlight w:val="none"/>
          <w:u w:val="single"/>
        </w:rPr>
        <w:t xml:space="preserve">                                                                </w:t>
      </w:r>
    </w:p>
    <w:p w14:paraId="15863A4F">
      <w:pPr>
        <w:spacing w:line="360" w:lineRule="auto"/>
        <w:ind w:left="25" w:leftChars="12" w:firstLine="472" w:firstLineChars="197"/>
        <w:rPr>
          <w:rFonts w:ascii="宋体" w:hAnsi="宋体" w:cs="宋体"/>
          <w:bCs/>
          <w:color w:val="auto"/>
          <w:kern w:val="0"/>
          <w:sz w:val="24"/>
          <w:highlight w:val="none"/>
          <w:u w:val="single"/>
        </w:rPr>
      </w:pPr>
      <w:r>
        <w:rPr>
          <w:rFonts w:hint="eastAsia" w:ascii="宋体" w:hAnsi="宋体" w:cs="宋体"/>
          <w:color w:val="auto"/>
          <w:kern w:val="0"/>
          <w:sz w:val="24"/>
          <w:highlight w:val="none"/>
        </w:rPr>
        <w:t>代理机构名称：</w:t>
      </w:r>
      <w:r>
        <w:rPr>
          <w:rFonts w:hint="eastAsia" w:ascii="宋体" w:hAnsi="宋体" w:cs="宋体"/>
          <w:bCs/>
          <w:color w:val="auto"/>
          <w:kern w:val="0"/>
          <w:sz w:val="24"/>
          <w:highlight w:val="none"/>
          <w:u w:val="single"/>
        </w:rPr>
        <w:t xml:space="preserve">                                                              </w:t>
      </w:r>
    </w:p>
    <w:p w14:paraId="53EE2146">
      <w:pPr>
        <w:spacing w:line="360" w:lineRule="auto"/>
        <w:ind w:left="25" w:leftChars="12" w:firstLine="472" w:firstLineChars="197"/>
        <w:rPr>
          <w:rFonts w:ascii="宋体" w:hAnsi="宋体" w:cs="宋体"/>
          <w:bCs/>
          <w:color w:val="auto"/>
          <w:kern w:val="0"/>
          <w:sz w:val="24"/>
          <w:highlight w:val="none"/>
          <w:u w:val="single"/>
        </w:rPr>
      </w:pPr>
      <w:r>
        <w:rPr>
          <w:rFonts w:hint="eastAsia" w:ascii="宋体" w:hAnsi="宋体" w:cs="宋体"/>
          <w:bCs/>
          <w:color w:val="auto"/>
          <w:kern w:val="0"/>
          <w:sz w:val="24"/>
          <w:highlight w:val="none"/>
        </w:rPr>
        <w:t>采购文件公告：</w:t>
      </w:r>
      <w:r>
        <w:rPr>
          <w:rFonts w:hint="eastAsia" w:ascii="宋体" w:hAnsi="宋体" w:cs="宋体"/>
          <w:bCs/>
          <w:color w:val="auto"/>
          <w:kern w:val="0"/>
          <w:sz w:val="24"/>
          <w:highlight w:val="none"/>
          <w:u w:val="single"/>
        </w:rPr>
        <w:t>是/否</w:t>
      </w:r>
      <w:r>
        <w:rPr>
          <w:rFonts w:hint="eastAsia" w:ascii="宋体" w:hAnsi="宋体" w:cs="宋体"/>
          <w:bCs/>
          <w:color w:val="auto"/>
          <w:kern w:val="0"/>
          <w:sz w:val="24"/>
          <w:highlight w:val="none"/>
        </w:rPr>
        <w:t>公告期限：</w:t>
      </w:r>
      <w:r>
        <w:rPr>
          <w:rFonts w:hint="eastAsia" w:ascii="宋体" w:hAnsi="宋体" w:cs="宋体"/>
          <w:bCs/>
          <w:color w:val="auto"/>
          <w:kern w:val="0"/>
          <w:sz w:val="24"/>
          <w:highlight w:val="none"/>
          <w:u w:val="single"/>
        </w:rPr>
        <w:t xml:space="preserve">                                               </w:t>
      </w:r>
    </w:p>
    <w:p w14:paraId="4CC4DC64">
      <w:pPr>
        <w:spacing w:line="360" w:lineRule="auto"/>
        <w:ind w:left="25" w:leftChars="12" w:firstLine="472" w:firstLineChars="197"/>
        <w:rPr>
          <w:rFonts w:ascii="宋体" w:hAnsi="宋体" w:cs="宋体"/>
          <w:b/>
          <w:color w:val="auto"/>
          <w:kern w:val="0"/>
          <w:sz w:val="24"/>
          <w:highlight w:val="none"/>
        </w:rPr>
      </w:pPr>
      <w:r>
        <w:rPr>
          <w:rFonts w:hint="eastAsia" w:ascii="宋体" w:hAnsi="宋体" w:cs="宋体"/>
          <w:bCs/>
          <w:color w:val="auto"/>
          <w:kern w:val="0"/>
          <w:sz w:val="24"/>
          <w:highlight w:val="none"/>
        </w:rPr>
        <w:t>采购结果公告：</w:t>
      </w:r>
      <w:r>
        <w:rPr>
          <w:rFonts w:hint="eastAsia" w:ascii="宋体" w:hAnsi="宋体" w:cs="宋体"/>
          <w:bCs/>
          <w:color w:val="auto"/>
          <w:kern w:val="0"/>
          <w:sz w:val="24"/>
          <w:highlight w:val="none"/>
          <w:u w:val="single"/>
        </w:rPr>
        <w:t>是/否</w:t>
      </w:r>
      <w:r>
        <w:rPr>
          <w:rFonts w:hint="eastAsia" w:ascii="宋体" w:hAnsi="宋体" w:cs="宋体"/>
          <w:bCs/>
          <w:color w:val="auto"/>
          <w:kern w:val="0"/>
          <w:sz w:val="24"/>
          <w:highlight w:val="none"/>
        </w:rPr>
        <w:t>公告期限：</w:t>
      </w:r>
      <w:r>
        <w:rPr>
          <w:rFonts w:hint="eastAsia" w:ascii="宋体" w:hAnsi="宋体" w:cs="宋体"/>
          <w:bCs/>
          <w:color w:val="auto"/>
          <w:kern w:val="0"/>
          <w:sz w:val="24"/>
          <w:highlight w:val="none"/>
          <w:u w:val="single"/>
        </w:rPr>
        <w:t xml:space="preserve">                                               </w:t>
      </w:r>
    </w:p>
    <w:p w14:paraId="739D7CF8">
      <w:pPr>
        <w:spacing w:line="360" w:lineRule="auto"/>
        <w:ind w:left="25" w:leftChars="12" w:firstLine="472" w:firstLineChars="196"/>
        <w:rPr>
          <w:rFonts w:ascii="宋体" w:hAnsi="宋体" w:cs="宋体"/>
          <w:b/>
          <w:color w:val="auto"/>
          <w:kern w:val="0"/>
          <w:sz w:val="24"/>
          <w:highlight w:val="none"/>
        </w:rPr>
      </w:pPr>
      <w:r>
        <w:rPr>
          <w:rFonts w:hint="eastAsia" w:ascii="宋体" w:hAnsi="宋体" w:cs="宋体"/>
          <w:b/>
          <w:color w:val="auto"/>
          <w:kern w:val="0"/>
          <w:sz w:val="24"/>
          <w:highlight w:val="none"/>
        </w:rPr>
        <w:t>三、质疑基本情况</w:t>
      </w:r>
    </w:p>
    <w:p w14:paraId="4DFA1621">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投诉人于</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年</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月</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日，向</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提出质疑，质疑事项为：</w:t>
      </w:r>
    </w:p>
    <w:p w14:paraId="660541FE">
      <w:pPr>
        <w:spacing w:line="360" w:lineRule="auto"/>
        <w:ind w:firstLine="241"/>
        <w:rPr>
          <w:rFonts w:ascii="宋体" w:hAnsi="宋体" w:cs="宋体"/>
          <w:bCs/>
          <w:color w:val="auto"/>
          <w:kern w:val="0"/>
          <w:sz w:val="24"/>
          <w:highlight w:val="none"/>
          <w:u w:val="single"/>
        </w:rPr>
      </w:pPr>
      <w:r>
        <w:rPr>
          <w:rFonts w:hint="eastAsia" w:ascii="宋体" w:hAnsi="宋体" w:cs="宋体"/>
          <w:color w:val="auto"/>
          <w:kern w:val="0"/>
          <w:sz w:val="24"/>
          <w:highlight w:val="none"/>
        </w:rPr>
        <w:t xml:space="preserve">    </w:t>
      </w:r>
      <w:r>
        <w:rPr>
          <w:rFonts w:hint="eastAsia" w:ascii="宋体" w:hAnsi="宋体" w:cs="宋体"/>
          <w:bCs/>
          <w:color w:val="auto"/>
          <w:kern w:val="0"/>
          <w:sz w:val="24"/>
          <w:highlight w:val="none"/>
          <w:u w:val="single"/>
        </w:rPr>
        <w:t xml:space="preserve">                                                                          </w:t>
      </w:r>
    </w:p>
    <w:p w14:paraId="75D90F40">
      <w:pPr>
        <w:spacing w:line="360" w:lineRule="auto"/>
        <w:ind w:firstLine="241"/>
        <w:rPr>
          <w:rFonts w:ascii="宋体" w:hAnsi="宋体" w:cs="宋体"/>
          <w:bCs/>
          <w:color w:val="auto"/>
          <w:kern w:val="0"/>
          <w:sz w:val="24"/>
          <w:highlight w:val="none"/>
          <w:u w:val="single"/>
        </w:rPr>
      </w:pPr>
      <w:r>
        <w:rPr>
          <w:rFonts w:hint="eastAsia" w:ascii="宋体" w:hAnsi="宋体" w:cs="宋体"/>
          <w:bCs/>
          <w:color w:val="auto"/>
          <w:kern w:val="0"/>
          <w:sz w:val="24"/>
          <w:highlight w:val="none"/>
        </w:rPr>
        <w:t xml:space="preserve">    </w:t>
      </w:r>
      <w:r>
        <w:rPr>
          <w:rFonts w:hint="eastAsia" w:ascii="宋体" w:hAnsi="宋体" w:cs="宋体"/>
          <w:bCs/>
          <w:color w:val="auto"/>
          <w:kern w:val="0"/>
          <w:sz w:val="24"/>
          <w:highlight w:val="none"/>
          <w:u w:val="single"/>
        </w:rPr>
        <w:t xml:space="preserve">                                                                          </w:t>
      </w:r>
    </w:p>
    <w:p w14:paraId="1496B606">
      <w:pPr>
        <w:spacing w:line="360" w:lineRule="auto"/>
        <w:ind w:firstLine="480" w:firstLineChars="200"/>
        <w:rPr>
          <w:rFonts w:ascii="宋体" w:hAnsi="宋体" w:cs="宋体"/>
          <w:color w:val="auto"/>
          <w:kern w:val="0"/>
          <w:sz w:val="24"/>
          <w:highlight w:val="none"/>
        </w:rPr>
      </w:pPr>
      <w:r>
        <w:rPr>
          <w:rFonts w:hint="eastAsia" w:ascii="宋体" w:hAnsi="宋体" w:cs="宋体"/>
          <w:bCs/>
          <w:color w:val="auto"/>
          <w:kern w:val="0"/>
          <w:sz w:val="24"/>
          <w:highlight w:val="none"/>
          <w:u w:val="single"/>
        </w:rPr>
        <w:t>采购人/采购代理机构</w:t>
      </w:r>
      <w:r>
        <w:rPr>
          <w:rFonts w:hint="eastAsia" w:ascii="宋体" w:hAnsi="宋体" w:cs="宋体"/>
          <w:bCs/>
          <w:color w:val="auto"/>
          <w:kern w:val="0"/>
          <w:sz w:val="24"/>
          <w:highlight w:val="none"/>
        </w:rPr>
        <w:t>于</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年</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月</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日，</w:t>
      </w:r>
      <w:r>
        <w:rPr>
          <w:rFonts w:hint="eastAsia" w:ascii="宋体" w:hAnsi="宋体" w:cs="宋体"/>
          <w:bCs/>
          <w:color w:val="auto"/>
          <w:kern w:val="0"/>
          <w:sz w:val="24"/>
          <w:highlight w:val="none"/>
        </w:rPr>
        <w:t>就质疑事项作出了答复/没有在法定期限内作出答复。</w:t>
      </w:r>
    </w:p>
    <w:p w14:paraId="5B483556">
      <w:pPr>
        <w:spacing w:line="360" w:lineRule="auto"/>
        <w:ind w:left="25" w:leftChars="12" w:firstLine="472" w:firstLineChars="196"/>
        <w:rPr>
          <w:rFonts w:ascii="宋体" w:hAnsi="宋体" w:cs="宋体"/>
          <w:b/>
          <w:color w:val="auto"/>
          <w:kern w:val="0"/>
          <w:sz w:val="24"/>
          <w:highlight w:val="none"/>
        </w:rPr>
      </w:pPr>
      <w:r>
        <w:rPr>
          <w:rFonts w:hint="eastAsia" w:ascii="宋体" w:hAnsi="宋体" w:cs="宋体"/>
          <w:b/>
          <w:color w:val="auto"/>
          <w:kern w:val="0"/>
          <w:sz w:val="24"/>
          <w:highlight w:val="none"/>
        </w:rPr>
        <w:t>四、投诉事项具体内容</w:t>
      </w:r>
    </w:p>
    <w:p w14:paraId="31894736">
      <w:pPr>
        <w:spacing w:line="360" w:lineRule="auto"/>
        <w:ind w:left="25" w:leftChars="12" w:firstLine="472" w:firstLineChars="197"/>
        <w:rPr>
          <w:rFonts w:ascii="宋体" w:hAnsi="宋体" w:cs="宋体"/>
          <w:bCs/>
          <w:color w:val="auto"/>
          <w:kern w:val="0"/>
          <w:sz w:val="24"/>
          <w:highlight w:val="none"/>
          <w:u w:val="single"/>
        </w:rPr>
      </w:pPr>
      <w:r>
        <w:rPr>
          <w:rFonts w:hint="eastAsia" w:ascii="宋体" w:hAnsi="宋体" w:cs="宋体"/>
          <w:color w:val="auto"/>
          <w:kern w:val="0"/>
          <w:sz w:val="24"/>
          <w:highlight w:val="none"/>
        </w:rPr>
        <w:t>投诉事项1：</w:t>
      </w:r>
      <w:r>
        <w:rPr>
          <w:rFonts w:hint="eastAsia" w:ascii="宋体" w:hAnsi="宋体" w:cs="宋体"/>
          <w:bCs/>
          <w:color w:val="auto"/>
          <w:kern w:val="0"/>
          <w:sz w:val="24"/>
          <w:highlight w:val="none"/>
          <w:u w:val="single"/>
        </w:rPr>
        <w:t xml:space="preserve">                                                                </w:t>
      </w:r>
    </w:p>
    <w:p w14:paraId="5509A314">
      <w:pPr>
        <w:spacing w:line="360" w:lineRule="auto"/>
        <w:ind w:firstLine="480" w:firstLineChars="200"/>
        <w:rPr>
          <w:rFonts w:ascii="宋体" w:hAnsi="宋体" w:cs="宋体"/>
          <w:bCs/>
          <w:color w:val="auto"/>
          <w:kern w:val="0"/>
          <w:sz w:val="24"/>
          <w:highlight w:val="none"/>
          <w:u w:val="single"/>
        </w:rPr>
      </w:pPr>
      <w:r>
        <w:rPr>
          <w:rFonts w:hint="eastAsia" w:ascii="宋体" w:hAnsi="宋体" w:cs="宋体"/>
          <w:bCs/>
          <w:color w:val="auto"/>
          <w:kern w:val="0"/>
          <w:sz w:val="24"/>
          <w:highlight w:val="none"/>
        </w:rPr>
        <w:t>事实依据：</w:t>
      </w:r>
      <w:r>
        <w:rPr>
          <w:rFonts w:hint="eastAsia" w:ascii="宋体" w:hAnsi="宋体" w:cs="宋体"/>
          <w:color w:val="auto"/>
          <w:kern w:val="0"/>
          <w:sz w:val="24"/>
          <w:highlight w:val="none"/>
        </w:rPr>
        <w:t xml:space="preserve"> </w:t>
      </w:r>
      <w:r>
        <w:rPr>
          <w:rFonts w:hint="eastAsia" w:ascii="宋体" w:hAnsi="宋体" w:cs="宋体"/>
          <w:bCs/>
          <w:color w:val="auto"/>
          <w:kern w:val="0"/>
          <w:sz w:val="24"/>
          <w:highlight w:val="none"/>
          <w:u w:val="single"/>
        </w:rPr>
        <w:t xml:space="preserve">                                                                 </w:t>
      </w:r>
    </w:p>
    <w:p w14:paraId="3968FBBF">
      <w:pPr>
        <w:spacing w:line="360" w:lineRule="auto"/>
        <w:ind w:left="25" w:leftChars="12" w:firstLine="472" w:firstLineChars="197"/>
        <w:rPr>
          <w:rFonts w:ascii="宋体" w:hAnsi="宋体" w:cs="宋体"/>
          <w:color w:val="auto"/>
          <w:kern w:val="0"/>
          <w:sz w:val="24"/>
          <w:highlight w:val="none"/>
        </w:rPr>
      </w:pPr>
      <w:r>
        <w:rPr>
          <w:rFonts w:hint="eastAsia" w:ascii="宋体" w:hAnsi="宋体" w:cs="宋体"/>
          <w:bCs/>
          <w:color w:val="auto"/>
          <w:kern w:val="0"/>
          <w:sz w:val="24"/>
          <w:highlight w:val="none"/>
          <w:u w:val="single"/>
        </w:rPr>
        <w:t xml:space="preserve">                                                                            </w:t>
      </w:r>
    </w:p>
    <w:p w14:paraId="6A4704C4">
      <w:pPr>
        <w:spacing w:line="360" w:lineRule="auto"/>
        <w:ind w:firstLine="480" w:firstLineChars="200"/>
        <w:rPr>
          <w:rFonts w:ascii="宋体" w:hAnsi="宋体" w:cs="宋体"/>
          <w:bCs/>
          <w:color w:val="auto"/>
          <w:kern w:val="0"/>
          <w:sz w:val="24"/>
          <w:highlight w:val="none"/>
          <w:u w:val="single"/>
        </w:rPr>
      </w:pPr>
      <w:r>
        <w:rPr>
          <w:rFonts w:hint="eastAsia" w:ascii="宋体" w:hAnsi="宋体" w:cs="宋体"/>
          <w:bCs/>
          <w:color w:val="auto"/>
          <w:kern w:val="0"/>
          <w:sz w:val="24"/>
          <w:highlight w:val="none"/>
        </w:rPr>
        <w:t>法律依据：</w:t>
      </w:r>
      <w:r>
        <w:rPr>
          <w:rFonts w:hint="eastAsia" w:ascii="宋体" w:hAnsi="宋体" w:cs="宋体"/>
          <w:color w:val="auto"/>
          <w:kern w:val="0"/>
          <w:sz w:val="24"/>
          <w:highlight w:val="none"/>
        </w:rPr>
        <w:t xml:space="preserve"> </w:t>
      </w:r>
      <w:r>
        <w:rPr>
          <w:rFonts w:hint="eastAsia" w:ascii="宋体" w:hAnsi="宋体" w:cs="宋体"/>
          <w:bCs/>
          <w:color w:val="auto"/>
          <w:kern w:val="0"/>
          <w:sz w:val="24"/>
          <w:highlight w:val="none"/>
          <w:u w:val="single"/>
        </w:rPr>
        <w:t xml:space="preserve">                                                                 </w:t>
      </w:r>
    </w:p>
    <w:p w14:paraId="7ACF7B04">
      <w:pPr>
        <w:spacing w:line="360" w:lineRule="auto"/>
        <w:ind w:left="25" w:leftChars="12" w:firstLine="352" w:firstLineChars="147"/>
        <w:rPr>
          <w:rFonts w:ascii="宋体" w:hAnsi="宋体" w:cs="宋体"/>
          <w:bCs/>
          <w:color w:val="auto"/>
          <w:kern w:val="0"/>
          <w:sz w:val="24"/>
          <w:highlight w:val="none"/>
          <w:u w:val="single"/>
        </w:rPr>
      </w:pPr>
      <w:r>
        <w:rPr>
          <w:rFonts w:hint="eastAsia" w:ascii="宋体" w:hAnsi="宋体" w:cs="宋体"/>
          <w:bCs/>
          <w:color w:val="auto"/>
          <w:kern w:val="0"/>
          <w:sz w:val="24"/>
          <w:highlight w:val="none"/>
        </w:rPr>
        <w:t xml:space="preserve"> </w:t>
      </w:r>
      <w:r>
        <w:rPr>
          <w:rFonts w:hint="eastAsia" w:ascii="宋体" w:hAnsi="宋体" w:cs="宋体"/>
          <w:bCs/>
          <w:color w:val="auto"/>
          <w:kern w:val="0"/>
          <w:sz w:val="24"/>
          <w:highlight w:val="none"/>
          <w:u w:val="single"/>
        </w:rPr>
        <w:t xml:space="preserve">                                                                            </w:t>
      </w:r>
    </w:p>
    <w:p w14:paraId="7A2AF7D3">
      <w:pPr>
        <w:spacing w:line="360" w:lineRule="auto"/>
        <w:ind w:left="25" w:leftChars="12" w:firstLine="472" w:firstLineChars="197"/>
        <w:rPr>
          <w:rFonts w:ascii="宋体" w:hAnsi="宋体" w:cs="宋体"/>
          <w:bCs/>
          <w:color w:val="auto"/>
          <w:kern w:val="0"/>
          <w:sz w:val="24"/>
          <w:highlight w:val="none"/>
        </w:rPr>
      </w:pPr>
      <w:r>
        <w:rPr>
          <w:rFonts w:hint="eastAsia" w:ascii="宋体" w:hAnsi="宋体" w:cs="宋体"/>
          <w:color w:val="auto"/>
          <w:kern w:val="0"/>
          <w:sz w:val="24"/>
          <w:highlight w:val="none"/>
        </w:rPr>
        <w:t xml:space="preserve">投诉事项2  </w:t>
      </w:r>
      <w:r>
        <w:rPr>
          <w:rFonts w:hint="eastAsia" w:ascii="宋体" w:hAnsi="宋体" w:cs="宋体"/>
          <w:bCs/>
          <w:color w:val="auto"/>
          <w:kern w:val="0"/>
          <w:sz w:val="24"/>
          <w:highlight w:val="none"/>
        </w:rPr>
        <w:t xml:space="preserve">   </w:t>
      </w:r>
    </w:p>
    <w:p w14:paraId="5C0FB34A">
      <w:pPr>
        <w:spacing w:line="360" w:lineRule="auto"/>
        <w:ind w:left="25" w:leftChars="12" w:firstLine="472" w:firstLineChars="197"/>
        <w:rPr>
          <w:rFonts w:ascii="宋体" w:hAnsi="宋体" w:cs="宋体"/>
          <w:bCs/>
          <w:color w:val="auto"/>
          <w:kern w:val="0"/>
          <w:sz w:val="24"/>
          <w:highlight w:val="none"/>
        </w:rPr>
      </w:pPr>
      <w:r>
        <w:rPr>
          <w:rFonts w:hint="eastAsia" w:ascii="宋体" w:hAnsi="宋体" w:cs="宋体"/>
          <w:bCs/>
          <w:color w:val="auto"/>
          <w:kern w:val="0"/>
          <w:sz w:val="24"/>
          <w:highlight w:val="none"/>
        </w:rPr>
        <w:t>……</w:t>
      </w:r>
    </w:p>
    <w:p w14:paraId="2F89B51D">
      <w:pPr>
        <w:spacing w:line="360" w:lineRule="auto"/>
        <w:ind w:left="25" w:leftChars="12" w:firstLine="472" w:firstLineChars="196"/>
        <w:rPr>
          <w:rFonts w:ascii="宋体" w:hAnsi="宋体" w:cs="宋体"/>
          <w:b/>
          <w:color w:val="auto"/>
          <w:kern w:val="0"/>
          <w:sz w:val="24"/>
          <w:highlight w:val="none"/>
        </w:rPr>
      </w:pPr>
      <w:r>
        <w:rPr>
          <w:rFonts w:hint="eastAsia" w:ascii="宋体" w:hAnsi="宋体" w:cs="宋体"/>
          <w:b/>
          <w:color w:val="auto"/>
          <w:kern w:val="0"/>
          <w:sz w:val="24"/>
          <w:highlight w:val="none"/>
        </w:rPr>
        <w:t>五、与投诉事项相关的投诉请求：</w:t>
      </w:r>
    </w:p>
    <w:p w14:paraId="6AF1DC05">
      <w:pPr>
        <w:spacing w:line="360" w:lineRule="auto"/>
        <w:ind w:left="25" w:leftChars="12" w:firstLine="472" w:firstLineChars="197"/>
        <w:rPr>
          <w:rFonts w:ascii="宋体" w:hAnsi="宋体" w:cs="宋体"/>
          <w:color w:val="auto"/>
          <w:kern w:val="0"/>
          <w:sz w:val="24"/>
          <w:highlight w:val="none"/>
        </w:rPr>
      </w:pPr>
      <w:r>
        <w:rPr>
          <w:rFonts w:hint="eastAsia" w:ascii="宋体" w:hAnsi="宋体" w:cs="宋体"/>
          <w:color w:val="auto"/>
          <w:kern w:val="0"/>
          <w:sz w:val="24"/>
          <w:highlight w:val="none"/>
        </w:rPr>
        <w:t>请求：</w:t>
      </w:r>
      <w:r>
        <w:rPr>
          <w:rFonts w:hint="eastAsia" w:ascii="宋体" w:hAnsi="宋体" w:cs="宋体"/>
          <w:bCs/>
          <w:color w:val="auto"/>
          <w:kern w:val="0"/>
          <w:sz w:val="24"/>
          <w:highlight w:val="none"/>
          <w:u w:val="single"/>
        </w:rPr>
        <w:t xml:space="preserve">                                                                      </w:t>
      </w:r>
    </w:p>
    <w:p w14:paraId="1BDF8A5B">
      <w:pPr>
        <w:spacing w:line="360" w:lineRule="auto"/>
        <w:ind w:left="25" w:leftChars="12" w:firstLine="352" w:firstLineChars="147"/>
        <w:rPr>
          <w:rFonts w:ascii="宋体" w:hAnsi="宋体" w:cs="宋体"/>
          <w:color w:val="auto"/>
          <w:kern w:val="0"/>
          <w:sz w:val="24"/>
          <w:highlight w:val="none"/>
        </w:rPr>
      </w:pPr>
    </w:p>
    <w:p w14:paraId="2D5B70CF">
      <w:pPr>
        <w:spacing w:line="360" w:lineRule="auto"/>
        <w:ind w:left="25" w:leftChars="12" w:firstLine="472" w:firstLineChars="197"/>
        <w:rPr>
          <w:rFonts w:ascii="宋体" w:hAnsi="宋体" w:cs="宋体"/>
          <w:color w:val="auto"/>
          <w:kern w:val="0"/>
          <w:sz w:val="24"/>
          <w:highlight w:val="none"/>
        </w:rPr>
      </w:pPr>
      <w:r>
        <w:rPr>
          <w:rFonts w:hint="eastAsia" w:ascii="宋体" w:hAnsi="宋体" w:cs="宋体"/>
          <w:color w:val="auto"/>
          <w:kern w:val="0"/>
          <w:sz w:val="24"/>
          <w:highlight w:val="none"/>
        </w:rPr>
        <w:t>签字（签章）：                                       公章：</w:t>
      </w:r>
    </w:p>
    <w:p w14:paraId="1CE876A0">
      <w:pPr>
        <w:spacing w:line="360" w:lineRule="auto"/>
        <w:ind w:left="25" w:leftChars="12" w:firstLine="352" w:firstLineChars="147"/>
        <w:rPr>
          <w:rFonts w:ascii="宋体" w:hAnsi="宋体" w:cs="宋体"/>
          <w:color w:val="auto"/>
          <w:kern w:val="0"/>
          <w:sz w:val="24"/>
          <w:highlight w:val="none"/>
        </w:rPr>
      </w:pPr>
    </w:p>
    <w:p w14:paraId="2112A2AF">
      <w:pPr>
        <w:spacing w:line="360" w:lineRule="auto"/>
        <w:ind w:left="25" w:leftChars="12" w:firstLine="472" w:firstLineChars="197"/>
        <w:rPr>
          <w:rFonts w:ascii="宋体" w:hAnsi="宋体" w:cs="宋体"/>
          <w:color w:val="auto"/>
          <w:kern w:val="0"/>
          <w:sz w:val="24"/>
          <w:highlight w:val="none"/>
        </w:rPr>
      </w:pPr>
      <w:r>
        <w:rPr>
          <w:rFonts w:hint="eastAsia" w:ascii="宋体" w:hAnsi="宋体" w:cs="宋体"/>
          <w:color w:val="auto"/>
          <w:kern w:val="0"/>
          <w:sz w:val="24"/>
          <w:highlight w:val="none"/>
        </w:rPr>
        <w:t>日期：</w:t>
      </w:r>
    </w:p>
    <w:p w14:paraId="482588CA">
      <w:pPr>
        <w:spacing w:line="360" w:lineRule="auto"/>
        <w:ind w:left="25" w:leftChars="12" w:firstLine="472" w:firstLineChars="197"/>
        <w:rPr>
          <w:rFonts w:ascii="宋体" w:hAnsi="宋体" w:cs="宋体"/>
          <w:color w:val="auto"/>
          <w:kern w:val="0"/>
          <w:sz w:val="24"/>
          <w:highlight w:val="none"/>
        </w:rPr>
      </w:pPr>
    </w:p>
    <w:p w14:paraId="4B3F1F1F">
      <w:pPr>
        <w:snapToGrid w:val="0"/>
        <w:spacing w:line="360" w:lineRule="auto"/>
        <w:rPr>
          <w:rFonts w:ascii="宋体" w:hAnsi="宋体" w:cs="宋体"/>
          <w:b/>
          <w:color w:val="auto"/>
          <w:kern w:val="0"/>
          <w:sz w:val="24"/>
          <w:highlight w:val="none"/>
        </w:rPr>
      </w:pPr>
    </w:p>
    <w:p w14:paraId="72920FCB">
      <w:pPr>
        <w:snapToGrid w:val="0"/>
        <w:spacing w:line="360" w:lineRule="auto"/>
        <w:rPr>
          <w:rFonts w:ascii="宋体" w:hAnsi="宋体" w:cs="宋体"/>
          <w:b/>
          <w:color w:val="auto"/>
          <w:kern w:val="0"/>
          <w:sz w:val="24"/>
          <w:highlight w:val="none"/>
        </w:rPr>
      </w:pPr>
      <w:r>
        <w:rPr>
          <w:rFonts w:hint="eastAsia" w:ascii="宋体" w:hAnsi="宋体" w:cs="宋体"/>
          <w:b/>
          <w:color w:val="auto"/>
          <w:kern w:val="0"/>
          <w:sz w:val="24"/>
          <w:highlight w:val="none"/>
        </w:rPr>
        <w:t>说明：</w:t>
      </w:r>
    </w:p>
    <w:p w14:paraId="1BD171B5">
      <w:pPr>
        <w:spacing w:line="360" w:lineRule="auto"/>
        <w:ind w:left="25" w:leftChars="12" w:firstLine="354" w:firstLineChars="147"/>
        <w:rPr>
          <w:rFonts w:ascii="宋体" w:hAnsi="宋体" w:cs="宋体"/>
          <w:b/>
          <w:bCs/>
          <w:color w:val="auto"/>
          <w:kern w:val="0"/>
          <w:sz w:val="24"/>
          <w:highlight w:val="none"/>
        </w:rPr>
      </w:pPr>
      <w:r>
        <w:rPr>
          <w:rFonts w:hint="eastAsia" w:ascii="宋体" w:hAnsi="宋体" w:cs="宋体"/>
          <w:b/>
          <w:color w:val="auto"/>
          <w:kern w:val="0"/>
          <w:sz w:val="24"/>
          <w:highlight w:val="none"/>
        </w:rPr>
        <w:t>1.投诉人提起投诉时，应当提交投诉书和必要的证明材料，并按照被投诉人和与投诉事项有关的供应商数量提供投诉书副本</w:t>
      </w:r>
      <w:r>
        <w:rPr>
          <w:rFonts w:hint="eastAsia" w:ascii="宋体" w:hAnsi="宋体" w:cs="宋体"/>
          <w:b/>
          <w:bCs/>
          <w:color w:val="auto"/>
          <w:kern w:val="0"/>
          <w:sz w:val="24"/>
          <w:highlight w:val="none"/>
        </w:rPr>
        <w:t>。</w:t>
      </w:r>
    </w:p>
    <w:p w14:paraId="1C2EED97">
      <w:pPr>
        <w:spacing w:line="360" w:lineRule="auto"/>
        <w:ind w:left="25" w:leftChars="12" w:firstLine="354" w:firstLineChars="147"/>
        <w:rPr>
          <w:rFonts w:ascii="宋体" w:hAnsi="宋体" w:cs="宋体"/>
          <w:b/>
          <w:color w:val="auto"/>
          <w:kern w:val="0"/>
          <w:sz w:val="24"/>
          <w:highlight w:val="none"/>
        </w:rPr>
      </w:pPr>
      <w:r>
        <w:rPr>
          <w:rFonts w:hint="eastAsia" w:ascii="宋体" w:hAnsi="宋体" w:cs="宋体"/>
          <w:b/>
          <w:color w:val="auto"/>
          <w:kern w:val="0"/>
          <w:sz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1502663F">
      <w:pPr>
        <w:spacing w:line="360" w:lineRule="auto"/>
        <w:ind w:left="25" w:leftChars="12" w:firstLine="354" w:firstLineChars="147"/>
        <w:rPr>
          <w:rFonts w:ascii="宋体" w:hAnsi="宋体" w:cs="宋体"/>
          <w:b/>
          <w:color w:val="auto"/>
          <w:kern w:val="0"/>
          <w:sz w:val="24"/>
          <w:highlight w:val="none"/>
        </w:rPr>
      </w:pPr>
      <w:r>
        <w:rPr>
          <w:rFonts w:hint="eastAsia" w:ascii="宋体" w:hAnsi="宋体" w:cs="宋体"/>
          <w:b/>
          <w:color w:val="auto"/>
          <w:kern w:val="0"/>
          <w:sz w:val="24"/>
          <w:highlight w:val="none"/>
        </w:rPr>
        <w:t>3.投诉书应简要列明质疑事项，质疑函、质疑答复等作为附件材料提供。</w:t>
      </w:r>
    </w:p>
    <w:p w14:paraId="30535F19">
      <w:pPr>
        <w:spacing w:line="360" w:lineRule="auto"/>
        <w:ind w:left="25" w:leftChars="12" w:firstLine="354" w:firstLineChars="147"/>
        <w:rPr>
          <w:rFonts w:ascii="宋体" w:hAnsi="宋体" w:cs="宋体"/>
          <w:b/>
          <w:color w:val="auto"/>
          <w:kern w:val="0"/>
          <w:sz w:val="24"/>
          <w:highlight w:val="none"/>
        </w:rPr>
      </w:pPr>
      <w:r>
        <w:rPr>
          <w:rFonts w:hint="eastAsia" w:ascii="宋体" w:hAnsi="宋体" w:cs="宋体"/>
          <w:b/>
          <w:color w:val="auto"/>
          <w:kern w:val="0"/>
          <w:sz w:val="24"/>
          <w:highlight w:val="none"/>
        </w:rPr>
        <w:t>4.投诉书的投诉事项应具体、明确，并有必要的事实依据和法律依据。</w:t>
      </w:r>
    </w:p>
    <w:p w14:paraId="7731926A">
      <w:pPr>
        <w:spacing w:line="360" w:lineRule="auto"/>
        <w:ind w:left="25" w:leftChars="12" w:firstLine="354" w:firstLineChars="147"/>
        <w:rPr>
          <w:rFonts w:ascii="宋体" w:hAnsi="宋体" w:cs="宋体"/>
          <w:b/>
          <w:color w:val="auto"/>
          <w:kern w:val="0"/>
          <w:sz w:val="24"/>
          <w:highlight w:val="none"/>
        </w:rPr>
      </w:pPr>
      <w:r>
        <w:rPr>
          <w:rFonts w:hint="eastAsia" w:ascii="宋体" w:hAnsi="宋体" w:cs="宋体"/>
          <w:b/>
          <w:color w:val="auto"/>
          <w:kern w:val="0"/>
          <w:sz w:val="24"/>
          <w:highlight w:val="none"/>
        </w:rPr>
        <w:t>5.投诉书的投诉请求应与投诉事项相关。</w:t>
      </w:r>
    </w:p>
    <w:p w14:paraId="164F06AB">
      <w:pPr>
        <w:spacing w:line="360" w:lineRule="auto"/>
        <w:ind w:left="25" w:leftChars="12" w:firstLine="354" w:firstLineChars="147"/>
        <w:rPr>
          <w:rFonts w:ascii="宋体" w:hAnsi="宋体" w:cs="宋体"/>
          <w:color w:val="auto"/>
          <w:highlight w:val="none"/>
        </w:rPr>
      </w:pPr>
      <w:r>
        <w:rPr>
          <w:rFonts w:hint="eastAsia" w:ascii="宋体" w:hAnsi="宋体" w:cs="宋体"/>
          <w:b/>
          <w:color w:val="auto"/>
          <w:kern w:val="0"/>
          <w:sz w:val="24"/>
          <w:highlight w:val="none"/>
        </w:rPr>
        <w:t>6.投诉人为法人或者其他组织的，投诉书应由法定代表人、主要负责人，或者其授权代表签字或者盖章，并加盖公章。</w:t>
      </w:r>
    </w:p>
    <w:p w14:paraId="0D95AABD">
      <w:pPr>
        <w:rPr>
          <w:color w:val="auto"/>
          <w:highlight w:val="none"/>
        </w:rPr>
      </w:pPr>
    </w:p>
    <w:sectPr>
      <w:headerReference r:id="rId12" w:type="default"/>
      <w:footerReference r:id="rId13" w:type="default"/>
      <w:pgSz w:w="11911" w:h="16838"/>
      <w:pgMar w:top="1134" w:right="1134" w:bottom="1134" w:left="1134" w:header="720" w:footer="720"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C799B53-FF2C-4E79-8B0F-5E42CF33B27B}"/>
  </w:font>
  <w:font w:name="黑体">
    <w:panose1 w:val="02010609060101010101"/>
    <w:charset w:val="86"/>
    <w:family w:val="auto"/>
    <w:pitch w:val="default"/>
    <w:sig w:usb0="800002BF" w:usb1="38CF7CFA" w:usb2="00000016" w:usb3="00000000" w:csb0="00040001" w:csb1="00000000"/>
    <w:embedRegular r:id="rId2" w:fontKey="{3FBD42E1-4B3E-4C61-9559-957B933A7778}"/>
  </w:font>
  <w:font w:name="Courier New">
    <w:panose1 w:val="02070309020205020404"/>
    <w:charset w:val="01"/>
    <w:family w:val="modern"/>
    <w:pitch w:val="default"/>
    <w:sig w:usb0="E0002EFF" w:usb1="C0007843" w:usb2="00000009" w:usb3="00000000" w:csb0="400001FF" w:csb1="FFFF0000"/>
    <w:embedRegular r:id="rId3" w:fontKey="{77624ACE-F93A-426F-B7DA-B2DD7A053109}"/>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E17B3CA4-414B-45E1-A1A8-56CFD00D585B}"/>
  </w:font>
  <w:font w:name="Cambria">
    <w:panose1 w:val="02040503050406030204"/>
    <w:charset w:val="00"/>
    <w:family w:val="roman"/>
    <w:pitch w:val="default"/>
    <w:sig w:usb0="E00006FF" w:usb1="420024FF" w:usb2="02000000" w:usb3="00000000" w:csb0="2000019F" w:csb1="00000000"/>
    <w:embedRegular r:id="rId5" w:fontKey="{B6A93090-B2C2-47EA-BAD8-44E57F99D86C}"/>
  </w:font>
  <w:font w:name="等线 Light">
    <w:panose1 w:val="02010600030101010101"/>
    <w:charset w:val="86"/>
    <w:family w:val="auto"/>
    <w:pitch w:val="default"/>
    <w:sig w:usb0="A00002BF" w:usb1="38CF7CFA" w:usb2="00000016" w:usb3="00000000" w:csb0="0004000F" w:csb1="00000000"/>
  </w:font>
  <w:font w:name="Saturday Sans Regular">
    <w:altName w:val="宋体"/>
    <w:panose1 w:val="02010600010101010101"/>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embedRegular r:id="rId6" w:fontKey="{05CEC07A-2C90-4BEE-AAFB-F177AD36173F}"/>
  </w:font>
  <w:font w:name="方正小标宋简体">
    <w:altName w:val="黑体"/>
    <w:panose1 w:val="02000000000000000000"/>
    <w:charset w:val="86"/>
    <w:family w:val="script"/>
    <w:pitch w:val="default"/>
    <w:sig w:usb0="00000000" w:usb1="00000000" w:usb2="00000012" w:usb3="00000000" w:csb0="00040001" w:csb1="00000000"/>
    <w:embedRegular r:id="rId7" w:fontKey="{78E41AF8-0711-4593-BB7F-79CA1DAA692D}"/>
  </w:font>
  <w:font w:name="Arial Unicode MS">
    <w:altName w:val="宋体"/>
    <w:panose1 w:val="020B0604020202020204"/>
    <w:charset w:val="86"/>
    <w:family w:val="swiss"/>
    <w:pitch w:val="default"/>
    <w:sig w:usb0="00000000" w:usb1="00000000" w:usb2="0000003F" w:usb3="00000000" w:csb0="603F01FF" w:csb1="FFFF0000"/>
    <w:embedRegular r:id="rId8" w:fontKey="{E042FCCF-9864-4767-B466-4B2F410AE46F}"/>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9" w:fontKey="{3CB39DAC-9361-4BFF-9F75-920EE98EC28D}"/>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embedRegular r:id="rId10" w:fontKey="{AC9888A3-B2C1-4C52-8DE2-D0ABB025D199}"/>
  </w:font>
  <w:font w:name="隶书">
    <w:altName w:val="微软雅黑"/>
    <w:panose1 w:val="02010509060101010101"/>
    <w:charset w:val="86"/>
    <w:family w:val="modern"/>
    <w:pitch w:val="default"/>
    <w:sig w:usb0="00000000" w:usb1="00000000" w:usb2="00000000" w:usb3="00000000" w:csb0="00040000" w:csb1="00000000"/>
    <w:embedRegular r:id="rId11" w:fontKey="{D628F970-D786-4BFD-8CEC-502F87B1DA93}"/>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B2CF5">
    <w:pPr>
      <w:pStyle w:val="22"/>
      <w:jc w:val="center"/>
      <w:rPr>
        <w:rFonts w:ascii="Calibri" w:hAnsi="Calibr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8AC5C">
    <w:pPr>
      <w:pStyle w:val="22"/>
      <w:framePr w:wrap="around" w:vAnchor="text" w:hAnchor="margin" w:xAlign="center" w:y="1"/>
      <w:rPr>
        <w:rStyle w:val="37"/>
        <w:rFonts w:ascii="Calibri" w:hAnsi="Calibri"/>
        <w:sz w:val="21"/>
      </w:rPr>
    </w:pPr>
    <w:r>
      <w:rPr>
        <w:rFonts w:ascii="Calibri" w:hAnsi="Calibri"/>
        <w:sz w:val="21"/>
      </w:rPr>
      <w:fldChar w:fldCharType="begin"/>
    </w:r>
    <w:r>
      <w:rPr>
        <w:rStyle w:val="37"/>
        <w:rFonts w:ascii="Calibri" w:hAnsi="Calibri"/>
        <w:sz w:val="21"/>
      </w:rPr>
      <w:instrText xml:space="preserve">PAGE  </w:instrText>
    </w:r>
    <w:r>
      <w:rPr>
        <w:rFonts w:ascii="Calibri" w:hAnsi="Calibri"/>
        <w:sz w:val="21"/>
      </w:rPr>
      <w:fldChar w:fldCharType="separate"/>
    </w:r>
    <w:r>
      <w:rPr>
        <w:rStyle w:val="37"/>
        <w:rFonts w:ascii="Calibri" w:hAnsi="Calibri"/>
        <w:sz w:val="21"/>
      </w:rPr>
      <w:t>0</w:t>
    </w:r>
    <w:r>
      <w:rPr>
        <w:rFonts w:ascii="Calibri" w:hAnsi="Calibri"/>
        <w:sz w:val="21"/>
      </w:rPr>
      <w:fldChar w:fldCharType="end"/>
    </w:r>
  </w:p>
  <w:p w14:paraId="3F85E7CD">
    <w:pPr>
      <w:pStyle w:val="22"/>
      <w:rPr>
        <w:rFonts w:ascii="Calibri" w:hAnsi="Calibri"/>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DF4B5">
    <w:pPr>
      <w:pStyle w:val="22"/>
      <w:tabs>
        <w:tab w:val="center" w:pos="4439"/>
        <w:tab w:val="clear" w:pos="4153"/>
      </w:tabs>
      <w:jc w:val="both"/>
      <w:rPr>
        <w:rFonts w:ascii="Calibri" w:hAnsi="Calibri"/>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1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AAEB93">
                          <w:pPr>
                            <w:pStyle w:val="22"/>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upright="1">
                      <a:spAutoFit/>
                    </wps:bodyPr>
                  </wps:wsp>
                </a:graphicData>
              </a:graphic>
            </wp:anchor>
          </w:drawing>
        </mc:Choice>
        <mc:Fallback>
          <w:pict>
            <v:shape id="文本框 513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Ay05HLAQAAnAMAAA4AAAAAAAAAAQAgAAAAHgEAAGRycy9lMm9E&#10;b2MueG1sUEsFBgAAAAAGAAYAWQEAAFsFAAAAAA==&#10;">
              <v:fill on="f" focussize="0,0"/>
              <v:stroke on="f"/>
              <v:imagedata o:title=""/>
              <o:lock v:ext="edit" aspectratio="f"/>
              <v:textbox inset="0mm,0mm,0mm,0mm" style="mso-fit-shape-to-text:t;">
                <w:txbxContent>
                  <w:p w14:paraId="18AAEB93">
                    <w:pPr>
                      <w:pStyle w:val="22"/>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E8185">
    <w:pPr>
      <w:pStyle w:val="22"/>
      <w:tabs>
        <w:tab w:val="center" w:pos="4439"/>
        <w:tab w:val="clear" w:pos="4153"/>
      </w:tabs>
      <w:rPr>
        <w:rFonts w:ascii="Calibri" w:hAnsi="Calibri"/>
      </w:rPr>
    </w:pPr>
    <w:r>
      <w:rPr>
        <w:rFonts w:ascii="Calibri" w:hAnsi="Calibri"/>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1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BB9FB2">
                          <w:pPr>
                            <w:rPr>
                              <w:rFonts w:ascii="Calibri" w:hAnsi="Calibri"/>
                            </w:rPr>
                          </w:pPr>
                        </w:p>
                      </w:txbxContent>
                    </wps:txbx>
                    <wps:bodyPr wrap="none" lIns="0" tIns="0" rIns="0" bIns="0" upright="1">
                      <a:spAutoFit/>
                    </wps:bodyPr>
                  </wps:wsp>
                </a:graphicData>
              </a:graphic>
            </wp:anchor>
          </w:drawing>
        </mc:Choice>
        <mc:Fallback>
          <w:pict>
            <v:shape id="文本框 51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vjubLzAEAAJwDAAAOAAAAAAAAAAEAIAAAAB4BAABkcnMvZTJv&#10;RG9jLnhtbFBLBQYAAAAABgAGAFkBAABcBQAAAAA=&#10;">
              <v:fill on="f" focussize="0,0"/>
              <v:stroke on="f"/>
              <v:imagedata o:title=""/>
              <o:lock v:ext="edit" aspectratio="f"/>
              <v:textbox inset="0mm,0mm,0mm,0mm" style="mso-fit-shape-to-text:t;">
                <w:txbxContent>
                  <w:p w14:paraId="61BB9FB2">
                    <w:pPr>
                      <w:rPr>
                        <w:rFonts w:ascii="Calibri" w:hAnsi="Calibri"/>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731D7">
    <w:pPr>
      <w:pStyle w:val="22"/>
      <w:jc w:val="center"/>
      <w:rPr>
        <w:rFonts w:ascii="Calibri" w:hAnsi="Calibri"/>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1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E5FA602">
                          <w:pPr>
                            <w:pStyle w:val="22"/>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upright="1">
                      <a:spAutoFit/>
                    </wps:bodyPr>
                  </wps:wsp>
                </a:graphicData>
              </a:graphic>
            </wp:anchor>
          </w:drawing>
        </mc:Choice>
        <mc:Fallback>
          <w:pict>
            <v:shape id="文本框 513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24GEKzAEAAJwDAAAOAAAAAAAAAAEAIAAAAB4BAABkcnMvZTJv&#10;RG9jLnhtbFBLBQYAAAAABgAGAFkBAABcBQAAAAA=&#10;">
              <v:fill on="f" focussize="0,0"/>
              <v:stroke on="f"/>
              <v:imagedata o:title=""/>
              <o:lock v:ext="edit" aspectratio="f"/>
              <v:textbox inset="0mm,0mm,0mm,0mm" style="mso-fit-shape-to-text:t;">
                <w:txbxContent>
                  <w:p w14:paraId="3E5FA602">
                    <w:pPr>
                      <w:pStyle w:val="22"/>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p w14:paraId="6CE4CCDE">
    <w:pPr>
      <w:pStyle w:val="22"/>
      <w:rPr>
        <w:rFonts w:ascii="Calibri" w:hAnsi="Calibri"/>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5703C">
    <w:pPr>
      <w:pStyle w:val="2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D68FC33">
                          <w:pPr>
                            <w:pStyle w:val="22"/>
                            <w:jc w:val="center"/>
                          </w:pPr>
                          <w:r>
                            <w:rPr>
                              <w:rFonts w:hint="eastAsia"/>
                            </w:rPr>
                            <w:fldChar w:fldCharType="begin"/>
                          </w:r>
                          <w:r>
                            <w:rPr>
                              <w:rFonts w:hint="eastAsia"/>
                            </w:rPr>
                            <w:instrText xml:space="preserve"> PAGE  \* MERGEFORMAT </w:instrText>
                          </w:r>
                          <w:r>
                            <w:rPr>
                              <w:rFonts w:hint="eastAsia"/>
                            </w:rPr>
                            <w:fldChar w:fldCharType="separate"/>
                          </w:r>
                          <w:r>
                            <w:t>76</w:t>
                          </w:r>
                          <w:r>
                            <w:rPr>
                              <w:rFonts w:hint="eastAsia"/>
                            </w:rPr>
                            <w:fldChar w:fldCharType="end"/>
                          </w:r>
                        </w:p>
                      </w:txbxContent>
                    </wps:txbx>
                    <wps:bodyPr wrap="none" lIns="0" tIns="0" rIns="0" bIns="0" upright="1">
                      <a:spAutoFit/>
                    </wps:bodyPr>
                  </wps:wsp>
                </a:graphicData>
              </a:graphic>
            </wp:anchor>
          </w:drawing>
        </mc:Choice>
        <mc:Fallback>
          <w:pict>
            <v:shape id="文本框 5121"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Q6w3RzAEAAJwDAAAOAAAAAAAAAAEAIAAAAB4BAABkcnMvZTJv&#10;RG9jLnhtbFBLBQYAAAAABgAGAFkBAABcBQAAAAA=&#10;">
              <v:fill on="f" focussize="0,0"/>
              <v:stroke on="f"/>
              <v:imagedata o:title=""/>
              <o:lock v:ext="edit" aspectratio="f"/>
              <v:textbox inset="0mm,0mm,0mm,0mm" style="mso-fit-shape-to-text:t;">
                <w:txbxContent>
                  <w:p w14:paraId="6D68FC33">
                    <w:pPr>
                      <w:pStyle w:val="22"/>
                      <w:jc w:val="center"/>
                    </w:pPr>
                    <w:r>
                      <w:rPr>
                        <w:rFonts w:hint="eastAsia"/>
                      </w:rPr>
                      <w:fldChar w:fldCharType="begin"/>
                    </w:r>
                    <w:r>
                      <w:rPr>
                        <w:rFonts w:hint="eastAsia"/>
                      </w:rPr>
                      <w:instrText xml:space="preserve"> PAGE  \* MERGEFORMAT </w:instrText>
                    </w:r>
                    <w:r>
                      <w:rPr>
                        <w:rFonts w:hint="eastAsia"/>
                      </w:rPr>
                      <w:fldChar w:fldCharType="separate"/>
                    </w:r>
                    <w:r>
                      <w:t>76</w:t>
                    </w:r>
                    <w:r>
                      <w:rPr>
                        <w:rFonts w:hint="eastAsia"/>
                      </w:rPr>
                      <w:fldChar w:fldCharType="end"/>
                    </w:r>
                  </w:p>
                </w:txbxContent>
              </v:textbox>
            </v:shape>
          </w:pict>
        </mc:Fallback>
      </mc:AlternateContent>
    </w:r>
  </w:p>
  <w:p w14:paraId="7BACE1A0">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9E732">
    <w:pPr>
      <w:pStyle w:val="23"/>
      <w:tabs>
        <w:tab w:val="center" w:pos="0"/>
        <w:tab w:val="clear" w:pos="4153"/>
      </w:tabs>
      <w:rPr>
        <w:rFonts w:ascii="Calibri" w:hAnsi="Calibr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7B62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BBDEB">
    <w:pPr>
      <w:pStyle w:val="23"/>
      <w:tabs>
        <w:tab w:val="center" w:pos="0"/>
        <w:tab w:val="clear" w:pos="4153"/>
      </w:tabs>
      <w:rPr>
        <w:rFonts w:ascii="Calibri" w:hAnsi="Calibri"/>
      </w:rPr>
    </w:pPr>
    <w:r>
      <w:rPr>
        <w:rFonts w:hint="eastAsia" w:ascii="Calibri" w:hAnsi="Calibri"/>
      </w:rPr>
      <w:t>南宁市政府采购竞争性磋商采购文件（项目编号：NNZC2021-C3--KLZB）</w:t>
    </w:r>
  </w:p>
  <w:p w14:paraId="5B01F2AB">
    <w:pPr>
      <w:pStyle w:val="23"/>
      <w:pBdr>
        <w:bottom w:val="none" w:color="auto" w:sz="0" w:space="1"/>
      </w:pBdr>
      <w:rPr>
        <w:rFonts w:ascii="Calibri" w:hAnsi="Calibri"/>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E7A19"/>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CBF5C">
    <w:r>
      <w:t>&gt;</w:t>
    </w:r>
  </w:p>
  <w:p w14:paraId="66A7D89F">
    <w:pPr>
      <w:pStyle w:val="2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A78931"/>
    <w:multiLevelType w:val="multilevel"/>
    <w:tmpl w:val="8EA78931"/>
    <w:lvl w:ilvl="0" w:tentative="0">
      <w:start w:val="1"/>
      <w:numFmt w:val="decimal"/>
      <w:lvlText w:val="%1."/>
      <w:lvlJc w:val="left"/>
      <w:pPr>
        <w:ind w:left="440" w:hanging="440"/>
      </w:pPr>
    </w:lvl>
    <w:lvl w:ilvl="1" w:tentative="0">
      <w:start w:val="1"/>
      <w:numFmt w:val="decimal"/>
      <w:lvlText w:val="%1.%2."/>
      <w:lvlJc w:val="left"/>
      <w:pPr>
        <w:ind w:left="1100" w:hanging="660"/>
      </w:pPr>
    </w:lvl>
    <w:lvl w:ilvl="2" w:tentative="0">
      <w:start w:val="1"/>
      <w:numFmt w:val="decimal"/>
      <w:lvlRestart w:val="1"/>
      <w:lvlText w:val="%1.%2.%3."/>
      <w:lvlJc w:val="left"/>
      <w:pPr>
        <w:ind w:left="1760" w:hanging="880"/>
      </w:pPr>
    </w:lvl>
    <w:lvl w:ilvl="3" w:tentative="0">
      <w:start w:val="1"/>
      <w:numFmt w:val="decimal"/>
      <w:lvlRestart w:val="1"/>
      <w:lvlText w:val="%1.%2.%3.%4."/>
      <w:lvlJc w:val="left"/>
      <w:pPr>
        <w:ind w:left="2420" w:hanging="1100"/>
      </w:pPr>
    </w:lvl>
    <w:lvl w:ilvl="4" w:tentative="0">
      <w:start w:val="1"/>
      <w:numFmt w:val="decimal"/>
      <w:lvlRestart w:val="1"/>
      <w:lvlText w:val="%1.%2.%3.%4.%5."/>
      <w:lvlJc w:val="left"/>
      <w:pPr>
        <w:ind w:left="3080" w:hanging="1320"/>
      </w:pPr>
    </w:lvl>
    <w:lvl w:ilvl="5" w:tentative="0">
      <w:start w:val="1"/>
      <w:numFmt w:val="decimal"/>
      <w:lvlRestart w:val="1"/>
      <w:lvlText w:val="%1.%2.%3.%4.%5.%6."/>
      <w:lvlJc w:val="left"/>
      <w:pPr>
        <w:ind w:left="3740" w:hanging="1540"/>
      </w:pPr>
    </w:lvl>
    <w:lvl w:ilvl="6" w:tentative="0">
      <w:start w:val="1"/>
      <w:numFmt w:val="decimal"/>
      <w:lvlRestart w:val="1"/>
      <w:lvlText w:val="%1.%2.%3.%4.%5.%6.%7."/>
      <w:lvlJc w:val="left"/>
      <w:pPr>
        <w:ind w:left="4400" w:hanging="1760"/>
      </w:pPr>
    </w:lvl>
    <w:lvl w:ilvl="7" w:tentative="0">
      <w:start w:val="1"/>
      <w:numFmt w:val="decimal"/>
      <w:lvlRestart w:val="1"/>
      <w:lvlText w:val="%1.%2.%3.%4.%5.%6.%7.%8."/>
      <w:lvlJc w:val="left"/>
      <w:pPr>
        <w:ind w:left="5060" w:hanging="1980"/>
      </w:pPr>
    </w:lvl>
    <w:lvl w:ilvl="8" w:tentative="0">
      <w:start w:val="1"/>
      <w:numFmt w:val="decimal"/>
      <w:lvlRestart w:val="1"/>
      <w:lvlText w:val="%1.%2.%3.%4.%5.%6.%7.%8.%9."/>
      <w:lvlJc w:val="left"/>
      <w:pPr>
        <w:ind w:left="5720" w:hanging="2200"/>
      </w:pPr>
    </w:lvl>
  </w:abstractNum>
  <w:abstractNum w:abstractNumId="1">
    <w:nsid w:val="9B701640"/>
    <w:multiLevelType w:val="multilevel"/>
    <w:tmpl w:val="9B701640"/>
    <w:lvl w:ilvl="0" w:tentative="0">
      <w:start w:val="1"/>
      <w:numFmt w:val="decimal"/>
      <w:lvlText w:val="%1."/>
      <w:lvlJc w:val="left"/>
      <w:pPr>
        <w:ind w:left="440" w:hanging="440"/>
      </w:pPr>
    </w:lvl>
    <w:lvl w:ilvl="1" w:tentative="0">
      <w:start w:val="1"/>
      <w:numFmt w:val="decimal"/>
      <w:lvlText w:val="%1.%2."/>
      <w:lvlJc w:val="left"/>
      <w:pPr>
        <w:ind w:left="1100" w:hanging="660"/>
      </w:pPr>
    </w:lvl>
    <w:lvl w:ilvl="2" w:tentative="0">
      <w:start w:val="1"/>
      <w:numFmt w:val="decimal"/>
      <w:lvlRestart w:val="1"/>
      <w:lvlText w:val="%1.%2.%3."/>
      <w:lvlJc w:val="left"/>
      <w:pPr>
        <w:ind w:left="1760" w:hanging="880"/>
      </w:pPr>
    </w:lvl>
    <w:lvl w:ilvl="3" w:tentative="0">
      <w:start w:val="1"/>
      <w:numFmt w:val="decimal"/>
      <w:lvlRestart w:val="1"/>
      <w:lvlText w:val="%1.%2.%3.%4."/>
      <w:lvlJc w:val="left"/>
      <w:pPr>
        <w:ind w:left="2420" w:hanging="1100"/>
      </w:pPr>
    </w:lvl>
    <w:lvl w:ilvl="4" w:tentative="0">
      <w:start w:val="1"/>
      <w:numFmt w:val="decimal"/>
      <w:lvlRestart w:val="1"/>
      <w:lvlText w:val="%1.%2.%3.%4.%5."/>
      <w:lvlJc w:val="left"/>
      <w:pPr>
        <w:ind w:left="3080" w:hanging="1320"/>
      </w:pPr>
    </w:lvl>
    <w:lvl w:ilvl="5" w:tentative="0">
      <w:start w:val="1"/>
      <w:numFmt w:val="decimal"/>
      <w:lvlRestart w:val="1"/>
      <w:lvlText w:val="%1.%2.%3.%4.%5.%6."/>
      <w:lvlJc w:val="left"/>
      <w:pPr>
        <w:ind w:left="3740" w:hanging="1540"/>
      </w:pPr>
    </w:lvl>
    <w:lvl w:ilvl="6" w:tentative="0">
      <w:start w:val="1"/>
      <w:numFmt w:val="decimal"/>
      <w:lvlRestart w:val="1"/>
      <w:lvlText w:val="%1.%2.%3.%4.%5.%6.%7."/>
      <w:lvlJc w:val="left"/>
      <w:pPr>
        <w:ind w:left="4400" w:hanging="1760"/>
      </w:pPr>
    </w:lvl>
    <w:lvl w:ilvl="7" w:tentative="0">
      <w:start w:val="1"/>
      <w:numFmt w:val="decimal"/>
      <w:lvlRestart w:val="1"/>
      <w:lvlText w:val="%1.%2.%3.%4.%5.%6.%7.%8."/>
      <w:lvlJc w:val="left"/>
      <w:pPr>
        <w:ind w:left="5060" w:hanging="1980"/>
      </w:pPr>
    </w:lvl>
    <w:lvl w:ilvl="8" w:tentative="0">
      <w:start w:val="1"/>
      <w:numFmt w:val="decimal"/>
      <w:lvlRestart w:val="1"/>
      <w:lvlText w:val="%1.%2.%3.%4.%5.%6.%7.%8.%9."/>
      <w:lvlJc w:val="left"/>
      <w:pPr>
        <w:ind w:left="5720" w:hanging="2200"/>
      </w:pPr>
    </w:lvl>
  </w:abstractNum>
  <w:abstractNum w:abstractNumId="2">
    <w:nsid w:val="BB6D6846"/>
    <w:multiLevelType w:val="multilevel"/>
    <w:tmpl w:val="BB6D6846"/>
    <w:lvl w:ilvl="0" w:tentative="0">
      <w:start w:val="1"/>
      <w:numFmt w:val="decimal"/>
      <w:lvlText w:val="%1."/>
      <w:lvlJc w:val="left"/>
      <w:pPr>
        <w:ind w:left="440" w:hanging="440"/>
      </w:pPr>
    </w:lvl>
    <w:lvl w:ilvl="1" w:tentative="0">
      <w:start w:val="1"/>
      <w:numFmt w:val="decimal"/>
      <w:lvlText w:val="%1.%2."/>
      <w:lvlJc w:val="left"/>
      <w:pPr>
        <w:ind w:left="1100" w:hanging="660"/>
      </w:pPr>
    </w:lvl>
    <w:lvl w:ilvl="2" w:tentative="0">
      <w:start w:val="1"/>
      <w:numFmt w:val="decimal"/>
      <w:lvlRestart w:val="1"/>
      <w:lvlText w:val="%1.%2.%3."/>
      <w:lvlJc w:val="left"/>
      <w:pPr>
        <w:ind w:left="1760" w:hanging="880"/>
      </w:pPr>
    </w:lvl>
    <w:lvl w:ilvl="3" w:tentative="0">
      <w:start w:val="1"/>
      <w:numFmt w:val="decimal"/>
      <w:lvlRestart w:val="1"/>
      <w:lvlText w:val="%1.%2.%3.%4."/>
      <w:lvlJc w:val="left"/>
      <w:pPr>
        <w:ind w:left="2420" w:hanging="1100"/>
      </w:pPr>
    </w:lvl>
    <w:lvl w:ilvl="4" w:tentative="0">
      <w:start w:val="1"/>
      <w:numFmt w:val="decimal"/>
      <w:lvlRestart w:val="1"/>
      <w:lvlText w:val="%1.%2.%3.%4.%5."/>
      <w:lvlJc w:val="left"/>
      <w:pPr>
        <w:ind w:left="3080" w:hanging="1320"/>
      </w:pPr>
    </w:lvl>
    <w:lvl w:ilvl="5" w:tentative="0">
      <w:start w:val="1"/>
      <w:numFmt w:val="decimal"/>
      <w:lvlRestart w:val="1"/>
      <w:lvlText w:val="%1.%2.%3.%4.%5.%6."/>
      <w:lvlJc w:val="left"/>
      <w:pPr>
        <w:ind w:left="3740" w:hanging="1540"/>
      </w:pPr>
    </w:lvl>
    <w:lvl w:ilvl="6" w:tentative="0">
      <w:start w:val="1"/>
      <w:numFmt w:val="decimal"/>
      <w:lvlRestart w:val="1"/>
      <w:lvlText w:val="%1.%2.%3.%4.%5.%6.%7."/>
      <w:lvlJc w:val="left"/>
      <w:pPr>
        <w:ind w:left="4400" w:hanging="1760"/>
      </w:pPr>
    </w:lvl>
    <w:lvl w:ilvl="7" w:tentative="0">
      <w:start w:val="1"/>
      <w:numFmt w:val="decimal"/>
      <w:lvlRestart w:val="1"/>
      <w:lvlText w:val="%1.%2.%3.%4.%5.%6.%7.%8."/>
      <w:lvlJc w:val="left"/>
      <w:pPr>
        <w:ind w:left="5060" w:hanging="1980"/>
      </w:pPr>
    </w:lvl>
    <w:lvl w:ilvl="8" w:tentative="0">
      <w:start w:val="1"/>
      <w:numFmt w:val="decimal"/>
      <w:lvlRestart w:val="1"/>
      <w:lvlText w:val="%1.%2.%3.%4.%5.%6.%7.%8.%9."/>
      <w:lvlJc w:val="left"/>
      <w:pPr>
        <w:ind w:left="5720" w:hanging="2200"/>
      </w:pPr>
    </w:lvl>
  </w:abstractNum>
  <w:abstractNum w:abstractNumId="3">
    <w:nsid w:val="BB7D09E0"/>
    <w:multiLevelType w:val="multilevel"/>
    <w:tmpl w:val="BB7D09E0"/>
    <w:lvl w:ilvl="0" w:tentative="0">
      <w:start w:val="1"/>
      <w:numFmt w:val="decimal"/>
      <w:lvlText w:val="%1."/>
      <w:lvlJc w:val="left"/>
      <w:pPr>
        <w:ind w:left="440" w:hanging="440"/>
      </w:pPr>
    </w:lvl>
    <w:lvl w:ilvl="1" w:tentative="0">
      <w:start w:val="1"/>
      <w:numFmt w:val="decimal"/>
      <w:lvlText w:val="%1.%2."/>
      <w:lvlJc w:val="left"/>
      <w:pPr>
        <w:ind w:left="1100" w:hanging="660"/>
      </w:pPr>
    </w:lvl>
    <w:lvl w:ilvl="2" w:tentative="0">
      <w:start w:val="1"/>
      <w:numFmt w:val="decimal"/>
      <w:lvlRestart w:val="1"/>
      <w:lvlText w:val="%1.%2.%3."/>
      <w:lvlJc w:val="left"/>
      <w:pPr>
        <w:ind w:left="1760" w:hanging="880"/>
      </w:pPr>
    </w:lvl>
    <w:lvl w:ilvl="3" w:tentative="0">
      <w:start w:val="1"/>
      <w:numFmt w:val="decimal"/>
      <w:lvlRestart w:val="1"/>
      <w:lvlText w:val="%1.%2.%3.%4."/>
      <w:lvlJc w:val="left"/>
      <w:pPr>
        <w:ind w:left="2420" w:hanging="1100"/>
      </w:pPr>
    </w:lvl>
    <w:lvl w:ilvl="4" w:tentative="0">
      <w:start w:val="1"/>
      <w:numFmt w:val="decimal"/>
      <w:lvlRestart w:val="1"/>
      <w:lvlText w:val="%1.%2.%3.%4.%5."/>
      <w:lvlJc w:val="left"/>
      <w:pPr>
        <w:ind w:left="3080" w:hanging="1320"/>
      </w:pPr>
    </w:lvl>
    <w:lvl w:ilvl="5" w:tentative="0">
      <w:start w:val="1"/>
      <w:numFmt w:val="decimal"/>
      <w:lvlRestart w:val="1"/>
      <w:lvlText w:val="%1.%2.%3.%4.%5.%6."/>
      <w:lvlJc w:val="left"/>
      <w:pPr>
        <w:ind w:left="3740" w:hanging="1540"/>
      </w:pPr>
    </w:lvl>
    <w:lvl w:ilvl="6" w:tentative="0">
      <w:start w:val="1"/>
      <w:numFmt w:val="decimal"/>
      <w:lvlRestart w:val="1"/>
      <w:lvlText w:val="%1.%2.%3.%4.%5.%6.%7."/>
      <w:lvlJc w:val="left"/>
      <w:pPr>
        <w:ind w:left="4400" w:hanging="1760"/>
      </w:pPr>
    </w:lvl>
    <w:lvl w:ilvl="7" w:tentative="0">
      <w:start w:val="1"/>
      <w:numFmt w:val="decimal"/>
      <w:lvlRestart w:val="1"/>
      <w:lvlText w:val="%1.%2.%3.%4.%5.%6.%7.%8."/>
      <w:lvlJc w:val="left"/>
      <w:pPr>
        <w:ind w:left="5060" w:hanging="1980"/>
      </w:pPr>
    </w:lvl>
    <w:lvl w:ilvl="8" w:tentative="0">
      <w:start w:val="1"/>
      <w:numFmt w:val="decimal"/>
      <w:lvlRestart w:val="1"/>
      <w:lvlText w:val="%1.%2.%3.%4.%5.%6.%7.%8.%9."/>
      <w:lvlJc w:val="left"/>
      <w:pPr>
        <w:ind w:left="5720" w:hanging="2200"/>
      </w:pPr>
    </w:lvl>
  </w:abstractNum>
  <w:abstractNum w:abstractNumId="4">
    <w:nsid w:val="D9EB82CD"/>
    <w:multiLevelType w:val="singleLevel"/>
    <w:tmpl w:val="D9EB82CD"/>
    <w:lvl w:ilvl="0" w:tentative="0">
      <w:start w:val="1"/>
      <w:numFmt w:val="decimal"/>
      <w:lvlText w:val="%1."/>
      <w:lvlJc w:val="left"/>
      <w:pPr>
        <w:tabs>
          <w:tab w:val="left" w:pos="312"/>
        </w:tabs>
      </w:pPr>
    </w:lvl>
  </w:abstractNum>
  <w:abstractNum w:abstractNumId="5">
    <w:nsid w:val="F3FDBD22"/>
    <w:multiLevelType w:val="singleLevel"/>
    <w:tmpl w:val="F3FDBD22"/>
    <w:lvl w:ilvl="0" w:tentative="0">
      <w:start w:val="1"/>
      <w:numFmt w:val="decimal"/>
      <w:suff w:val="space"/>
      <w:lvlText w:val="%1."/>
      <w:lvlJc w:val="left"/>
    </w:lvl>
  </w:abstractNum>
  <w:abstractNum w:abstractNumId="6">
    <w:nsid w:val="FBF617D5"/>
    <w:multiLevelType w:val="multilevel"/>
    <w:tmpl w:val="FBF617D5"/>
    <w:lvl w:ilvl="0" w:tentative="0">
      <w:start w:val="1"/>
      <w:numFmt w:val="decimal"/>
      <w:lvlText w:val="%1."/>
      <w:lvlJc w:val="left"/>
      <w:pPr>
        <w:ind w:left="440" w:hanging="440"/>
      </w:pPr>
    </w:lvl>
    <w:lvl w:ilvl="1" w:tentative="0">
      <w:start w:val="1"/>
      <w:numFmt w:val="decimal"/>
      <w:lvlText w:val="%1.%2."/>
      <w:lvlJc w:val="left"/>
      <w:pPr>
        <w:ind w:left="1100" w:hanging="660"/>
      </w:pPr>
    </w:lvl>
    <w:lvl w:ilvl="2" w:tentative="0">
      <w:start w:val="1"/>
      <w:numFmt w:val="decimal"/>
      <w:lvlRestart w:val="1"/>
      <w:lvlText w:val="%1.%2.%3."/>
      <w:lvlJc w:val="left"/>
      <w:pPr>
        <w:ind w:left="1760" w:hanging="880"/>
      </w:pPr>
    </w:lvl>
    <w:lvl w:ilvl="3" w:tentative="0">
      <w:start w:val="1"/>
      <w:numFmt w:val="decimal"/>
      <w:lvlRestart w:val="1"/>
      <w:lvlText w:val="%1.%2.%3.%4."/>
      <w:lvlJc w:val="left"/>
      <w:pPr>
        <w:ind w:left="2420" w:hanging="1100"/>
      </w:pPr>
    </w:lvl>
    <w:lvl w:ilvl="4" w:tentative="0">
      <w:start w:val="1"/>
      <w:numFmt w:val="decimal"/>
      <w:lvlRestart w:val="1"/>
      <w:lvlText w:val="%1.%2.%3.%4.%5."/>
      <w:lvlJc w:val="left"/>
      <w:pPr>
        <w:ind w:left="3080" w:hanging="1320"/>
      </w:pPr>
    </w:lvl>
    <w:lvl w:ilvl="5" w:tentative="0">
      <w:start w:val="1"/>
      <w:numFmt w:val="decimal"/>
      <w:lvlRestart w:val="1"/>
      <w:lvlText w:val="%1.%2.%3.%4.%5.%6."/>
      <w:lvlJc w:val="left"/>
      <w:pPr>
        <w:ind w:left="3740" w:hanging="1540"/>
      </w:pPr>
    </w:lvl>
    <w:lvl w:ilvl="6" w:tentative="0">
      <w:start w:val="1"/>
      <w:numFmt w:val="decimal"/>
      <w:lvlRestart w:val="1"/>
      <w:lvlText w:val="%1.%2.%3.%4.%5.%6.%7."/>
      <w:lvlJc w:val="left"/>
      <w:pPr>
        <w:ind w:left="4400" w:hanging="1760"/>
      </w:pPr>
    </w:lvl>
    <w:lvl w:ilvl="7" w:tentative="0">
      <w:start w:val="1"/>
      <w:numFmt w:val="decimal"/>
      <w:lvlRestart w:val="1"/>
      <w:lvlText w:val="%1.%2.%3.%4.%5.%6.%7.%8."/>
      <w:lvlJc w:val="left"/>
      <w:pPr>
        <w:ind w:left="5060" w:hanging="1980"/>
      </w:pPr>
    </w:lvl>
    <w:lvl w:ilvl="8" w:tentative="0">
      <w:start w:val="1"/>
      <w:numFmt w:val="decimal"/>
      <w:lvlRestart w:val="1"/>
      <w:lvlText w:val="%1.%2.%3.%4.%5.%6.%7.%8.%9."/>
      <w:lvlJc w:val="left"/>
      <w:pPr>
        <w:ind w:left="5720" w:hanging="2200"/>
      </w:pPr>
    </w:lvl>
  </w:abstractNum>
  <w:abstractNum w:abstractNumId="7">
    <w:nsid w:val="FEBF481D"/>
    <w:multiLevelType w:val="multilevel"/>
    <w:tmpl w:val="FEBF481D"/>
    <w:lvl w:ilvl="0" w:tentative="0">
      <w:start w:val="1"/>
      <w:numFmt w:val="decimal"/>
      <w:lvlText w:val="%1."/>
      <w:lvlJc w:val="left"/>
      <w:pPr>
        <w:ind w:left="440" w:hanging="440"/>
      </w:pPr>
    </w:lvl>
    <w:lvl w:ilvl="1" w:tentative="0">
      <w:start w:val="1"/>
      <w:numFmt w:val="decimal"/>
      <w:lvlText w:val="%1.%2."/>
      <w:lvlJc w:val="left"/>
      <w:pPr>
        <w:ind w:left="1100" w:hanging="660"/>
      </w:pPr>
    </w:lvl>
    <w:lvl w:ilvl="2" w:tentative="0">
      <w:start w:val="1"/>
      <w:numFmt w:val="decimal"/>
      <w:lvlRestart w:val="1"/>
      <w:lvlText w:val="%1.%2.%3."/>
      <w:lvlJc w:val="left"/>
      <w:pPr>
        <w:ind w:left="1760" w:hanging="880"/>
      </w:pPr>
    </w:lvl>
    <w:lvl w:ilvl="3" w:tentative="0">
      <w:start w:val="1"/>
      <w:numFmt w:val="decimal"/>
      <w:lvlRestart w:val="1"/>
      <w:lvlText w:val="%1.%2.%3.%4."/>
      <w:lvlJc w:val="left"/>
      <w:pPr>
        <w:ind w:left="2420" w:hanging="1100"/>
      </w:pPr>
    </w:lvl>
    <w:lvl w:ilvl="4" w:tentative="0">
      <w:start w:val="1"/>
      <w:numFmt w:val="decimal"/>
      <w:lvlRestart w:val="1"/>
      <w:lvlText w:val="%1.%2.%3.%4.%5."/>
      <w:lvlJc w:val="left"/>
      <w:pPr>
        <w:ind w:left="3080" w:hanging="1320"/>
      </w:pPr>
    </w:lvl>
    <w:lvl w:ilvl="5" w:tentative="0">
      <w:start w:val="1"/>
      <w:numFmt w:val="decimal"/>
      <w:lvlRestart w:val="1"/>
      <w:lvlText w:val="%1.%2.%3.%4.%5.%6."/>
      <w:lvlJc w:val="left"/>
      <w:pPr>
        <w:ind w:left="3740" w:hanging="1540"/>
      </w:pPr>
    </w:lvl>
    <w:lvl w:ilvl="6" w:tentative="0">
      <w:start w:val="1"/>
      <w:numFmt w:val="decimal"/>
      <w:lvlRestart w:val="1"/>
      <w:lvlText w:val="%1.%2.%3.%4.%5.%6.%7."/>
      <w:lvlJc w:val="left"/>
      <w:pPr>
        <w:ind w:left="4400" w:hanging="1760"/>
      </w:pPr>
    </w:lvl>
    <w:lvl w:ilvl="7" w:tentative="0">
      <w:start w:val="1"/>
      <w:numFmt w:val="decimal"/>
      <w:lvlRestart w:val="1"/>
      <w:lvlText w:val="%1.%2.%3.%4.%5.%6.%7.%8."/>
      <w:lvlJc w:val="left"/>
      <w:pPr>
        <w:ind w:left="5060" w:hanging="1980"/>
      </w:pPr>
    </w:lvl>
    <w:lvl w:ilvl="8" w:tentative="0">
      <w:start w:val="1"/>
      <w:numFmt w:val="decimal"/>
      <w:lvlRestart w:val="1"/>
      <w:lvlText w:val="%1.%2.%3.%4.%5.%6.%7.%8.%9."/>
      <w:lvlJc w:val="left"/>
      <w:pPr>
        <w:ind w:left="5720" w:hanging="2200"/>
      </w:pPr>
    </w:lvl>
  </w:abstractNum>
  <w:abstractNum w:abstractNumId="8">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9">
    <w:nsid w:val="0595501A"/>
    <w:multiLevelType w:val="multilevel"/>
    <w:tmpl w:val="0595501A"/>
    <w:lvl w:ilvl="0" w:tentative="0">
      <w:start w:val="1"/>
      <w:numFmt w:val="decimal"/>
      <w:suff w:val="space"/>
      <w:lvlText w:val="%1."/>
      <w:lvlJc w:val="left"/>
      <w:pPr>
        <w:ind w:left="0" w:firstLine="0"/>
      </w:pPr>
      <w:rPr>
        <w:rFonts w:hint="eastAsia"/>
      </w:rPr>
    </w:lvl>
    <w:lvl w:ilvl="1" w:tentative="0">
      <w:start w:val="1"/>
      <w:numFmt w:val="decimal"/>
      <w:isLgl/>
      <w:suff w:val="space"/>
      <w:lvlText w:val="%1.%2"/>
      <w:lvlJc w:val="left"/>
      <w:pPr>
        <w:ind w:left="0" w:firstLine="0"/>
      </w:pPr>
      <w:rPr>
        <w:rFonts w:hint="eastAsia"/>
      </w:rPr>
    </w:lvl>
    <w:lvl w:ilvl="2" w:tentative="0">
      <w:start w:val="1"/>
      <w:numFmt w:val="decimal"/>
      <w:pStyle w:val="93"/>
      <w:isLgl/>
      <w:suff w:val="space"/>
      <w:lvlText w:val="%1.%2.%3"/>
      <w:lvlJc w:val="left"/>
      <w:pPr>
        <w:ind w:left="0" w:firstLine="0"/>
      </w:pPr>
      <w:rPr>
        <w:rFonts w:hint="eastAsia"/>
        <w:b w:val="0"/>
        <w:i w:val="0"/>
        <w:color w:val="auto"/>
      </w:rPr>
    </w:lvl>
    <w:lvl w:ilvl="3" w:tentative="0">
      <w:start w:val="1"/>
      <w:numFmt w:val="decimal"/>
      <w:isLgl/>
      <w:suff w:val="space"/>
      <w:lvlText w:val="%1.%2.%3.%4"/>
      <w:lvlJc w:val="left"/>
      <w:pPr>
        <w:ind w:left="0" w:firstLine="0"/>
      </w:pPr>
      <w:rPr>
        <w:rFonts w:hint="eastAsia"/>
      </w:rPr>
    </w:lvl>
    <w:lvl w:ilvl="4" w:tentative="0">
      <w:start w:val="1"/>
      <w:numFmt w:val="decimal"/>
      <w:isLgl/>
      <w:lvlText w:val="%1.%2.%3.%4.%5"/>
      <w:lvlJc w:val="left"/>
      <w:pPr>
        <w:tabs>
          <w:tab w:val="left" w:pos="0"/>
        </w:tabs>
        <w:ind w:left="0" w:firstLine="0"/>
      </w:pPr>
      <w:rPr>
        <w:rFonts w:hint="eastAsia"/>
      </w:rPr>
    </w:lvl>
    <w:lvl w:ilvl="5" w:tentative="0">
      <w:start w:val="1"/>
      <w:numFmt w:val="decimal"/>
      <w:lvlText w:val="%1.%2.%3.%4.%5.%6"/>
      <w:lvlJc w:val="left"/>
      <w:pPr>
        <w:tabs>
          <w:tab w:val="left" w:pos="6086"/>
        </w:tabs>
        <w:ind w:left="3260" w:hanging="1134"/>
      </w:pPr>
      <w:rPr>
        <w:rFonts w:hint="eastAsia"/>
      </w:rPr>
    </w:lvl>
    <w:lvl w:ilvl="6" w:tentative="0">
      <w:start w:val="1"/>
      <w:numFmt w:val="decimal"/>
      <w:lvlText w:val="%1.%2.%3.%4.%5.%6.%7"/>
      <w:lvlJc w:val="left"/>
      <w:pPr>
        <w:tabs>
          <w:tab w:val="left" w:pos="7231"/>
        </w:tabs>
        <w:ind w:left="3827" w:hanging="1276"/>
      </w:pPr>
      <w:rPr>
        <w:rFonts w:hint="eastAsia"/>
      </w:rPr>
    </w:lvl>
    <w:lvl w:ilvl="7" w:tentative="0">
      <w:start w:val="1"/>
      <w:numFmt w:val="decimal"/>
      <w:lvlText w:val="%1.%2.%3.%4.%5.%6.%7.%8"/>
      <w:lvlJc w:val="left"/>
      <w:pPr>
        <w:tabs>
          <w:tab w:val="left" w:pos="8376"/>
        </w:tabs>
        <w:ind w:left="4394" w:hanging="1418"/>
      </w:pPr>
      <w:rPr>
        <w:rFonts w:hint="eastAsia"/>
      </w:rPr>
    </w:lvl>
    <w:lvl w:ilvl="8" w:tentative="0">
      <w:start w:val="1"/>
      <w:numFmt w:val="decimal"/>
      <w:lvlText w:val="%1.%2.%3.%4.%5.%6.%7.%8.%9"/>
      <w:lvlJc w:val="left"/>
      <w:pPr>
        <w:tabs>
          <w:tab w:val="left" w:pos="9522"/>
        </w:tabs>
        <w:ind w:left="5102" w:hanging="1700"/>
      </w:pPr>
      <w:rPr>
        <w:rFonts w:hint="eastAsia"/>
      </w:rPr>
    </w:lvl>
  </w:abstractNum>
  <w:abstractNum w:abstractNumId="10">
    <w:nsid w:val="3BFE5F2F"/>
    <w:multiLevelType w:val="multilevel"/>
    <w:tmpl w:val="3BFE5F2F"/>
    <w:lvl w:ilvl="0" w:tentative="0">
      <w:start w:val="1"/>
      <w:numFmt w:val="decimal"/>
      <w:lvlText w:val="%1."/>
      <w:lvlJc w:val="left"/>
      <w:pPr>
        <w:ind w:left="440" w:hanging="440"/>
      </w:pPr>
    </w:lvl>
    <w:lvl w:ilvl="1" w:tentative="0">
      <w:start w:val="1"/>
      <w:numFmt w:val="decimal"/>
      <w:lvlText w:val="%1.%2."/>
      <w:lvlJc w:val="left"/>
      <w:pPr>
        <w:ind w:left="1100" w:hanging="660"/>
      </w:pPr>
    </w:lvl>
    <w:lvl w:ilvl="2" w:tentative="0">
      <w:start w:val="1"/>
      <w:numFmt w:val="decimal"/>
      <w:lvlRestart w:val="1"/>
      <w:lvlText w:val="%1.%2.%3."/>
      <w:lvlJc w:val="left"/>
      <w:pPr>
        <w:ind w:left="1760" w:hanging="880"/>
      </w:pPr>
    </w:lvl>
    <w:lvl w:ilvl="3" w:tentative="0">
      <w:start w:val="1"/>
      <w:numFmt w:val="decimal"/>
      <w:lvlRestart w:val="1"/>
      <w:lvlText w:val="%1.%2.%3.%4."/>
      <w:lvlJc w:val="left"/>
      <w:pPr>
        <w:ind w:left="2420" w:hanging="1100"/>
      </w:pPr>
    </w:lvl>
    <w:lvl w:ilvl="4" w:tentative="0">
      <w:start w:val="1"/>
      <w:numFmt w:val="decimal"/>
      <w:lvlRestart w:val="1"/>
      <w:lvlText w:val="%1.%2.%3.%4.%5."/>
      <w:lvlJc w:val="left"/>
      <w:pPr>
        <w:ind w:left="3080" w:hanging="1320"/>
      </w:pPr>
    </w:lvl>
    <w:lvl w:ilvl="5" w:tentative="0">
      <w:start w:val="1"/>
      <w:numFmt w:val="decimal"/>
      <w:lvlRestart w:val="1"/>
      <w:lvlText w:val="%1.%2.%3.%4.%5.%6."/>
      <w:lvlJc w:val="left"/>
      <w:pPr>
        <w:ind w:left="3740" w:hanging="1540"/>
      </w:pPr>
    </w:lvl>
    <w:lvl w:ilvl="6" w:tentative="0">
      <w:start w:val="1"/>
      <w:numFmt w:val="decimal"/>
      <w:lvlRestart w:val="1"/>
      <w:lvlText w:val="%1.%2.%3.%4.%5.%6.%7."/>
      <w:lvlJc w:val="left"/>
      <w:pPr>
        <w:ind w:left="4400" w:hanging="1760"/>
      </w:pPr>
    </w:lvl>
    <w:lvl w:ilvl="7" w:tentative="0">
      <w:start w:val="1"/>
      <w:numFmt w:val="decimal"/>
      <w:lvlRestart w:val="1"/>
      <w:lvlText w:val="%1.%2.%3.%4.%5.%6.%7.%8."/>
      <w:lvlJc w:val="left"/>
      <w:pPr>
        <w:ind w:left="5060" w:hanging="1980"/>
      </w:pPr>
    </w:lvl>
    <w:lvl w:ilvl="8" w:tentative="0">
      <w:start w:val="1"/>
      <w:numFmt w:val="decimal"/>
      <w:lvlRestart w:val="1"/>
      <w:lvlText w:val="%1.%2.%3.%4.%5.%6.%7.%8.%9."/>
      <w:lvlJc w:val="left"/>
      <w:pPr>
        <w:ind w:left="5720" w:hanging="2200"/>
      </w:pPr>
    </w:lvl>
  </w:abstractNum>
  <w:abstractNum w:abstractNumId="11">
    <w:nsid w:val="3DF5DA23"/>
    <w:multiLevelType w:val="multilevel"/>
    <w:tmpl w:val="3DF5DA23"/>
    <w:lvl w:ilvl="0" w:tentative="0">
      <w:start w:val="1"/>
      <w:numFmt w:val="decimal"/>
      <w:lvlText w:val="%1."/>
      <w:lvlJc w:val="left"/>
      <w:pPr>
        <w:ind w:left="440" w:hanging="440"/>
      </w:pPr>
    </w:lvl>
    <w:lvl w:ilvl="1" w:tentative="0">
      <w:start w:val="1"/>
      <w:numFmt w:val="decimal"/>
      <w:lvlText w:val="%1.%2."/>
      <w:lvlJc w:val="left"/>
      <w:pPr>
        <w:ind w:left="1100" w:hanging="660"/>
      </w:pPr>
    </w:lvl>
    <w:lvl w:ilvl="2" w:tentative="0">
      <w:start w:val="1"/>
      <w:numFmt w:val="decimal"/>
      <w:lvlRestart w:val="1"/>
      <w:lvlText w:val="%1.%2.%3."/>
      <w:lvlJc w:val="left"/>
      <w:pPr>
        <w:ind w:left="1760" w:hanging="880"/>
      </w:pPr>
    </w:lvl>
    <w:lvl w:ilvl="3" w:tentative="0">
      <w:start w:val="1"/>
      <w:numFmt w:val="decimal"/>
      <w:lvlRestart w:val="1"/>
      <w:lvlText w:val="%1.%2.%3.%4."/>
      <w:lvlJc w:val="left"/>
      <w:pPr>
        <w:ind w:left="2420" w:hanging="1100"/>
      </w:pPr>
    </w:lvl>
    <w:lvl w:ilvl="4" w:tentative="0">
      <w:start w:val="1"/>
      <w:numFmt w:val="decimal"/>
      <w:lvlRestart w:val="1"/>
      <w:lvlText w:val="%1.%2.%3.%4.%5."/>
      <w:lvlJc w:val="left"/>
      <w:pPr>
        <w:ind w:left="3080" w:hanging="1320"/>
      </w:pPr>
    </w:lvl>
    <w:lvl w:ilvl="5" w:tentative="0">
      <w:start w:val="1"/>
      <w:numFmt w:val="decimal"/>
      <w:lvlRestart w:val="1"/>
      <w:lvlText w:val="%1.%2.%3.%4.%5.%6."/>
      <w:lvlJc w:val="left"/>
      <w:pPr>
        <w:ind w:left="3740" w:hanging="1540"/>
      </w:pPr>
    </w:lvl>
    <w:lvl w:ilvl="6" w:tentative="0">
      <w:start w:val="1"/>
      <w:numFmt w:val="decimal"/>
      <w:lvlRestart w:val="1"/>
      <w:lvlText w:val="%1.%2.%3.%4.%5.%6.%7."/>
      <w:lvlJc w:val="left"/>
      <w:pPr>
        <w:ind w:left="4400" w:hanging="1760"/>
      </w:pPr>
    </w:lvl>
    <w:lvl w:ilvl="7" w:tentative="0">
      <w:start w:val="1"/>
      <w:numFmt w:val="decimal"/>
      <w:lvlRestart w:val="1"/>
      <w:lvlText w:val="%1.%2.%3.%4.%5.%6.%7.%8."/>
      <w:lvlJc w:val="left"/>
      <w:pPr>
        <w:ind w:left="5060" w:hanging="1980"/>
      </w:pPr>
    </w:lvl>
    <w:lvl w:ilvl="8" w:tentative="0">
      <w:start w:val="1"/>
      <w:numFmt w:val="decimal"/>
      <w:lvlRestart w:val="1"/>
      <w:lvlText w:val="%1.%2.%3.%4.%5.%6.%7.%8.%9."/>
      <w:lvlJc w:val="left"/>
      <w:pPr>
        <w:ind w:left="5720" w:hanging="2200"/>
      </w:pPr>
    </w:lvl>
  </w:abstractNum>
  <w:abstractNum w:abstractNumId="12">
    <w:nsid w:val="7BE66215"/>
    <w:multiLevelType w:val="multilevel"/>
    <w:tmpl w:val="7BE66215"/>
    <w:lvl w:ilvl="0" w:tentative="0">
      <w:start w:val="1"/>
      <w:numFmt w:val="decimal"/>
      <w:lvlText w:val="%1."/>
      <w:lvlJc w:val="left"/>
      <w:pPr>
        <w:ind w:left="440" w:hanging="440"/>
      </w:pPr>
    </w:lvl>
    <w:lvl w:ilvl="1" w:tentative="0">
      <w:start w:val="1"/>
      <w:numFmt w:val="decimal"/>
      <w:lvlText w:val="%1.%2."/>
      <w:lvlJc w:val="left"/>
      <w:pPr>
        <w:ind w:left="1100" w:hanging="660"/>
      </w:pPr>
    </w:lvl>
    <w:lvl w:ilvl="2" w:tentative="0">
      <w:start w:val="1"/>
      <w:numFmt w:val="decimal"/>
      <w:lvlRestart w:val="1"/>
      <w:lvlText w:val="%1.%2.%3."/>
      <w:lvlJc w:val="left"/>
      <w:pPr>
        <w:ind w:left="1760" w:hanging="880"/>
      </w:pPr>
    </w:lvl>
    <w:lvl w:ilvl="3" w:tentative="0">
      <w:start w:val="1"/>
      <w:numFmt w:val="decimal"/>
      <w:lvlRestart w:val="1"/>
      <w:lvlText w:val="%1.%2.%3.%4."/>
      <w:lvlJc w:val="left"/>
      <w:pPr>
        <w:ind w:left="2420" w:hanging="1100"/>
      </w:pPr>
    </w:lvl>
    <w:lvl w:ilvl="4" w:tentative="0">
      <w:start w:val="1"/>
      <w:numFmt w:val="decimal"/>
      <w:lvlRestart w:val="1"/>
      <w:lvlText w:val="%1.%2.%3.%4.%5."/>
      <w:lvlJc w:val="left"/>
      <w:pPr>
        <w:ind w:left="3080" w:hanging="1320"/>
      </w:pPr>
    </w:lvl>
    <w:lvl w:ilvl="5" w:tentative="0">
      <w:start w:val="1"/>
      <w:numFmt w:val="decimal"/>
      <w:lvlRestart w:val="1"/>
      <w:lvlText w:val="%1.%2.%3.%4.%5.%6."/>
      <w:lvlJc w:val="left"/>
      <w:pPr>
        <w:ind w:left="3740" w:hanging="1540"/>
      </w:pPr>
    </w:lvl>
    <w:lvl w:ilvl="6" w:tentative="0">
      <w:start w:val="1"/>
      <w:numFmt w:val="decimal"/>
      <w:lvlRestart w:val="1"/>
      <w:lvlText w:val="%1.%2.%3.%4.%5.%6.%7."/>
      <w:lvlJc w:val="left"/>
      <w:pPr>
        <w:ind w:left="4400" w:hanging="1760"/>
      </w:pPr>
    </w:lvl>
    <w:lvl w:ilvl="7" w:tentative="0">
      <w:start w:val="1"/>
      <w:numFmt w:val="decimal"/>
      <w:lvlRestart w:val="1"/>
      <w:lvlText w:val="%1.%2.%3.%4.%5.%6.%7.%8."/>
      <w:lvlJc w:val="left"/>
      <w:pPr>
        <w:ind w:left="5060" w:hanging="1980"/>
      </w:pPr>
    </w:lvl>
    <w:lvl w:ilvl="8" w:tentative="0">
      <w:start w:val="1"/>
      <w:numFmt w:val="decimal"/>
      <w:lvlRestart w:val="1"/>
      <w:lvlText w:val="%1.%2.%3.%4.%5.%6.%7.%8.%9."/>
      <w:lvlJc w:val="left"/>
      <w:pPr>
        <w:ind w:left="5720" w:hanging="2200"/>
      </w:pPr>
    </w:lvl>
  </w:abstractNum>
  <w:num w:numId="1">
    <w:abstractNumId w:val="9"/>
  </w:num>
  <w:num w:numId="2">
    <w:abstractNumId w:val="4"/>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2"/>
  </w:num>
  <w:num w:numId="6">
    <w:abstractNumId w:val="12"/>
  </w:num>
  <w:num w:numId="7">
    <w:abstractNumId w:val="6"/>
  </w:num>
  <w:num w:numId="8">
    <w:abstractNumId w:val="0"/>
  </w:num>
  <w:num w:numId="9">
    <w:abstractNumId w:val="1"/>
  </w:num>
  <w:num w:numId="10">
    <w:abstractNumId w:val="10"/>
  </w:num>
  <w:num w:numId="11">
    <w:abstractNumId w:val="11"/>
  </w:num>
  <w:num w:numId="12">
    <w:abstractNumId w:val="3"/>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xNmM0Mjc3MDgxNWQ4NjVjYWMyNGJiN2Y4YTU1ZDkifQ=="/>
  </w:docVars>
  <w:rsids>
    <w:rsidRoot w:val="00172A27"/>
    <w:rsid w:val="00000672"/>
    <w:rsid w:val="00001013"/>
    <w:rsid w:val="00001799"/>
    <w:rsid w:val="00001AF2"/>
    <w:rsid w:val="00001ECA"/>
    <w:rsid w:val="00002D29"/>
    <w:rsid w:val="00003B93"/>
    <w:rsid w:val="0000474D"/>
    <w:rsid w:val="00005FDF"/>
    <w:rsid w:val="000070B3"/>
    <w:rsid w:val="000076B8"/>
    <w:rsid w:val="0001047A"/>
    <w:rsid w:val="000109DC"/>
    <w:rsid w:val="00010D39"/>
    <w:rsid w:val="0001172C"/>
    <w:rsid w:val="00011A4D"/>
    <w:rsid w:val="00011BC9"/>
    <w:rsid w:val="00012854"/>
    <w:rsid w:val="00012EA6"/>
    <w:rsid w:val="00013359"/>
    <w:rsid w:val="000139CF"/>
    <w:rsid w:val="00013AA4"/>
    <w:rsid w:val="00013DFE"/>
    <w:rsid w:val="000141EA"/>
    <w:rsid w:val="00015094"/>
    <w:rsid w:val="00016ABC"/>
    <w:rsid w:val="000176C5"/>
    <w:rsid w:val="000177DB"/>
    <w:rsid w:val="000179C9"/>
    <w:rsid w:val="00017CCC"/>
    <w:rsid w:val="00020227"/>
    <w:rsid w:val="00020263"/>
    <w:rsid w:val="00020455"/>
    <w:rsid w:val="00020527"/>
    <w:rsid w:val="00020813"/>
    <w:rsid w:val="000220B2"/>
    <w:rsid w:val="0002264C"/>
    <w:rsid w:val="00022731"/>
    <w:rsid w:val="00022792"/>
    <w:rsid w:val="00024463"/>
    <w:rsid w:val="00025461"/>
    <w:rsid w:val="00025636"/>
    <w:rsid w:val="00025E36"/>
    <w:rsid w:val="00026855"/>
    <w:rsid w:val="00026886"/>
    <w:rsid w:val="0002785D"/>
    <w:rsid w:val="000329E0"/>
    <w:rsid w:val="00032E5A"/>
    <w:rsid w:val="00034390"/>
    <w:rsid w:val="000352E9"/>
    <w:rsid w:val="00035494"/>
    <w:rsid w:val="00036125"/>
    <w:rsid w:val="00036A07"/>
    <w:rsid w:val="0003780B"/>
    <w:rsid w:val="00040571"/>
    <w:rsid w:val="00040973"/>
    <w:rsid w:val="0004156E"/>
    <w:rsid w:val="00041713"/>
    <w:rsid w:val="0004440C"/>
    <w:rsid w:val="00046B5E"/>
    <w:rsid w:val="000470CB"/>
    <w:rsid w:val="000509D9"/>
    <w:rsid w:val="00051316"/>
    <w:rsid w:val="00051ACB"/>
    <w:rsid w:val="00052451"/>
    <w:rsid w:val="000533E7"/>
    <w:rsid w:val="00055D41"/>
    <w:rsid w:val="00057CD6"/>
    <w:rsid w:val="00060DCE"/>
    <w:rsid w:val="000610E3"/>
    <w:rsid w:val="000614F3"/>
    <w:rsid w:val="000623B4"/>
    <w:rsid w:val="00062405"/>
    <w:rsid w:val="000634A7"/>
    <w:rsid w:val="00063B0B"/>
    <w:rsid w:val="00063F81"/>
    <w:rsid w:val="00064847"/>
    <w:rsid w:val="00065E08"/>
    <w:rsid w:val="000673E2"/>
    <w:rsid w:val="0007063F"/>
    <w:rsid w:val="00070740"/>
    <w:rsid w:val="000707FD"/>
    <w:rsid w:val="00070949"/>
    <w:rsid w:val="000711E4"/>
    <w:rsid w:val="000724D9"/>
    <w:rsid w:val="00072AED"/>
    <w:rsid w:val="00073F47"/>
    <w:rsid w:val="0007492F"/>
    <w:rsid w:val="00074ED8"/>
    <w:rsid w:val="000752AF"/>
    <w:rsid w:val="00075B7E"/>
    <w:rsid w:val="00077ACA"/>
    <w:rsid w:val="00077C70"/>
    <w:rsid w:val="000813B5"/>
    <w:rsid w:val="00081BA3"/>
    <w:rsid w:val="00081D2E"/>
    <w:rsid w:val="00081F89"/>
    <w:rsid w:val="00082619"/>
    <w:rsid w:val="00082D02"/>
    <w:rsid w:val="00083871"/>
    <w:rsid w:val="00083B91"/>
    <w:rsid w:val="0008473C"/>
    <w:rsid w:val="0008520B"/>
    <w:rsid w:val="000860BD"/>
    <w:rsid w:val="000871B8"/>
    <w:rsid w:val="000916DA"/>
    <w:rsid w:val="00092442"/>
    <w:rsid w:val="000929EF"/>
    <w:rsid w:val="000933BE"/>
    <w:rsid w:val="00093CD4"/>
    <w:rsid w:val="0009560F"/>
    <w:rsid w:val="0009588E"/>
    <w:rsid w:val="000959EE"/>
    <w:rsid w:val="00097183"/>
    <w:rsid w:val="000972CB"/>
    <w:rsid w:val="00097608"/>
    <w:rsid w:val="000A13F3"/>
    <w:rsid w:val="000A23B1"/>
    <w:rsid w:val="000A2B0E"/>
    <w:rsid w:val="000A398F"/>
    <w:rsid w:val="000A3BB7"/>
    <w:rsid w:val="000A448C"/>
    <w:rsid w:val="000A509C"/>
    <w:rsid w:val="000A54A7"/>
    <w:rsid w:val="000A6007"/>
    <w:rsid w:val="000A65A6"/>
    <w:rsid w:val="000A70E3"/>
    <w:rsid w:val="000A7275"/>
    <w:rsid w:val="000A7A12"/>
    <w:rsid w:val="000A7A72"/>
    <w:rsid w:val="000B1202"/>
    <w:rsid w:val="000B1801"/>
    <w:rsid w:val="000B1D0C"/>
    <w:rsid w:val="000B2273"/>
    <w:rsid w:val="000B2585"/>
    <w:rsid w:val="000B2BC6"/>
    <w:rsid w:val="000B2D03"/>
    <w:rsid w:val="000B3815"/>
    <w:rsid w:val="000B3C7B"/>
    <w:rsid w:val="000B4321"/>
    <w:rsid w:val="000B552E"/>
    <w:rsid w:val="000B6A6B"/>
    <w:rsid w:val="000B6C95"/>
    <w:rsid w:val="000B79FC"/>
    <w:rsid w:val="000B7BD1"/>
    <w:rsid w:val="000C02B1"/>
    <w:rsid w:val="000C1679"/>
    <w:rsid w:val="000C1EE3"/>
    <w:rsid w:val="000C3AE7"/>
    <w:rsid w:val="000C3CC9"/>
    <w:rsid w:val="000C5ED6"/>
    <w:rsid w:val="000C6DE4"/>
    <w:rsid w:val="000C7202"/>
    <w:rsid w:val="000D0A89"/>
    <w:rsid w:val="000D0AFC"/>
    <w:rsid w:val="000D1389"/>
    <w:rsid w:val="000D1798"/>
    <w:rsid w:val="000D2626"/>
    <w:rsid w:val="000D291C"/>
    <w:rsid w:val="000D3FB6"/>
    <w:rsid w:val="000D411D"/>
    <w:rsid w:val="000D4589"/>
    <w:rsid w:val="000D4809"/>
    <w:rsid w:val="000D73DD"/>
    <w:rsid w:val="000E1C51"/>
    <w:rsid w:val="000E28AB"/>
    <w:rsid w:val="000E2E3E"/>
    <w:rsid w:val="000E3583"/>
    <w:rsid w:val="000E3AF0"/>
    <w:rsid w:val="000E4E04"/>
    <w:rsid w:val="000E693B"/>
    <w:rsid w:val="000E6EC9"/>
    <w:rsid w:val="000E70B4"/>
    <w:rsid w:val="000E7B62"/>
    <w:rsid w:val="000F0E1E"/>
    <w:rsid w:val="000F17E5"/>
    <w:rsid w:val="000F1A1B"/>
    <w:rsid w:val="000F2A95"/>
    <w:rsid w:val="000F3281"/>
    <w:rsid w:val="000F32FD"/>
    <w:rsid w:val="000F3733"/>
    <w:rsid w:val="000F439E"/>
    <w:rsid w:val="000F5F8B"/>
    <w:rsid w:val="000F6153"/>
    <w:rsid w:val="000F63C8"/>
    <w:rsid w:val="000F64AA"/>
    <w:rsid w:val="000F7AF4"/>
    <w:rsid w:val="000F7C33"/>
    <w:rsid w:val="000F7F0C"/>
    <w:rsid w:val="001004D6"/>
    <w:rsid w:val="00102676"/>
    <w:rsid w:val="00103646"/>
    <w:rsid w:val="00103918"/>
    <w:rsid w:val="00104897"/>
    <w:rsid w:val="00104EDE"/>
    <w:rsid w:val="00105CDA"/>
    <w:rsid w:val="00106BEE"/>
    <w:rsid w:val="00107C74"/>
    <w:rsid w:val="0011091C"/>
    <w:rsid w:val="00111266"/>
    <w:rsid w:val="001112EB"/>
    <w:rsid w:val="00112768"/>
    <w:rsid w:val="00113678"/>
    <w:rsid w:val="00113C3E"/>
    <w:rsid w:val="00115E11"/>
    <w:rsid w:val="00115EEE"/>
    <w:rsid w:val="00115F56"/>
    <w:rsid w:val="00116CA9"/>
    <w:rsid w:val="00116F38"/>
    <w:rsid w:val="001170A4"/>
    <w:rsid w:val="00117AE7"/>
    <w:rsid w:val="00117CBD"/>
    <w:rsid w:val="0012006A"/>
    <w:rsid w:val="00121979"/>
    <w:rsid w:val="00122064"/>
    <w:rsid w:val="00124341"/>
    <w:rsid w:val="00124492"/>
    <w:rsid w:val="00124B12"/>
    <w:rsid w:val="001250A0"/>
    <w:rsid w:val="001263B8"/>
    <w:rsid w:val="0012763E"/>
    <w:rsid w:val="00130217"/>
    <w:rsid w:val="00130783"/>
    <w:rsid w:val="00130A47"/>
    <w:rsid w:val="00130D7C"/>
    <w:rsid w:val="00132B47"/>
    <w:rsid w:val="001337F8"/>
    <w:rsid w:val="001348B4"/>
    <w:rsid w:val="001351CB"/>
    <w:rsid w:val="00135530"/>
    <w:rsid w:val="00135947"/>
    <w:rsid w:val="001359A2"/>
    <w:rsid w:val="00135F92"/>
    <w:rsid w:val="00136020"/>
    <w:rsid w:val="00136445"/>
    <w:rsid w:val="00140132"/>
    <w:rsid w:val="00141C9C"/>
    <w:rsid w:val="0014277F"/>
    <w:rsid w:val="001434BE"/>
    <w:rsid w:val="00144050"/>
    <w:rsid w:val="0014479F"/>
    <w:rsid w:val="001452B4"/>
    <w:rsid w:val="00145320"/>
    <w:rsid w:val="001476D3"/>
    <w:rsid w:val="001509CF"/>
    <w:rsid w:val="00150D1D"/>
    <w:rsid w:val="001525AA"/>
    <w:rsid w:val="00152A87"/>
    <w:rsid w:val="00153BB5"/>
    <w:rsid w:val="00154518"/>
    <w:rsid w:val="00156359"/>
    <w:rsid w:val="001568F3"/>
    <w:rsid w:val="00156DD6"/>
    <w:rsid w:val="0016086E"/>
    <w:rsid w:val="00160D0C"/>
    <w:rsid w:val="00161172"/>
    <w:rsid w:val="00161998"/>
    <w:rsid w:val="00161E65"/>
    <w:rsid w:val="00162597"/>
    <w:rsid w:val="001629AF"/>
    <w:rsid w:val="001629FD"/>
    <w:rsid w:val="0016428A"/>
    <w:rsid w:val="001647C9"/>
    <w:rsid w:val="001655B2"/>
    <w:rsid w:val="00165627"/>
    <w:rsid w:val="00165929"/>
    <w:rsid w:val="001661A3"/>
    <w:rsid w:val="00167226"/>
    <w:rsid w:val="0016782B"/>
    <w:rsid w:val="0016784D"/>
    <w:rsid w:val="00172CA8"/>
    <w:rsid w:val="00173256"/>
    <w:rsid w:val="00173B0E"/>
    <w:rsid w:val="00173E03"/>
    <w:rsid w:val="00174182"/>
    <w:rsid w:val="0017512C"/>
    <w:rsid w:val="0017586A"/>
    <w:rsid w:val="00175BA6"/>
    <w:rsid w:val="00176CA7"/>
    <w:rsid w:val="00176F8E"/>
    <w:rsid w:val="001778C5"/>
    <w:rsid w:val="00177E56"/>
    <w:rsid w:val="00177F0A"/>
    <w:rsid w:val="00180DA0"/>
    <w:rsid w:val="00181EAD"/>
    <w:rsid w:val="00181F43"/>
    <w:rsid w:val="00182862"/>
    <w:rsid w:val="00184F57"/>
    <w:rsid w:val="00185544"/>
    <w:rsid w:val="00185617"/>
    <w:rsid w:val="00186823"/>
    <w:rsid w:val="00186FE1"/>
    <w:rsid w:val="00187A14"/>
    <w:rsid w:val="0019171E"/>
    <w:rsid w:val="00192368"/>
    <w:rsid w:val="001923A0"/>
    <w:rsid w:val="001928B1"/>
    <w:rsid w:val="00193537"/>
    <w:rsid w:val="00193846"/>
    <w:rsid w:val="00194EC8"/>
    <w:rsid w:val="00195424"/>
    <w:rsid w:val="001955FF"/>
    <w:rsid w:val="00196D6E"/>
    <w:rsid w:val="00197EDD"/>
    <w:rsid w:val="001A02B3"/>
    <w:rsid w:val="001A04BB"/>
    <w:rsid w:val="001A08D0"/>
    <w:rsid w:val="001A1B39"/>
    <w:rsid w:val="001A2120"/>
    <w:rsid w:val="001A28C6"/>
    <w:rsid w:val="001A2E69"/>
    <w:rsid w:val="001A3C34"/>
    <w:rsid w:val="001A3EDE"/>
    <w:rsid w:val="001A4222"/>
    <w:rsid w:val="001A50EA"/>
    <w:rsid w:val="001A5BA2"/>
    <w:rsid w:val="001A5E24"/>
    <w:rsid w:val="001A6B27"/>
    <w:rsid w:val="001A6D8B"/>
    <w:rsid w:val="001A6DAA"/>
    <w:rsid w:val="001A7717"/>
    <w:rsid w:val="001A793A"/>
    <w:rsid w:val="001B125A"/>
    <w:rsid w:val="001B1EBA"/>
    <w:rsid w:val="001B2142"/>
    <w:rsid w:val="001B2F2B"/>
    <w:rsid w:val="001B327A"/>
    <w:rsid w:val="001B35DE"/>
    <w:rsid w:val="001B3A13"/>
    <w:rsid w:val="001B3F5C"/>
    <w:rsid w:val="001B59FF"/>
    <w:rsid w:val="001B6512"/>
    <w:rsid w:val="001B65D7"/>
    <w:rsid w:val="001B6752"/>
    <w:rsid w:val="001B6768"/>
    <w:rsid w:val="001B6F1F"/>
    <w:rsid w:val="001B7CD7"/>
    <w:rsid w:val="001B7ECC"/>
    <w:rsid w:val="001C025B"/>
    <w:rsid w:val="001C115F"/>
    <w:rsid w:val="001C1EAB"/>
    <w:rsid w:val="001C25A7"/>
    <w:rsid w:val="001C318C"/>
    <w:rsid w:val="001C35C4"/>
    <w:rsid w:val="001C4287"/>
    <w:rsid w:val="001C4479"/>
    <w:rsid w:val="001C5190"/>
    <w:rsid w:val="001C6081"/>
    <w:rsid w:val="001C6F1B"/>
    <w:rsid w:val="001C7B48"/>
    <w:rsid w:val="001D0CFB"/>
    <w:rsid w:val="001D1A0D"/>
    <w:rsid w:val="001D343C"/>
    <w:rsid w:val="001D34F5"/>
    <w:rsid w:val="001D56FC"/>
    <w:rsid w:val="001D58A1"/>
    <w:rsid w:val="001D58C2"/>
    <w:rsid w:val="001D5A8A"/>
    <w:rsid w:val="001D61CA"/>
    <w:rsid w:val="001D6E87"/>
    <w:rsid w:val="001D735E"/>
    <w:rsid w:val="001D73C8"/>
    <w:rsid w:val="001D7BC6"/>
    <w:rsid w:val="001E129E"/>
    <w:rsid w:val="001E175C"/>
    <w:rsid w:val="001E1B0E"/>
    <w:rsid w:val="001E3B63"/>
    <w:rsid w:val="001E522E"/>
    <w:rsid w:val="001E5A94"/>
    <w:rsid w:val="001E5F6F"/>
    <w:rsid w:val="001F0373"/>
    <w:rsid w:val="001F2A2E"/>
    <w:rsid w:val="001F2BB8"/>
    <w:rsid w:val="001F3356"/>
    <w:rsid w:val="001F3C63"/>
    <w:rsid w:val="001F4460"/>
    <w:rsid w:val="001F4F4F"/>
    <w:rsid w:val="001F711A"/>
    <w:rsid w:val="001F75B0"/>
    <w:rsid w:val="00200CE5"/>
    <w:rsid w:val="00200F7C"/>
    <w:rsid w:val="002014DB"/>
    <w:rsid w:val="0020150B"/>
    <w:rsid w:val="00201E12"/>
    <w:rsid w:val="002033B5"/>
    <w:rsid w:val="0020382C"/>
    <w:rsid w:val="0020437A"/>
    <w:rsid w:val="0020454C"/>
    <w:rsid w:val="00204740"/>
    <w:rsid w:val="00205129"/>
    <w:rsid w:val="0020521F"/>
    <w:rsid w:val="0020532C"/>
    <w:rsid w:val="0021060F"/>
    <w:rsid w:val="002114C7"/>
    <w:rsid w:val="0021302C"/>
    <w:rsid w:val="00213B1C"/>
    <w:rsid w:val="00214202"/>
    <w:rsid w:val="002148E3"/>
    <w:rsid w:val="00214FD7"/>
    <w:rsid w:val="0021552D"/>
    <w:rsid w:val="002156AE"/>
    <w:rsid w:val="00215E99"/>
    <w:rsid w:val="0022054D"/>
    <w:rsid w:val="00223DDB"/>
    <w:rsid w:val="00223FA4"/>
    <w:rsid w:val="00223FB0"/>
    <w:rsid w:val="00224067"/>
    <w:rsid w:val="0022421C"/>
    <w:rsid w:val="00224E83"/>
    <w:rsid w:val="00225664"/>
    <w:rsid w:val="0022663D"/>
    <w:rsid w:val="00227F2D"/>
    <w:rsid w:val="00230179"/>
    <w:rsid w:val="00231851"/>
    <w:rsid w:val="002319FB"/>
    <w:rsid w:val="00231B89"/>
    <w:rsid w:val="00231F11"/>
    <w:rsid w:val="00231F5E"/>
    <w:rsid w:val="002346B4"/>
    <w:rsid w:val="00234F6E"/>
    <w:rsid w:val="002355BE"/>
    <w:rsid w:val="002358EA"/>
    <w:rsid w:val="00236578"/>
    <w:rsid w:val="00236DE9"/>
    <w:rsid w:val="00237342"/>
    <w:rsid w:val="00237D5A"/>
    <w:rsid w:val="002415AE"/>
    <w:rsid w:val="00241D3C"/>
    <w:rsid w:val="00242109"/>
    <w:rsid w:val="00243189"/>
    <w:rsid w:val="002439AB"/>
    <w:rsid w:val="00243C19"/>
    <w:rsid w:val="00244AE8"/>
    <w:rsid w:val="00244DC9"/>
    <w:rsid w:val="00245587"/>
    <w:rsid w:val="00245F2B"/>
    <w:rsid w:val="00247F3A"/>
    <w:rsid w:val="00250122"/>
    <w:rsid w:val="00250755"/>
    <w:rsid w:val="0025097B"/>
    <w:rsid w:val="00250A51"/>
    <w:rsid w:val="00251043"/>
    <w:rsid w:val="00251C4A"/>
    <w:rsid w:val="0025271C"/>
    <w:rsid w:val="002529E4"/>
    <w:rsid w:val="002533CD"/>
    <w:rsid w:val="002535EA"/>
    <w:rsid w:val="00253CBA"/>
    <w:rsid w:val="00254EAB"/>
    <w:rsid w:val="002557AF"/>
    <w:rsid w:val="0025589C"/>
    <w:rsid w:val="00255B62"/>
    <w:rsid w:val="002566B1"/>
    <w:rsid w:val="002575E3"/>
    <w:rsid w:val="00257A74"/>
    <w:rsid w:val="002603C1"/>
    <w:rsid w:val="002609A1"/>
    <w:rsid w:val="002612B1"/>
    <w:rsid w:val="00266165"/>
    <w:rsid w:val="002662FE"/>
    <w:rsid w:val="00266F2C"/>
    <w:rsid w:val="0027125E"/>
    <w:rsid w:val="00271767"/>
    <w:rsid w:val="00271785"/>
    <w:rsid w:val="00272293"/>
    <w:rsid w:val="002723C8"/>
    <w:rsid w:val="00273C2A"/>
    <w:rsid w:val="00273CBE"/>
    <w:rsid w:val="002746B1"/>
    <w:rsid w:val="00274BAD"/>
    <w:rsid w:val="002754D6"/>
    <w:rsid w:val="00282D56"/>
    <w:rsid w:val="002835B0"/>
    <w:rsid w:val="00283C74"/>
    <w:rsid w:val="0028407E"/>
    <w:rsid w:val="0028410F"/>
    <w:rsid w:val="00284572"/>
    <w:rsid w:val="00285221"/>
    <w:rsid w:val="00286FB5"/>
    <w:rsid w:val="00287763"/>
    <w:rsid w:val="00287FCB"/>
    <w:rsid w:val="00290606"/>
    <w:rsid w:val="002909B2"/>
    <w:rsid w:val="00290A98"/>
    <w:rsid w:val="00291D6D"/>
    <w:rsid w:val="00291FF1"/>
    <w:rsid w:val="00292AA2"/>
    <w:rsid w:val="00293361"/>
    <w:rsid w:val="002952B1"/>
    <w:rsid w:val="00295D11"/>
    <w:rsid w:val="00296FB6"/>
    <w:rsid w:val="002A0001"/>
    <w:rsid w:val="002A0BD9"/>
    <w:rsid w:val="002A0C3A"/>
    <w:rsid w:val="002A1130"/>
    <w:rsid w:val="002A1880"/>
    <w:rsid w:val="002A23B7"/>
    <w:rsid w:val="002A3A57"/>
    <w:rsid w:val="002A4B4F"/>
    <w:rsid w:val="002A57A8"/>
    <w:rsid w:val="002A6DEF"/>
    <w:rsid w:val="002A6E42"/>
    <w:rsid w:val="002A770B"/>
    <w:rsid w:val="002B013E"/>
    <w:rsid w:val="002B058D"/>
    <w:rsid w:val="002B0A16"/>
    <w:rsid w:val="002B0C16"/>
    <w:rsid w:val="002B2AC5"/>
    <w:rsid w:val="002B3528"/>
    <w:rsid w:val="002B3539"/>
    <w:rsid w:val="002B4532"/>
    <w:rsid w:val="002B4625"/>
    <w:rsid w:val="002B5042"/>
    <w:rsid w:val="002B69CC"/>
    <w:rsid w:val="002B6D71"/>
    <w:rsid w:val="002C0C1C"/>
    <w:rsid w:val="002C54C2"/>
    <w:rsid w:val="002C5D34"/>
    <w:rsid w:val="002C5D7F"/>
    <w:rsid w:val="002C6009"/>
    <w:rsid w:val="002C60BB"/>
    <w:rsid w:val="002C661A"/>
    <w:rsid w:val="002D0D6F"/>
    <w:rsid w:val="002D25FC"/>
    <w:rsid w:val="002D4AC6"/>
    <w:rsid w:val="002D5BF5"/>
    <w:rsid w:val="002D5E31"/>
    <w:rsid w:val="002D5E95"/>
    <w:rsid w:val="002D5EE8"/>
    <w:rsid w:val="002D7360"/>
    <w:rsid w:val="002D7648"/>
    <w:rsid w:val="002D780A"/>
    <w:rsid w:val="002E109C"/>
    <w:rsid w:val="002E193E"/>
    <w:rsid w:val="002E1A94"/>
    <w:rsid w:val="002E1D55"/>
    <w:rsid w:val="002E26C4"/>
    <w:rsid w:val="002E30A5"/>
    <w:rsid w:val="002E47E4"/>
    <w:rsid w:val="002E4BF9"/>
    <w:rsid w:val="002E4D61"/>
    <w:rsid w:val="002E5FED"/>
    <w:rsid w:val="002E68A7"/>
    <w:rsid w:val="002E6E6C"/>
    <w:rsid w:val="002F0522"/>
    <w:rsid w:val="002F0B85"/>
    <w:rsid w:val="002F16DD"/>
    <w:rsid w:val="002F199D"/>
    <w:rsid w:val="002F1A1E"/>
    <w:rsid w:val="002F213C"/>
    <w:rsid w:val="002F2453"/>
    <w:rsid w:val="002F352D"/>
    <w:rsid w:val="002F381E"/>
    <w:rsid w:val="002F4084"/>
    <w:rsid w:val="002F4A08"/>
    <w:rsid w:val="002F4ADB"/>
    <w:rsid w:val="002F531E"/>
    <w:rsid w:val="002F548D"/>
    <w:rsid w:val="002F5ACC"/>
    <w:rsid w:val="002F704B"/>
    <w:rsid w:val="002F72C3"/>
    <w:rsid w:val="002F768C"/>
    <w:rsid w:val="002F7D1E"/>
    <w:rsid w:val="00300201"/>
    <w:rsid w:val="0030025A"/>
    <w:rsid w:val="00301ADC"/>
    <w:rsid w:val="00302EFC"/>
    <w:rsid w:val="00303243"/>
    <w:rsid w:val="00303BCC"/>
    <w:rsid w:val="00303F2B"/>
    <w:rsid w:val="00303F8D"/>
    <w:rsid w:val="0030572D"/>
    <w:rsid w:val="0030586A"/>
    <w:rsid w:val="003061E3"/>
    <w:rsid w:val="0030622D"/>
    <w:rsid w:val="00306811"/>
    <w:rsid w:val="00306F32"/>
    <w:rsid w:val="003074C5"/>
    <w:rsid w:val="00307A3C"/>
    <w:rsid w:val="00307FA4"/>
    <w:rsid w:val="00310290"/>
    <w:rsid w:val="0031083D"/>
    <w:rsid w:val="00310CC1"/>
    <w:rsid w:val="00311B60"/>
    <w:rsid w:val="00312504"/>
    <w:rsid w:val="00313026"/>
    <w:rsid w:val="00313913"/>
    <w:rsid w:val="0031421F"/>
    <w:rsid w:val="00314B31"/>
    <w:rsid w:val="00315A65"/>
    <w:rsid w:val="003165D7"/>
    <w:rsid w:val="0031683B"/>
    <w:rsid w:val="00317BA7"/>
    <w:rsid w:val="00320BE2"/>
    <w:rsid w:val="00321886"/>
    <w:rsid w:val="00323694"/>
    <w:rsid w:val="00323BE7"/>
    <w:rsid w:val="00324C3A"/>
    <w:rsid w:val="00324D63"/>
    <w:rsid w:val="003255AF"/>
    <w:rsid w:val="003256EB"/>
    <w:rsid w:val="003259DB"/>
    <w:rsid w:val="003314D9"/>
    <w:rsid w:val="00331653"/>
    <w:rsid w:val="00331A48"/>
    <w:rsid w:val="00331BCC"/>
    <w:rsid w:val="003330C9"/>
    <w:rsid w:val="0033364C"/>
    <w:rsid w:val="00334415"/>
    <w:rsid w:val="00335BCB"/>
    <w:rsid w:val="00335EA1"/>
    <w:rsid w:val="0033691E"/>
    <w:rsid w:val="00336A6A"/>
    <w:rsid w:val="00336CCB"/>
    <w:rsid w:val="003411D1"/>
    <w:rsid w:val="003416BA"/>
    <w:rsid w:val="00342148"/>
    <w:rsid w:val="00342F99"/>
    <w:rsid w:val="0034575A"/>
    <w:rsid w:val="00345F57"/>
    <w:rsid w:val="0034638A"/>
    <w:rsid w:val="00350458"/>
    <w:rsid w:val="00350DB4"/>
    <w:rsid w:val="00350E6C"/>
    <w:rsid w:val="003518A6"/>
    <w:rsid w:val="00351E7F"/>
    <w:rsid w:val="00352953"/>
    <w:rsid w:val="00354062"/>
    <w:rsid w:val="0035459E"/>
    <w:rsid w:val="00355C0D"/>
    <w:rsid w:val="003566A9"/>
    <w:rsid w:val="00356988"/>
    <w:rsid w:val="003569D3"/>
    <w:rsid w:val="00356CE9"/>
    <w:rsid w:val="003570BB"/>
    <w:rsid w:val="00357128"/>
    <w:rsid w:val="0035755E"/>
    <w:rsid w:val="00357A80"/>
    <w:rsid w:val="00361441"/>
    <w:rsid w:val="00361B8B"/>
    <w:rsid w:val="00363F39"/>
    <w:rsid w:val="0036445C"/>
    <w:rsid w:val="00364627"/>
    <w:rsid w:val="00364AB0"/>
    <w:rsid w:val="00364D71"/>
    <w:rsid w:val="003667B0"/>
    <w:rsid w:val="003667DD"/>
    <w:rsid w:val="00366B48"/>
    <w:rsid w:val="00367764"/>
    <w:rsid w:val="003701F7"/>
    <w:rsid w:val="00370316"/>
    <w:rsid w:val="00370DC7"/>
    <w:rsid w:val="00371CBD"/>
    <w:rsid w:val="00371F20"/>
    <w:rsid w:val="003721E3"/>
    <w:rsid w:val="00372B98"/>
    <w:rsid w:val="003737B7"/>
    <w:rsid w:val="003740CC"/>
    <w:rsid w:val="003745F4"/>
    <w:rsid w:val="00374AFA"/>
    <w:rsid w:val="00374E79"/>
    <w:rsid w:val="0037529A"/>
    <w:rsid w:val="00375388"/>
    <w:rsid w:val="00375FB9"/>
    <w:rsid w:val="00376170"/>
    <w:rsid w:val="00376851"/>
    <w:rsid w:val="00376FA2"/>
    <w:rsid w:val="00377A3B"/>
    <w:rsid w:val="00377E3C"/>
    <w:rsid w:val="00380BBE"/>
    <w:rsid w:val="00381D70"/>
    <w:rsid w:val="0038235E"/>
    <w:rsid w:val="003829D0"/>
    <w:rsid w:val="0038326A"/>
    <w:rsid w:val="0038444F"/>
    <w:rsid w:val="003861F0"/>
    <w:rsid w:val="00387051"/>
    <w:rsid w:val="00387ECF"/>
    <w:rsid w:val="0039021B"/>
    <w:rsid w:val="00390429"/>
    <w:rsid w:val="003906A0"/>
    <w:rsid w:val="0039366C"/>
    <w:rsid w:val="00393EC8"/>
    <w:rsid w:val="003950F5"/>
    <w:rsid w:val="0039538F"/>
    <w:rsid w:val="00395E42"/>
    <w:rsid w:val="00396409"/>
    <w:rsid w:val="00396A2D"/>
    <w:rsid w:val="00396FC3"/>
    <w:rsid w:val="003A1A94"/>
    <w:rsid w:val="003A204E"/>
    <w:rsid w:val="003A2D25"/>
    <w:rsid w:val="003A5728"/>
    <w:rsid w:val="003A60E7"/>
    <w:rsid w:val="003A7092"/>
    <w:rsid w:val="003A72A1"/>
    <w:rsid w:val="003A7611"/>
    <w:rsid w:val="003A7D1F"/>
    <w:rsid w:val="003B0B6A"/>
    <w:rsid w:val="003B22F7"/>
    <w:rsid w:val="003B29CF"/>
    <w:rsid w:val="003B3A90"/>
    <w:rsid w:val="003B534F"/>
    <w:rsid w:val="003B538A"/>
    <w:rsid w:val="003B5E4F"/>
    <w:rsid w:val="003B7A79"/>
    <w:rsid w:val="003C0FE1"/>
    <w:rsid w:val="003C151A"/>
    <w:rsid w:val="003C350C"/>
    <w:rsid w:val="003C3903"/>
    <w:rsid w:val="003C3BA0"/>
    <w:rsid w:val="003C4580"/>
    <w:rsid w:val="003C5C5E"/>
    <w:rsid w:val="003C6746"/>
    <w:rsid w:val="003C7555"/>
    <w:rsid w:val="003C7898"/>
    <w:rsid w:val="003D0FF5"/>
    <w:rsid w:val="003D11A3"/>
    <w:rsid w:val="003D1537"/>
    <w:rsid w:val="003D183C"/>
    <w:rsid w:val="003D2D1B"/>
    <w:rsid w:val="003D48C7"/>
    <w:rsid w:val="003D4C27"/>
    <w:rsid w:val="003D7109"/>
    <w:rsid w:val="003D7CE8"/>
    <w:rsid w:val="003E0514"/>
    <w:rsid w:val="003E1032"/>
    <w:rsid w:val="003E1904"/>
    <w:rsid w:val="003E285E"/>
    <w:rsid w:val="003E3124"/>
    <w:rsid w:val="003E3300"/>
    <w:rsid w:val="003E43D3"/>
    <w:rsid w:val="003E48E1"/>
    <w:rsid w:val="003E59BB"/>
    <w:rsid w:val="003E6225"/>
    <w:rsid w:val="003E65AC"/>
    <w:rsid w:val="003E66AE"/>
    <w:rsid w:val="003E72B9"/>
    <w:rsid w:val="003E7ED4"/>
    <w:rsid w:val="003F0E52"/>
    <w:rsid w:val="003F0F6B"/>
    <w:rsid w:val="003F1FC6"/>
    <w:rsid w:val="003F1FE3"/>
    <w:rsid w:val="003F2359"/>
    <w:rsid w:val="003F3865"/>
    <w:rsid w:val="003F3D55"/>
    <w:rsid w:val="003F44E2"/>
    <w:rsid w:val="003F4632"/>
    <w:rsid w:val="003F47BA"/>
    <w:rsid w:val="003F4FE6"/>
    <w:rsid w:val="003F5638"/>
    <w:rsid w:val="003F6617"/>
    <w:rsid w:val="00402332"/>
    <w:rsid w:val="004025C2"/>
    <w:rsid w:val="00403195"/>
    <w:rsid w:val="004033A9"/>
    <w:rsid w:val="00403E55"/>
    <w:rsid w:val="0040407C"/>
    <w:rsid w:val="0040416C"/>
    <w:rsid w:val="00404681"/>
    <w:rsid w:val="00405AC1"/>
    <w:rsid w:val="00406923"/>
    <w:rsid w:val="0040763D"/>
    <w:rsid w:val="00410D17"/>
    <w:rsid w:val="00413442"/>
    <w:rsid w:val="00413821"/>
    <w:rsid w:val="00413BA5"/>
    <w:rsid w:val="004141A3"/>
    <w:rsid w:val="00414909"/>
    <w:rsid w:val="0041582F"/>
    <w:rsid w:val="00416112"/>
    <w:rsid w:val="00416AC8"/>
    <w:rsid w:val="00417AE0"/>
    <w:rsid w:val="00417BAA"/>
    <w:rsid w:val="0042042B"/>
    <w:rsid w:val="00420B45"/>
    <w:rsid w:val="00420D7A"/>
    <w:rsid w:val="00421257"/>
    <w:rsid w:val="00422193"/>
    <w:rsid w:val="004223DE"/>
    <w:rsid w:val="00422A10"/>
    <w:rsid w:val="00424D17"/>
    <w:rsid w:val="00425DFD"/>
    <w:rsid w:val="004263A3"/>
    <w:rsid w:val="00427713"/>
    <w:rsid w:val="00427CCC"/>
    <w:rsid w:val="0043013A"/>
    <w:rsid w:val="00430421"/>
    <w:rsid w:val="00430A36"/>
    <w:rsid w:val="00430B4F"/>
    <w:rsid w:val="00431084"/>
    <w:rsid w:val="004310D7"/>
    <w:rsid w:val="004322D6"/>
    <w:rsid w:val="00432589"/>
    <w:rsid w:val="00432A94"/>
    <w:rsid w:val="00432C95"/>
    <w:rsid w:val="00433827"/>
    <w:rsid w:val="00433A40"/>
    <w:rsid w:val="00434B70"/>
    <w:rsid w:val="004360C8"/>
    <w:rsid w:val="004371D5"/>
    <w:rsid w:val="0044006B"/>
    <w:rsid w:val="0044033F"/>
    <w:rsid w:val="00440630"/>
    <w:rsid w:val="00441F0F"/>
    <w:rsid w:val="00442965"/>
    <w:rsid w:val="00443367"/>
    <w:rsid w:val="00444157"/>
    <w:rsid w:val="0044417C"/>
    <w:rsid w:val="00444DB3"/>
    <w:rsid w:val="00445617"/>
    <w:rsid w:val="00445A2F"/>
    <w:rsid w:val="0044684E"/>
    <w:rsid w:val="00446F22"/>
    <w:rsid w:val="0045019F"/>
    <w:rsid w:val="004503A4"/>
    <w:rsid w:val="00450555"/>
    <w:rsid w:val="004506FA"/>
    <w:rsid w:val="00450DC6"/>
    <w:rsid w:val="00450FDD"/>
    <w:rsid w:val="004516A5"/>
    <w:rsid w:val="00451E9C"/>
    <w:rsid w:val="0045280F"/>
    <w:rsid w:val="004535AE"/>
    <w:rsid w:val="0045444D"/>
    <w:rsid w:val="0045463A"/>
    <w:rsid w:val="00454AC9"/>
    <w:rsid w:val="00455050"/>
    <w:rsid w:val="004554A3"/>
    <w:rsid w:val="0045556F"/>
    <w:rsid w:val="00455A6E"/>
    <w:rsid w:val="00455EAD"/>
    <w:rsid w:val="00456783"/>
    <w:rsid w:val="004578EB"/>
    <w:rsid w:val="004604D5"/>
    <w:rsid w:val="00460697"/>
    <w:rsid w:val="0046117B"/>
    <w:rsid w:val="00464AB7"/>
    <w:rsid w:val="00465DE5"/>
    <w:rsid w:val="00467EF8"/>
    <w:rsid w:val="00472429"/>
    <w:rsid w:val="004725E5"/>
    <w:rsid w:val="00472751"/>
    <w:rsid w:val="00473128"/>
    <w:rsid w:val="00473263"/>
    <w:rsid w:val="00475078"/>
    <w:rsid w:val="00475767"/>
    <w:rsid w:val="004779A0"/>
    <w:rsid w:val="004808E3"/>
    <w:rsid w:val="00481016"/>
    <w:rsid w:val="0048204C"/>
    <w:rsid w:val="004821BB"/>
    <w:rsid w:val="004826FE"/>
    <w:rsid w:val="004827D5"/>
    <w:rsid w:val="00482AF2"/>
    <w:rsid w:val="004830C9"/>
    <w:rsid w:val="00483347"/>
    <w:rsid w:val="00483E2E"/>
    <w:rsid w:val="00484B69"/>
    <w:rsid w:val="00485406"/>
    <w:rsid w:val="0048590F"/>
    <w:rsid w:val="00486D60"/>
    <w:rsid w:val="00491FA1"/>
    <w:rsid w:val="00492A25"/>
    <w:rsid w:val="004938A3"/>
    <w:rsid w:val="0049558B"/>
    <w:rsid w:val="00496350"/>
    <w:rsid w:val="00496D31"/>
    <w:rsid w:val="0049797C"/>
    <w:rsid w:val="004A00E1"/>
    <w:rsid w:val="004A0943"/>
    <w:rsid w:val="004A1405"/>
    <w:rsid w:val="004A1FC6"/>
    <w:rsid w:val="004A2E5F"/>
    <w:rsid w:val="004A32EC"/>
    <w:rsid w:val="004A38C2"/>
    <w:rsid w:val="004A3C03"/>
    <w:rsid w:val="004A3DB7"/>
    <w:rsid w:val="004A5088"/>
    <w:rsid w:val="004A5255"/>
    <w:rsid w:val="004A6CB0"/>
    <w:rsid w:val="004A70FF"/>
    <w:rsid w:val="004A7EDE"/>
    <w:rsid w:val="004B0D93"/>
    <w:rsid w:val="004B1FA4"/>
    <w:rsid w:val="004B29AC"/>
    <w:rsid w:val="004B35DF"/>
    <w:rsid w:val="004B3627"/>
    <w:rsid w:val="004B4922"/>
    <w:rsid w:val="004B54AF"/>
    <w:rsid w:val="004B57DF"/>
    <w:rsid w:val="004B5976"/>
    <w:rsid w:val="004B7137"/>
    <w:rsid w:val="004B722E"/>
    <w:rsid w:val="004B72E8"/>
    <w:rsid w:val="004C01A5"/>
    <w:rsid w:val="004C0412"/>
    <w:rsid w:val="004C1142"/>
    <w:rsid w:val="004C2138"/>
    <w:rsid w:val="004C2333"/>
    <w:rsid w:val="004C3940"/>
    <w:rsid w:val="004C51FD"/>
    <w:rsid w:val="004C65A8"/>
    <w:rsid w:val="004C65C8"/>
    <w:rsid w:val="004C6689"/>
    <w:rsid w:val="004D139A"/>
    <w:rsid w:val="004D14DC"/>
    <w:rsid w:val="004D17C6"/>
    <w:rsid w:val="004D2858"/>
    <w:rsid w:val="004D2E49"/>
    <w:rsid w:val="004D35BA"/>
    <w:rsid w:val="004D38E5"/>
    <w:rsid w:val="004D3C5A"/>
    <w:rsid w:val="004D449A"/>
    <w:rsid w:val="004D4701"/>
    <w:rsid w:val="004D47C7"/>
    <w:rsid w:val="004D4F35"/>
    <w:rsid w:val="004D5D45"/>
    <w:rsid w:val="004D618D"/>
    <w:rsid w:val="004D62A9"/>
    <w:rsid w:val="004D6FC3"/>
    <w:rsid w:val="004D7476"/>
    <w:rsid w:val="004D7716"/>
    <w:rsid w:val="004E0306"/>
    <w:rsid w:val="004E0572"/>
    <w:rsid w:val="004E06D5"/>
    <w:rsid w:val="004E1641"/>
    <w:rsid w:val="004E1818"/>
    <w:rsid w:val="004E1990"/>
    <w:rsid w:val="004E25A8"/>
    <w:rsid w:val="004E3930"/>
    <w:rsid w:val="004E3ED9"/>
    <w:rsid w:val="004E5866"/>
    <w:rsid w:val="004E6097"/>
    <w:rsid w:val="004E61EF"/>
    <w:rsid w:val="004E63C6"/>
    <w:rsid w:val="004E76A7"/>
    <w:rsid w:val="004E7B03"/>
    <w:rsid w:val="004F0064"/>
    <w:rsid w:val="004F06AC"/>
    <w:rsid w:val="004F1D2A"/>
    <w:rsid w:val="004F243F"/>
    <w:rsid w:val="004F252C"/>
    <w:rsid w:val="004F36A3"/>
    <w:rsid w:val="004F3E0C"/>
    <w:rsid w:val="004F4308"/>
    <w:rsid w:val="004F7160"/>
    <w:rsid w:val="00500258"/>
    <w:rsid w:val="00500B2D"/>
    <w:rsid w:val="00501A99"/>
    <w:rsid w:val="00503180"/>
    <w:rsid w:val="005038A4"/>
    <w:rsid w:val="00505450"/>
    <w:rsid w:val="00505CC4"/>
    <w:rsid w:val="005100B7"/>
    <w:rsid w:val="005113C9"/>
    <w:rsid w:val="00512050"/>
    <w:rsid w:val="00512055"/>
    <w:rsid w:val="0051280C"/>
    <w:rsid w:val="00512842"/>
    <w:rsid w:val="005128BE"/>
    <w:rsid w:val="0051356F"/>
    <w:rsid w:val="00513E7C"/>
    <w:rsid w:val="005140BB"/>
    <w:rsid w:val="00514FBE"/>
    <w:rsid w:val="00514FD9"/>
    <w:rsid w:val="0051550A"/>
    <w:rsid w:val="0051608F"/>
    <w:rsid w:val="00520EF8"/>
    <w:rsid w:val="005210F7"/>
    <w:rsid w:val="00521753"/>
    <w:rsid w:val="0052239D"/>
    <w:rsid w:val="005224EE"/>
    <w:rsid w:val="005225F6"/>
    <w:rsid w:val="005227DE"/>
    <w:rsid w:val="00522879"/>
    <w:rsid w:val="00523BB1"/>
    <w:rsid w:val="0052570E"/>
    <w:rsid w:val="005260CD"/>
    <w:rsid w:val="00526265"/>
    <w:rsid w:val="0052655D"/>
    <w:rsid w:val="005265E0"/>
    <w:rsid w:val="00526BC3"/>
    <w:rsid w:val="00531761"/>
    <w:rsid w:val="0053248F"/>
    <w:rsid w:val="0053332A"/>
    <w:rsid w:val="0053358A"/>
    <w:rsid w:val="00534668"/>
    <w:rsid w:val="00534DDD"/>
    <w:rsid w:val="00535291"/>
    <w:rsid w:val="00535A94"/>
    <w:rsid w:val="00537874"/>
    <w:rsid w:val="0053795F"/>
    <w:rsid w:val="00537D3D"/>
    <w:rsid w:val="00540511"/>
    <w:rsid w:val="00540578"/>
    <w:rsid w:val="00540808"/>
    <w:rsid w:val="0054080E"/>
    <w:rsid w:val="00540EA1"/>
    <w:rsid w:val="0054358E"/>
    <w:rsid w:val="00543AF4"/>
    <w:rsid w:val="00544191"/>
    <w:rsid w:val="0054440C"/>
    <w:rsid w:val="005448EC"/>
    <w:rsid w:val="00544C0A"/>
    <w:rsid w:val="00544F39"/>
    <w:rsid w:val="00546F90"/>
    <w:rsid w:val="00547EFB"/>
    <w:rsid w:val="005522F2"/>
    <w:rsid w:val="005531DF"/>
    <w:rsid w:val="00553874"/>
    <w:rsid w:val="00554577"/>
    <w:rsid w:val="00554AD8"/>
    <w:rsid w:val="00554F78"/>
    <w:rsid w:val="00555DA1"/>
    <w:rsid w:val="00556BF7"/>
    <w:rsid w:val="00557F60"/>
    <w:rsid w:val="00561730"/>
    <w:rsid w:val="00561B97"/>
    <w:rsid w:val="00562149"/>
    <w:rsid w:val="00567B5D"/>
    <w:rsid w:val="005706D5"/>
    <w:rsid w:val="00570757"/>
    <w:rsid w:val="00573733"/>
    <w:rsid w:val="00573F8B"/>
    <w:rsid w:val="00574554"/>
    <w:rsid w:val="00574E06"/>
    <w:rsid w:val="005751BB"/>
    <w:rsid w:val="00576089"/>
    <w:rsid w:val="005764B1"/>
    <w:rsid w:val="00576852"/>
    <w:rsid w:val="00576D06"/>
    <w:rsid w:val="00577287"/>
    <w:rsid w:val="005779E4"/>
    <w:rsid w:val="00577F9F"/>
    <w:rsid w:val="00580093"/>
    <w:rsid w:val="00580EC7"/>
    <w:rsid w:val="00581132"/>
    <w:rsid w:val="0058289C"/>
    <w:rsid w:val="005836C7"/>
    <w:rsid w:val="0058408E"/>
    <w:rsid w:val="00585374"/>
    <w:rsid w:val="005854CA"/>
    <w:rsid w:val="00585FAB"/>
    <w:rsid w:val="00590B77"/>
    <w:rsid w:val="00590D9A"/>
    <w:rsid w:val="005913A3"/>
    <w:rsid w:val="005940D4"/>
    <w:rsid w:val="00594A7B"/>
    <w:rsid w:val="0059580E"/>
    <w:rsid w:val="00595D90"/>
    <w:rsid w:val="00596A6F"/>
    <w:rsid w:val="00596FCE"/>
    <w:rsid w:val="005A11BC"/>
    <w:rsid w:val="005A1525"/>
    <w:rsid w:val="005A1E17"/>
    <w:rsid w:val="005A232F"/>
    <w:rsid w:val="005A252B"/>
    <w:rsid w:val="005A2A8F"/>
    <w:rsid w:val="005A3204"/>
    <w:rsid w:val="005A3341"/>
    <w:rsid w:val="005A3C3D"/>
    <w:rsid w:val="005A46EC"/>
    <w:rsid w:val="005A5EAE"/>
    <w:rsid w:val="005A6407"/>
    <w:rsid w:val="005A726C"/>
    <w:rsid w:val="005B07EC"/>
    <w:rsid w:val="005B222F"/>
    <w:rsid w:val="005B2B11"/>
    <w:rsid w:val="005B32A4"/>
    <w:rsid w:val="005B3371"/>
    <w:rsid w:val="005B338D"/>
    <w:rsid w:val="005B36D7"/>
    <w:rsid w:val="005B3BAF"/>
    <w:rsid w:val="005B4DA3"/>
    <w:rsid w:val="005B5362"/>
    <w:rsid w:val="005B5BEE"/>
    <w:rsid w:val="005B77D2"/>
    <w:rsid w:val="005C019B"/>
    <w:rsid w:val="005C08D0"/>
    <w:rsid w:val="005C1AED"/>
    <w:rsid w:val="005C30F5"/>
    <w:rsid w:val="005C51A5"/>
    <w:rsid w:val="005C557A"/>
    <w:rsid w:val="005C566F"/>
    <w:rsid w:val="005C5C47"/>
    <w:rsid w:val="005C61DD"/>
    <w:rsid w:val="005C6438"/>
    <w:rsid w:val="005C6B8B"/>
    <w:rsid w:val="005C727F"/>
    <w:rsid w:val="005D02E3"/>
    <w:rsid w:val="005D1F34"/>
    <w:rsid w:val="005D2C1F"/>
    <w:rsid w:val="005D2DE8"/>
    <w:rsid w:val="005D34B2"/>
    <w:rsid w:val="005D3B54"/>
    <w:rsid w:val="005D40CD"/>
    <w:rsid w:val="005D6B59"/>
    <w:rsid w:val="005D784B"/>
    <w:rsid w:val="005E03E4"/>
    <w:rsid w:val="005E0454"/>
    <w:rsid w:val="005E05F6"/>
    <w:rsid w:val="005E068E"/>
    <w:rsid w:val="005E2442"/>
    <w:rsid w:val="005E3111"/>
    <w:rsid w:val="005E3F85"/>
    <w:rsid w:val="005E4A5F"/>
    <w:rsid w:val="005E57B0"/>
    <w:rsid w:val="005E5B01"/>
    <w:rsid w:val="005E6D3B"/>
    <w:rsid w:val="005F009E"/>
    <w:rsid w:val="005F0DF1"/>
    <w:rsid w:val="005F1516"/>
    <w:rsid w:val="005F229E"/>
    <w:rsid w:val="005F2564"/>
    <w:rsid w:val="005F2D0F"/>
    <w:rsid w:val="005F368B"/>
    <w:rsid w:val="005F3822"/>
    <w:rsid w:val="005F4635"/>
    <w:rsid w:val="005F4900"/>
    <w:rsid w:val="005F4E52"/>
    <w:rsid w:val="005F6D58"/>
    <w:rsid w:val="005F7383"/>
    <w:rsid w:val="0060058E"/>
    <w:rsid w:val="00601F77"/>
    <w:rsid w:val="00602A3C"/>
    <w:rsid w:val="00603E47"/>
    <w:rsid w:val="00603EFD"/>
    <w:rsid w:val="0060475B"/>
    <w:rsid w:val="00604BED"/>
    <w:rsid w:val="00604FB6"/>
    <w:rsid w:val="00605387"/>
    <w:rsid w:val="00606302"/>
    <w:rsid w:val="006076FD"/>
    <w:rsid w:val="0061143F"/>
    <w:rsid w:val="006114D8"/>
    <w:rsid w:val="00613553"/>
    <w:rsid w:val="00613601"/>
    <w:rsid w:val="00613791"/>
    <w:rsid w:val="006150D6"/>
    <w:rsid w:val="00615245"/>
    <w:rsid w:val="0061590D"/>
    <w:rsid w:val="0061641E"/>
    <w:rsid w:val="00617EEE"/>
    <w:rsid w:val="00620A1F"/>
    <w:rsid w:val="006214DE"/>
    <w:rsid w:val="0062169D"/>
    <w:rsid w:val="0062181E"/>
    <w:rsid w:val="0062211B"/>
    <w:rsid w:val="00622BB7"/>
    <w:rsid w:val="00622C1E"/>
    <w:rsid w:val="00623389"/>
    <w:rsid w:val="00623DAA"/>
    <w:rsid w:val="00623FAF"/>
    <w:rsid w:val="006265C4"/>
    <w:rsid w:val="0062678A"/>
    <w:rsid w:val="006270AF"/>
    <w:rsid w:val="00627A44"/>
    <w:rsid w:val="00634367"/>
    <w:rsid w:val="00640082"/>
    <w:rsid w:val="00640291"/>
    <w:rsid w:val="00640EFE"/>
    <w:rsid w:val="00641D6D"/>
    <w:rsid w:val="00641FAC"/>
    <w:rsid w:val="00643664"/>
    <w:rsid w:val="00643CAA"/>
    <w:rsid w:val="00644F16"/>
    <w:rsid w:val="006455EB"/>
    <w:rsid w:val="006456C2"/>
    <w:rsid w:val="00645A65"/>
    <w:rsid w:val="006463B2"/>
    <w:rsid w:val="006477F0"/>
    <w:rsid w:val="006478E4"/>
    <w:rsid w:val="00650091"/>
    <w:rsid w:val="0065171A"/>
    <w:rsid w:val="00652680"/>
    <w:rsid w:val="00653CDE"/>
    <w:rsid w:val="00654585"/>
    <w:rsid w:val="00655AB6"/>
    <w:rsid w:val="00656281"/>
    <w:rsid w:val="0065636A"/>
    <w:rsid w:val="00657003"/>
    <w:rsid w:val="00660238"/>
    <w:rsid w:val="006602EF"/>
    <w:rsid w:val="00661277"/>
    <w:rsid w:val="006619E0"/>
    <w:rsid w:val="00663FEA"/>
    <w:rsid w:val="00664803"/>
    <w:rsid w:val="006657C5"/>
    <w:rsid w:val="006661A4"/>
    <w:rsid w:val="00666AC0"/>
    <w:rsid w:val="006670E0"/>
    <w:rsid w:val="006671B8"/>
    <w:rsid w:val="00667275"/>
    <w:rsid w:val="00667532"/>
    <w:rsid w:val="0066783E"/>
    <w:rsid w:val="00667E53"/>
    <w:rsid w:val="006711C4"/>
    <w:rsid w:val="006713AB"/>
    <w:rsid w:val="00672CA5"/>
    <w:rsid w:val="00673711"/>
    <w:rsid w:val="00673F82"/>
    <w:rsid w:val="00674F74"/>
    <w:rsid w:val="0067508F"/>
    <w:rsid w:val="00677576"/>
    <w:rsid w:val="0068051E"/>
    <w:rsid w:val="00680B9D"/>
    <w:rsid w:val="00681F13"/>
    <w:rsid w:val="0068231C"/>
    <w:rsid w:val="00682344"/>
    <w:rsid w:val="00682F28"/>
    <w:rsid w:val="00683515"/>
    <w:rsid w:val="00684842"/>
    <w:rsid w:val="0068576A"/>
    <w:rsid w:val="006859AA"/>
    <w:rsid w:val="00685BD6"/>
    <w:rsid w:val="00687116"/>
    <w:rsid w:val="006878A6"/>
    <w:rsid w:val="00687D5F"/>
    <w:rsid w:val="00690437"/>
    <w:rsid w:val="00690DC3"/>
    <w:rsid w:val="00690E65"/>
    <w:rsid w:val="006911B7"/>
    <w:rsid w:val="00691387"/>
    <w:rsid w:val="0069188E"/>
    <w:rsid w:val="00691974"/>
    <w:rsid w:val="00692BF6"/>
    <w:rsid w:val="00692CE6"/>
    <w:rsid w:val="00693186"/>
    <w:rsid w:val="00693381"/>
    <w:rsid w:val="00693B6C"/>
    <w:rsid w:val="006942AE"/>
    <w:rsid w:val="00695421"/>
    <w:rsid w:val="00697BD3"/>
    <w:rsid w:val="00697DFA"/>
    <w:rsid w:val="006A16D5"/>
    <w:rsid w:val="006A1740"/>
    <w:rsid w:val="006A1772"/>
    <w:rsid w:val="006A1780"/>
    <w:rsid w:val="006A17DA"/>
    <w:rsid w:val="006A21DD"/>
    <w:rsid w:val="006A26C6"/>
    <w:rsid w:val="006A3302"/>
    <w:rsid w:val="006A3B28"/>
    <w:rsid w:val="006A4FEE"/>
    <w:rsid w:val="006A703E"/>
    <w:rsid w:val="006A7BE3"/>
    <w:rsid w:val="006A7D32"/>
    <w:rsid w:val="006B01D1"/>
    <w:rsid w:val="006B0DF4"/>
    <w:rsid w:val="006B0E2B"/>
    <w:rsid w:val="006B16EA"/>
    <w:rsid w:val="006B1780"/>
    <w:rsid w:val="006B224E"/>
    <w:rsid w:val="006B376E"/>
    <w:rsid w:val="006B4589"/>
    <w:rsid w:val="006B610E"/>
    <w:rsid w:val="006B643B"/>
    <w:rsid w:val="006B6805"/>
    <w:rsid w:val="006B6DE0"/>
    <w:rsid w:val="006C16C3"/>
    <w:rsid w:val="006C2187"/>
    <w:rsid w:val="006C32F4"/>
    <w:rsid w:val="006C3C54"/>
    <w:rsid w:val="006C4B6B"/>
    <w:rsid w:val="006C4F9F"/>
    <w:rsid w:val="006C71A2"/>
    <w:rsid w:val="006C73EC"/>
    <w:rsid w:val="006D0C1D"/>
    <w:rsid w:val="006D2E9D"/>
    <w:rsid w:val="006D4A4E"/>
    <w:rsid w:val="006D4C42"/>
    <w:rsid w:val="006D5389"/>
    <w:rsid w:val="006D5809"/>
    <w:rsid w:val="006D607E"/>
    <w:rsid w:val="006D6781"/>
    <w:rsid w:val="006D6E12"/>
    <w:rsid w:val="006D70CB"/>
    <w:rsid w:val="006D715C"/>
    <w:rsid w:val="006D7363"/>
    <w:rsid w:val="006D774E"/>
    <w:rsid w:val="006D7EA2"/>
    <w:rsid w:val="006E0754"/>
    <w:rsid w:val="006E10BB"/>
    <w:rsid w:val="006E2668"/>
    <w:rsid w:val="006E2D39"/>
    <w:rsid w:val="006E32B0"/>
    <w:rsid w:val="006E348E"/>
    <w:rsid w:val="006E396A"/>
    <w:rsid w:val="006E3D63"/>
    <w:rsid w:val="006E58BF"/>
    <w:rsid w:val="006E5DD8"/>
    <w:rsid w:val="006E5EA1"/>
    <w:rsid w:val="006E6DEE"/>
    <w:rsid w:val="006E7D4B"/>
    <w:rsid w:val="006F0760"/>
    <w:rsid w:val="006F11E2"/>
    <w:rsid w:val="006F2574"/>
    <w:rsid w:val="006F3221"/>
    <w:rsid w:val="006F3231"/>
    <w:rsid w:val="006F3DE3"/>
    <w:rsid w:val="006F4787"/>
    <w:rsid w:val="006F5C43"/>
    <w:rsid w:val="006F61D8"/>
    <w:rsid w:val="006F62B7"/>
    <w:rsid w:val="006F70BC"/>
    <w:rsid w:val="006F734B"/>
    <w:rsid w:val="006F7E7C"/>
    <w:rsid w:val="007003D6"/>
    <w:rsid w:val="0070174E"/>
    <w:rsid w:val="007018DB"/>
    <w:rsid w:val="00701DE6"/>
    <w:rsid w:val="00702740"/>
    <w:rsid w:val="0070381B"/>
    <w:rsid w:val="007076DD"/>
    <w:rsid w:val="0070796C"/>
    <w:rsid w:val="007109BB"/>
    <w:rsid w:val="00710EBF"/>
    <w:rsid w:val="007110B8"/>
    <w:rsid w:val="0071209F"/>
    <w:rsid w:val="007125A2"/>
    <w:rsid w:val="00713DD9"/>
    <w:rsid w:val="00713F79"/>
    <w:rsid w:val="007148A8"/>
    <w:rsid w:val="00716AC8"/>
    <w:rsid w:val="00716E54"/>
    <w:rsid w:val="00717421"/>
    <w:rsid w:val="0072033C"/>
    <w:rsid w:val="00720B1B"/>
    <w:rsid w:val="00721062"/>
    <w:rsid w:val="00721E5D"/>
    <w:rsid w:val="007229D4"/>
    <w:rsid w:val="007230F8"/>
    <w:rsid w:val="007233F4"/>
    <w:rsid w:val="00724044"/>
    <w:rsid w:val="007248D3"/>
    <w:rsid w:val="00724DF8"/>
    <w:rsid w:val="00725137"/>
    <w:rsid w:val="00725378"/>
    <w:rsid w:val="00725573"/>
    <w:rsid w:val="00727A43"/>
    <w:rsid w:val="00727FF2"/>
    <w:rsid w:val="00730550"/>
    <w:rsid w:val="00730C2A"/>
    <w:rsid w:val="00731434"/>
    <w:rsid w:val="00731E59"/>
    <w:rsid w:val="007323E0"/>
    <w:rsid w:val="00732911"/>
    <w:rsid w:val="00733721"/>
    <w:rsid w:val="00733DE2"/>
    <w:rsid w:val="007352EA"/>
    <w:rsid w:val="0073625F"/>
    <w:rsid w:val="0073792F"/>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7295"/>
    <w:rsid w:val="00747829"/>
    <w:rsid w:val="00747DE2"/>
    <w:rsid w:val="007504BF"/>
    <w:rsid w:val="007506CD"/>
    <w:rsid w:val="0075267F"/>
    <w:rsid w:val="007526EC"/>
    <w:rsid w:val="007527F7"/>
    <w:rsid w:val="00753C48"/>
    <w:rsid w:val="00753ED8"/>
    <w:rsid w:val="00754250"/>
    <w:rsid w:val="00754FE4"/>
    <w:rsid w:val="00755216"/>
    <w:rsid w:val="00756236"/>
    <w:rsid w:val="00756271"/>
    <w:rsid w:val="00756348"/>
    <w:rsid w:val="00756521"/>
    <w:rsid w:val="00756AB7"/>
    <w:rsid w:val="0076106D"/>
    <w:rsid w:val="007623FB"/>
    <w:rsid w:val="00762517"/>
    <w:rsid w:val="00763240"/>
    <w:rsid w:val="0076376A"/>
    <w:rsid w:val="007648AD"/>
    <w:rsid w:val="0076504E"/>
    <w:rsid w:val="007660F4"/>
    <w:rsid w:val="00767BFD"/>
    <w:rsid w:val="00767EA0"/>
    <w:rsid w:val="0077068F"/>
    <w:rsid w:val="00771EDF"/>
    <w:rsid w:val="00772A90"/>
    <w:rsid w:val="00772F8D"/>
    <w:rsid w:val="0077408D"/>
    <w:rsid w:val="00774270"/>
    <w:rsid w:val="007743F6"/>
    <w:rsid w:val="00775679"/>
    <w:rsid w:val="0077574F"/>
    <w:rsid w:val="00775823"/>
    <w:rsid w:val="00775EEA"/>
    <w:rsid w:val="007777CC"/>
    <w:rsid w:val="00777B32"/>
    <w:rsid w:val="0078051E"/>
    <w:rsid w:val="00780B59"/>
    <w:rsid w:val="00781089"/>
    <w:rsid w:val="007838F3"/>
    <w:rsid w:val="007856FE"/>
    <w:rsid w:val="00785F46"/>
    <w:rsid w:val="007865F4"/>
    <w:rsid w:val="00786D5C"/>
    <w:rsid w:val="00786E96"/>
    <w:rsid w:val="00787DFF"/>
    <w:rsid w:val="00787F93"/>
    <w:rsid w:val="00791E6D"/>
    <w:rsid w:val="00791EB5"/>
    <w:rsid w:val="00791FF2"/>
    <w:rsid w:val="00793696"/>
    <w:rsid w:val="007955DA"/>
    <w:rsid w:val="00796F65"/>
    <w:rsid w:val="007A11C2"/>
    <w:rsid w:val="007A18BB"/>
    <w:rsid w:val="007A1BC2"/>
    <w:rsid w:val="007A27DD"/>
    <w:rsid w:val="007A41BF"/>
    <w:rsid w:val="007A490A"/>
    <w:rsid w:val="007A7B95"/>
    <w:rsid w:val="007B0297"/>
    <w:rsid w:val="007B02FA"/>
    <w:rsid w:val="007B0F53"/>
    <w:rsid w:val="007B21AE"/>
    <w:rsid w:val="007B2570"/>
    <w:rsid w:val="007B3113"/>
    <w:rsid w:val="007B3304"/>
    <w:rsid w:val="007B7490"/>
    <w:rsid w:val="007C0525"/>
    <w:rsid w:val="007C13F7"/>
    <w:rsid w:val="007C218D"/>
    <w:rsid w:val="007C2D28"/>
    <w:rsid w:val="007C3E22"/>
    <w:rsid w:val="007C5B90"/>
    <w:rsid w:val="007C6218"/>
    <w:rsid w:val="007C6484"/>
    <w:rsid w:val="007C67C6"/>
    <w:rsid w:val="007C78BE"/>
    <w:rsid w:val="007C7E59"/>
    <w:rsid w:val="007D0476"/>
    <w:rsid w:val="007D0B91"/>
    <w:rsid w:val="007D1386"/>
    <w:rsid w:val="007D1452"/>
    <w:rsid w:val="007D3DCB"/>
    <w:rsid w:val="007D460C"/>
    <w:rsid w:val="007D4996"/>
    <w:rsid w:val="007D4AD3"/>
    <w:rsid w:val="007D5D19"/>
    <w:rsid w:val="007D5FDC"/>
    <w:rsid w:val="007D6176"/>
    <w:rsid w:val="007D6D68"/>
    <w:rsid w:val="007E32DA"/>
    <w:rsid w:val="007E4998"/>
    <w:rsid w:val="007E4A9C"/>
    <w:rsid w:val="007E6914"/>
    <w:rsid w:val="007E7884"/>
    <w:rsid w:val="007E7F78"/>
    <w:rsid w:val="007F0179"/>
    <w:rsid w:val="007F2C13"/>
    <w:rsid w:val="007F2CEC"/>
    <w:rsid w:val="007F3435"/>
    <w:rsid w:val="007F4BBE"/>
    <w:rsid w:val="007F55DE"/>
    <w:rsid w:val="007F762D"/>
    <w:rsid w:val="007F78F0"/>
    <w:rsid w:val="007F78FF"/>
    <w:rsid w:val="008001C5"/>
    <w:rsid w:val="00800F6C"/>
    <w:rsid w:val="00801065"/>
    <w:rsid w:val="00802C0B"/>
    <w:rsid w:val="008051FC"/>
    <w:rsid w:val="008055A9"/>
    <w:rsid w:val="008056C4"/>
    <w:rsid w:val="008057FD"/>
    <w:rsid w:val="00805D8B"/>
    <w:rsid w:val="00810A63"/>
    <w:rsid w:val="00810BB6"/>
    <w:rsid w:val="00810E8E"/>
    <w:rsid w:val="008124BC"/>
    <w:rsid w:val="00812C44"/>
    <w:rsid w:val="008135E1"/>
    <w:rsid w:val="00813779"/>
    <w:rsid w:val="00813E26"/>
    <w:rsid w:val="0081481D"/>
    <w:rsid w:val="00814BE8"/>
    <w:rsid w:val="00814F6E"/>
    <w:rsid w:val="00815363"/>
    <w:rsid w:val="00815B84"/>
    <w:rsid w:val="00816BE9"/>
    <w:rsid w:val="0082027C"/>
    <w:rsid w:val="00822518"/>
    <w:rsid w:val="008226F5"/>
    <w:rsid w:val="00823FC6"/>
    <w:rsid w:val="00824306"/>
    <w:rsid w:val="00825B58"/>
    <w:rsid w:val="00825C74"/>
    <w:rsid w:val="00825CFA"/>
    <w:rsid w:val="00826AB9"/>
    <w:rsid w:val="00826E0E"/>
    <w:rsid w:val="00827D11"/>
    <w:rsid w:val="00827E0F"/>
    <w:rsid w:val="00827F6E"/>
    <w:rsid w:val="00831352"/>
    <w:rsid w:val="00831758"/>
    <w:rsid w:val="008317D9"/>
    <w:rsid w:val="0083279F"/>
    <w:rsid w:val="008334DB"/>
    <w:rsid w:val="00833B7F"/>
    <w:rsid w:val="00833E8E"/>
    <w:rsid w:val="00834906"/>
    <w:rsid w:val="00836075"/>
    <w:rsid w:val="00836417"/>
    <w:rsid w:val="00836A3E"/>
    <w:rsid w:val="00837526"/>
    <w:rsid w:val="00837AF8"/>
    <w:rsid w:val="008407A7"/>
    <w:rsid w:val="008424B5"/>
    <w:rsid w:val="0084322B"/>
    <w:rsid w:val="00843F81"/>
    <w:rsid w:val="00844087"/>
    <w:rsid w:val="00844526"/>
    <w:rsid w:val="008448F1"/>
    <w:rsid w:val="0084519E"/>
    <w:rsid w:val="00845CAE"/>
    <w:rsid w:val="00846370"/>
    <w:rsid w:val="008477E7"/>
    <w:rsid w:val="00847C2B"/>
    <w:rsid w:val="00850272"/>
    <w:rsid w:val="008506B9"/>
    <w:rsid w:val="00851822"/>
    <w:rsid w:val="00851DE4"/>
    <w:rsid w:val="008532BF"/>
    <w:rsid w:val="008539B2"/>
    <w:rsid w:val="00853BF4"/>
    <w:rsid w:val="00854294"/>
    <w:rsid w:val="0085572E"/>
    <w:rsid w:val="00856D46"/>
    <w:rsid w:val="0085788B"/>
    <w:rsid w:val="00857A9E"/>
    <w:rsid w:val="00857DE2"/>
    <w:rsid w:val="00863A8E"/>
    <w:rsid w:val="0086407F"/>
    <w:rsid w:val="008645E3"/>
    <w:rsid w:val="00864E79"/>
    <w:rsid w:val="008655D2"/>
    <w:rsid w:val="0086661F"/>
    <w:rsid w:val="00866A0D"/>
    <w:rsid w:val="00866DB5"/>
    <w:rsid w:val="0086701D"/>
    <w:rsid w:val="0086702B"/>
    <w:rsid w:val="008672E2"/>
    <w:rsid w:val="0086784E"/>
    <w:rsid w:val="0087121C"/>
    <w:rsid w:val="00871FD2"/>
    <w:rsid w:val="00872084"/>
    <w:rsid w:val="00872827"/>
    <w:rsid w:val="00872A32"/>
    <w:rsid w:val="00874911"/>
    <w:rsid w:val="008754E4"/>
    <w:rsid w:val="00876EAE"/>
    <w:rsid w:val="00877B8F"/>
    <w:rsid w:val="00880106"/>
    <w:rsid w:val="00880F95"/>
    <w:rsid w:val="00882B44"/>
    <w:rsid w:val="008838AD"/>
    <w:rsid w:val="008864B3"/>
    <w:rsid w:val="008865E5"/>
    <w:rsid w:val="008871B0"/>
    <w:rsid w:val="00890B57"/>
    <w:rsid w:val="008916BA"/>
    <w:rsid w:val="0089217C"/>
    <w:rsid w:val="00892790"/>
    <w:rsid w:val="008931DA"/>
    <w:rsid w:val="00893671"/>
    <w:rsid w:val="008946DC"/>
    <w:rsid w:val="00895838"/>
    <w:rsid w:val="00895A1E"/>
    <w:rsid w:val="00895A72"/>
    <w:rsid w:val="00895CDF"/>
    <w:rsid w:val="00896679"/>
    <w:rsid w:val="00896D8C"/>
    <w:rsid w:val="008A05A7"/>
    <w:rsid w:val="008A0FC9"/>
    <w:rsid w:val="008A1956"/>
    <w:rsid w:val="008A1A7C"/>
    <w:rsid w:val="008A2CE2"/>
    <w:rsid w:val="008A40D3"/>
    <w:rsid w:val="008A469C"/>
    <w:rsid w:val="008A51D1"/>
    <w:rsid w:val="008A5DCE"/>
    <w:rsid w:val="008A75D3"/>
    <w:rsid w:val="008B00D4"/>
    <w:rsid w:val="008B05DD"/>
    <w:rsid w:val="008B07B8"/>
    <w:rsid w:val="008B17E8"/>
    <w:rsid w:val="008B2E7C"/>
    <w:rsid w:val="008B321A"/>
    <w:rsid w:val="008B399A"/>
    <w:rsid w:val="008B45F0"/>
    <w:rsid w:val="008B4A70"/>
    <w:rsid w:val="008B502F"/>
    <w:rsid w:val="008B6DFC"/>
    <w:rsid w:val="008B7227"/>
    <w:rsid w:val="008C02FB"/>
    <w:rsid w:val="008C04E0"/>
    <w:rsid w:val="008C191C"/>
    <w:rsid w:val="008C1DA4"/>
    <w:rsid w:val="008C29B0"/>
    <w:rsid w:val="008C2CD5"/>
    <w:rsid w:val="008C3618"/>
    <w:rsid w:val="008C39E7"/>
    <w:rsid w:val="008C43AD"/>
    <w:rsid w:val="008C6118"/>
    <w:rsid w:val="008C6341"/>
    <w:rsid w:val="008C731F"/>
    <w:rsid w:val="008C74D9"/>
    <w:rsid w:val="008D03C2"/>
    <w:rsid w:val="008D12FB"/>
    <w:rsid w:val="008D3B2D"/>
    <w:rsid w:val="008D58D9"/>
    <w:rsid w:val="008D5AD4"/>
    <w:rsid w:val="008D695E"/>
    <w:rsid w:val="008D6DD5"/>
    <w:rsid w:val="008D6E59"/>
    <w:rsid w:val="008D7155"/>
    <w:rsid w:val="008D76E0"/>
    <w:rsid w:val="008E09F2"/>
    <w:rsid w:val="008E0B29"/>
    <w:rsid w:val="008E141A"/>
    <w:rsid w:val="008E1A44"/>
    <w:rsid w:val="008E1E55"/>
    <w:rsid w:val="008E28E6"/>
    <w:rsid w:val="008E3232"/>
    <w:rsid w:val="008E3674"/>
    <w:rsid w:val="008E3B6C"/>
    <w:rsid w:val="008E3DE7"/>
    <w:rsid w:val="008E562C"/>
    <w:rsid w:val="008E6540"/>
    <w:rsid w:val="008E6D26"/>
    <w:rsid w:val="008E77D4"/>
    <w:rsid w:val="008E7ADD"/>
    <w:rsid w:val="008F091F"/>
    <w:rsid w:val="008F17B2"/>
    <w:rsid w:val="008F22B3"/>
    <w:rsid w:val="008F357B"/>
    <w:rsid w:val="008F44CA"/>
    <w:rsid w:val="008F49D3"/>
    <w:rsid w:val="008F62C1"/>
    <w:rsid w:val="008F6519"/>
    <w:rsid w:val="008F7012"/>
    <w:rsid w:val="008F7ADA"/>
    <w:rsid w:val="008F7B17"/>
    <w:rsid w:val="00900042"/>
    <w:rsid w:val="0090034B"/>
    <w:rsid w:val="00901121"/>
    <w:rsid w:val="00902623"/>
    <w:rsid w:val="00902A67"/>
    <w:rsid w:val="00902C5E"/>
    <w:rsid w:val="00904BE4"/>
    <w:rsid w:val="0090504A"/>
    <w:rsid w:val="009051F5"/>
    <w:rsid w:val="00905221"/>
    <w:rsid w:val="009052F5"/>
    <w:rsid w:val="00905A7C"/>
    <w:rsid w:val="00905D7E"/>
    <w:rsid w:val="00907037"/>
    <w:rsid w:val="0091112C"/>
    <w:rsid w:val="0091160A"/>
    <w:rsid w:val="00912E04"/>
    <w:rsid w:val="00913258"/>
    <w:rsid w:val="00913851"/>
    <w:rsid w:val="00913BB0"/>
    <w:rsid w:val="0091456C"/>
    <w:rsid w:val="00914C58"/>
    <w:rsid w:val="0091564D"/>
    <w:rsid w:val="009156DA"/>
    <w:rsid w:val="00915774"/>
    <w:rsid w:val="00916BC5"/>
    <w:rsid w:val="0091726A"/>
    <w:rsid w:val="00917C01"/>
    <w:rsid w:val="00920184"/>
    <w:rsid w:val="00920EA4"/>
    <w:rsid w:val="00921792"/>
    <w:rsid w:val="00921BEA"/>
    <w:rsid w:val="009227BE"/>
    <w:rsid w:val="009238FD"/>
    <w:rsid w:val="00923998"/>
    <w:rsid w:val="00923DB4"/>
    <w:rsid w:val="0092420B"/>
    <w:rsid w:val="0092430E"/>
    <w:rsid w:val="00924570"/>
    <w:rsid w:val="00926112"/>
    <w:rsid w:val="0092625F"/>
    <w:rsid w:val="00926B28"/>
    <w:rsid w:val="00926D9C"/>
    <w:rsid w:val="00927028"/>
    <w:rsid w:val="00927763"/>
    <w:rsid w:val="00927A2D"/>
    <w:rsid w:val="00927B37"/>
    <w:rsid w:val="00931917"/>
    <w:rsid w:val="009321B1"/>
    <w:rsid w:val="00932ED7"/>
    <w:rsid w:val="009333CF"/>
    <w:rsid w:val="0093422D"/>
    <w:rsid w:val="0093483B"/>
    <w:rsid w:val="00934CF9"/>
    <w:rsid w:val="00934DD7"/>
    <w:rsid w:val="009369A9"/>
    <w:rsid w:val="00936CF7"/>
    <w:rsid w:val="00937783"/>
    <w:rsid w:val="00937EAD"/>
    <w:rsid w:val="00937F28"/>
    <w:rsid w:val="00940FE1"/>
    <w:rsid w:val="00942306"/>
    <w:rsid w:val="00942384"/>
    <w:rsid w:val="009424B8"/>
    <w:rsid w:val="00944668"/>
    <w:rsid w:val="00944DC6"/>
    <w:rsid w:val="009458B0"/>
    <w:rsid w:val="00945B52"/>
    <w:rsid w:val="00945B7A"/>
    <w:rsid w:val="00945F05"/>
    <w:rsid w:val="00946348"/>
    <w:rsid w:val="00947797"/>
    <w:rsid w:val="009478A2"/>
    <w:rsid w:val="00953808"/>
    <w:rsid w:val="009539A6"/>
    <w:rsid w:val="00954032"/>
    <w:rsid w:val="00954537"/>
    <w:rsid w:val="0095472D"/>
    <w:rsid w:val="00955FBB"/>
    <w:rsid w:val="0095694B"/>
    <w:rsid w:val="00956BD5"/>
    <w:rsid w:val="00956D84"/>
    <w:rsid w:val="009577B5"/>
    <w:rsid w:val="00960110"/>
    <w:rsid w:val="009608E6"/>
    <w:rsid w:val="00960F57"/>
    <w:rsid w:val="00961C90"/>
    <w:rsid w:val="00965443"/>
    <w:rsid w:val="00965954"/>
    <w:rsid w:val="00965A21"/>
    <w:rsid w:val="00965E55"/>
    <w:rsid w:val="0096608E"/>
    <w:rsid w:val="00966522"/>
    <w:rsid w:val="00966C33"/>
    <w:rsid w:val="00966FCB"/>
    <w:rsid w:val="00967285"/>
    <w:rsid w:val="00970F18"/>
    <w:rsid w:val="00971CF1"/>
    <w:rsid w:val="00971F5D"/>
    <w:rsid w:val="009721E9"/>
    <w:rsid w:val="00973772"/>
    <w:rsid w:val="0097471B"/>
    <w:rsid w:val="0097560A"/>
    <w:rsid w:val="00975E1E"/>
    <w:rsid w:val="00975E70"/>
    <w:rsid w:val="009761DE"/>
    <w:rsid w:val="009766FA"/>
    <w:rsid w:val="00977CD6"/>
    <w:rsid w:val="0098048B"/>
    <w:rsid w:val="00980DF9"/>
    <w:rsid w:val="00981150"/>
    <w:rsid w:val="0098243D"/>
    <w:rsid w:val="00982D26"/>
    <w:rsid w:val="00983B6E"/>
    <w:rsid w:val="00983FE5"/>
    <w:rsid w:val="009849E9"/>
    <w:rsid w:val="009859E4"/>
    <w:rsid w:val="00987812"/>
    <w:rsid w:val="00990225"/>
    <w:rsid w:val="00992A13"/>
    <w:rsid w:val="00994AAD"/>
    <w:rsid w:val="00994DE1"/>
    <w:rsid w:val="00995150"/>
    <w:rsid w:val="00995D67"/>
    <w:rsid w:val="009A013B"/>
    <w:rsid w:val="009A02F4"/>
    <w:rsid w:val="009A06BF"/>
    <w:rsid w:val="009A0D17"/>
    <w:rsid w:val="009A2494"/>
    <w:rsid w:val="009A32B1"/>
    <w:rsid w:val="009A33A3"/>
    <w:rsid w:val="009A36F2"/>
    <w:rsid w:val="009A40C3"/>
    <w:rsid w:val="009A40D5"/>
    <w:rsid w:val="009A57D0"/>
    <w:rsid w:val="009A6559"/>
    <w:rsid w:val="009A68FC"/>
    <w:rsid w:val="009A6CE4"/>
    <w:rsid w:val="009A7514"/>
    <w:rsid w:val="009A7E7A"/>
    <w:rsid w:val="009B1584"/>
    <w:rsid w:val="009B183D"/>
    <w:rsid w:val="009B18F0"/>
    <w:rsid w:val="009B1F4C"/>
    <w:rsid w:val="009B2471"/>
    <w:rsid w:val="009B314F"/>
    <w:rsid w:val="009B439C"/>
    <w:rsid w:val="009B46BC"/>
    <w:rsid w:val="009B49A1"/>
    <w:rsid w:val="009B4A6C"/>
    <w:rsid w:val="009B4DA8"/>
    <w:rsid w:val="009B519A"/>
    <w:rsid w:val="009B620C"/>
    <w:rsid w:val="009B6753"/>
    <w:rsid w:val="009B676C"/>
    <w:rsid w:val="009B6A26"/>
    <w:rsid w:val="009C079D"/>
    <w:rsid w:val="009C0D70"/>
    <w:rsid w:val="009C13D1"/>
    <w:rsid w:val="009C2913"/>
    <w:rsid w:val="009C2BD4"/>
    <w:rsid w:val="009C5AFE"/>
    <w:rsid w:val="009C6606"/>
    <w:rsid w:val="009C6CE5"/>
    <w:rsid w:val="009C6D50"/>
    <w:rsid w:val="009C7547"/>
    <w:rsid w:val="009D02AA"/>
    <w:rsid w:val="009D05EC"/>
    <w:rsid w:val="009D18D4"/>
    <w:rsid w:val="009D2F60"/>
    <w:rsid w:val="009D3A2E"/>
    <w:rsid w:val="009D5ADE"/>
    <w:rsid w:val="009D5BAC"/>
    <w:rsid w:val="009D5C56"/>
    <w:rsid w:val="009D6265"/>
    <w:rsid w:val="009D64BD"/>
    <w:rsid w:val="009D6CB1"/>
    <w:rsid w:val="009E0286"/>
    <w:rsid w:val="009E153F"/>
    <w:rsid w:val="009E322A"/>
    <w:rsid w:val="009E393E"/>
    <w:rsid w:val="009E444E"/>
    <w:rsid w:val="009E4968"/>
    <w:rsid w:val="009E663C"/>
    <w:rsid w:val="009E684A"/>
    <w:rsid w:val="009E6BB1"/>
    <w:rsid w:val="009E6E14"/>
    <w:rsid w:val="009E794A"/>
    <w:rsid w:val="009E7C14"/>
    <w:rsid w:val="009F0494"/>
    <w:rsid w:val="009F0CD9"/>
    <w:rsid w:val="009F1A79"/>
    <w:rsid w:val="009F1F57"/>
    <w:rsid w:val="009F259A"/>
    <w:rsid w:val="009F2DDD"/>
    <w:rsid w:val="009F3447"/>
    <w:rsid w:val="009F65F4"/>
    <w:rsid w:val="009F676B"/>
    <w:rsid w:val="009F6D2D"/>
    <w:rsid w:val="009F6D54"/>
    <w:rsid w:val="00A0010C"/>
    <w:rsid w:val="00A004DF"/>
    <w:rsid w:val="00A00FD5"/>
    <w:rsid w:val="00A012C0"/>
    <w:rsid w:val="00A019A8"/>
    <w:rsid w:val="00A01B03"/>
    <w:rsid w:val="00A01B89"/>
    <w:rsid w:val="00A02C66"/>
    <w:rsid w:val="00A02C84"/>
    <w:rsid w:val="00A03DFA"/>
    <w:rsid w:val="00A0464C"/>
    <w:rsid w:val="00A050BB"/>
    <w:rsid w:val="00A054E0"/>
    <w:rsid w:val="00A05D91"/>
    <w:rsid w:val="00A0740B"/>
    <w:rsid w:val="00A07ED3"/>
    <w:rsid w:val="00A10CA8"/>
    <w:rsid w:val="00A11042"/>
    <w:rsid w:val="00A12579"/>
    <w:rsid w:val="00A133D8"/>
    <w:rsid w:val="00A15655"/>
    <w:rsid w:val="00A160B0"/>
    <w:rsid w:val="00A1740C"/>
    <w:rsid w:val="00A20069"/>
    <w:rsid w:val="00A2244D"/>
    <w:rsid w:val="00A2253D"/>
    <w:rsid w:val="00A2267F"/>
    <w:rsid w:val="00A22CDB"/>
    <w:rsid w:val="00A247B8"/>
    <w:rsid w:val="00A2495A"/>
    <w:rsid w:val="00A24C7A"/>
    <w:rsid w:val="00A24D8F"/>
    <w:rsid w:val="00A250DD"/>
    <w:rsid w:val="00A25B8B"/>
    <w:rsid w:val="00A25C5D"/>
    <w:rsid w:val="00A2689F"/>
    <w:rsid w:val="00A26ECA"/>
    <w:rsid w:val="00A26EFD"/>
    <w:rsid w:val="00A27461"/>
    <w:rsid w:val="00A27D67"/>
    <w:rsid w:val="00A30ABC"/>
    <w:rsid w:val="00A33B74"/>
    <w:rsid w:val="00A3467F"/>
    <w:rsid w:val="00A34B4C"/>
    <w:rsid w:val="00A35030"/>
    <w:rsid w:val="00A3551A"/>
    <w:rsid w:val="00A366A0"/>
    <w:rsid w:val="00A37209"/>
    <w:rsid w:val="00A37584"/>
    <w:rsid w:val="00A376E8"/>
    <w:rsid w:val="00A37F8E"/>
    <w:rsid w:val="00A41537"/>
    <w:rsid w:val="00A41737"/>
    <w:rsid w:val="00A42B8F"/>
    <w:rsid w:val="00A42D8E"/>
    <w:rsid w:val="00A43254"/>
    <w:rsid w:val="00A43896"/>
    <w:rsid w:val="00A43A26"/>
    <w:rsid w:val="00A447A0"/>
    <w:rsid w:val="00A459F5"/>
    <w:rsid w:val="00A45FC0"/>
    <w:rsid w:val="00A46B74"/>
    <w:rsid w:val="00A47ECC"/>
    <w:rsid w:val="00A50171"/>
    <w:rsid w:val="00A504FA"/>
    <w:rsid w:val="00A5102E"/>
    <w:rsid w:val="00A5132E"/>
    <w:rsid w:val="00A51375"/>
    <w:rsid w:val="00A51533"/>
    <w:rsid w:val="00A531D4"/>
    <w:rsid w:val="00A54572"/>
    <w:rsid w:val="00A575B8"/>
    <w:rsid w:val="00A60155"/>
    <w:rsid w:val="00A61C60"/>
    <w:rsid w:val="00A61ECB"/>
    <w:rsid w:val="00A6410C"/>
    <w:rsid w:val="00A647B1"/>
    <w:rsid w:val="00A64DEF"/>
    <w:rsid w:val="00A654D2"/>
    <w:rsid w:val="00A665DF"/>
    <w:rsid w:val="00A67928"/>
    <w:rsid w:val="00A67FCC"/>
    <w:rsid w:val="00A70AA5"/>
    <w:rsid w:val="00A70C03"/>
    <w:rsid w:val="00A71256"/>
    <w:rsid w:val="00A7217B"/>
    <w:rsid w:val="00A73861"/>
    <w:rsid w:val="00A739A6"/>
    <w:rsid w:val="00A740ED"/>
    <w:rsid w:val="00A74C29"/>
    <w:rsid w:val="00A74C62"/>
    <w:rsid w:val="00A75DF5"/>
    <w:rsid w:val="00A75EF9"/>
    <w:rsid w:val="00A8311C"/>
    <w:rsid w:val="00A835D0"/>
    <w:rsid w:val="00A84C5F"/>
    <w:rsid w:val="00A85930"/>
    <w:rsid w:val="00A863F7"/>
    <w:rsid w:val="00A86604"/>
    <w:rsid w:val="00A87519"/>
    <w:rsid w:val="00A9246D"/>
    <w:rsid w:val="00A92CCA"/>
    <w:rsid w:val="00A93BD0"/>
    <w:rsid w:val="00A93CC2"/>
    <w:rsid w:val="00A974CC"/>
    <w:rsid w:val="00AA1067"/>
    <w:rsid w:val="00AA2001"/>
    <w:rsid w:val="00AA2B5C"/>
    <w:rsid w:val="00AA32D2"/>
    <w:rsid w:val="00AA4016"/>
    <w:rsid w:val="00AA4C1F"/>
    <w:rsid w:val="00AA5328"/>
    <w:rsid w:val="00AA5393"/>
    <w:rsid w:val="00AA63D4"/>
    <w:rsid w:val="00AB03FD"/>
    <w:rsid w:val="00AB2000"/>
    <w:rsid w:val="00AB2E94"/>
    <w:rsid w:val="00AB38CB"/>
    <w:rsid w:val="00AB3BEC"/>
    <w:rsid w:val="00AB44E4"/>
    <w:rsid w:val="00AB4AEB"/>
    <w:rsid w:val="00AB4E5F"/>
    <w:rsid w:val="00AB5256"/>
    <w:rsid w:val="00AB5352"/>
    <w:rsid w:val="00AB56AE"/>
    <w:rsid w:val="00AB62D5"/>
    <w:rsid w:val="00AB65B5"/>
    <w:rsid w:val="00AB6DCD"/>
    <w:rsid w:val="00AB6EE0"/>
    <w:rsid w:val="00AC17A2"/>
    <w:rsid w:val="00AC18CD"/>
    <w:rsid w:val="00AC3581"/>
    <w:rsid w:val="00AC40B7"/>
    <w:rsid w:val="00AC531F"/>
    <w:rsid w:val="00AC5B36"/>
    <w:rsid w:val="00AC6377"/>
    <w:rsid w:val="00AC66A4"/>
    <w:rsid w:val="00AC6CB1"/>
    <w:rsid w:val="00AC7D6D"/>
    <w:rsid w:val="00AD0091"/>
    <w:rsid w:val="00AD23EF"/>
    <w:rsid w:val="00AD2662"/>
    <w:rsid w:val="00AD307B"/>
    <w:rsid w:val="00AD4014"/>
    <w:rsid w:val="00AD41B3"/>
    <w:rsid w:val="00AD42F3"/>
    <w:rsid w:val="00AD5721"/>
    <w:rsid w:val="00AD5C4D"/>
    <w:rsid w:val="00AD69F0"/>
    <w:rsid w:val="00AD7127"/>
    <w:rsid w:val="00AD730C"/>
    <w:rsid w:val="00AD7795"/>
    <w:rsid w:val="00AE123A"/>
    <w:rsid w:val="00AE1539"/>
    <w:rsid w:val="00AE28A7"/>
    <w:rsid w:val="00AE2A98"/>
    <w:rsid w:val="00AE2CF2"/>
    <w:rsid w:val="00AE3012"/>
    <w:rsid w:val="00AE33A6"/>
    <w:rsid w:val="00AE3729"/>
    <w:rsid w:val="00AE4138"/>
    <w:rsid w:val="00AE4CCE"/>
    <w:rsid w:val="00AE5C6A"/>
    <w:rsid w:val="00AE6317"/>
    <w:rsid w:val="00AE6B62"/>
    <w:rsid w:val="00AE7280"/>
    <w:rsid w:val="00AF033A"/>
    <w:rsid w:val="00AF1699"/>
    <w:rsid w:val="00AF1FD3"/>
    <w:rsid w:val="00AF2910"/>
    <w:rsid w:val="00AF34B8"/>
    <w:rsid w:val="00AF3896"/>
    <w:rsid w:val="00AF3FC2"/>
    <w:rsid w:val="00AF48DB"/>
    <w:rsid w:val="00B0098A"/>
    <w:rsid w:val="00B00A5F"/>
    <w:rsid w:val="00B00F89"/>
    <w:rsid w:val="00B029B8"/>
    <w:rsid w:val="00B02F60"/>
    <w:rsid w:val="00B032B8"/>
    <w:rsid w:val="00B04721"/>
    <w:rsid w:val="00B04B15"/>
    <w:rsid w:val="00B04B46"/>
    <w:rsid w:val="00B0534D"/>
    <w:rsid w:val="00B05685"/>
    <w:rsid w:val="00B05F9F"/>
    <w:rsid w:val="00B06368"/>
    <w:rsid w:val="00B068DA"/>
    <w:rsid w:val="00B06A00"/>
    <w:rsid w:val="00B06FC6"/>
    <w:rsid w:val="00B074C9"/>
    <w:rsid w:val="00B07D9D"/>
    <w:rsid w:val="00B11AE5"/>
    <w:rsid w:val="00B12FE6"/>
    <w:rsid w:val="00B1303F"/>
    <w:rsid w:val="00B1364A"/>
    <w:rsid w:val="00B13859"/>
    <w:rsid w:val="00B13EC9"/>
    <w:rsid w:val="00B14319"/>
    <w:rsid w:val="00B14A06"/>
    <w:rsid w:val="00B158E1"/>
    <w:rsid w:val="00B16715"/>
    <w:rsid w:val="00B1768E"/>
    <w:rsid w:val="00B17910"/>
    <w:rsid w:val="00B20F18"/>
    <w:rsid w:val="00B21516"/>
    <w:rsid w:val="00B21A37"/>
    <w:rsid w:val="00B21D23"/>
    <w:rsid w:val="00B21F62"/>
    <w:rsid w:val="00B22CE0"/>
    <w:rsid w:val="00B23738"/>
    <w:rsid w:val="00B23BEF"/>
    <w:rsid w:val="00B247BB"/>
    <w:rsid w:val="00B24F86"/>
    <w:rsid w:val="00B2504A"/>
    <w:rsid w:val="00B25EE6"/>
    <w:rsid w:val="00B3115A"/>
    <w:rsid w:val="00B31825"/>
    <w:rsid w:val="00B31A5C"/>
    <w:rsid w:val="00B33B06"/>
    <w:rsid w:val="00B33C19"/>
    <w:rsid w:val="00B35A15"/>
    <w:rsid w:val="00B35B45"/>
    <w:rsid w:val="00B36A99"/>
    <w:rsid w:val="00B42264"/>
    <w:rsid w:val="00B434B2"/>
    <w:rsid w:val="00B43D45"/>
    <w:rsid w:val="00B451FC"/>
    <w:rsid w:val="00B468F2"/>
    <w:rsid w:val="00B469DE"/>
    <w:rsid w:val="00B47286"/>
    <w:rsid w:val="00B50234"/>
    <w:rsid w:val="00B51BF4"/>
    <w:rsid w:val="00B52C68"/>
    <w:rsid w:val="00B5372B"/>
    <w:rsid w:val="00B542FE"/>
    <w:rsid w:val="00B55A1B"/>
    <w:rsid w:val="00B561DB"/>
    <w:rsid w:val="00B56DF9"/>
    <w:rsid w:val="00B600BD"/>
    <w:rsid w:val="00B61274"/>
    <w:rsid w:val="00B61DCE"/>
    <w:rsid w:val="00B62188"/>
    <w:rsid w:val="00B62F79"/>
    <w:rsid w:val="00B62F82"/>
    <w:rsid w:val="00B6306A"/>
    <w:rsid w:val="00B635E3"/>
    <w:rsid w:val="00B653D7"/>
    <w:rsid w:val="00B662FF"/>
    <w:rsid w:val="00B66679"/>
    <w:rsid w:val="00B70145"/>
    <w:rsid w:val="00B71A92"/>
    <w:rsid w:val="00B721D8"/>
    <w:rsid w:val="00B730CA"/>
    <w:rsid w:val="00B747C5"/>
    <w:rsid w:val="00B74F2F"/>
    <w:rsid w:val="00B753ED"/>
    <w:rsid w:val="00B769BC"/>
    <w:rsid w:val="00B77349"/>
    <w:rsid w:val="00B7761E"/>
    <w:rsid w:val="00B80A3D"/>
    <w:rsid w:val="00B80B04"/>
    <w:rsid w:val="00B8127B"/>
    <w:rsid w:val="00B819E5"/>
    <w:rsid w:val="00B821E4"/>
    <w:rsid w:val="00B823E0"/>
    <w:rsid w:val="00B8260D"/>
    <w:rsid w:val="00B82B78"/>
    <w:rsid w:val="00B845B4"/>
    <w:rsid w:val="00B84662"/>
    <w:rsid w:val="00B84C74"/>
    <w:rsid w:val="00B85191"/>
    <w:rsid w:val="00B858A1"/>
    <w:rsid w:val="00B85FEC"/>
    <w:rsid w:val="00B864A3"/>
    <w:rsid w:val="00B86C2A"/>
    <w:rsid w:val="00B878BE"/>
    <w:rsid w:val="00B902A5"/>
    <w:rsid w:val="00B90420"/>
    <w:rsid w:val="00B90848"/>
    <w:rsid w:val="00B91146"/>
    <w:rsid w:val="00B913E4"/>
    <w:rsid w:val="00B91DB9"/>
    <w:rsid w:val="00B91FF3"/>
    <w:rsid w:val="00B93EFE"/>
    <w:rsid w:val="00B944B9"/>
    <w:rsid w:val="00B94956"/>
    <w:rsid w:val="00B94C7F"/>
    <w:rsid w:val="00B94E93"/>
    <w:rsid w:val="00B956B5"/>
    <w:rsid w:val="00B96DF2"/>
    <w:rsid w:val="00B96E18"/>
    <w:rsid w:val="00B96F5A"/>
    <w:rsid w:val="00BA0B39"/>
    <w:rsid w:val="00BA0CB2"/>
    <w:rsid w:val="00BA0E26"/>
    <w:rsid w:val="00BA1310"/>
    <w:rsid w:val="00BA138B"/>
    <w:rsid w:val="00BA305B"/>
    <w:rsid w:val="00BA31BF"/>
    <w:rsid w:val="00BA3FC7"/>
    <w:rsid w:val="00BA478B"/>
    <w:rsid w:val="00BA5224"/>
    <w:rsid w:val="00BA575E"/>
    <w:rsid w:val="00BA76B7"/>
    <w:rsid w:val="00BA7E3B"/>
    <w:rsid w:val="00BB078D"/>
    <w:rsid w:val="00BB079C"/>
    <w:rsid w:val="00BB0D7A"/>
    <w:rsid w:val="00BB10E1"/>
    <w:rsid w:val="00BB2471"/>
    <w:rsid w:val="00BB25B8"/>
    <w:rsid w:val="00BB3035"/>
    <w:rsid w:val="00BB39C1"/>
    <w:rsid w:val="00BB3DF5"/>
    <w:rsid w:val="00BB5D16"/>
    <w:rsid w:val="00BB6180"/>
    <w:rsid w:val="00BB69E6"/>
    <w:rsid w:val="00BB7BE5"/>
    <w:rsid w:val="00BC08BD"/>
    <w:rsid w:val="00BC11E8"/>
    <w:rsid w:val="00BC1B7A"/>
    <w:rsid w:val="00BC2C17"/>
    <w:rsid w:val="00BC3ACD"/>
    <w:rsid w:val="00BC3B20"/>
    <w:rsid w:val="00BC3EE4"/>
    <w:rsid w:val="00BC588C"/>
    <w:rsid w:val="00BC62F4"/>
    <w:rsid w:val="00BC6E73"/>
    <w:rsid w:val="00BC74D3"/>
    <w:rsid w:val="00BD0014"/>
    <w:rsid w:val="00BD01D8"/>
    <w:rsid w:val="00BD255F"/>
    <w:rsid w:val="00BD2895"/>
    <w:rsid w:val="00BD4236"/>
    <w:rsid w:val="00BD483B"/>
    <w:rsid w:val="00BD5CD4"/>
    <w:rsid w:val="00BD65D9"/>
    <w:rsid w:val="00BD6DF3"/>
    <w:rsid w:val="00BD6E09"/>
    <w:rsid w:val="00BD6EF9"/>
    <w:rsid w:val="00BE0ACB"/>
    <w:rsid w:val="00BE2260"/>
    <w:rsid w:val="00BE3786"/>
    <w:rsid w:val="00BE3917"/>
    <w:rsid w:val="00BE50FD"/>
    <w:rsid w:val="00BE51CA"/>
    <w:rsid w:val="00BE537F"/>
    <w:rsid w:val="00BE5D77"/>
    <w:rsid w:val="00BE6D47"/>
    <w:rsid w:val="00BE7032"/>
    <w:rsid w:val="00BE7330"/>
    <w:rsid w:val="00BF01C5"/>
    <w:rsid w:val="00BF061A"/>
    <w:rsid w:val="00BF066A"/>
    <w:rsid w:val="00BF14CC"/>
    <w:rsid w:val="00BF1821"/>
    <w:rsid w:val="00BF3C42"/>
    <w:rsid w:val="00BF4342"/>
    <w:rsid w:val="00BF4704"/>
    <w:rsid w:val="00BF4FFC"/>
    <w:rsid w:val="00BF5050"/>
    <w:rsid w:val="00BF50D1"/>
    <w:rsid w:val="00BF5422"/>
    <w:rsid w:val="00BF59B1"/>
    <w:rsid w:val="00BF6A78"/>
    <w:rsid w:val="00BF7695"/>
    <w:rsid w:val="00BF79B4"/>
    <w:rsid w:val="00BF7C61"/>
    <w:rsid w:val="00C00037"/>
    <w:rsid w:val="00C01427"/>
    <w:rsid w:val="00C014C7"/>
    <w:rsid w:val="00C047AB"/>
    <w:rsid w:val="00C058AF"/>
    <w:rsid w:val="00C075B6"/>
    <w:rsid w:val="00C124C1"/>
    <w:rsid w:val="00C128AE"/>
    <w:rsid w:val="00C12BA8"/>
    <w:rsid w:val="00C136D6"/>
    <w:rsid w:val="00C13902"/>
    <w:rsid w:val="00C13D5B"/>
    <w:rsid w:val="00C141D7"/>
    <w:rsid w:val="00C16F84"/>
    <w:rsid w:val="00C1711B"/>
    <w:rsid w:val="00C17AE2"/>
    <w:rsid w:val="00C17E00"/>
    <w:rsid w:val="00C20140"/>
    <w:rsid w:val="00C20F27"/>
    <w:rsid w:val="00C215CF"/>
    <w:rsid w:val="00C2244B"/>
    <w:rsid w:val="00C22711"/>
    <w:rsid w:val="00C2280A"/>
    <w:rsid w:val="00C22B0D"/>
    <w:rsid w:val="00C22BFF"/>
    <w:rsid w:val="00C23522"/>
    <w:rsid w:val="00C240C1"/>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3B57"/>
    <w:rsid w:val="00C34619"/>
    <w:rsid w:val="00C34B60"/>
    <w:rsid w:val="00C35D01"/>
    <w:rsid w:val="00C360B3"/>
    <w:rsid w:val="00C37027"/>
    <w:rsid w:val="00C37B19"/>
    <w:rsid w:val="00C413CB"/>
    <w:rsid w:val="00C42752"/>
    <w:rsid w:val="00C42973"/>
    <w:rsid w:val="00C43E68"/>
    <w:rsid w:val="00C44C69"/>
    <w:rsid w:val="00C4712A"/>
    <w:rsid w:val="00C5034F"/>
    <w:rsid w:val="00C50830"/>
    <w:rsid w:val="00C52479"/>
    <w:rsid w:val="00C5266E"/>
    <w:rsid w:val="00C5280F"/>
    <w:rsid w:val="00C52C59"/>
    <w:rsid w:val="00C5349E"/>
    <w:rsid w:val="00C539FF"/>
    <w:rsid w:val="00C544BD"/>
    <w:rsid w:val="00C54D3D"/>
    <w:rsid w:val="00C55A30"/>
    <w:rsid w:val="00C56384"/>
    <w:rsid w:val="00C60AD0"/>
    <w:rsid w:val="00C60F8C"/>
    <w:rsid w:val="00C61794"/>
    <w:rsid w:val="00C62A48"/>
    <w:rsid w:val="00C62AC4"/>
    <w:rsid w:val="00C62B59"/>
    <w:rsid w:val="00C62F96"/>
    <w:rsid w:val="00C631E1"/>
    <w:rsid w:val="00C638D8"/>
    <w:rsid w:val="00C63AE7"/>
    <w:rsid w:val="00C63D26"/>
    <w:rsid w:val="00C6540A"/>
    <w:rsid w:val="00C6625C"/>
    <w:rsid w:val="00C668A1"/>
    <w:rsid w:val="00C67223"/>
    <w:rsid w:val="00C707B8"/>
    <w:rsid w:val="00C712AC"/>
    <w:rsid w:val="00C71C15"/>
    <w:rsid w:val="00C71F3D"/>
    <w:rsid w:val="00C72F53"/>
    <w:rsid w:val="00C74035"/>
    <w:rsid w:val="00C748EA"/>
    <w:rsid w:val="00C77818"/>
    <w:rsid w:val="00C8063F"/>
    <w:rsid w:val="00C806ED"/>
    <w:rsid w:val="00C81282"/>
    <w:rsid w:val="00C827B4"/>
    <w:rsid w:val="00C83214"/>
    <w:rsid w:val="00C8329F"/>
    <w:rsid w:val="00C8468A"/>
    <w:rsid w:val="00C84F8A"/>
    <w:rsid w:val="00C85BA4"/>
    <w:rsid w:val="00C8618F"/>
    <w:rsid w:val="00C8625D"/>
    <w:rsid w:val="00C90372"/>
    <w:rsid w:val="00C9041F"/>
    <w:rsid w:val="00C90F54"/>
    <w:rsid w:val="00C9166B"/>
    <w:rsid w:val="00C91A45"/>
    <w:rsid w:val="00C91FB4"/>
    <w:rsid w:val="00C92150"/>
    <w:rsid w:val="00C92328"/>
    <w:rsid w:val="00C92D42"/>
    <w:rsid w:val="00C938C2"/>
    <w:rsid w:val="00C93F8A"/>
    <w:rsid w:val="00C94EA1"/>
    <w:rsid w:val="00C9511B"/>
    <w:rsid w:val="00C95745"/>
    <w:rsid w:val="00C95902"/>
    <w:rsid w:val="00C962E3"/>
    <w:rsid w:val="00C9712D"/>
    <w:rsid w:val="00C97246"/>
    <w:rsid w:val="00C978E2"/>
    <w:rsid w:val="00C97997"/>
    <w:rsid w:val="00CA10A2"/>
    <w:rsid w:val="00CA1D83"/>
    <w:rsid w:val="00CA25C0"/>
    <w:rsid w:val="00CA3451"/>
    <w:rsid w:val="00CA35C6"/>
    <w:rsid w:val="00CA4948"/>
    <w:rsid w:val="00CA52F9"/>
    <w:rsid w:val="00CA5368"/>
    <w:rsid w:val="00CA568B"/>
    <w:rsid w:val="00CA573A"/>
    <w:rsid w:val="00CA5C58"/>
    <w:rsid w:val="00CA7D80"/>
    <w:rsid w:val="00CB1775"/>
    <w:rsid w:val="00CB19D7"/>
    <w:rsid w:val="00CB19FE"/>
    <w:rsid w:val="00CB1C3F"/>
    <w:rsid w:val="00CB2364"/>
    <w:rsid w:val="00CB304C"/>
    <w:rsid w:val="00CB3933"/>
    <w:rsid w:val="00CB53E8"/>
    <w:rsid w:val="00CB594A"/>
    <w:rsid w:val="00CB5CB2"/>
    <w:rsid w:val="00CB6979"/>
    <w:rsid w:val="00CB7DDE"/>
    <w:rsid w:val="00CC0A3D"/>
    <w:rsid w:val="00CC1585"/>
    <w:rsid w:val="00CC3C53"/>
    <w:rsid w:val="00CC3D24"/>
    <w:rsid w:val="00CC3F91"/>
    <w:rsid w:val="00CC472A"/>
    <w:rsid w:val="00CC4ACD"/>
    <w:rsid w:val="00CC4AD3"/>
    <w:rsid w:val="00CC4B0A"/>
    <w:rsid w:val="00CC544A"/>
    <w:rsid w:val="00CC57EA"/>
    <w:rsid w:val="00CC5954"/>
    <w:rsid w:val="00CC629B"/>
    <w:rsid w:val="00CC6C4E"/>
    <w:rsid w:val="00CD009D"/>
    <w:rsid w:val="00CD05A2"/>
    <w:rsid w:val="00CD29D4"/>
    <w:rsid w:val="00CD2B5C"/>
    <w:rsid w:val="00CD2FF3"/>
    <w:rsid w:val="00CD3323"/>
    <w:rsid w:val="00CD38F5"/>
    <w:rsid w:val="00CD437E"/>
    <w:rsid w:val="00CD46F1"/>
    <w:rsid w:val="00CD5DAD"/>
    <w:rsid w:val="00CD72C5"/>
    <w:rsid w:val="00CD79A7"/>
    <w:rsid w:val="00CE0789"/>
    <w:rsid w:val="00CE0E8D"/>
    <w:rsid w:val="00CE1A03"/>
    <w:rsid w:val="00CE2346"/>
    <w:rsid w:val="00CE25B2"/>
    <w:rsid w:val="00CE2687"/>
    <w:rsid w:val="00CE27B7"/>
    <w:rsid w:val="00CE3529"/>
    <w:rsid w:val="00CE35C8"/>
    <w:rsid w:val="00CE3962"/>
    <w:rsid w:val="00CE4D1A"/>
    <w:rsid w:val="00CE4E8A"/>
    <w:rsid w:val="00CE5105"/>
    <w:rsid w:val="00CE56BD"/>
    <w:rsid w:val="00CE5EC0"/>
    <w:rsid w:val="00CE6A0B"/>
    <w:rsid w:val="00CE6F9F"/>
    <w:rsid w:val="00CE781A"/>
    <w:rsid w:val="00CE7B08"/>
    <w:rsid w:val="00CE7D52"/>
    <w:rsid w:val="00CF1D74"/>
    <w:rsid w:val="00CF2BE2"/>
    <w:rsid w:val="00CF3DEB"/>
    <w:rsid w:val="00CF55F9"/>
    <w:rsid w:val="00CF7074"/>
    <w:rsid w:val="00CF7390"/>
    <w:rsid w:val="00CF7495"/>
    <w:rsid w:val="00D01CF9"/>
    <w:rsid w:val="00D0334D"/>
    <w:rsid w:val="00D0374D"/>
    <w:rsid w:val="00D06D7B"/>
    <w:rsid w:val="00D06DA5"/>
    <w:rsid w:val="00D07191"/>
    <w:rsid w:val="00D07F1D"/>
    <w:rsid w:val="00D10558"/>
    <w:rsid w:val="00D11D4D"/>
    <w:rsid w:val="00D126DC"/>
    <w:rsid w:val="00D12B03"/>
    <w:rsid w:val="00D13E70"/>
    <w:rsid w:val="00D15FCD"/>
    <w:rsid w:val="00D16C58"/>
    <w:rsid w:val="00D17019"/>
    <w:rsid w:val="00D17FC8"/>
    <w:rsid w:val="00D20B44"/>
    <w:rsid w:val="00D21168"/>
    <w:rsid w:val="00D2438C"/>
    <w:rsid w:val="00D2585A"/>
    <w:rsid w:val="00D259B0"/>
    <w:rsid w:val="00D26C3F"/>
    <w:rsid w:val="00D27026"/>
    <w:rsid w:val="00D2708A"/>
    <w:rsid w:val="00D27185"/>
    <w:rsid w:val="00D30EF8"/>
    <w:rsid w:val="00D32518"/>
    <w:rsid w:val="00D33488"/>
    <w:rsid w:val="00D33AB3"/>
    <w:rsid w:val="00D33F24"/>
    <w:rsid w:val="00D34160"/>
    <w:rsid w:val="00D346B8"/>
    <w:rsid w:val="00D34DCA"/>
    <w:rsid w:val="00D35AC8"/>
    <w:rsid w:val="00D36F87"/>
    <w:rsid w:val="00D37E4E"/>
    <w:rsid w:val="00D400A4"/>
    <w:rsid w:val="00D40DEF"/>
    <w:rsid w:val="00D417D8"/>
    <w:rsid w:val="00D41F78"/>
    <w:rsid w:val="00D42E6C"/>
    <w:rsid w:val="00D4351C"/>
    <w:rsid w:val="00D43B80"/>
    <w:rsid w:val="00D44988"/>
    <w:rsid w:val="00D45B4C"/>
    <w:rsid w:val="00D45BA4"/>
    <w:rsid w:val="00D471AF"/>
    <w:rsid w:val="00D4724F"/>
    <w:rsid w:val="00D50519"/>
    <w:rsid w:val="00D512C8"/>
    <w:rsid w:val="00D51601"/>
    <w:rsid w:val="00D51955"/>
    <w:rsid w:val="00D51ECB"/>
    <w:rsid w:val="00D5264C"/>
    <w:rsid w:val="00D52BBC"/>
    <w:rsid w:val="00D537FE"/>
    <w:rsid w:val="00D53CC9"/>
    <w:rsid w:val="00D54A6A"/>
    <w:rsid w:val="00D54B8F"/>
    <w:rsid w:val="00D55951"/>
    <w:rsid w:val="00D559F0"/>
    <w:rsid w:val="00D57EB6"/>
    <w:rsid w:val="00D608C0"/>
    <w:rsid w:val="00D60D6D"/>
    <w:rsid w:val="00D6128C"/>
    <w:rsid w:val="00D61ADC"/>
    <w:rsid w:val="00D66D8B"/>
    <w:rsid w:val="00D70849"/>
    <w:rsid w:val="00D72297"/>
    <w:rsid w:val="00D72A1C"/>
    <w:rsid w:val="00D7308F"/>
    <w:rsid w:val="00D7313E"/>
    <w:rsid w:val="00D73580"/>
    <w:rsid w:val="00D73802"/>
    <w:rsid w:val="00D73C2C"/>
    <w:rsid w:val="00D73D52"/>
    <w:rsid w:val="00D745E7"/>
    <w:rsid w:val="00D774ED"/>
    <w:rsid w:val="00D777C3"/>
    <w:rsid w:val="00D7797C"/>
    <w:rsid w:val="00D77C44"/>
    <w:rsid w:val="00D77F88"/>
    <w:rsid w:val="00D81AFA"/>
    <w:rsid w:val="00D81EAA"/>
    <w:rsid w:val="00D81FE2"/>
    <w:rsid w:val="00D8259F"/>
    <w:rsid w:val="00D825F2"/>
    <w:rsid w:val="00D8285C"/>
    <w:rsid w:val="00D828B1"/>
    <w:rsid w:val="00D82A55"/>
    <w:rsid w:val="00D83D49"/>
    <w:rsid w:val="00D84181"/>
    <w:rsid w:val="00D846AD"/>
    <w:rsid w:val="00D84754"/>
    <w:rsid w:val="00D84F27"/>
    <w:rsid w:val="00D853F0"/>
    <w:rsid w:val="00D85862"/>
    <w:rsid w:val="00D86D47"/>
    <w:rsid w:val="00D8710C"/>
    <w:rsid w:val="00D873C6"/>
    <w:rsid w:val="00D9074A"/>
    <w:rsid w:val="00D9099E"/>
    <w:rsid w:val="00D9193A"/>
    <w:rsid w:val="00D923B2"/>
    <w:rsid w:val="00D92463"/>
    <w:rsid w:val="00D93E64"/>
    <w:rsid w:val="00D93F64"/>
    <w:rsid w:val="00D94CA4"/>
    <w:rsid w:val="00D95E99"/>
    <w:rsid w:val="00D965D5"/>
    <w:rsid w:val="00D97DA2"/>
    <w:rsid w:val="00DA1A3A"/>
    <w:rsid w:val="00DA2351"/>
    <w:rsid w:val="00DA249E"/>
    <w:rsid w:val="00DA2D3D"/>
    <w:rsid w:val="00DA4C30"/>
    <w:rsid w:val="00DA7722"/>
    <w:rsid w:val="00DB145E"/>
    <w:rsid w:val="00DB1A94"/>
    <w:rsid w:val="00DB1D52"/>
    <w:rsid w:val="00DB1D92"/>
    <w:rsid w:val="00DB1E2B"/>
    <w:rsid w:val="00DB1F62"/>
    <w:rsid w:val="00DB21E7"/>
    <w:rsid w:val="00DB2E03"/>
    <w:rsid w:val="00DB3742"/>
    <w:rsid w:val="00DB3E9B"/>
    <w:rsid w:val="00DB3F4B"/>
    <w:rsid w:val="00DB5375"/>
    <w:rsid w:val="00DB67C1"/>
    <w:rsid w:val="00DB6C0B"/>
    <w:rsid w:val="00DB70F4"/>
    <w:rsid w:val="00DB748A"/>
    <w:rsid w:val="00DB7D94"/>
    <w:rsid w:val="00DC1056"/>
    <w:rsid w:val="00DC1442"/>
    <w:rsid w:val="00DC21D8"/>
    <w:rsid w:val="00DC282A"/>
    <w:rsid w:val="00DC34DC"/>
    <w:rsid w:val="00DC3780"/>
    <w:rsid w:val="00DC3ADA"/>
    <w:rsid w:val="00DC3CC6"/>
    <w:rsid w:val="00DC3F55"/>
    <w:rsid w:val="00DC4782"/>
    <w:rsid w:val="00DC514A"/>
    <w:rsid w:val="00DC67B1"/>
    <w:rsid w:val="00DC7FBC"/>
    <w:rsid w:val="00DD0019"/>
    <w:rsid w:val="00DD132B"/>
    <w:rsid w:val="00DD1725"/>
    <w:rsid w:val="00DD2159"/>
    <w:rsid w:val="00DD218B"/>
    <w:rsid w:val="00DD2A18"/>
    <w:rsid w:val="00DD3044"/>
    <w:rsid w:val="00DD3985"/>
    <w:rsid w:val="00DD61E8"/>
    <w:rsid w:val="00DD62C0"/>
    <w:rsid w:val="00DD635A"/>
    <w:rsid w:val="00DD64DE"/>
    <w:rsid w:val="00DD7859"/>
    <w:rsid w:val="00DD7B41"/>
    <w:rsid w:val="00DE0784"/>
    <w:rsid w:val="00DE0A1D"/>
    <w:rsid w:val="00DE15B2"/>
    <w:rsid w:val="00DE1A9A"/>
    <w:rsid w:val="00DE3D2C"/>
    <w:rsid w:val="00DE5E82"/>
    <w:rsid w:val="00DE5FA6"/>
    <w:rsid w:val="00DE6792"/>
    <w:rsid w:val="00DE6AA1"/>
    <w:rsid w:val="00DE795F"/>
    <w:rsid w:val="00DE7AAB"/>
    <w:rsid w:val="00DE7EF7"/>
    <w:rsid w:val="00DF015B"/>
    <w:rsid w:val="00DF02EC"/>
    <w:rsid w:val="00DF10FC"/>
    <w:rsid w:val="00DF1185"/>
    <w:rsid w:val="00DF1299"/>
    <w:rsid w:val="00DF1A70"/>
    <w:rsid w:val="00DF1E5F"/>
    <w:rsid w:val="00DF1F03"/>
    <w:rsid w:val="00DF23A8"/>
    <w:rsid w:val="00DF2F27"/>
    <w:rsid w:val="00DF36B6"/>
    <w:rsid w:val="00DF4296"/>
    <w:rsid w:val="00DF53F0"/>
    <w:rsid w:val="00DF5F38"/>
    <w:rsid w:val="00DF6608"/>
    <w:rsid w:val="00DF6CCC"/>
    <w:rsid w:val="00DF6D0C"/>
    <w:rsid w:val="00DF6F64"/>
    <w:rsid w:val="00DF721E"/>
    <w:rsid w:val="00DF7B8A"/>
    <w:rsid w:val="00DF7C87"/>
    <w:rsid w:val="00DF7D05"/>
    <w:rsid w:val="00E009B0"/>
    <w:rsid w:val="00E00A12"/>
    <w:rsid w:val="00E00C49"/>
    <w:rsid w:val="00E01C9C"/>
    <w:rsid w:val="00E0219D"/>
    <w:rsid w:val="00E04C0F"/>
    <w:rsid w:val="00E0570B"/>
    <w:rsid w:val="00E10343"/>
    <w:rsid w:val="00E10913"/>
    <w:rsid w:val="00E10B87"/>
    <w:rsid w:val="00E121CE"/>
    <w:rsid w:val="00E1478B"/>
    <w:rsid w:val="00E14FAC"/>
    <w:rsid w:val="00E15007"/>
    <w:rsid w:val="00E16277"/>
    <w:rsid w:val="00E16EC7"/>
    <w:rsid w:val="00E219CE"/>
    <w:rsid w:val="00E23409"/>
    <w:rsid w:val="00E24071"/>
    <w:rsid w:val="00E24EBC"/>
    <w:rsid w:val="00E2522C"/>
    <w:rsid w:val="00E2552F"/>
    <w:rsid w:val="00E2599B"/>
    <w:rsid w:val="00E2710C"/>
    <w:rsid w:val="00E27428"/>
    <w:rsid w:val="00E305B4"/>
    <w:rsid w:val="00E31182"/>
    <w:rsid w:val="00E3197A"/>
    <w:rsid w:val="00E31AFA"/>
    <w:rsid w:val="00E31CB7"/>
    <w:rsid w:val="00E324EE"/>
    <w:rsid w:val="00E32990"/>
    <w:rsid w:val="00E34DB1"/>
    <w:rsid w:val="00E35931"/>
    <w:rsid w:val="00E359FF"/>
    <w:rsid w:val="00E36BD1"/>
    <w:rsid w:val="00E402C5"/>
    <w:rsid w:val="00E402F4"/>
    <w:rsid w:val="00E405F1"/>
    <w:rsid w:val="00E4178B"/>
    <w:rsid w:val="00E417DB"/>
    <w:rsid w:val="00E43054"/>
    <w:rsid w:val="00E43655"/>
    <w:rsid w:val="00E44440"/>
    <w:rsid w:val="00E46013"/>
    <w:rsid w:val="00E47099"/>
    <w:rsid w:val="00E47284"/>
    <w:rsid w:val="00E4730A"/>
    <w:rsid w:val="00E477C3"/>
    <w:rsid w:val="00E47E23"/>
    <w:rsid w:val="00E517A5"/>
    <w:rsid w:val="00E51E16"/>
    <w:rsid w:val="00E53730"/>
    <w:rsid w:val="00E5438D"/>
    <w:rsid w:val="00E54511"/>
    <w:rsid w:val="00E54E50"/>
    <w:rsid w:val="00E55288"/>
    <w:rsid w:val="00E57577"/>
    <w:rsid w:val="00E62043"/>
    <w:rsid w:val="00E626B9"/>
    <w:rsid w:val="00E627C9"/>
    <w:rsid w:val="00E630F3"/>
    <w:rsid w:val="00E6332F"/>
    <w:rsid w:val="00E637C9"/>
    <w:rsid w:val="00E6402D"/>
    <w:rsid w:val="00E6680A"/>
    <w:rsid w:val="00E66F0D"/>
    <w:rsid w:val="00E70615"/>
    <w:rsid w:val="00E7161E"/>
    <w:rsid w:val="00E7207B"/>
    <w:rsid w:val="00E7347A"/>
    <w:rsid w:val="00E75A47"/>
    <w:rsid w:val="00E75BB6"/>
    <w:rsid w:val="00E75D8C"/>
    <w:rsid w:val="00E777F2"/>
    <w:rsid w:val="00E802C9"/>
    <w:rsid w:val="00E80BFB"/>
    <w:rsid w:val="00E80F0A"/>
    <w:rsid w:val="00E815D4"/>
    <w:rsid w:val="00E8291B"/>
    <w:rsid w:val="00E82E70"/>
    <w:rsid w:val="00E82F92"/>
    <w:rsid w:val="00E8395F"/>
    <w:rsid w:val="00E8410F"/>
    <w:rsid w:val="00E849D7"/>
    <w:rsid w:val="00E85E41"/>
    <w:rsid w:val="00E85EA1"/>
    <w:rsid w:val="00E86703"/>
    <w:rsid w:val="00E91044"/>
    <w:rsid w:val="00E910D3"/>
    <w:rsid w:val="00E91257"/>
    <w:rsid w:val="00E92154"/>
    <w:rsid w:val="00E923CF"/>
    <w:rsid w:val="00E93685"/>
    <w:rsid w:val="00E93B65"/>
    <w:rsid w:val="00E93C8C"/>
    <w:rsid w:val="00E95111"/>
    <w:rsid w:val="00E95FDF"/>
    <w:rsid w:val="00EA14C8"/>
    <w:rsid w:val="00EA2110"/>
    <w:rsid w:val="00EA283A"/>
    <w:rsid w:val="00EA2C90"/>
    <w:rsid w:val="00EA2E07"/>
    <w:rsid w:val="00EA383B"/>
    <w:rsid w:val="00EA41E6"/>
    <w:rsid w:val="00EA48F3"/>
    <w:rsid w:val="00EA60BF"/>
    <w:rsid w:val="00EA7365"/>
    <w:rsid w:val="00EA763F"/>
    <w:rsid w:val="00EA77E9"/>
    <w:rsid w:val="00EA7875"/>
    <w:rsid w:val="00EB05D0"/>
    <w:rsid w:val="00EB1151"/>
    <w:rsid w:val="00EB1D49"/>
    <w:rsid w:val="00EB23D9"/>
    <w:rsid w:val="00EB39A0"/>
    <w:rsid w:val="00EB559F"/>
    <w:rsid w:val="00EB566C"/>
    <w:rsid w:val="00EB5F3D"/>
    <w:rsid w:val="00EB77E5"/>
    <w:rsid w:val="00EC1CEB"/>
    <w:rsid w:val="00EC1DC0"/>
    <w:rsid w:val="00EC1DC2"/>
    <w:rsid w:val="00EC21EC"/>
    <w:rsid w:val="00EC24B8"/>
    <w:rsid w:val="00EC268C"/>
    <w:rsid w:val="00EC3753"/>
    <w:rsid w:val="00EC4E71"/>
    <w:rsid w:val="00EC5F1C"/>
    <w:rsid w:val="00ED0365"/>
    <w:rsid w:val="00ED0865"/>
    <w:rsid w:val="00ED1C60"/>
    <w:rsid w:val="00ED2057"/>
    <w:rsid w:val="00ED2EB9"/>
    <w:rsid w:val="00ED32D5"/>
    <w:rsid w:val="00ED3722"/>
    <w:rsid w:val="00ED3A31"/>
    <w:rsid w:val="00ED4469"/>
    <w:rsid w:val="00ED5424"/>
    <w:rsid w:val="00ED5F23"/>
    <w:rsid w:val="00ED6DC0"/>
    <w:rsid w:val="00ED7A7A"/>
    <w:rsid w:val="00EE0327"/>
    <w:rsid w:val="00EE038C"/>
    <w:rsid w:val="00EE28C5"/>
    <w:rsid w:val="00EE2F09"/>
    <w:rsid w:val="00EE47C5"/>
    <w:rsid w:val="00EE4885"/>
    <w:rsid w:val="00EE490C"/>
    <w:rsid w:val="00EE4E57"/>
    <w:rsid w:val="00EE5738"/>
    <w:rsid w:val="00EE58BD"/>
    <w:rsid w:val="00EE5E59"/>
    <w:rsid w:val="00EE6549"/>
    <w:rsid w:val="00EE73D0"/>
    <w:rsid w:val="00EE7CB0"/>
    <w:rsid w:val="00EF08A8"/>
    <w:rsid w:val="00EF08FA"/>
    <w:rsid w:val="00EF167B"/>
    <w:rsid w:val="00EF41A8"/>
    <w:rsid w:val="00EF44FB"/>
    <w:rsid w:val="00EF5122"/>
    <w:rsid w:val="00EF5554"/>
    <w:rsid w:val="00EF5AD8"/>
    <w:rsid w:val="00EF6B90"/>
    <w:rsid w:val="00EF7807"/>
    <w:rsid w:val="00EF79F7"/>
    <w:rsid w:val="00F006C0"/>
    <w:rsid w:val="00F0125F"/>
    <w:rsid w:val="00F019AA"/>
    <w:rsid w:val="00F0267E"/>
    <w:rsid w:val="00F02686"/>
    <w:rsid w:val="00F030C0"/>
    <w:rsid w:val="00F03291"/>
    <w:rsid w:val="00F0459B"/>
    <w:rsid w:val="00F04E15"/>
    <w:rsid w:val="00F05DF3"/>
    <w:rsid w:val="00F0692C"/>
    <w:rsid w:val="00F069EA"/>
    <w:rsid w:val="00F070E5"/>
    <w:rsid w:val="00F07DDE"/>
    <w:rsid w:val="00F11675"/>
    <w:rsid w:val="00F12557"/>
    <w:rsid w:val="00F1291D"/>
    <w:rsid w:val="00F13599"/>
    <w:rsid w:val="00F13B28"/>
    <w:rsid w:val="00F14E01"/>
    <w:rsid w:val="00F156A0"/>
    <w:rsid w:val="00F15730"/>
    <w:rsid w:val="00F16CE3"/>
    <w:rsid w:val="00F176A6"/>
    <w:rsid w:val="00F202C2"/>
    <w:rsid w:val="00F212F6"/>
    <w:rsid w:val="00F22756"/>
    <w:rsid w:val="00F23248"/>
    <w:rsid w:val="00F23890"/>
    <w:rsid w:val="00F2504D"/>
    <w:rsid w:val="00F2637F"/>
    <w:rsid w:val="00F268F7"/>
    <w:rsid w:val="00F30B83"/>
    <w:rsid w:val="00F30BDB"/>
    <w:rsid w:val="00F30CF8"/>
    <w:rsid w:val="00F31EDF"/>
    <w:rsid w:val="00F32CDE"/>
    <w:rsid w:val="00F32D4C"/>
    <w:rsid w:val="00F3327E"/>
    <w:rsid w:val="00F338C3"/>
    <w:rsid w:val="00F34B14"/>
    <w:rsid w:val="00F34F58"/>
    <w:rsid w:val="00F35DA7"/>
    <w:rsid w:val="00F369F8"/>
    <w:rsid w:val="00F36A6A"/>
    <w:rsid w:val="00F40101"/>
    <w:rsid w:val="00F404F7"/>
    <w:rsid w:val="00F40CCA"/>
    <w:rsid w:val="00F42D97"/>
    <w:rsid w:val="00F436B2"/>
    <w:rsid w:val="00F43813"/>
    <w:rsid w:val="00F43FEE"/>
    <w:rsid w:val="00F45A72"/>
    <w:rsid w:val="00F46723"/>
    <w:rsid w:val="00F4706D"/>
    <w:rsid w:val="00F476E1"/>
    <w:rsid w:val="00F47D1D"/>
    <w:rsid w:val="00F47F29"/>
    <w:rsid w:val="00F50016"/>
    <w:rsid w:val="00F50058"/>
    <w:rsid w:val="00F5088F"/>
    <w:rsid w:val="00F5118A"/>
    <w:rsid w:val="00F51A21"/>
    <w:rsid w:val="00F52614"/>
    <w:rsid w:val="00F5276E"/>
    <w:rsid w:val="00F52E9F"/>
    <w:rsid w:val="00F53304"/>
    <w:rsid w:val="00F53B81"/>
    <w:rsid w:val="00F540FE"/>
    <w:rsid w:val="00F556FF"/>
    <w:rsid w:val="00F55D12"/>
    <w:rsid w:val="00F5687F"/>
    <w:rsid w:val="00F56D3F"/>
    <w:rsid w:val="00F575C7"/>
    <w:rsid w:val="00F57FD0"/>
    <w:rsid w:val="00F60305"/>
    <w:rsid w:val="00F61B12"/>
    <w:rsid w:val="00F63264"/>
    <w:rsid w:val="00F634E4"/>
    <w:rsid w:val="00F6379E"/>
    <w:rsid w:val="00F64047"/>
    <w:rsid w:val="00F65171"/>
    <w:rsid w:val="00F6560D"/>
    <w:rsid w:val="00F65C23"/>
    <w:rsid w:val="00F67844"/>
    <w:rsid w:val="00F70799"/>
    <w:rsid w:val="00F70A8B"/>
    <w:rsid w:val="00F70B8D"/>
    <w:rsid w:val="00F71936"/>
    <w:rsid w:val="00F724FB"/>
    <w:rsid w:val="00F726B8"/>
    <w:rsid w:val="00F72A26"/>
    <w:rsid w:val="00F733C3"/>
    <w:rsid w:val="00F746A1"/>
    <w:rsid w:val="00F74820"/>
    <w:rsid w:val="00F756DD"/>
    <w:rsid w:val="00F77F4E"/>
    <w:rsid w:val="00F80047"/>
    <w:rsid w:val="00F800C7"/>
    <w:rsid w:val="00F8104D"/>
    <w:rsid w:val="00F81587"/>
    <w:rsid w:val="00F8288F"/>
    <w:rsid w:val="00F84033"/>
    <w:rsid w:val="00F84802"/>
    <w:rsid w:val="00F84E4F"/>
    <w:rsid w:val="00F85B72"/>
    <w:rsid w:val="00F86540"/>
    <w:rsid w:val="00F865CE"/>
    <w:rsid w:val="00F8766F"/>
    <w:rsid w:val="00F91082"/>
    <w:rsid w:val="00F9116D"/>
    <w:rsid w:val="00F91A9A"/>
    <w:rsid w:val="00F9203B"/>
    <w:rsid w:val="00F93ABB"/>
    <w:rsid w:val="00F94D79"/>
    <w:rsid w:val="00F963A2"/>
    <w:rsid w:val="00F9658C"/>
    <w:rsid w:val="00F97A7F"/>
    <w:rsid w:val="00FA0889"/>
    <w:rsid w:val="00FA16E7"/>
    <w:rsid w:val="00FA2505"/>
    <w:rsid w:val="00FA31C7"/>
    <w:rsid w:val="00FA3E7F"/>
    <w:rsid w:val="00FA472D"/>
    <w:rsid w:val="00FA6283"/>
    <w:rsid w:val="00FB0CBF"/>
    <w:rsid w:val="00FB18F6"/>
    <w:rsid w:val="00FB2A52"/>
    <w:rsid w:val="00FB3F92"/>
    <w:rsid w:val="00FB4C2B"/>
    <w:rsid w:val="00FB52C7"/>
    <w:rsid w:val="00FB57DC"/>
    <w:rsid w:val="00FB6E19"/>
    <w:rsid w:val="00FB71F6"/>
    <w:rsid w:val="00FC0AF8"/>
    <w:rsid w:val="00FC1483"/>
    <w:rsid w:val="00FC1C47"/>
    <w:rsid w:val="00FC3102"/>
    <w:rsid w:val="00FC3493"/>
    <w:rsid w:val="00FC39ED"/>
    <w:rsid w:val="00FC4419"/>
    <w:rsid w:val="00FC47E2"/>
    <w:rsid w:val="00FC4AA5"/>
    <w:rsid w:val="00FC4B88"/>
    <w:rsid w:val="00FC4BB8"/>
    <w:rsid w:val="00FC5148"/>
    <w:rsid w:val="00FC623A"/>
    <w:rsid w:val="00FC6524"/>
    <w:rsid w:val="00FC708F"/>
    <w:rsid w:val="00FC75AC"/>
    <w:rsid w:val="00FD01BF"/>
    <w:rsid w:val="00FD0525"/>
    <w:rsid w:val="00FD0AB7"/>
    <w:rsid w:val="00FD297D"/>
    <w:rsid w:val="00FD2D13"/>
    <w:rsid w:val="00FD374D"/>
    <w:rsid w:val="00FD6071"/>
    <w:rsid w:val="00FD633B"/>
    <w:rsid w:val="00FE0794"/>
    <w:rsid w:val="00FE1041"/>
    <w:rsid w:val="00FE24CB"/>
    <w:rsid w:val="00FE323F"/>
    <w:rsid w:val="00FE3473"/>
    <w:rsid w:val="00FE4049"/>
    <w:rsid w:val="00FE4794"/>
    <w:rsid w:val="00FE480F"/>
    <w:rsid w:val="00FE4998"/>
    <w:rsid w:val="00FE57DE"/>
    <w:rsid w:val="00FE770B"/>
    <w:rsid w:val="00FE7A68"/>
    <w:rsid w:val="00FE7D72"/>
    <w:rsid w:val="00FF0231"/>
    <w:rsid w:val="00FF1C9B"/>
    <w:rsid w:val="00FF1D49"/>
    <w:rsid w:val="00FF203B"/>
    <w:rsid w:val="00FF2562"/>
    <w:rsid w:val="00FF3A41"/>
    <w:rsid w:val="00FF3E5B"/>
    <w:rsid w:val="00FF57E4"/>
    <w:rsid w:val="00FF78E5"/>
    <w:rsid w:val="0103398B"/>
    <w:rsid w:val="011E1F3A"/>
    <w:rsid w:val="012D0F5C"/>
    <w:rsid w:val="014C1D05"/>
    <w:rsid w:val="01563B7D"/>
    <w:rsid w:val="015C7AD5"/>
    <w:rsid w:val="0168437B"/>
    <w:rsid w:val="01907316"/>
    <w:rsid w:val="01966169"/>
    <w:rsid w:val="01A433EB"/>
    <w:rsid w:val="01AF3D99"/>
    <w:rsid w:val="01B90B97"/>
    <w:rsid w:val="01C628D4"/>
    <w:rsid w:val="01E3453D"/>
    <w:rsid w:val="01FF3BC3"/>
    <w:rsid w:val="01FF4BEC"/>
    <w:rsid w:val="021741B2"/>
    <w:rsid w:val="02204683"/>
    <w:rsid w:val="022E44A8"/>
    <w:rsid w:val="02511F9D"/>
    <w:rsid w:val="025F06CD"/>
    <w:rsid w:val="026954E1"/>
    <w:rsid w:val="02827C52"/>
    <w:rsid w:val="028C24AD"/>
    <w:rsid w:val="029F225D"/>
    <w:rsid w:val="02A57908"/>
    <w:rsid w:val="02B0089B"/>
    <w:rsid w:val="02C76111"/>
    <w:rsid w:val="02D6235F"/>
    <w:rsid w:val="02D81256"/>
    <w:rsid w:val="030532A9"/>
    <w:rsid w:val="03266F23"/>
    <w:rsid w:val="03286A1E"/>
    <w:rsid w:val="032B79A4"/>
    <w:rsid w:val="03305A68"/>
    <w:rsid w:val="033F12EC"/>
    <w:rsid w:val="03407951"/>
    <w:rsid w:val="03535D6B"/>
    <w:rsid w:val="039A08B0"/>
    <w:rsid w:val="03A314B8"/>
    <w:rsid w:val="03C8711A"/>
    <w:rsid w:val="03D25887"/>
    <w:rsid w:val="03D82B98"/>
    <w:rsid w:val="03D964F4"/>
    <w:rsid w:val="03EC7B6F"/>
    <w:rsid w:val="03F83E8B"/>
    <w:rsid w:val="047C2586"/>
    <w:rsid w:val="04902A30"/>
    <w:rsid w:val="049570A7"/>
    <w:rsid w:val="04B74446"/>
    <w:rsid w:val="04BA414C"/>
    <w:rsid w:val="04C505BB"/>
    <w:rsid w:val="04CD2CEE"/>
    <w:rsid w:val="04E87914"/>
    <w:rsid w:val="04FA60EF"/>
    <w:rsid w:val="04FC24D4"/>
    <w:rsid w:val="05023BEB"/>
    <w:rsid w:val="05096B07"/>
    <w:rsid w:val="050E5E84"/>
    <w:rsid w:val="05102192"/>
    <w:rsid w:val="051C6491"/>
    <w:rsid w:val="054F7686"/>
    <w:rsid w:val="05557587"/>
    <w:rsid w:val="05681A7F"/>
    <w:rsid w:val="05742A02"/>
    <w:rsid w:val="057F4E2B"/>
    <w:rsid w:val="0585008B"/>
    <w:rsid w:val="058F6224"/>
    <w:rsid w:val="05C56868"/>
    <w:rsid w:val="05D74547"/>
    <w:rsid w:val="06040198"/>
    <w:rsid w:val="060774EA"/>
    <w:rsid w:val="06083B9D"/>
    <w:rsid w:val="06211C5A"/>
    <w:rsid w:val="06737835"/>
    <w:rsid w:val="06B25549"/>
    <w:rsid w:val="06B96E5F"/>
    <w:rsid w:val="06C91C0B"/>
    <w:rsid w:val="06D86BC4"/>
    <w:rsid w:val="070A0A86"/>
    <w:rsid w:val="072940AD"/>
    <w:rsid w:val="072E4C95"/>
    <w:rsid w:val="07325DEE"/>
    <w:rsid w:val="07633118"/>
    <w:rsid w:val="07736840"/>
    <w:rsid w:val="078132CC"/>
    <w:rsid w:val="078627A3"/>
    <w:rsid w:val="07966D78"/>
    <w:rsid w:val="07A5201F"/>
    <w:rsid w:val="07B72767"/>
    <w:rsid w:val="07C23DE6"/>
    <w:rsid w:val="08077E72"/>
    <w:rsid w:val="080E162A"/>
    <w:rsid w:val="08203C28"/>
    <w:rsid w:val="083B22F1"/>
    <w:rsid w:val="083C419B"/>
    <w:rsid w:val="083C4C73"/>
    <w:rsid w:val="084C5E23"/>
    <w:rsid w:val="0886060D"/>
    <w:rsid w:val="08882DD0"/>
    <w:rsid w:val="08BE34E2"/>
    <w:rsid w:val="08F821C8"/>
    <w:rsid w:val="09006769"/>
    <w:rsid w:val="091A48F3"/>
    <w:rsid w:val="09783845"/>
    <w:rsid w:val="097E7AC3"/>
    <w:rsid w:val="09860032"/>
    <w:rsid w:val="09921955"/>
    <w:rsid w:val="09CC2AAC"/>
    <w:rsid w:val="09D26E76"/>
    <w:rsid w:val="09DE2A8F"/>
    <w:rsid w:val="0A171D19"/>
    <w:rsid w:val="0A195A3F"/>
    <w:rsid w:val="0A331AD7"/>
    <w:rsid w:val="0A3A3B56"/>
    <w:rsid w:val="0A4412A4"/>
    <w:rsid w:val="0A477589"/>
    <w:rsid w:val="0A5C3ECC"/>
    <w:rsid w:val="0A652D3E"/>
    <w:rsid w:val="0A6A1AA6"/>
    <w:rsid w:val="0A767E3E"/>
    <w:rsid w:val="0A9D4A5C"/>
    <w:rsid w:val="0AA434F7"/>
    <w:rsid w:val="0AAB5F5D"/>
    <w:rsid w:val="0AB6063D"/>
    <w:rsid w:val="0ADA366D"/>
    <w:rsid w:val="0B193B77"/>
    <w:rsid w:val="0B325243"/>
    <w:rsid w:val="0B326F2A"/>
    <w:rsid w:val="0B3D510B"/>
    <w:rsid w:val="0B475F57"/>
    <w:rsid w:val="0B5B05C2"/>
    <w:rsid w:val="0B5E289E"/>
    <w:rsid w:val="0B623221"/>
    <w:rsid w:val="0BA40399"/>
    <w:rsid w:val="0BB40771"/>
    <w:rsid w:val="0BE93715"/>
    <w:rsid w:val="0BEA3C78"/>
    <w:rsid w:val="0C010CA8"/>
    <w:rsid w:val="0C11238F"/>
    <w:rsid w:val="0C1E2888"/>
    <w:rsid w:val="0C2D753D"/>
    <w:rsid w:val="0C2E225D"/>
    <w:rsid w:val="0C4502C0"/>
    <w:rsid w:val="0C530F2E"/>
    <w:rsid w:val="0C5361CC"/>
    <w:rsid w:val="0C6A764E"/>
    <w:rsid w:val="0C6F29D6"/>
    <w:rsid w:val="0C92213C"/>
    <w:rsid w:val="0C9F5D63"/>
    <w:rsid w:val="0CA737D5"/>
    <w:rsid w:val="0CAB5D64"/>
    <w:rsid w:val="0CB33F28"/>
    <w:rsid w:val="0CD304AC"/>
    <w:rsid w:val="0D0114AE"/>
    <w:rsid w:val="0D29001E"/>
    <w:rsid w:val="0D325EDF"/>
    <w:rsid w:val="0D445D4C"/>
    <w:rsid w:val="0D535069"/>
    <w:rsid w:val="0D6D5644"/>
    <w:rsid w:val="0D84032B"/>
    <w:rsid w:val="0D953396"/>
    <w:rsid w:val="0D994191"/>
    <w:rsid w:val="0DA2594C"/>
    <w:rsid w:val="0DBD35C9"/>
    <w:rsid w:val="0DD17D5D"/>
    <w:rsid w:val="0DE53B38"/>
    <w:rsid w:val="0DF4443C"/>
    <w:rsid w:val="0E071437"/>
    <w:rsid w:val="0E2B3D03"/>
    <w:rsid w:val="0E556B89"/>
    <w:rsid w:val="0E5B282E"/>
    <w:rsid w:val="0E5F47DD"/>
    <w:rsid w:val="0E6772B0"/>
    <w:rsid w:val="0E6B66E8"/>
    <w:rsid w:val="0E8F2DCE"/>
    <w:rsid w:val="0E9434CC"/>
    <w:rsid w:val="0EB36C82"/>
    <w:rsid w:val="0ED45624"/>
    <w:rsid w:val="0EE04BDF"/>
    <w:rsid w:val="0EE44AEB"/>
    <w:rsid w:val="0F150F54"/>
    <w:rsid w:val="0F2A74C4"/>
    <w:rsid w:val="0F377C68"/>
    <w:rsid w:val="0F553015"/>
    <w:rsid w:val="0F620A17"/>
    <w:rsid w:val="0F7543D3"/>
    <w:rsid w:val="0F7A6CDB"/>
    <w:rsid w:val="0FE030CE"/>
    <w:rsid w:val="0FEE5277"/>
    <w:rsid w:val="10136B03"/>
    <w:rsid w:val="10202CC1"/>
    <w:rsid w:val="103B47DC"/>
    <w:rsid w:val="10730C95"/>
    <w:rsid w:val="10A27F31"/>
    <w:rsid w:val="10A753AB"/>
    <w:rsid w:val="10AA5CB1"/>
    <w:rsid w:val="10B54EB2"/>
    <w:rsid w:val="10BF682C"/>
    <w:rsid w:val="10CB29C5"/>
    <w:rsid w:val="10CC3A02"/>
    <w:rsid w:val="10CC6281"/>
    <w:rsid w:val="10D20B24"/>
    <w:rsid w:val="10D87300"/>
    <w:rsid w:val="10DA48AD"/>
    <w:rsid w:val="10E33AF2"/>
    <w:rsid w:val="110B438A"/>
    <w:rsid w:val="111C09F4"/>
    <w:rsid w:val="1167339E"/>
    <w:rsid w:val="11785740"/>
    <w:rsid w:val="118E435A"/>
    <w:rsid w:val="11927058"/>
    <w:rsid w:val="119423C1"/>
    <w:rsid w:val="11A02DC7"/>
    <w:rsid w:val="11AB0C22"/>
    <w:rsid w:val="11B50F78"/>
    <w:rsid w:val="11B5291B"/>
    <w:rsid w:val="11C1301D"/>
    <w:rsid w:val="11EE4343"/>
    <w:rsid w:val="11EF6FB9"/>
    <w:rsid w:val="12086E43"/>
    <w:rsid w:val="120D4199"/>
    <w:rsid w:val="120D5E88"/>
    <w:rsid w:val="120F3D85"/>
    <w:rsid w:val="12171B57"/>
    <w:rsid w:val="12573688"/>
    <w:rsid w:val="127F4FEA"/>
    <w:rsid w:val="12A72E93"/>
    <w:rsid w:val="12AA40AD"/>
    <w:rsid w:val="12BC14E9"/>
    <w:rsid w:val="12D720A5"/>
    <w:rsid w:val="12EF08E6"/>
    <w:rsid w:val="132C0590"/>
    <w:rsid w:val="133E327C"/>
    <w:rsid w:val="13467E71"/>
    <w:rsid w:val="134E47DC"/>
    <w:rsid w:val="13542B43"/>
    <w:rsid w:val="138C43DE"/>
    <w:rsid w:val="139C5DE4"/>
    <w:rsid w:val="139D71F2"/>
    <w:rsid w:val="13AC3968"/>
    <w:rsid w:val="13AF4F03"/>
    <w:rsid w:val="13F75519"/>
    <w:rsid w:val="13FD47FE"/>
    <w:rsid w:val="140A4F68"/>
    <w:rsid w:val="140F2E16"/>
    <w:rsid w:val="141C2DA0"/>
    <w:rsid w:val="144401A2"/>
    <w:rsid w:val="14670F31"/>
    <w:rsid w:val="14736E66"/>
    <w:rsid w:val="147F458F"/>
    <w:rsid w:val="148954D3"/>
    <w:rsid w:val="14911257"/>
    <w:rsid w:val="14D43C93"/>
    <w:rsid w:val="14D958EC"/>
    <w:rsid w:val="14F0383F"/>
    <w:rsid w:val="14FA3E00"/>
    <w:rsid w:val="1531036E"/>
    <w:rsid w:val="1534169A"/>
    <w:rsid w:val="156D25A1"/>
    <w:rsid w:val="15812F88"/>
    <w:rsid w:val="158D0E46"/>
    <w:rsid w:val="158E1BEE"/>
    <w:rsid w:val="15911585"/>
    <w:rsid w:val="159513FB"/>
    <w:rsid w:val="159C0EE7"/>
    <w:rsid w:val="15A27358"/>
    <w:rsid w:val="15B14FA7"/>
    <w:rsid w:val="15C03E03"/>
    <w:rsid w:val="15C3785B"/>
    <w:rsid w:val="15D26520"/>
    <w:rsid w:val="15EE508B"/>
    <w:rsid w:val="160F4148"/>
    <w:rsid w:val="162A25EB"/>
    <w:rsid w:val="16473933"/>
    <w:rsid w:val="168B7C8B"/>
    <w:rsid w:val="16931F84"/>
    <w:rsid w:val="169F56FE"/>
    <w:rsid w:val="16A267A7"/>
    <w:rsid w:val="16BD6398"/>
    <w:rsid w:val="16BD6B43"/>
    <w:rsid w:val="16D31DF9"/>
    <w:rsid w:val="16D67838"/>
    <w:rsid w:val="16FD2A55"/>
    <w:rsid w:val="17067C1A"/>
    <w:rsid w:val="172045B4"/>
    <w:rsid w:val="172F08F7"/>
    <w:rsid w:val="17366761"/>
    <w:rsid w:val="17393A34"/>
    <w:rsid w:val="173A76F6"/>
    <w:rsid w:val="175A043F"/>
    <w:rsid w:val="17672074"/>
    <w:rsid w:val="177C01F0"/>
    <w:rsid w:val="177E17B7"/>
    <w:rsid w:val="17A1706E"/>
    <w:rsid w:val="17C50D78"/>
    <w:rsid w:val="17CE6630"/>
    <w:rsid w:val="17D32A08"/>
    <w:rsid w:val="17EB3722"/>
    <w:rsid w:val="17EF65A5"/>
    <w:rsid w:val="17FA1D25"/>
    <w:rsid w:val="180E6351"/>
    <w:rsid w:val="1810355D"/>
    <w:rsid w:val="181235D5"/>
    <w:rsid w:val="18123D0C"/>
    <w:rsid w:val="18253800"/>
    <w:rsid w:val="18750DB1"/>
    <w:rsid w:val="187B48A5"/>
    <w:rsid w:val="187C2A7B"/>
    <w:rsid w:val="18A419CD"/>
    <w:rsid w:val="18EE2472"/>
    <w:rsid w:val="19002335"/>
    <w:rsid w:val="19206078"/>
    <w:rsid w:val="19314F92"/>
    <w:rsid w:val="193F68F3"/>
    <w:rsid w:val="19434380"/>
    <w:rsid w:val="19491239"/>
    <w:rsid w:val="19537014"/>
    <w:rsid w:val="19621891"/>
    <w:rsid w:val="197A7D49"/>
    <w:rsid w:val="19915DD8"/>
    <w:rsid w:val="19934424"/>
    <w:rsid w:val="19A5109C"/>
    <w:rsid w:val="19AD5CB2"/>
    <w:rsid w:val="19BD66DD"/>
    <w:rsid w:val="19C607E7"/>
    <w:rsid w:val="19F6165F"/>
    <w:rsid w:val="19FA47C1"/>
    <w:rsid w:val="1A0B68A8"/>
    <w:rsid w:val="1A1B0F5C"/>
    <w:rsid w:val="1A232551"/>
    <w:rsid w:val="1A614813"/>
    <w:rsid w:val="1A782658"/>
    <w:rsid w:val="1A7D68F1"/>
    <w:rsid w:val="1A8573D4"/>
    <w:rsid w:val="1A867FDC"/>
    <w:rsid w:val="1AB74F63"/>
    <w:rsid w:val="1AC3132A"/>
    <w:rsid w:val="1AE94689"/>
    <w:rsid w:val="1AF65A4C"/>
    <w:rsid w:val="1AFF0AFE"/>
    <w:rsid w:val="1B2D1349"/>
    <w:rsid w:val="1B34103B"/>
    <w:rsid w:val="1B39650C"/>
    <w:rsid w:val="1B4F19F8"/>
    <w:rsid w:val="1B5C2F75"/>
    <w:rsid w:val="1B6B7470"/>
    <w:rsid w:val="1BAE3D4C"/>
    <w:rsid w:val="1BC81E14"/>
    <w:rsid w:val="1BEE7729"/>
    <w:rsid w:val="1C100CC6"/>
    <w:rsid w:val="1C1A42E7"/>
    <w:rsid w:val="1C1F28DB"/>
    <w:rsid w:val="1C226F03"/>
    <w:rsid w:val="1C30009D"/>
    <w:rsid w:val="1C3F670D"/>
    <w:rsid w:val="1C55025E"/>
    <w:rsid w:val="1C9A50D4"/>
    <w:rsid w:val="1CA823CD"/>
    <w:rsid w:val="1CB515F6"/>
    <w:rsid w:val="1CD81538"/>
    <w:rsid w:val="1CDE1F2F"/>
    <w:rsid w:val="1CE61E5F"/>
    <w:rsid w:val="1CF93E51"/>
    <w:rsid w:val="1D1C46B8"/>
    <w:rsid w:val="1D3943AC"/>
    <w:rsid w:val="1D7C700E"/>
    <w:rsid w:val="1D805CF0"/>
    <w:rsid w:val="1D8F637F"/>
    <w:rsid w:val="1D996796"/>
    <w:rsid w:val="1DA07F2F"/>
    <w:rsid w:val="1DD106A3"/>
    <w:rsid w:val="1DE75398"/>
    <w:rsid w:val="1E0450B5"/>
    <w:rsid w:val="1E2734BD"/>
    <w:rsid w:val="1E375346"/>
    <w:rsid w:val="1E657FE9"/>
    <w:rsid w:val="1E6B39C7"/>
    <w:rsid w:val="1E72152A"/>
    <w:rsid w:val="1E842C7C"/>
    <w:rsid w:val="1E8C24F9"/>
    <w:rsid w:val="1EA7798B"/>
    <w:rsid w:val="1ECC44FA"/>
    <w:rsid w:val="1ECE7147"/>
    <w:rsid w:val="1EE53F41"/>
    <w:rsid w:val="1F002542"/>
    <w:rsid w:val="1F063325"/>
    <w:rsid w:val="1F066139"/>
    <w:rsid w:val="1F206483"/>
    <w:rsid w:val="1F4D240C"/>
    <w:rsid w:val="1F50678E"/>
    <w:rsid w:val="1F6A3BA7"/>
    <w:rsid w:val="1F74462C"/>
    <w:rsid w:val="1F80168B"/>
    <w:rsid w:val="1F843156"/>
    <w:rsid w:val="1F885ACE"/>
    <w:rsid w:val="1F91158B"/>
    <w:rsid w:val="1FBC5DF5"/>
    <w:rsid w:val="1FC16863"/>
    <w:rsid w:val="1FEA075F"/>
    <w:rsid w:val="1FEF662C"/>
    <w:rsid w:val="1FF26E0D"/>
    <w:rsid w:val="1FF90588"/>
    <w:rsid w:val="201167D2"/>
    <w:rsid w:val="20134907"/>
    <w:rsid w:val="201474B7"/>
    <w:rsid w:val="20213923"/>
    <w:rsid w:val="20233DBF"/>
    <w:rsid w:val="20245062"/>
    <w:rsid w:val="20450EE3"/>
    <w:rsid w:val="204D2ACD"/>
    <w:rsid w:val="205F67A5"/>
    <w:rsid w:val="20914128"/>
    <w:rsid w:val="20A636B3"/>
    <w:rsid w:val="20BB6724"/>
    <w:rsid w:val="20BF7883"/>
    <w:rsid w:val="20C3623F"/>
    <w:rsid w:val="20D84C09"/>
    <w:rsid w:val="20F25B07"/>
    <w:rsid w:val="211041C1"/>
    <w:rsid w:val="212B4272"/>
    <w:rsid w:val="21781212"/>
    <w:rsid w:val="21833156"/>
    <w:rsid w:val="218D168E"/>
    <w:rsid w:val="21AB0864"/>
    <w:rsid w:val="21B47737"/>
    <w:rsid w:val="21B83F86"/>
    <w:rsid w:val="21E069CE"/>
    <w:rsid w:val="22106A4D"/>
    <w:rsid w:val="221178A8"/>
    <w:rsid w:val="221213CF"/>
    <w:rsid w:val="22195517"/>
    <w:rsid w:val="22327A92"/>
    <w:rsid w:val="226E5BFE"/>
    <w:rsid w:val="22A84DFE"/>
    <w:rsid w:val="22BB3EC7"/>
    <w:rsid w:val="22DB129D"/>
    <w:rsid w:val="22F47D51"/>
    <w:rsid w:val="22FA4C94"/>
    <w:rsid w:val="230436F8"/>
    <w:rsid w:val="231D53A2"/>
    <w:rsid w:val="23435214"/>
    <w:rsid w:val="234401DF"/>
    <w:rsid w:val="235477BA"/>
    <w:rsid w:val="236D5383"/>
    <w:rsid w:val="23811F5D"/>
    <w:rsid w:val="23A41B75"/>
    <w:rsid w:val="23AB1FDF"/>
    <w:rsid w:val="23B134E6"/>
    <w:rsid w:val="23B74A16"/>
    <w:rsid w:val="23B7504C"/>
    <w:rsid w:val="23BA654A"/>
    <w:rsid w:val="23C509CD"/>
    <w:rsid w:val="240D25B5"/>
    <w:rsid w:val="241E5A1E"/>
    <w:rsid w:val="24205BC8"/>
    <w:rsid w:val="242C0CB6"/>
    <w:rsid w:val="24354590"/>
    <w:rsid w:val="24571307"/>
    <w:rsid w:val="247C7D19"/>
    <w:rsid w:val="24B34021"/>
    <w:rsid w:val="24BE0ABD"/>
    <w:rsid w:val="24CB4B0D"/>
    <w:rsid w:val="24E91BBE"/>
    <w:rsid w:val="25110A2A"/>
    <w:rsid w:val="251513DA"/>
    <w:rsid w:val="251569DF"/>
    <w:rsid w:val="252F3220"/>
    <w:rsid w:val="25647DF0"/>
    <w:rsid w:val="256C0944"/>
    <w:rsid w:val="25773D5F"/>
    <w:rsid w:val="257E73F2"/>
    <w:rsid w:val="25A979D1"/>
    <w:rsid w:val="25B52667"/>
    <w:rsid w:val="25BE7679"/>
    <w:rsid w:val="25C00F8A"/>
    <w:rsid w:val="25D53DA4"/>
    <w:rsid w:val="25D62120"/>
    <w:rsid w:val="25E410EC"/>
    <w:rsid w:val="25EC2CF7"/>
    <w:rsid w:val="261F4447"/>
    <w:rsid w:val="263050F1"/>
    <w:rsid w:val="26381F9B"/>
    <w:rsid w:val="26446DE3"/>
    <w:rsid w:val="267B0CDC"/>
    <w:rsid w:val="269669E7"/>
    <w:rsid w:val="26A744DB"/>
    <w:rsid w:val="26D4005A"/>
    <w:rsid w:val="26D7699F"/>
    <w:rsid w:val="26DA3B4A"/>
    <w:rsid w:val="26E26183"/>
    <w:rsid w:val="26E36ACC"/>
    <w:rsid w:val="26F73A2A"/>
    <w:rsid w:val="26FF2BB8"/>
    <w:rsid w:val="270417B7"/>
    <w:rsid w:val="27102C21"/>
    <w:rsid w:val="271B034D"/>
    <w:rsid w:val="27227C57"/>
    <w:rsid w:val="2750171F"/>
    <w:rsid w:val="275122E4"/>
    <w:rsid w:val="2769156F"/>
    <w:rsid w:val="27793F5D"/>
    <w:rsid w:val="27963C35"/>
    <w:rsid w:val="27A2622E"/>
    <w:rsid w:val="27A60F83"/>
    <w:rsid w:val="27C12412"/>
    <w:rsid w:val="27D24FCB"/>
    <w:rsid w:val="27F92009"/>
    <w:rsid w:val="28124EAE"/>
    <w:rsid w:val="28256D6A"/>
    <w:rsid w:val="28785F5E"/>
    <w:rsid w:val="289257A9"/>
    <w:rsid w:val="2895115B"/>
    <w:rsid w:val="28BA46FA"/>
    <w:rsid w:val="28BE38E2"/>
    <w:rsid w:val="28F14595"/>
    <w:rsid w:val="28F416F8"/>
    <w:rsid w:val="29063629"/>
    <w:rsid w:val="291137B2"/>
    <w:rsid w:val="291146C9"/>
    <w:rsid w:val="2913753A"/>
    <w:rsid w:val="293D6B2E"/>
    <w:rsid w:val="29462E61"/>
    <w:rsid w:val="295E2317"/>
    <w:rsid w:val="296B020D"/>
    <w:rsid w:val="297D3FFE"/>
    <w:rsid w:val="29802F8C"/>
    <w:rsid w:val="29AD0C8B"/>
    <w:rsid w:val="29BB39AC"/>
    <w:rsid w:val="29C5574F"/>
    <w:rsid w:val="29C67FA0"/>
    <w:rsid w:val="29D00278"/>
    <w:rsid w:val="29DC3BA0"/>
    <w:rsid w:val="29E509C9"/>
    <w:rsid w:val="29EF6C45"/>
    <w:rsid w:val="2A007C29"/>
    <w:rsid w:val="2A1769A3"/>
    <w:rsid w:val="2A4D3396"/>
    <w:rsid w:val="2A541720"/>
    <w:rsid w:val="2A83619E"/>
    <w:rsid w:val="2AB7411F"/>
    <w:rsid w:val="2AC53F93"/>
    <w:rsid w:val="2ACA3F09"/>
    <w:rsid w:val="2ACF406E"/>
    <w:rsid w:val="2AD53D69"/>
    <w:rsid w:val="2AD830F7"/>
    <w:rsid w:val="2AE241C5"/>
    <w:rsid w:val="2B253E47"/>
    <w:rsid w:val="2B6A0459"/>
    <w:rsid w:val="2B774624"/>
    <w:rsid w:val="2B8A5BDD"/>
    <w:rsid w:val="2B8C3FB1"/>
    <w:rsid w:val="2B9D1BD3"/>
    <w:rsid w:val="2BC83AB9"/>
    <w:rsid w:val="2BEA293F"/>
    <w:rsid w:val="2BF5056F"/>
    <w:rsid w:val="2C1B56AB"/>
    <w:rsid w:val="2C4402A1"/>
    <w:rsid w:val="2C4A1CE3"/>
    <w:rsid w:val="2C534988"/>
    <w:rsid w:val="2C796B75"/>
    <w:rsid w:val="2C7A72BE"/>
    <w:rsid w:val="2C890BCA"/>
    <w:rsid w:val="2C8A7A52"/>
    <w:rsid w:val="2C9A7D75"/>
    <w:rsid w:val="2CB734DA"/>
    <w:rsid w:val="2CBC587B"/>
    <w:rsid w:val="2CBF4377"/>
    <w:rsid w:val="2CC17412"/>
    <w:rsid w:val="2CCB04B9"/>
    <w:rsid w:val="2CD40732"/>
    <w:rsid w:val="2CEA1907"/>
    <w:rsid w:val="2CF26A4B"/>
    <w:rsid w:val="2CF350E3"/>
    <w:rsid w:val="2CFE48F4"/>
    <w:rsid w:val="2CFF7BB9"/>
    <w:rsid w:val="2D04594C"/>
    <w:rsid w:val="2D0C5851"/>
    <w:rsid w:val="2D1C1975"/>
    <w:rsid w:val="2D1F543F"/>
    <w:rsid w:val="2D3E4B0D"/>
    <w:rsid w:val="2D446A9B"/>
    <w:rsid w:val="2D863EDD"/>
    <w:rsid w:val="2DA120C4"/>
    <w:rsid w:val="2DAC6336"/>
    <w:rsid w:val="2DC65BA0"/>
    <w:rsid w:val="2DD85E2E"/>
    <w:rsid w:val="2E41718B"/>
    <w:rsid w:val="2E554EA6"/>
    <w:rsid w:val="2E5F03A4"/>
    <w:rsid w:val="2E6A1892"/>
    <w:rsid w:val="2E717F8B"/>
    <w:rsid w:val="2E7E4B85"/>
    <w:rsid w:val="2E88190D"/>
    <w:rsid w:val="2E8E1E30"/>
    <w:rsid w:val="2E9976CE"/>
    <w:rsid w:val="2EB116B6"/>
    <w:rsid w:val="2EB72848"/>
    <w:rsid w:val="2EBA6F40"/>
    <w:rsid w:val="2EDE539C"/>
    <w:rsid w:val="2EE257AA"/>
    <w:rsid w:val="2EEC7A4D"/>
    <w:rsid w:val="2F134027"/>
    <w:rsid w:val="2F330F99"/>
    <w:rsid w:val="2F401D3C"/>
    <w:rsid w:val="2F562EC0"/>
    <w:rsid w:val="2F572D25"/>
    <w:rsid w:val="2F5B24E1"/>
    <w:rsid w:val="2F5F3363"/>
    <w:rsid w:val="2F704EEA"/>
    <w:rsid w:val="2F7E1D1C"/>
    <w:rsid w:val="2F7F4483"/>
    <w:rsid w:val="2F8026D7"/>
    <w:rsid w:val="2F8F65C7"/>
    <w:rsid w:val="2FA95C88"/>
    <w:rsid w:val="2FC97926"/>
    <w:rsid w:val="2FD471C0"/>
    <w:rsid w:val="2FE778C1"/>
    <w:rsid w:val="2FF9770A"/>
    <w:rsid w:val="300833DF"/>
    <w:rsid w:val="3019031A"/>
    <w:rsid w:val="301C38BE"/>
    <w:rsid w:val="30242658"/>
    <w:rsid w:val="3025488D"/>
    <w:rsid w:val="302F4907"/>
    <w:rsid w:val="303B3107"/>
    <w:rsid w:val="3041370F"/>
    <w:rsid w:val="30506D05"/>
    <w:rsid w:val="306D5836"/>
    <w:rsid w:val="3097349C"/>
    <w:rsid w:val="30A03F6A"/>
    <w:rsid w:val="30AD7887"/>
    <w:rsid w:val="30BF083E"/>
    <w:rsid w:val="30D32298"/>
    <w:rsid w:val="30EC5E2A"/>
    <w:rsid w:val="30ED1946"/>
    <w:rsid w:val="311B0A1E"/>
    <w:rsid w:val="31216B3F"/>
    <w:rsid w:val="31295B5B"/>
    <w:rsid w:val="312B50A3"/>
    <w:rsid w:val="317172BB"/>
    <w:rsid w:val="318E6873"/>
    <w:rsid w:val="31B46ACE"/>
    <w:rsid w:val="31E049B8"/>
    <w:rsid w:val="31E62632"/>
    <w:rsid w:val="31F51115"/>
    <w:rsid w:val="32003808"/>
    <w:rsid w:val="32172470"/>
    <w:rsid w:val="321A6930"/>
    <w:rsid w:val="32432DA9"/>
    <w:rsid w:val="32453A27"/>
    <w:rsid w:val="3263064A"/>
    <w:rsid w:val="3265766A"/>
    <w:rsid w:val="327D2533"/>
    <w:rsid w:val="329842A9"/>
    <w:rsid w:val="329B7A68"/>
    <w:rsid w:val="32A43132"/>
    <w:rsid w:val="32AB00DA"/>
    <w:rsid w:val="32AC0C06"/>
    <w:rsid w:val="32AD0CCA"/>
    <w:rsid w:val="32C33CD3"/>
    <w:rsid w:val="32E04E37"/>
    <w:rsid w:val="32E15130"/>
    <w:rsid w:val="33027836"/>
    <w:rsid w:val="3331060D"/>
    <w:rsid w:val="33344EF5"/>
    <w:rsid w:val="33496CCF"/>
    <w:rsid w:val="33671A01"/>
    <w:rsid w:val="3378161D"/>
    <w:rsid w:val="33983C5D"/>
    <w:rsid w:val="339C3B02"/>
    <w:rsid w:val="33A05880"/>
    <w:rsid w:val="33A35F1E"/>
    <w:rsid w:val="33B22505"/>
    <w:rsid w:val="33C51EB6"/>
    <w:rsid w:val="33D36651"/>
    <w:rsid w:val="33E85CE2"/>
    <w:rsid w:val="341D0201"/>
    <w:rsid w:val="34246B9F"/>
    <w:rsid w:val="342A2472"/>
    <w:rsid w:val="342B0F4F"/>
    <w:rsid w:val="344D3742"/>
    <w:rsid w:val="347B2D6D"/>
    <w:rsid w:val="349725A9"/>
    <w:rsid w:val="34AB2475"/>
    <w:rsid w:val="34B52163"/>
    <w:rsid w:val="34D72013"/>
    <w:rsid w:val="34EB7D5F"/>
    <w:rsid w:val="34EE1C44"/>
    <w:rsid w:val="35293FD9"/>
    <w:rsid w:val="352C24DC"/>
    <w:rsid w:val="3537750C"/>
    <w:rsid w:val="3537798C"/>
    <w:rsid w:val="357005A7"/>
    <w:rsid w:val="357A579A"/>
    <w:rsid w:val="357D65D2"/>
    <w:rsid w:val="358E312C"/>
    <w:rsid w:val="35C13FC9"/>
    <w:rsid w:val="35E07056"/>
    <w:rsid w:val="35E91989"/>
    <w:rsid w:val="35EF4FE4"/>
    <w:rsid w:val="35F2040C"/>
    <w:rsid w:val="35F9471D"/>
    <w:rsid w:val="36085EA6"/>
    <w:rsid w:val="36101C06"/>
    <w:rsid w:val="36266D8A"/>
    <w:rsid w:val="364257B6"/>
    <w:rsid w:val="36630603"/>
    <w:rsid w:val="36636B8E"/>
    <w:rsid w:val="36741335"/>
    <w:rsid w:val="369E4AB8"/>
    <w:rsid w:val="36A4312D"/>
    <w:rsid w:val="36A858D0"/>
    <w:rsid w:val="36AC6498"/>
    <w:rsid w:val="3705788F"/>
    <w:rsid w:val="3724059E"/>
    <w:rsid w:val="3729538A"/>
    <w:rsid w:val="374E4FB2"/>
    <w:rsid w:val="376462CF"/>
    <w:rsid w:val="37720396"/>
    <w:rsid w:val="37725F65"/>
    <w:rsid w:val="37734E19"/>
    <w:rsid w:val="377868E8"/>
    <w:rsid w:val="379C5435"/>
    <w:rsid w:val="37DE378C"/>
    <w:rsid w:val="37DF7398"/>
    <w:rsid w:val="37EA5922"/>
    <w:rsid w:val="380C2E7F"/>
    <w:rsid w:val="38134D6C"/>
    <w:rsid w:val="381C20D2"/>
    <w:rsid w:val="38205CA3"/>
    <w:rsid w:val="38276B93"/>
    <w:rsid w:val="38336FC4"/>
    <w:rsid w:val="38456F93"/>
    <w:rsid w:val="384D3BF2"/>
    <w:rsid w:val="386A2AA2"/>
    <w:rsid w:val="389430F0"/>
    <w:rsid w:val="38AC3431"/>
    <w:rsid w:val="38B9690B"/>
    <w:rsid w:val="38C26745"/>
    <w:rsid w:val="38CD0AA7"/>
    <w:rsid w:val="38E67108"/>
    <w:rsid w:val="38F06097"/>
    <w:rsid w:val="38FE35D2"/>
    <w:rsid w:val="39226DE8"/>
    <w:rsid w:val="392F2E16"/>
    <w:rsid w:val="39406F09"/>
    <w:rsid w:val="396554F4"/>
    <w:rsid w:val="39791C92"/>
    <w:rsid w:val="398147FC"/>
    <w:rsid w:val="39854459"/>
    <w:rsid w:val="39A85265"/>
    <w:rsid w:val="39B614C9"/>
    <w:rsid w:val="39BE755C"/>
    <w:rsid w:val="39D678CC"/>
    <w:rsid w:val="39D94185"/>
    <w:rsid w:val="39E00529"/>
    <w:rsid w:val="39E359C2"/>
    <w:rsid w:val="39E9733C"/>
    <w:rsid w:val="3A0B6254"/>
    <w:rsid w:val="3A0B64A7"/>
    <w:rsid w:val="3A1C7B1C"/>
    <w:rsid w:val="3A271BC8"/>
    <w:rsid w:val="3A2F182B"/>
    <w:rsid w:val="3A36312B"/>
    <w:rsid w:val="3A3B5CDC"/>
    <w:rsid w:val="3A520B7E"/>
    <w:rsid w:val="3A574DDA"/>
    <w:rsid w:val="3A61197B"/>
    <w:rsid w:val="3A7C0B25"/>
    <w:rsid w:val="3A952A43"/>
    <w:rsid w:val="3A9C7769"/>
    <w:rsid w:val="3AA73CF1"/>
    <w:rsid w:val="3AAA5A75"/>
    <w:rsid w:val="3AD3075A"/>
    <w:rsid w:val="3AD5142D"/>
    <w:rsid w:val="3AD61783"/>
    <w:rsid w:val="3AD71232"/>
    <w:rsid w:val="3AF74C02"/>
    <w:rsid w:val="3B0754C5"/>
    <w:rsid w:val="3B761717"/>
    <w:rsid w:val="3B831369"/>
    <w:rsid w:val="3B8B5350"/>
    <w:rsid w:val="3B954BE0"/>
    <w:rsid w:val="3B9B5A04"/>
    <w:rsid w:val="3B9F1620"/>
    <w:rsid w:val="3BB02369"/>
    <w:rsid w:val="3BB84161"/>
    <w:rsid w:val="3BD539ED"/>
    <w:rsid w:val="3BD53F3C"/>
    <w:rsid w:val="3C0059A5"/>
    <w:rsid w:val="3C07120D"/>
    <w:rsid w:val="3C134E78"/>
    <w:rsid w:val="3C15518D"/>
    <w:rsid w:val="3C2528F1"/>
    <w:rsid w:val="3C2A0F17"/>
    <w:rsid w:val="3C33057E"/>
    <w:rsid w:val="3C334EAF"/>
    <w:rsid w:val="3C3D49BD"/>
    <w:rsid w:val="3C6D16C6"/>
    <w:rsid w:val="3C921FB2"/>
    <w:rsid w:val="3C9333AF"/>
    <w:rsid w:val="3C9E1EBC"/>
    <w:rsid w:val="3CD21D29"/>
    <w:rsid w:val="3CF52957"/>
    <w:rsid w:val="3D147205"/>
    <w:rsid w:val="3D187F39"/>
    <w:rsid w:val="3D2E6923"/>
    <w:rsid w:val="3D33169F"/>
    <w:rsid w:val="3D506996"/>
    <w:rsid w:val="3D614B55"/>
    <w:rsid w:val="3D67163F"/>
    <w:rsid w:val="3D6871A7"/>
    <w:rsid w:val="3D817764"/>
    <w:rsid w:val="3D873FCE"/>
    <w:rsid w:val="3DB17E6C"/>
    <w:rsid w:val="3DCE1FF5"/>
    <w:rsid w:val="3DE61DFF"/>
    <w:rsid w:val="3DEC7285"/>
    <w:rsid w:val="3DF6345D"/>
    <w:rsid w:val="3E2B5515"/>
    <w:rsid w:val="3E3E5EF1"/>
    <w:rsid w:val="3E4D4F28"/>
    <w:rsid w:val="3E5325C6"/>
    <w:rsid w:val="3E5840E2"/>
    <w:rsid w:val="3E706639"/>
    <w:rsid w:val="3E7F32DC"/>
    <w:rsid w:val="3EB11AC7"/>
    <w:rsid w:val="3EBF3622"/>
    <w:rsid w:val="3EC9706E"/>
    <w:rsid w:val="3ED818CD"/>
    <w:rsid w:val="3EE13701"/>
    <w:rsid w:val="3EE25742"/>
    <w:rsid w:val="3F0C5D2F"/>
    <w:rsid w:val="3F144FB4"/>
    <w:rsid w:val="3F1A4BB3"/>
    <w:rsid w:val="3F1B30E3"/>
    <w:rsid w:val="3F372168"/>
    <w:rsid w:val="3F4A64D9"/>
    <w:rsid w:val="3F52287D"/>
    <w:rsid w:val="3F571CFE"/>
    <w:rsid w:val="3F60225A"/>
    <w:rsid w:val="3F79605C"/>
    <w:rsid w:val="3F934E86"/>
    <w:rsid w:val="3FD921B4"/>
    <w:rsid w:val="3FF317AE"/>
    <w:rsid w:val="3FFA2455"/>
    <w:rsid w:val="40010575"/>
    <w:rsid w:val="400E712D"/>
    <w:rsid w:val="40192BA6"/>
    <w:rsid w:val="401D2E8B"/>
    <w:rsid w:val="402C58F5"/>
    <w:rsid w:val="40484D68"/>
    <w:rsid w:val="40761BDC"/>
    <w:rsid w:val="408D092B"/>
    <w:rsid w:val="40963BF6"/>
    <w:rsid w:val="40991CAB"/>
    <w:rsid w:val="40B15F11"/>
    <w:rsid w:val="40BE68D5"/>
    <w:rsid w:val="40D43427"/>
    <w:rsid w:val="41071387"/>
    <w:rsid w:val="41184017"/>
    <w:rsid w:val="411D2299"/>
    <w:rsid w:val="413D6CFA"/>
    <w:rsid w:val="4144773B"/>
    <w:rsid w:val="414E40BA"/>
    <w:rsid w:val="4151394D"/>
    <w:rsid w:val="415560AD"/>
    <w:rsid w:val="41766EA9"/>
    <w:rsid w:val="41906B0F"/>
    <w:rsid w:val="4192330C"/>
    <w:rsid w:val="41F6509D"/>
    <w:rsid w:val="42145CCA"/>
    <w:rsid w:val="42241EB7"/>
    <w:rsid w:val="423035D9"/>
    <w:rsid w:val="42550A18"/>
    <w:rsid w:val="425A4BD1"/>
    <w:rsid w:val="427B1BBB"/>
    <w:rsid w:val="429C7597"/>
    <w:rsid w:val="429D496A"/>
    <w:rsid w:val="42B81FA5"/>
    <w:rsid w:val="42CC751E"/>
    <w:rsid w:val="42E0276A"/>
    <w:rsid w:val="42EB6093"/>
    <w:rsid w:val="42F473A1"/>
    <w:rsid w:val="42F61AFB"/>
    <w:rsid w:val="42F80FA5"/>
    <w:rsid w:val="4305361D"/>
    <w:rsid w:val="431C26D3"/>
    <w:rsid w:val="431F637C"/>
    <w:rsid w:val="434E3AB8"/>
    <w:rsid w:val="43537F8A"/>
    <w:rsid w:val="43805D73"/>
    <w:rsid w:val="43985316"/>
    <w:rsid w:val="43D02D4A"/>
    <w:rsid w:val="43D83C99"/>
    <w:rsid w:val="43DD4E0B"/>
    <w:rsid w:val="44107EE3"/>
    <w:rsid w:val="441E62C0"/>
    <w:rsid w:val="442051CA"/>
    <w:rsid w:val="44380293"/>
    <w:rsid w:val="443E50E2"/>
    <w:rsid w:val="44406167"/>
    <w:rsid w:val="44491CB4"/>
    <w:rsid w:val="44967985"/>
    <w:rsid w:val="44974521"/>
    <w:rsid w:val="44FA0E0B"/>
    <w:rsid w:val="44FB65C3"/>
    <w:rsid w:val="45097E82"/>
    <w:rsid w:val="45147341"/>
    <w:rsid w:val="45192471"/>
    <w:rsid w:val="452802B4"/>
    <w:rsid w:val="452F1A92"/>
    <w:rsid w:val="45325D14"/>
    <w:rsid w:val="453A5298"/>
    <w:rsid w:val="454F4D0B"/>
    <w:rsid w:val="456A5852"/>
    <w:rsid w:val="456B6447"/>
    <w:rsid w:val="457D0B54"/>
    <w:rsid w:val="45811C7C"/>
    <w:rsid w:val="45906116"/>
    <w:rsid w:val="45A0305D"/>
    <w:rsid w:val="45A03571"/>
    <w:rsid w:val="45B44292"/>
    <w:rsid w:val="45B72BF8"/>
    <w:rsid w:val="45C96298"/>
    <w:rsid w:val="45E356FB"/>
    <w:rsid w:val="45EC3A2B"/>
    <w:rsid w:val="45F51AEF"/>
    <w:rsid w:val="460B016C"/>
    <w:rsid w:val="46263C87"/>
    <w:rsid w:val="463C0DD7"/>
    <w:rsid w:val="465219D4"/>
    <w:rsid w:val="465716AD"/>
    <w:rsid w:val="46745ABF"/>
    <w:rsid w:val="46830E83"/>
    <w:rsid w:val="468B3EFB"/>
    <w:rsid w:val="46AE3D43"/>
    <w:rsid w:val="46C44510"/>
    <w:rsid w:val="46CC1041"/>
    <w:rsid w:val="46CD455E"/>
    <w:rsid w:val="46D5130D"/>
    <w:rsid w:val="46E15B1B"/>
    <w:rsid w:val="46F4613F"/>
    <w:rsid w:val="46FF778E"/>
    <w:rsid w:val="470A6193"/>
    <w:rsid w:val="471B4E2C"/>
    <w:rsid w:val="47385210"/>
    <w:rsid w:val="474C2DD7"/>
    <w:rsid w:val="474D5830"/>
    <w:rsid w:val="47543636"/>
    <w:rsid w:val="475C3001"/>
    <w:rsid w:val="47625066"/>
    <w:rsid w:val="47690E29"/>
    <w:rsid w:val="47767EAB"/>
    <w:rsid w:val="47864E13"/>
    <w:rsid w:val="478F1033"/>
    <w:rsid w:val="479A5F27"/>
    <w:rsid w:val="47A837E0"/>
    <w:rsid w:val="47D31E5D"/>
    <w:rsid w:val="47DC4F5C"/>
    <w:rsid w:val="47DD36B3"/>
    <w:rsid w:val="47F32E64"/>
    <w:rsid w:val="481C7304"/>
    <w:rsid w:val="482C6A5C"/>
    <w:rsid w:val="485C15EC"/>
    <w:rsid w:val="48783354"/>
    <w:rsid w:val="488D3FC9"/>
    <w:rsid w:val="48992B03"/>
    <w:rsid w:val="48A6072C"/>
    <w:rsid w:val="48B40671"/>
    <w:rsid w:val="48D8429F"/>
    <w:rsid w:val="48E34F9B"/>
    <w:rsid w:val="48F52BF7"/>
    <w:rsid w:val="48F73DFC"/>
    <w:rsid w:val="490D112E"/>
    <w:rsid w:val="493C2711"/>
    <w:rsid w:val="495664BB"/>
    <w:rsid w:val="49751310"/>
    <w:rsid w:val="49973F6B"/>
    <w:rsid w:val="499B5738"/>
    <w:rsid w:val="499F244D"/>
    <w:rsid w:val="4A105051"/>
    <w:rsid w:val="4A280204"/>
    <w:rsid w:val="4A2D0198"/>
    <w:rsid w:val="4A420EE7"/>
    <w:rsid w:val="4A4C0CA0"/>
    <w:rsid w:val="4A973F3F"/>
    <w:rsid w:val="4AE6282E"/>
    <w:rsid w:val="4AED2A70"/>
    <w:rsid w:val="4AF4108E"/>
    <w:rsid w:val="4AF50338"/>
    <w:rsid w:val="4AF96BC7"/>
    <w:rsid w:val="4B136101"/>
    <w:rsid w:val="4B1C090F"/>
    <w:rsid w:val="4B203103"/>
    <w:rsid w:val="4B32607A"/>
    <w:rsid w:val="4B464533"/>
    <w:rsid w:val="4B496045"/>
    <w:rsid w:val="4B545C08"/>
    <w:rsid w:val="4B5A416B"/>
    <w:rsid w:val="4B5D14C2"/>
    <w:rsid w:val="4B662EDE"/>
    <w:rsid w:val="4B667F55"/>
    <w:rsid w:val="4B6A63A2"/>
    <w:rsid w:val="4B6E0A3F"/>
    <w:rsid w:val="4B7C6990"/>
    <w:rsid w:val="4B7F00CA"/>
    <w:rsid w:val="4B8273D5"/>
    <w:rsid w:val="4B862A85"/>
    <w:rsid w:val="4B8B200B"/>
    <w:rsid w:val="4B98008D"/>
    <w:rsid w:val="4BAC4867"/>
    <w:rsid w:val="4BF16188"/>
    <w:rsid w:val="4BF417D4"/>
    <w:rsid w:val="4BF92147"/>
    <w:rsid w:val="4C01654C"/>
    <w:rsid w:val="4C3A28DD"/>
    <w:rsid w:val="4C503AE4"/>
    <w:rsid w:val="4C8018E7"/>
    <w:rsid w:val="4C8624FC"/>
    <w:rsid w:val="4C8A38D4"/>
    <w:rsid w:val="4C9C27CC"/>
    <w:rsid w:val="4CA20A24"/>
    <w:rsid w:val="4CB755B1"/>
    <w:rsid w:val="4CBB4158"/>
    <w:rsid w:val="4CD928A1"/>
    <w:rsid w:val="4CEF36E2"/>
    <w:rsid w:val="4CEF4DC5"/>
    <w:rsid w:val="4CF23DD6"/>
    <w:rsid w:val="4CF25996"/>
    <w:rsid w:val="4D171C3B"/>
    <w:rsid w:val="4D353E59"/>
    <w:rsid w:val="4D3D7D51"/>
    <w:rsid w:val="4D411D80"/>
    <w:rsid w:val="4D482BAA"/>
    <w:rsid w:val="4D4873F2"/>
    <w:rsid w:val="4D54264D"/>
    <w:rsid w:val="4D6A5813"/>
    <w:rsid w:val="4D922FBD"/>
    <w:rsid w:val="4D9A766C"/>
    <w:rsid w:val="4DA62246"/>
    <w:rsid w:val="4DB54B95"/>
    <w:rsid w:val="4DC17B81"/>
    <w:rsid w:val="4DC23F1C"/>
    <w:rsid w:val="4DEE41E3"/>
    <w:rsid w:val="4DF21879"/>
    <w:rsid w:val="4DF71805"/>
    <w:rsid w:val="4E0A3FBD"/>
    <w:rsid w:val="4E17231F"/>
    <w:rsid w:val="4E257655"/>
    <w:rsid w:val="4E2670DE"/>
    <w:rsid w:val="4E352A01"/>
    <w:rsid w:val="4E8E7871"/>
    <w:rsid w:val="4EA85542"/>
    <w:rsid w:val="4EC4406A"/>
    <w:rsid w:val="4EC455C1"/>
    <w:rsid w:val="4EF86E3C"/>
    <w:rsid w:val="4F06496B"/>
    <w:rsid w:val="4F0C1AC6"/>
    <w:rsid w:val="4F127C58"/>
    <w:rsid w:val="4F365F84"/>
    <w:rsid w:val="4F367AC5"/>
    <w:rsid w:val="4F372380"/>
    <w:rsid w:val="4F372FFB"/>
    <w:rsid w:val="4F4B5D83"/>
    <w:rsid w:val="4F71142E"/>
    <w:rsid w:val="4F7A6CA5"/>
    <w:rsid w:val="4F9C17F9"/>
    <w:rsid w:val="4FA7341A"/>
    <w:rsid w:val="4FC66A35"/>
    <w:rsid w:val="4FE34F88"/>
    <w:rsid w:val="4FEF4AC6"/>
    <w:rsid w:val="4FF8523E"/>
    <w:rsid w:val="5025116D"/>
    <w:rsid w:val="50310AE7"/>
    <w:rsid w:val="503D7DBA"/>
    <w:rsid w:val="507725C3"/>
    <w:rsid w:val="50811214"/>
    <w:rsid w:val="508A158E"/>
    <w:rsid w:val="50BF67C9"/>
    <w:rsid w:val="50C85235"/>
    <w:rsid w:val="50CA0599"/>
    <w:rsid w:val="50ED7CC8"/>
    <w:rsid w:val="50F35CDC"/>
    <w:rsid w:val="50FB62A0"/>
    <w:rsid w:val="511E0283"/>
    <w:rsid w:val="515158DB"/>
    <w:rsid w:val="515A7AB7"/>
    <w:rsid w:val="516623C4"/>
    <w:rsid w:val="51B05107"/>
    <w:rsid w:val="51DA39DC"/>
    <w:rsid w:val="51E0241A"/>
    <w:rsid w:val="51F1394A"/>
    <w:rsid w:val="5201085F"/>
    <w:rsid w:val="522024E6"/>
    <w:rsid w:val="52314419"/>
    <w:rsid w:val="52395ECD"/>
    <w:rsid w:val="526D1B33"/>
    <w:rsid w:val="526D4E29"/>
    <w:rsid w:val="52735E8B"/>
    <w:rsid w:val="52B44696"/>
    <w:rsid w:val="52BB5DFD"/>
    <w:rsid w:val="52C10D75"/>
    <w:rsid w:val="52D55821"/>
    <w:rsid w:val="52EB2FB5"/>
    <w:rsid w:val="53142E77"/>
    <w:rsid w:val="53376E09"/>
    <w:rsid w:val="53655BA8"/>
    <w:rsid w:val="53981BF2"/>
    <w:rsid w:val="53A303CC"/>
    <w:rsid w:val="53B22649"/>
    <w:rsid w:val="53C27FF8"/>
    <w:rsid w:val="53D0274A"/>
    <w:rsid w:val="53D94F3D"/>
    <w:rsid w:val="53EA1FF6"/>
    <w:rsid w:val="53EC03B2"/>
    <w:rsid w:val="540B5AE5"/>
    <w:rsid w:val="54167271"/>
    <w:rsid w:val="54457E2A"/>
    <w:rsid w:val="544A1D81"/>
    <w:rsid w:val="544E00F4"/>
    <w:rsid w:val="5475679C"/>
    <w:rsid w:val="548850A3"/>
    <w:rsid w:val="548E3F00"/>
    <w:rsid w:val="548E485C"/>
    <w:rsid w:val="549E1A80"/>
    <w:rsid w:val="54AB108A"/>
    <w:rsid w:val="54BA25DB"/>
    <w:rsid w:val="54C658F4"/>
    <w:rsid w:val="54CB45B1"/>
    <w:rsid w:val="54CF22DF"/>
    <w:rsid w:val="54E0494C"/>
    <w:rsid w:val="54E171CD"/>
    <w:rsid w:val="54E7784F"/>
    <w:rsid w:val="550C4BD7"/>
    <w:rsid w:val="553142A9"/>
    <w:rsid w:val="55322669"/>
    <w:rsid w:val="5539470A"/>
    <w:rsid w:val="554C1D56"/>
    <w:rsid w:val="55572986"/>
    <w:rsid w:val="555761AA"/>
    <w:rsid w:val="555E236D"/>
    <w:rsid w:val="55805785"/>
    <w:rsid w:val="55A82C22"/>
    <w:rsid w:val="55C062DD"/>
    <w:rsid w:val="55C84FE2"/>
    <w:rsid w:val="55E822CC"/>
    <w:rsid w:val="55F83F42"/>
    <w:rsid w:val="5607446A"/>
    <w:rsid w:val="56081243"/>
    <w:rsid w:val="56166D7C"/>
    <w:rsid w:val="56182C00"/>
    <w:rsid w:val="56245CC2"/>
    <w:rsid w:val="56330E85"/>
    <w:rsid w:val="565340FA"/>
    <w:rsid w:val="565C3ECA"/>
    <w:rsid w:val="56636EEC"/>
    <w:rsid w:val="56790914"/>
    <w:rsid w:val="567D64C6"/>
    <w:rsid w:val="568E01E7"/>
    <w:rsid w:val="569A7860"/>
    <w:rsid w:val="56B25952"/>
    <w:rsid w:val="56FC519F"/>
    <w:rsid w:val="571B3688"/>
    <w:rsid w:val="571F4860"/>
    <w:rsid w:val="5723343E"/>
    <w:rsid w:val="573D7EAB"/>
    <w:rsid w:val="57580904"/>
    <w:rsid w:val="577315F6"/>
    <w:rsid w:val="578057C8"/>
    <w:rsid w:val="578231ED"/>
    <w:rsid w:val="57856002"/>
    <w:rsid w:val="57893184"/>
    <w:rsid w:val="57A66BAB"/>
    <w:rsid w:val="57AA18F7"/>
    <w:rsid w:val="57BB4D3D"/>
    <w:rsid w:val="57D21B1D"/>
    <w:rsid w:val="57DD34B9"/>
    <w:rsid w:val="57E6392C"/>
    <w:rsid w:val="57F706C9"/>
    <w:rsid w:val="58017793"/>
    <w:rsid w:val="58244E5C"/>
    <w:rsid w:val="58685C59"/>
    <w:rsid w:val="58697500"/>
    <w:rsid w:val="5874230E"/>
    <w:rsid w:val="58843841"/>
    <w:rsid w:val="5891308F"/>
    <w:rsid w:val="589236B1"/>
    <w:rsid w:val="58C86B99"/>
    <w:rsid w:val="58DB0E48"/>
    <w:rsid w:val="5904102E"/>
    <w:rsid w:val="590A564B"/>
    <w:rsid w:val="59415D84"/>
    <w:rsid w:val="5944577D"/>
    <w:rsid w:val="594D2B53"/>
    <w:rsid w:val="598813E0"/>
    <w:rsid w:val="59914276"/>
    <w:rsid w:val="5999679A"/>
    <w:rsid w:val="599B7268"/>
    <w:rsid w:val="599C38F2"/>
    <w:rsid w:val="59A03BB4"/>
    <w:rsid w:val="59AA0FB1"/>
    <w:rsid w:val="59B91F8C"/>
    <w:rsid w:val="59EF6A42"/>
    <w:rsid w:val="59F20EF7"/>
    <w:rsid w:val="5A1030D6"/>
    <w:rsid w:val="5A203AE8"/>
    <w:rsid w:val="5A2F2CC8"/>
    <w:rsid w:val="5A6059E2"/>
    <w:rsid w:val="5A673F93"/>
    <w:rsid w:val="5A723722"/>
    <w:rsid w:val="5A7D02BC"/>
    <w:rsid w:val="5A84088B"/>
    <w:rsid w:val="5A8C2C8F"/>
    <w:rsid w:val="5AAA4EE2"/>
    <w:rsid w:val="5AC95C92"/>
    <w:rsid w:val="5B436D5A"/>
    <w:rsid w:val="5B487697"/>
    <w:rsid w:val="5B570637"/>
    <w:rsid w:val="5B79092D"/>
    <w:rsid w:val="5B7D33AD"/>
    <w:rsid w:val="5B7F28A2"/>
    <w:rsid w:val="5B8E36FB"/>
    <w:rsid w:val="5B9C3F03"/>
    <w:rsid w:val="5BA26962"/>
    <w:rsid w:val="5BA85879"/>
    <w:rsid w:val="5BAF1477"/>
    <w:rsid w:val="5BAF6C35"/>
    <w:rsid w:val="5BB978F4"/>
    <w:rsid w:val="5BC1259B"/>
    <w:rsid w:val="5C10702D"/>
    <w:rsid w:val="5C14136F"/>
    <w:rsid w:val="5C152601"/>
    <w:rsid w:val="5C20614F"/>
    <w:rsid w:val="5C591F03"/>
    <w:rsid w:val="5C697AAA"/>
    <w:rsid w:val="5C8A1B2F"/>
    <w:rsid w:val="5C9257B9"/>
    <w:rsid w:val="5C96399E"/>
    <w:rsid w:val="5CAF3DCD"/>
    <w:rsid w:val="5CEA4062"/>
    <w:rsid w:val="5D2C1215"/>
    <w:rsid w:val="5D4D4133"/>
    <w:rsid w:val="5D857790"/>
    <w:rsid w:val="5D861815"/>
    <w:rsid w:val="5D8936D2"/>
    <w:rsid w:val="5D8A140E"/>
    <w:rsid w:val="5D914004"/>
    <w:rsid w:val="5DCA41FA"/>
    <w:rsid w:val="5DD80331"/>
    <w:rsid w:val="5DD95E29"/>
    <w:rsid w:val="5DDD16DD"/>
    <w:rsid w:val="5DF41766"/>
    <w:rsid w:val="5E015F08"/>
    <w:rsid w:val="5E615889"/>
    <w:rsid w:val="5E727AB0"/>
    <w:rsid w:val="5E847BF7"/>
    <w:rsid w:val="5E936FAE"/>
    <w:rsid w:val="5EAA1124"/>
    <w:rsid w:val="5EC8520A"/>
    <w:rsid w:val="5ED25050"/>
    <w:rsid w:val="5F0341A4"/>
    <w:rsid w:val="5F0A7504"/>
    <w:rsid w:val="5F114CB9"/>
    <w:rsid w:val="5F174D94"/>
    <w:rsid w:val="5F4F5E24"/>
    <w:rsid w:val="5F561B72"/>
    <w:rsid w:val="5F811AD3"/>
    <w:rsid w:val="5F8E3288"/>
    <w:rsid w:val="5F92448C"/>
    <w:rsid w:val="5F9FF14D"/>
    <w:rsid w:val="5FA13309"/>
    <w:rsid w:val="5FB646B2"/>
    <w:rsid w:val="5FB740CE"/>
    <w:rsid w:val="5FBB0ADC"/>
    <w:rsid w:val="5FBDEA06"/>
    <w:rsid w:val="5FC2179D"/>
    <w:rsid w:val="5FE00927"/>
    <w:rsid w:val="5FE24EDD"/>
    <w:rsid w:val="5FE437FC"/>
    <w:rsid w:val="5FED0446"/>
    <w:rsid w:val="5FF87C07"/>
    <w:rsid w:val="60014470"/>
    <w:rsid w:val="602A626F"/>
    <w:rsid w:val="603E60FC"/>
    <w:rsid w:val="60504C82"/>
    <w:rsid w:val="60556F40"/>
    <w:rsid w:val="606007BB"/>
    <w:rsid w:val="606163EC"/>
    <w:rsid w:val="608E10F9"/>
    <w:rsid w:val="6095423F"/>
    <w:rsid w:val="60AC7F66"/>
    <w:rsid w:val="60C13070"/>
    <w:rsid w:val="611E12A8"/>
    <w:rsid w:val="61226064"/>
    <w:rsid w:val="61497909"/>
    <w:rsid w:val="614E0C9F"/>
    <w:rsid w:val="614F0CAD"/>
    <w:rsid w:val="6182423A"/>
    <w:rsid w:val="6189448A"/>
    <w:rsid w:val="61A475B0"/>
    <w:rsid w:val="61A66546"/>
    <w:rsid w:val="61BD42A4"/>
    <w:rsid w:val="61BF10D9"/>
    <w:rsid w:val="61BF1193"/>
    <w:rsid w:val="61DA3D4C"/>
    <w:rsid w:val="61F215C9"/>
    <w:rsid w:val="62052E11"/>
    <w:rsid w:val="625021E5"/>
    <w:rsid w:val="6265481D"/>
    <w:rsid w:val="626A5412"/>
    <w:rsid w:val="62AC22DC"/>
    <w:rsid w:val="62B22B31"/>
    <w:rsid w:val="62BF2D76"/>
    <w:rsid w:val="62FA4283"/>
    <w:rsid w:val="630871F9"/>
    <w:rsid w:val="630A6917"/>
    <w:rsid w:val="63177FBC"/>
    <w:rsid w:val="632630D2"/>
    <w:rsid w:val="633004FD"/>
    <w:rsid w:val="633575E4"/>
    <w:rsid w:val="633E67A6"/>
    <w:rsid w:val="63493F8F"/>
    <w:rsid w:val="635251C8"/>
    <w:rsid w:val="6354469B"/>
    <w:rsid w:val="635A3E88"/>
    <w:rsid w:val="635C1FFD"/>
    <w:rsid w:val="63606311"/>
    <w:rsid w:val="63607FA4"/>
    <w:rsid w:val="63724593"/>
    <w:rsid w:val="637833E8"/>
    <w:rsid w:val="63DE0947"/>
    <w:rsid w:val="63F14628"/>
    <w:rsid w:val="63F30799"/>
    <w:rsid w:val="64481274"/>
    <w:rsid w:val="648743E5"/>
    <w:rsid w:val="64941CD4"/>
    <w:rsid w:val="64A00B74"/>
    <w:rsid w:val="64B10E28"/>
    <w:rsid w:val="64BB10E5"/>
    <w:rsid w:val="64C0006E"/>
    <w:rsid w:val="64C210FC"/>
    <w:rsid w:val="64D8014C"/>
    <w:rsid w:val="64E45EF7"/>
    <w:rsid w:val="64E536C8"/>
    <w:rsid w:val="650D635E"/>
    <w:rsid w:val="651240A3"/>
    <w:rsid w:val="6528541A"/>
    <w:rsid w:val="6544472C"/>
    <w:rsid w:val="65465871"/>
    <w:rsid w:val="654866C3"/>
    <w:rsid w:val="654E2D83"/>
    <w:rsid w:val="6555098E"/>
    <w:rsid w:val="65D06BA5"/>
    <w:rsid w:val="65F12154"/>
    <w:rsid w:val="661D63AD"/>
    <w:rsid w:val="6630196A"/>
    <w:rsid w:val="664457C3"/>
    <w:rsid w:val="665253D0"/>
    <w:rsid w:val="66815672"/>
    <w:rsid w:val="66873275"/>
    <w:rsid w:val="6691014E"/>
    <w:rsid w:val="66C1066D"/>
    <w:rsid w:val="66C87CCE"/>
    <w:rsid w:val="66D23840"/>
    <w:rsid w:val="66E1028C"/>
    <w:rsid w:val="66E73D86"/>
    <w:rsid w:val="66FB490A"/>
    <w:rsid w:val="670006DA"/>
    <w:rsid w:val="67592253"/>
    <w:rsid w:val="676B32D0"/>
    <w:rsid w:val="677435B2"/>
    <w:rsid w:val="6779688C"/>
    <w:rsid w:val="67814D8C"/>
    <w:rsid w:val="678801E7"/>
    <w:rsid w:val="678D2EAE"/>
    <w:rsid w:val="67AC1EB3"/>
    <w:rsid w:val="67E35B9E"/>
    <w:rsid w:val="67EF75F1"/>
    <w:rsid w:val="67F323FA"/>
    <w:rsid w:val="682062DD"/>
    <w:rsid w:val="6828218F"/>
    <w:rsid w:val="68327BBE"/>
    <w:rsid w:val="68836ACA"/>
    <w:rsid w:val="688D5804"/>
    <w:rsid w:val="689736F8"/>
    <w:rsid w:val="68B35F15"/>
    <w:rsid w:val="6904637F"/>
    <w:rsid w:val="69124F16"/>
    <w:rsid w:val="692556B9"/>
    <w:rsid w:val="69280117"/>
    <w:rsid w:val="693022D8"/>
    <w:rsid w:val="694A5205"/>
    <w:rsid w:val="694C59EB"/>
    <w:rsid w:val="69874AA4"/>
    <w:rsid w:val="69AD518D"/>
    <w:rsid w:val="69CD5C14"/>
    <w:rsid w:val="69CF0D33"/>
    <w:rsid w:val="69D8686C"/>
    <w:rsid w:val="69D96AC3"/>
    <w:rsid w:val="69F567A0"/>
    <w:rsid w:val="6A1A7186"/>
    <w:rsid w:val="6A2D3C19"/>
    <w:rsid w:val="6A36068B"/>
    <w:rsid w:val="6A434A35"/>
    <w:rsid w:val="6A4B2209"/>
    <w:rsid w:val="6A5066CB"/>
    <w:rsid w:val="6A512713"/>
    <w:rsid w:val="6A542D51"/>
    <w:rsid w:val="6A5F0F50"/>
    <w:rsid w:val="6A6030C4"/>
    <w:rsid w:val="6A767148"/>
    <w:rsid w:val="6A7F05D0"/>
    <w:rsid w:val="6A883473"/>
    <w:rsid w:val="6AAB324D"/>
    <w:rsid w:val="6AB235AF"/>
    <w:rsid w:val="6ABD719F"/>
    <w:rsid w:val="6AC13E4D"/>
    <w:rsid w:val="6ADA17F5"/>
    <w:rsid w:val="6AE543A1"/>
    <w:rsid w:val="6AE644C3"/>
    <w:rsid w:val="6AE71A96"/>
    <w:rsid w:val="6AF64E0B"/>
    <w:rsid w:val="6AFD4928"/>
    <w:rsid w:val="6B14078A"/>
    <w:rsid w:val="6B175FBC"/>
    <w:rsid w:val="6B297797"/>
    <w:rsid w:val="6B2F4D3E"/>
    <w:rsid w:val="6B303F71"/>
    <w:rsid w:val="6B374E7A"/>
    <w:rsid w:val="6B4317B4"/>
    <w:rsid w:val="6B4A10E4"/>
    <w:rsid w:val="6B5C4B71"/>
    <w:rsid w:val="6B614E02"/>
    <w:rsid w:val="6B623CC4"/>
    <w:rsid w:val="6B7E2908"/>
    <w:rsid w:val="6B9946B3"/>
    <w:rsid w:val="6BF5106A"/>
    <w:rsid w:val="6C211E68"/>
    <w:rsid w:val="6C241930"/>
    <w:rsid w:val="6C2D0A9C"/>
    <w:rsid w:val="6C372961"/>
    <w:rsid w:val="6C4052D5"/>
    <w:rsid w:val="6C431EF3"/>
    <w:rsid w:val="6C4B0DE1"/>
    <w:rsid w:val="6C4E6902"/>
    <w:rsid w:val="6C5B59F4"/>
    <w:rsid w:val="6C662189"/>
    <w:rsid w:val="6C6B22D7"/>
    <w:rsid w:val="6C6C2F38"/>
    <w:rsid w:val="6C7007C7"/>
    <w:rsid w:val="6C8C2B67"/>
    <w:rsid w:val="6C8D38AF"/>
    <w:rsid w:val="6C8D7684"/>
    <w:rsid w:val="6CA13443"/>
    <w:rsid w:val="6CA83959"/>
    <w:rsid w:val="6CB04275"/>
    <w:rsid w:val="6CDC07DA"/>
    <w:rsid w:val="6CDF720B"/>
    <w:rsid w:val="6CF92C55"/>
    <w:rsid w:val="6D21360D"/>
    <w:rsid w:val="6D3A3B10"/>
    <w:rsid w:val="6D415399"/>
    <w:rsid w:val="6D4C7D54"/>
    <w:rsid w:val="6D5E0131"/>
    <w:rsid w:val="6D60703C"/>
    <w:rsid w:val="6D616805"/>
    <w:rsid w:val="6D68310A"/>
    <w:rsid w:val="6D6D4330"/>
    <w:rsid w:val="6D8B0FD6"/>
    <w:rsid w:val="6D915D95"/>
    <w:rsid w:val="6D94625C"/>
    <w:rsid w:val="6D9B53CB"/>
    <w:rsid w:val="6DB63374"/>
    <w:rsid w:val="6DE76850"/>
    <w:rsid w:val="6DF8337B"/>
    <w:rsid w:val="6E030A47"/>
    <w:rsid w:val="6E1A3980"/>
    <w:rsid w:val="6E2B50E3"/>
    <w:rsid w:val="6E506EFF"/>
    <w:rsid w:val="6E8059E4"/>
    <w:rsid w:val="6E930639"/>
    <w:rsid w:val="6E9C058A"/>
    <w:rsid w:val="6E9E45BF"/>
    <w:rsid w:val="6EA34CC4"/>
    <w:rsid w:val="6EC00BE3"/>
    <w:rsid w:val="6EE14809"/>
    <w:rsid w:val="6EE54F57"/>
    <w:rsid w:val="6EF528DD"/>
    <w:rsid w:val="6F055DD7"/>
    <w:rsid w:val="6F2E0D5F"/>
    <w:rsid w:val="6F395B8B"/>
    <w:rsid w:val="6F4128B1"/>
    <w:rsid w:val="6F4A6530"/>
    <w:rsid w:val="6F6B76CB"/>
    <w:rsid w:val="6F6E0ACF"/>
    <w:rsid w:val="6F753C1F"/>
    <w:rsid w:val="6F964F3B"/>
    <w:rsid w:val="6FB20BD4"/>
    <w:rsid w:val="6FB650F7"/>
    <w:rsid w:val="6FB75277"/>
    <w:rsid w:val="6FBA59BE"/>
    <w:rsid w:val="6FD64135"/>
    <w:rsid w:val="6FF16C9A"/>
    <w:rsid w:val="6FF2418B"/>
    <w:rsid w:val="6FF3192C"/>
    <w:rsid w:val="702726F0"/>
    <w:rsid w:val="70296B3E"/>
    <w:rsid w:val="704255C1"/>
    <w:rsid w:val="704751B9"/>
    <w:rsid w:val="70497291"/>
    <w:rsid w:val="705B357E"/>
    <w:rsid w:val="70611204"/>
    <w:rsid w:val="709C2F3A"/>
    <w:rsid w:val="70BF0EE0"/>
    <w:rsid w:val="70C20C9C"/>
    <w:rsid w:val="70C57C29"/>
    <w:rsid w:val="70D01410"/>
    <w:rsid w:val="70D036E5"/>
    <w:rsid w:val="70D32204"/>
    <w:rsid w:val="70F15847"/>
    <w:rsid w:val="710A582E"/>
    <w:rsid w:val="71147BFE"/>
    <w:rsid w:val="713116FD"/>
    <w:rsid w:val="71370AC8"/>
    <w:rsid w:val="713D46C5"/>
    <w:rsid w:val="71434E47"/>
    <w:rsid w:val="71486F7F"/>
    <w:rsid w:val="715F2A54"/>
    <w:rsid w:val="71662A10"/>
    <w:rsid w:val="71926986"/>
    <w:rsid w:val="71982A8B"/>
    <w:rsid w:val="71A17BB2"/>
    <w:rsid w:val="71FC1BE5"/>
    <w:rsid w:val="72204649"/>
    <w:rsid w:val="722C5869"/>
    <w:rsid w:val="72450FB0"/>
    <w:rsid w:val="72487743"/>
    <w:rsid w:val="725E1213"/>
    <w:rsid w:val="727D6954"/>
    <w:rsid w:val="72844D41"/>
    <w:rsid w:val="72862C7E"/>
    <w:rsid w:val="728976DF"/>
    <w:rsid w:val="72936E2F"/>
    <w:rsid w:val="72A7375D"/>
    <w:rsid w:val="72CF4F19"/>
    <w:rsid w:val="72EA7F26"/>
    <w:rsid w:val="72EC79FB"/>
    <w:rsid w:val="72F67BF9"/>
    <w:rsid w:val="731178E3"/>
    <w:rsid w:val="73240DF9"/>
    <w:rsid w:val="732C6F33"/>
    <w:rsid w:val="733D16A9"/>
    <w:rsid w:val="73425548"/>
    <w:rsid w:val="73445350"/>
    <w:rsid w:val="73514DB1"/>
    <w:rsid w:val="736A73D7"/>
    <w:rsid w:val="73773D6F"/>
    <w:rsid w:val="737C5261"/>
    <w:rsid w:val="738A77D2"/>
    <w:rsid w:val="73A553FF"/>
    <w:rsid w:val="73AC15DC"/>
    <w:rsid w:val="73F27930"/>
    <w:rsid w:val="74121260"/>
    <w:rsid w:val="743462D3"/>
    <w:rsid w:val="74365CEE"/>
    <w:rsid w:val="743E7D5E"/>
    <w:rsid w:val="7441374C"/>
    <w:rsid w:val="744149C3"/>
    <w:rsid w:val="74474E71"/>
    <w:rsid w:val="74A93E5A"/>
    <w:rsid w:val="74C633BB"/>
    <w:rsid w:val="74DD3342"/>
    <w:rsid w:val="74FA2C30"/>
    <w:rsid w:val="751D1A0B"/>
    <w:rsid w:val="753B09F7"/>
    <w:rsid w:val="754D5C4B"/>
    <w:rsid w:val="756C78B0"/>
    <w:rsid w:val="757939B3"/>
    <w:rsid w:val="757E50F6"/>
    <w:rsid w:val="75855224"/>
    <w:rsid w:val="75A05064"/>
    <w:rsid w:val="75A85DA3"/>
    <w:rsid w:val="75AB5440"/>
    <w:rsid w:val="75CB60C0"/>
    <w:rsid w:val="75D35FBA"/>
    <w:rsid w:val="75E76F6F"/>
    <w:rsid w:val="75EC127C"/>
    <w:rsid w:val="75F142DB"/>
    <w:rsid w:val="75F23E97"/>
    <w:rsid w:val="760B3F34"/>
    <w:rsid w:val="76334397"/>
    <w:rsid w:val="7642733C"/>
    <w:rsid w:val="765B4F30"/>
    <w:rsid w:val="766C4E79"/>
    <w:rsid w:val="766D6FAF"/>
    <w:rsid w:val="767D07C6"/>
    <w:rsid w:val="768F7316"/>
    <w:rsid w:val="769757DC"/>
    <w:rsid w:val="76A143E8"/>
    <w:rsid w:val="76BF1D66"/>
    <w:rsid w:val="76C240A7"/>
    <w:rsid w:val="76C8773D"/>
    <w:rsid w:val="76F263F7"/>
    <w:rsid w:val="77074283"/>
    <w:rsid w:val="770F3331"/>
    <w:rsid w:val="77285125"/>
    <w:rsid w:val="77315AC4"/>
    <w:rsid w:val="775246B7"/>
    <w:rsid w:val="77583C37"/>
    <w:rsid w:val="775974AF"/>
    <w:rsid w:val="778264A7"/>
    <w:rsid w:val="77977DAD"/>
    <w:rsid w:val="779F004E"/>
    <w:rsid w:val="77CA234A"/>
    <w:rsid w:val="781E69D1"/>
    <w:rsid w:val="782A2DF7"/>
    <w:rsid w:val="78DE4305"/>
    <w:rsid w:val="795C1D84"/>
    <w:rsid w:val="797F0359"/>
    <w:rsid w:val="7988495F"/>
    <w:rsid w:val="79962040"/>
    <w:rsid w:val="799A2861"/>
    <w:rsid w:val="79A4105F"/>
    <w:rsid w:val="79BC014A"/>
    <w:rsid w:val="79BC34FC"/>
    <w:rsid w:val="79C95D86"/>
    <w:rsid w:val="79D042C8"/>
    <w:rsid w:val="79D90DD4"/>
    <w:rsid w:val="7A263B6B"/>
    <w:rsid w:val="7A2A6E84"/>
    <w:rsid w:val="7A2D01BD"/>
    <w:rsid w:val="7A355382"/>
    <w:rsid w:val="7A447E0C"/>
    <w:rsid w:val="7A573C85"/>
    <w:rsid w:val="7A6D67DD"/>
    <w:rsid w:val="7A7106D0"/>
    <w:rsid w:val="7A8E7E6B"/>
    <w:rsid w:val="7A9F3904"/>
    <w:rsid w:val="7AF46346"/>
    <w:rsid w:val="7AF753E6"/>
    <w:rsid w:val="7B0F5EBF"/>
    <w:rsid w:val="7B125252"/>
    <w:rsid w:val="7B130FB9"/>
    <w:rsid w:val="7B14483E"/>
    <w:rsid w:val="7B1C0A25"/>
    <w:rsid w:val="7B2611AB"/>
    <w:rsid w:val="7B4E6A0D"/>
    <w:rsid w:val="7B641BCE"/>
    <w:rsid w:val="7B770612"/>
    <w:rsid w:val="7B875F34"/>
    <w:rsid w:val="7B962FD4"/>
    <w:rsid w:val="7BDD6F19"/>
    <w:rsid w:val="7BF64EDE"/>
    <w:rsid w:val="7C10151B"/>
    <w:rsid w:val="7C141428"/>
    <w:rsid w:val="7C221C6B"/>
    <w:rsid w:val="7C370186"/>
    <w:rsid w:val="7C400C1E"/>
    <w:rsid w:val="7C99714C"/>
    <w:rsid w:val="7CA07DE8"/>
    <w:rsid w:val="7CA53FD5"/>
    <w:rsid w:val="7CB50883"/>
    <w:rsid w:val="7CBE6D5D"/>
    <w:rsid w:val="7CCF481C"/>
    <w:rsid w:val="7CDD1808"/>
    <w:rsid w:val="7CF57CC1"/>
    <w:rsid w:val="7D0B5456"/>
    <w:rsid w:val="7D2B12B1"/>
    <w:rsid w:val="7D352792"/>
    <w:rsid w:val="7D563551"/>
    <w:rsid w:val="7D6F6791"/>
    <w:rsid w:val="7D7558BB"/>
    <w:rsid w:val="7D830B9D"/>
    <w:rsid w:val="7D905E8D"/>
    <w:rsid w:val="7DB23C3E"/>
    <w:rsid w:val="7DD11708"/>
    <w:rsid w:val="7DE5430C"/>
    <w:rsid w:val="7DE64899"/>
    <w:rsid w:val="7DF813B2"/>
    <w:rsid w:val="7DFC32D8"/>
    <w:rsid w:val="7DFD7978"/>
    <w:rsid w:val="7E0763E6"/>
    <w:rsid w:val="7E1202A7"/>
    <w:rsid w:val="7E156055"/>
    <w:rsid w:val="7E2D7872"/>
    <w:rsid w:val="7E522C19"/>
    <w:rsid w:val="7E5C0F61"/>
    <w:rsid w:val="7E786F03"/>
    <w:rsid w:val="7E7B37EB"/>
    <w:rsid w:val="7E8E6EBF"/>
    <w:rsid w:val="7EAA7A04"/>
    <w:rsid w:val="7EAD21C3"/>
    <w:rsid w:val="7EBD579E"/>
    <w:rsid w:val="7EC167BD"/>
    <w:rsid w:val="7ED56D33"/>
    <w:rsid w:val="7EFC345C"/>
    <w:rsid w:val="7F1A6960"/>
    <w:rsid w:val="7F272D9E"/>
    <w:rsid w:val="7F397426"/>
    <w:rsid w:val="7F507488"/>
    <w:rsid w:val="7F657C66"/>
    <w:rsid w:val="7F687D9B"/>
    <w:rsid w:val="7F7848F6"/>
    <w:rsid w:val="7FE900B8"/>
    <w:rsid w:val="7FF54CAF"/>
    <w:rsid w:val="7FFD534D"/>
    <w:rsid w:val="9DDB6028"/>
    <w:rsid w:val="9F17243C"/>
    <w:rsid w:val="9FFF69B9"/>
    <w:rsid w:val="BB3A6B80"/>
    <w:rsid w:val="BBF69B12"/>
    <w:rsid w:val="BEBE88B7"/>
    <w:rsid w:val="BFFB3AFE"/>
    <w:rsid w:val="EC3AA6B5"/>
    <w:rsid w:val="ED5F0007"/>
    <w:rsid w:val="EFFFE8B7"/>
    <w:rsid w:val="FDF921F7"/>
    <w:rsid w:val="FF5BCBDE"/>
    <w:rsid w:val="FFFBE2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nhideWhenUsed="0" w:uiPriority="99"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qFormat="1" w:uiPriority="99" w:semiHidden="0" w:name="endnote reference"/>
    <w:lsdException w:uiPriority="99" w:name="endnote text"/>
    <w:lsdException w:qFormat="1" w:unhideWhenUsed="0" w:uiPriority="99" w:semiHidden="0" w:name="table of authorities"/>
    <w:lsdException w:uiPriority="99" w:name="macro"/>
    <w:lsdException w:uiPriority="99" w:name="toa heading"/>
    <w:lsdException w:qFormat="1" w:uiPriority="99" w:semiHidden="0"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99" w:semiHidden="0"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7"/>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48"/>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49"/>
    <w:qFormat/>
    <w:uiPriority w:val="99"/>
    <w:pPr>
      <w:keepNext/>
      <w:keepLines/>
      <w:spacing w:before="260" w:after="260" w:line="416" w:lineRule="auto"/>
      <w:outlineLvl w:val="2"/>
    </w:pPr>
    <w:rPr>
      <w:b/>
      <w:bCs/>
      <w:sz w:val="32"/>
      <w:szCs w:val="32"/>
    </w:rPr>
  </w:style>
  <w:style w:type="paragraph" w:styleId="5">
    <w:name w:val="heading 4"/>
    <w:basedOn w:val="1"/>
    <w:next w:val="1"/>
    <w:link w:val="50"/>
    <w:qFormat/>
    <w:uiPriority w:val="9"/>
    <w:pPr>
      <w:keepNext/>
      <w:keepLines/>
      <w:spacing w:before="280" w:after="290" w:line="372" w:lineRule="auto"/>
      <w:outlineLvl w:val="3"/>
    </w:pPr>
    <w:rPr>
      <w:rFonts w:ascii="Arial" w:hAnsi="Arial" w:eastAsia="黑体"/>
      <w:b/>
      <w:sz w:val="28"/>
    </w:rPr>
  </w:style>
  <w:style w:type="paragraph" w:styleId="6">
    <w:name w:val="heading 5"/>
    <w:basedOn w:val="1"/>
    <w:next w:val="7"/>
    <w:link w:val="51"/>
    <w:qFormat/>
    <w:uiPriority w:val="9"/>
    <w:pPr>
      <w:keepNext/>
      <w:keepLines/>
      <w:spacing w:before="280" w:after="290" w:line="376" w:lineRule="auto"/>
      <w:outlineLvl w:val="4"/>
    </w:pPr>
    <w:rPr>
      <w:b/>
      <w:bCs/>
      <w:sz w:val="28"/>
      <w:szCs w:val="28"/>
    </w:rPr>
  </w:style>
  <w:style w:type="paragraph" w:styleId="8">
    <w:name w:val="heading 8"/>
    <w:basedOn w:val="1"/>
    <w:next w:val="1"/>
    <w:link w:val="52"/>
    <w:qFormat/>
    <w:uiPriority w:val="9"/>
    <w:pPr>
      <w:keepNext/>
      <w:keepLines/>
      <w:spacing w:before="240" w:after="64" w:line="320" w:lineRule="auto"/>
      <w:outlineLvl w:val="7"/>
    </w:pPr>
    <w:rPr>
      <w:rFonts w:ascii="等线 Light" w:hAnsi="等线 Light" w:eastAsia="等线 Light"/>
      <w:sz w:val="24"/>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99"/>
    <w:pPr>
      <w:ind w:firstLine="420"/>
    </w:pPr>
    <w:rPr>
      <w:szCs w:val="20"/>
    </w:rPr>
  </w:style>
  <w:style w:type="paragraph" w:styleId="9">
    <w:name w:val="table of authorities"/>
    <w:basedOn w:val="1"/>
    <w:next w:val="1"/>
    <w:qFormat/>
    <w:uiPriority w:val="99"/>
    <w:pPr>
      <w:ind w:left="420" w:leftChars="200"/>
    </w:pPr>
    <w:rPr>
      <w:rFonts w:ascii="Calibri" w:hAnsi="Calibri"/>
    </w:rPr>
  </w:style>
  <w:style w:type="paragraph" w:styleId="10">
    <w:name w:val="index 8"/>
    <w:basedOn w:val="1"/>
    <w:next w:val="1"/>
    <w:qFormat/>
    <w:uiPriority w:val="0"/>
    <w:pPr>
      <w:ind w:left="2940"/>
    </w:pPr>
  </w:style>
  <w:style w:type="paragraph" w:styleId="11">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2">
    <w:name w:val="caption"/>
    <w:basedOn w:val="1"/>
    <w:next w:val="1"/>
    <w:qFormat/>
    <w:uiPriority w:val="0"/>
    <w:rPr>
      <w:rFonts w:ascii="Saturday Sans Regular" w:hAnsi="Saturday Sans Regular" w:eastAsia="方正黑体_GBK"/>
      <w:sz w:val="20"/>
    </w:rPr>
  </w:style>
  <w:style w:type="paragraph" w:styleId="13">
    <w:name w:val="annotation text"/>
    <w:basedOn w:val="1"/>
    <w:link w:val="44"/>
    <w:qFormat/>
    <w:uiPriority w:val="99"/>
    <w:pPr>
      <w:jc w:val="left"/>
    </w:pPr>
  </w:style>
  <w:style w:type="paragraph" w:styleId="14">
    <w:name w:val="Body Text 3"/>
    <w:basedOn w:val="1"/>
    <w:link w:val="53"/>
    <w:unhideWhenUsed/>
    <w:qFormat/>
    <w:uiPriority w:val="99"/>
    <w:pPr>
      <w:spacing w:after="120"/>
    </w:pPr>
    <w:rPr>
      <w:sz w:val="16"/>
      <w:szCs w:val="16"/>
    </w:rPr>
  </w:style>
  <w:style w:type="paragraph" w:styleId="15">
    <w:name w:val="Body Text"/>
    <w:basedOn w:val="1"/>
    <w:link w:val="54"/>
    <w:unhideWhenUsed/>
    <w:qFormat/>
    <w:uiPriority w:val="0"/>
    <w:pPr>
      <w:spacing w:after="120"/>
    </w:pPr>
  </w:style>
  <w:style w:type="paragraph" w:styleId="16">
    <w:name w:val="Body Text Indent"/>
    <w:basedOn w:val="1"/>
    <w:link w:val="43"/>
    <w:qFormat/>
    <w:uiPriority w:val="99"/>
    <w:pPr>
      <w:ind w:firstLine="830" w:firstLineChars="352"/>
    </w:pPr>
    <w:rPr>
      <w:rFonts w:ascii="仿宋_GB2312" w:eastAsia="仿宋_GB2312"/>
      <w:kern w:val="0"/>
      <w:sz w:val="32"/>
      <w:szCs w:val="20"/>
    </w:rPr>
  </w:style>
  <w:style w:type="paragraph" w:styleId="17">
    <w:name w:val="List 2"/>
    <w:basedOn w:val="1"/>
    <w:unhideWhenUsed/>
    <w:qFormat/>
    <w:uiPriority w:val="99"/>
    <w:pPr>
      <w:ind w:left="100" w:leftChars="200" w:hanging="200" w:hangingChars="200"/>
      <w:contextualSpacing/>
    </w:pPr>
  </w:style>
  <w:style w:type="paragraph" w:styleId="18">
    <w:name w:val="toc 3"/>
    <w:basedOn w:val="1"/>
    <w:next w:val="1"/>
    <w:unhideWhenUsed/>
    <w:qFormat/>
    <w:uiPriority w:val="39"/>
    <w:pPr>
      <w:ind w:left="840" w:leftChars="400"/>
    </w:pPr>
  </w:style>
  <w:style w:type="paragraph" w:styleId="19">
    <w:name w:val="Plain Text"/>
    <w:basedOn w:val="1"/>
    <w:next w:val="5"/>
    <w:link w:val="55"/>
    <w:qFormat/>
    <w:uiPriority w:val="0"/>
    <w:rPr>
      <w:rFonts w:ascii="宋体" w:hAnsi="Courier New"/>
      <w:kern w:val="0"/>
      <w:sz w:val="20"/>
      <w:szCs w:val="21"/>
    </w:rPr>
  </w:style>
  <w:style w:type="paragraph" w:styleId="20">
    <w:name w:val="Date"/>
    <w:basedOn w:val="1"/>
    <w:next w:val="1"/>
    <w:link w:val="56"/>
    <w:unhideWhenUsed/>
    <w:qFormat/>
    <w:uiPriority w:val="99"/>
    <w:pPr>
      <w:ind w:left="100" w:leftChars="2500"/>
    </w:pPr>
  </w:style>
  <w:style w:type="paragraph" w:styleId="21">
    <w:name w:val="Balloon Text"/>
    <w:basedOn w:val="1"/>
    <w:semiHidden/>
    <w:qFormat/>
    <w:uiPriority w:val="0"/>
    <w:rPr>
      <w:sz w:val="18"/>
      <w:szCs w:val="18"/>
    </w:rPr>
  </w:style>
  <w:style w:type="paragraph" w:styleId="22">
    <w:name w:val="footer"/>
    <w:basedOn w:val="1"/>
    <w:next w:val="1"/>
    <w:link w:val="57"/>
    <w:unhideWhenUsed/>
    <w:qFormat/>
    <w:uiPriority w:val="99"/>
    <w:pPr>
      <w:tabs>
        <w:tab w:val="center" w:pos="4153"/>
        <w:tab w:val="right" w:pos="8306"/>
      </w:tabs>
      <w:snapToGrid w:val="0"/>
      <w:jc w:val="left"/>
    </w:pPr>
    <w:rPr>
      <w:kern w:val="0"/>
      <w:sz w:val="18"/>
      <w:szCs w:val="18"/>
    </w:rPr>
  </w:style>
  <w:style w:type="paragraph" w:styleId="23">
    <w:name w:val="header"/>
    <w:basedOn w:val="1"/>
    <w:link w:val="58"/>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4">
    <w:name w:val="toc 1"/>
    <w:basedOn w:val="1"/>
    <w:next w:val="1"/>
    <w:unhideWhenUsed/>
    <w:qFormat/>
    <w:uiPriority w:val="39"/>
  </w:style>
  <w:style w:type="paragraph" w:styleId="25">
    <w:name w:val="List"/>
    <w:basedOn w:val="1"/>
    <w:unhideWhenUsed/>
    <w:qFormat/>
    <w:uiPriority w:val="99"/>
    <w:pPr>
      <w:ind w:left="200" w:hanging="200" w:hangingChars="200"/>
      <w:contextualSpacing/>
    </w:pPr>
  </w:style>
  <w:style w:type="paragraph" w:styleId="26">
    <w:name w:val="toc 2"/>
    <w:basedOn w:val="1"/>
    <w:next w:val="1"/>
    <w:unhideWhenUsed/>
    <w:qFormat/>
    <w:uiPriority w:val="39"/>
    <w:pPr>
      <w:tabs>
        <w:tab w:val="right" w:leader="dot" w:pos="8296"/>
      </w:tabs>
      <w:ind w:left="420" w:leftChars="200"/>
    </w:pPr>
  </w:style>
  <w:style w:type="paragraph" w:styleId="27">
    <w:name w:val="Normal (Web)"/>
    <w:basedOn w:val="1"/>
    <w:unhideWhenUsed/>
    <w:qFormat/>
    <w:uiPriority w:val="99"/>
    <w:rPr>
      <w:rFonts w:ascii="Calibri" w:hAnsi="Calibri"/>
      <w:kern w:val="0"/>
      <w:sz w:val="24"/>
    </w:rPr>
  </w:style>
  <w:style w:type="paragraph" w:styleId="28">
    <w:name w:val="Title"/>
    <w:basedOn w:val="1"/>
    <w:next w:val="1"/>
    <w:unhideWhenUsed/>
    <w:qFormat/>
    <w:uiPriority w:val="0"/>
    <w:pPr>
      <w:spacing w:before="240" w:after="60"/>
      <w:jc w:val="center"/>
      <w:outlineLvl w:val="0"/>
    </w:pPr>
    <w:rPr>
      <w:rFonts w:hint="default" w:eastAsia="方正小标宋简体"/>
      <w:sz w:val="44"/>
      <w:szCs w:val="24"/>
    </w:rPr>
  </w:style>
  <w:style w:type="paragraph" w:styleId="29">
    <w:name w:val="annotation subject"/>
    <w:basedOn w:val="13"/>
    <w:next w:val="1"/>
    <w:link w:val="45"/>
    <w:qFormat/>
    <w:uiPriority w:val="99"/>
    <w:rPr>
      <w:b/>
      <w:bCs/>
    </w:rPr>
  </w:style>
  <w:style w:type="paragraph" w:styleId="30">
    <w:name w:val="Body Text First Indent"/>
    <w:basedOn w:val="15"/>
    <w:qFormat/>
    <w:uiPriority w:val="0"/>
    <w:pPr>
      <w:ind w:firstLine="420" w:firstLineChars="100"/>
    </w:pPr>
  </w:style>
  <w:style w:type="paragraph" w:styleId="31">
    <w:name w:val="Body Text First Indent 2"/>
    <w:basedOn w:val="16"/>
    <w:next w:val="1"/>
    <w:link w:val="46"/>
    <w:qFormat/>
    <w:uiPriority w:val="99"/>
    <w:pPr>
      <w:autoSpaceDE w:val="0"/>
      <w:autoSpaceDN w:val="0"/>
      <w:spacing w:after="120" w:line="360" w:lineRule="auto"/>
      <w:ind w:left="420" w:leftChars="200" w:firstLine="420" w:firstLineChars="200"/>
    </w:pPr>
    <w:rPr>
      <w:sz w:val="21"/>
      <w:szCs w:val="24"/>
    </w:rPr>
  </w:style>
  <w:style w:type="table" w:styleId="33">
    <w:name w:val="Table Grid"/>
    <w:basedOn w:val="3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5">
    <w:name w:val="Strong"/>
    <w:qFormat/>
    <w:uiPriority w:val="0"/>
    <w:rPr>
      <w:b/>
    </w:rPr>
  </w:style>
  <w:style w:type="character" w:styleId="36">
    <w:name w:val="endnote reference"/>
    <w:unhideWhenUsed/>
    <w:qFormat/>
    <w:uiPriority w:val="99"/>
    <w:rPr>
      <w:vertAlign w:val="superscript"/>
    </w:rPr>
  </w:style>
  <w:style w:type="character" w:styleId="37">
    <w:name w:val="page number"/>
    <w:qFormat/>
    <w:uiPriority w:val="0"/>
  </w:style>
  <w:style w:type="character" w:styleId="38">
    <w:name w:val="FollowedHyperlink"/>
    <w:unhideWhenUsed/>
    <w:qFormat/>
    <w:uiPriority w:val="99"/>
    <w:rPr>
      <w:color w:val="800080"/>
      <w:u w:val="single"/>
    </w:rPr>
  </w:style>
  <w:style w:type="character" w:styleId="39">
    <w:name w:val="Emphasis"/>
    <w:basedOn w:val="34"/>
    <w:qFormat/>
    <w:uiPriority w:val="20"/>
    <w:rPr>
      <w:i/>
    </w:rPr>
  </w:style>
  <w:style w:type="character" w:styleId="40">
    <w:name w:val="Hyperlink"/>
    <w:unhideWhenUsed/>
    <w:qFormat/>
    <w:uiPriority w:val="99"/>
    <w:rPr>
      <w:color w:val="0000FF"/>
      <w:u w:val="single"/>
    </w:rPr>
  </w:style>
  <w:style w:type="character" w:styleId="41">
    <w:name w:val="annotation reference"/>
    <w:qFormat/>
    <w:uiPriority w:val="99"/>
    <w:rPr>
      <w:sz w:val="21"/>
      <w:szCs w:val="21"/>
    </w:rPr>
  </w:style>
  <w:style w:type="paragraph" w:customStyle="1" w:styleId="42">
    <w:name w:val="Heading2"/>
    <w:basedOn w:val="1"/>
    <w:next w:val="1"/>
    <w:qFormat/>
    <w:uiPriority w:val="0"/>
    <w:pPr>
      <w:keepNext/>
      <w:keepLines/>
      <w:spacing w:before="260" w:after="260" w:line="416" w:lineRule="auto"/>
    </w:pPr>
    <w:rPr>
      <w:rFonts w:ascii="Arial" w:hAnsi="Arial" w:eastAsia="黑体"/>
      <w:b/>
      <w:bCs/>
      <w:kern w:val="0"/>
      <w:sz w:val="32"/>
      <w:szCs w:val="32"/>
    </w:rPr>
  </w:style>
  <w:style w:type="character" w:customStyle="1" w:styleId="43">
    <w:name w:val="正文文本缩进 Char"/>
    <w:link w:val="16"/>
    <w:qFormat/>
    <w:uiPriority w:val="99"/>
    <w:rPr>
      <w:rFonts w:ascii="仿宋_GB2312" w:hAnsi="Times New Roman" w:eastAsia="仿宋_GB2312" w:cs="Times New Roman"/>
      <w:sz w:val="32"/>
      <w:szCs w:val="20"/>
    </w:rPr>
  </w:style>
  <w:style w:type="character" w:customStyle="1" w:styleId="44">
    <w:name w:val="批注文字 Char1"/>
    <w:link w:val="13"/>
    <w:qFormat/>
    <w:uiPriority w:val="99"/>
    <w:rPr>
      <w:rFonts w:ascii="Times New Roman" w:hAnsi="Times New Roman"/>
      <w:kern w:val="2"/>
      <w:sz w:val="21"/>
      <w:szCs w:val="24"/>
    </w:rPr>
  </w:style>
  <w:style w:type="character" w:customStyle="1" w:styleId="45">
    <w:name w:val="批注主题 Char"/>
    <w:link w:val="29"/>
    <w:qFormat/>
    <w:uiPriority w:val="99"/>
    <w:rPr>
      <w:rFonts w:ascii="Times New Roman" w:hAnsi="Times New Roman"/>
      <w:b/>
      <w:bCs/>
      <w:kern w:val="2"/>
      <w:sz w:val="21"/>
      <w:szCs w:val="24"/>
    </w:rPr>
  </w:style>
  <w:style w:type="character" w:customStyle="1" w:styleId="46">
    <w:name w:val="正文首行缩进 2 Char"/>
    <w:link w:val="31"/>
    <w:qFormat/>
    <w:uiPriority w:val="99"/>
    <w:rPr>
      <w:kern w:val="2"/>
      <w:sz w:val="21"/>
      <w:szCs w:val="24"/>
    </w:rPr>
  </w:style>
  <w:style w:type="character" w:customStyle="1" w:styleId="47">
    <w:name w:val="标题 1 Char"/>
    <w:link w:val="2"/>
    <w:qFormat/>
    <w:uiPriority w:val="99"/>
    <w:rPr>
      <w:b/>
      <w:bCs/>
      <w:kern w:val="44"/>
      <w:sz w:val="44"/>
      <w:szCs w:val="44"/>
    </w:rPr>
  </w:style>
  <w:style w:type="character" w:customStyle="1" w:styleId="48">
    <w:name w:val="标题 2 Char1"/>
    <w:link w:val="3"/>
    <w:qFormat/>
    <w:uiPriority w:val="9"/>
    <w:rPr>
      <w:rFonts w:ascii="Cambria" w:hAnsi="Cambria" w:eastAsia="宋体" w:cs="Times New Roman"/>
      <w:b/>
      <w:bCs/>
      <w:kern w:val="2"/>
      <w:sz w:val="32"/>
      <w:szCs w:val="32"/>
    </w:rPr>
  </w:style>
  <w:style w:type="character" w:customStyle="1" w:styleId="49">
    <w:name w:val="标题 3 Char"/>
    <w:link w:val="4"/>
    <w:qFormat/>
    <w:uiPriority w:val="99"/>
    <w:rPr>
      <w:b/>
      <w:bCs/>
      <w:kern w:val="2"/>
      <w:sz w:val="32"/>
      <w:szCs w:val="32"/>
    </w:rPr>
  </w:style>
  <w:style w:type="character" w:customStyle="1" w:styleId="50">
    <w:name w:val="标题 4 Char"/>
    <w:link w:val="5"/>
    <w:qFormat/>
    <w:uiPriority w:val="9"/>
    <w:rPr>
      <w:rFonts w:ascii="Arial" w:hAnsi="Arial" w:eastAsia="黑体"/>
      <w:b/>
      <w:kern w:val="2"/>
      <w:sz w:val="28"/>
      <w:szCs w:val="24"/>
    </w:rPr>
  </w:style>
  <w:style w:type="character" w:customStyle="1" w:styleId="51">
    <w:name w:val="标题 5 Char"/>
    <w:link w:val="6"/>
    <w:qFormat/>
    <w:uiPriority w:val="9"/>
    <w:rPr>
      <w:rFonts w:ascii="Times New Roman" w:hAnsi="Times New Roman"/>
      <w:b/>
      <w:bCs/>
      <w:kern w:val="2"/>
      <w:sz w:val="28"/>
      <w:szCs w:val="28"/>
    </w:rPr>
  </w:style>
  <w:style w:type="character" w:customStyle="1" w:styleId="52">
    <w:name w:val="标题 8 Char1"/>
    <w:link w:val="8"/>
    <w:semiHidden/>
    <w:qFormat/>
    <w:uiPriority w:val="9"/>
    <w:rPr>
      <w:rFonts w:ascii="等线 Light" w:hAnsi="等线 Light" w:eastAsia="等线 Light" w:cs="Times New Roman"/>
      <w:kern w:val="2"/>
      <w:sz w:val="24"/>
      <w:szCs w:val="24"/>
    </w:rPr>
  </w:style>
  <w:style w:type="character" w:customStyle="1" w:styleId="53">
    <w:name w:val="正文文本 3 Char"/>
    <w:link w:val="14"/>
    <w:semiHidden/>
    <w:qFormat/>
    <w:uiPriority w:val="99"/>
    <w:rPr>
      <w:kern w:val="2"/>
      <w:sz w:val="16"/>
      <w:szCs w:val="16"/>
    </w:rPr>
  </w:style>
  <w:style w:type="character" w:customStyle="1" w:styleId="54">
    <w:name w:val="正文文本 Char1"/>
    <w:link w:val="15"/>
    <w:qFormat/>
    <w:uiPriority w:val="0"/>
    <w:rPr>
      <w:rFonts w:ascii="Times New Roman" w:hAnsi="Times New Roman"/>
      <w:kern w:val="2"/>
      <w:sz w:val="21"/>
      <w:szCs w:val="24"/>
    </w:rPr>
  </w:style>
  <w:style w:type="character" w:customStyle="1" w:styleId="55">
    <w:name w:val="纯文本 Char1"/>
    <w:link w:val="19"/>
    <w:qFormat/>
    <w:uiPriority w:val="0"/>
    <w:rPr>
      <w:rFonts w:ascii="宋体" w:hAnsi="Courier New" w:eastAsia="宋体" w:cs="Courier New"/>
      <w:szCs w:val="21"/>
    </w:rPr>
  </w:style>
  <w:style w:type="character" w:customStyle="1" w:styleId="56">
    <w:name w:val="日期 Char"/>
    <w:link w:val="20"/>
    <w:semiHidden/>
    <w:qFormat/>
    <w:uiPriority w:val="99"/>
    <w:rPr>
      <w:rFonts w:ascii="Times New Roman" w:hAnsi="Times New Roman"/>
      <w:kern w:val="2"/>
      <w:sz w:val="21"/>
      <w:szCs w:val="24"/>
    </w:rPr>
  </w:style>
  <w:style w:type="character" w:customStyle="1" w:styleId="57">
    <w:name w:val="页脚 Char"/>
    <w:link w:val="22"/>
    <w:qFormat/>
    <w:uiPriority w:val="99"/>
    <w:rPr>
      <w:sz w:val="18"/>
      <w:szCs w:val="18"/>
    </w:rPr>
  </w:style>
  <w:style w:type="character" w:customStyle="1" w:styleId="58">
    <w:name w:val="页眉 Char"/>
    <w:link w:val="23"/>
    <w:qFormat/>
    <w:uiPriority w:val="99"/>
    <w:rPr>
      <w:sz w:val="18"/>
      <w:szCs w:val="18"/>
    </w:rPr>
  </w:style>
  <w:style w:type="character" w:customStyle="1" w:styleId="59">
    <w:name w:val="textcontents"/>
    <w:qFormat/>
    <w:uiPriority w:val="0"/>
  </w:style>
  <w:style w:type="character" w:customStyle="1" w:styleId="60">
    <w:name w:val="标题 2 Char"/>
    <w:qFormat/>
    <w:uiPriority w:val="99"/>
    <w:rPr>
      <w:rFonts w:ascii="Cambria" w:hAnsi="Cambria" w:eastAsia="宋体" w:cs="Times New Roman"/>
      <w:b/>
      <w:bCs/>
      <w:kern w:val="2"/>
      <w:sz w:val="32"/>
      <w:szCs w:val="32"/>
    </w:rPr>
  </w:style>
  <w:style w:type="character" w:customStyle="1" w:styleId="61">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62">
    <w:name w:val="纯文本 字符2"/>
    <w:qFormat/>
    <w:uiPriority w:val="0"/>
    <w:rPr>
      <w:rFonts w:ascii="宋体" w:hAnsi="Courier New" w:eastAsia="宋体" w:cs="Courier New"/>
      <w:szCs w:val="21"/>
    </w:rPr>
  </w:style>
  <w:style w:type="character" w:customStyle="1" w:styleId="63">
    <w:name w:val="正文文本 字符"/>
    <w:qFormat/>
    <w:uiPriority w:val="0"/>
    <w:rPr>
      <w:rFonts w:ascii="Times New Roman" w:hAnsi="Times New Roman"/>
      <w:kern w:val="2"/>
      <w:sz w:val="21"/>
      <w:szCs w:val="24"/>
    </w:rPr>
  </w:style>
  <w:style w:type="character" w:customStyle="1" w:styleId="64">
    <w:name w:val="批注文字 字符1"/>
    <w:qFormat/>
    <w:uiPriority w:val="0"/>
    <w:rPr>
      <w:rFonts w:ascii="Times New Roman" w:hAnsi="Times New Roman"/>
      <w:kern w:val="2"/>
      <w:sz w:val="21"/>
      <w:szCs w:val="24"/>
    </w:rPr>
  </w:style>
  <w:style w:type="character" w:customStyle="1" w:styleId="65">
    <w:name w:val="正文文本 Char"/>
    <w:qFormat/>
    <w:uiPriority w:val="99"/>
    <w:rPr>
      <w:rFonts w:ascii="Times New Roman" w:hAnsi="Times New Roman"/>
      <w:kern w:val="2"/>
      <w:sz w:val="21"/>
      <w:szCs w:val="24"/>
    </w:rPr>
  </w:style>
  <w:style w:type="character" w:customStyle="1" w:styleId="66">
    <w:name w:val="纯文本 字符"/>
    <w:qFormat/>
    <w:uiPriority w:val="0"/>
    <w:rPr>
      <w:rFonts w:ascii="宋体" w:hAnsi="Courier New" w:eastAsia="宋体" w:cs="Courier New"/>
      <w:szCs w:val="21"/>
    </w:rPr>
  </w:style>
  <w:style w:type="character" w:customStyle="1" w:styleId="67">
    <w:name w:val="标题 1 字符1"/>
    <w:qFormat/>
    <w:uiPriority w:val="0"/>
    <w:rPr>
      <w:b/>
      <w:bCs/>
      <w:kern w:val="44"/>
      <w:sz w:val="44"/>
      <w:szCs w:val="44"/>
    </w:rPr>
  </w:style>
  <w:style w:type="character" w:customStyle="1" w:styleId="68">
    <w:name w:val="正文2 Char Char"/>
    <w:link w:val="69"/>
    <w:qFormat/>
    <w:uiPriority w:val="0"/>
    <w:rPr>
      <w:sz w:val="24"/>
    </w:rPr>
  </w:style>
  <w:style w:type="paragraph" w:customStyle="1" w:styleId="69">
    <w:name w:val="正文2"/>
    <w:basedOn w:val="1"/>
    <w:link w:val="68"/>
    <w:qFormat/>
    <w:uiPriority w:val="0"/>
    <w:pPr>
      <w:adjustRightInd w:val="0"/>
      <w:spacing w:before="156" w:line="360" w:lineRule="auto"/>
      <w:ind w:firstLine="510" w:firstLineChars="200"/>
    </w:pPr>
    <w:rPr>
      <w:kern w:val="0"/>
      <w:sz w:val="24"/>
      <w:szCs w:val="20"/>
    </w:rPr>
  </w:style>
  <w:style w:type="character" w:customStyle="1" w:styleId="70">
    <w:name w:val="标题 8 Char"/>
    <w:qFormat/>
    <w:uiPriority w:val="0"/>
    <w:rPr>
      <w:rFonts w:ascii="Arial" w:hAnsi="Arial" w:eastAsia="黑体"/>
      <w:kern w:val="2"/>
      <w:sz w:val="24"/>
      <w:szCs w:val="24"/>
    </w:rPr>
  </w:style>
  <w:style w:type="character" w:customStyle="1" w:styleId="71">
    <w:name w:val="纯文本 Char"/>
    <w:qFormat/>
    <w:uiPriority w:val="99"/>
    <w:rPr>
      <w:rFonts w:ascii="宋体" w:hAnsi="Courier New" w:eastAsia="宋体" w:cs="Courier New"/>
      <w:szCs w:val="21"/>
    </w:rPr>
  </w:style>
  <w:style w:type="character" w:customStyle="1" w:styleId="72">
    <w:name w:val="批注文字 Char"/>
    <w:qFormat/>
    <w:uiPriority w:val="99"/>
    <w:rPr>
      <w:rFonts w:ascii="Times New Roman" w:hAnsi="Times New Roman"/>
      <w:kern w:val="2"/>
      <w:sz w:val="21"/>
      <w:szCs w:val="24"/>
    </w:rPr>
  </w:style>
  <w:style w:type="character" w:customStyle="1" w:styleId="73">
    <w:name w:val="纯文本 字符1"/>
    <w:qFormat/>
    <w:uiPriority w:val="0"/>
    <w:rPr>
      <w:rFonts w:ascii="宋体" w:hAnsi="Courier New"/>
    </w:rPr>
  </w:style>
  <w:style w:type="character" w:customStyle="1" w:styleId="74">
    <w:name w:val="未处理的提及"/>
    <w:unhideWhenUsed/>
    <w:qFormat/>
    <w:uiPriority w:val="99"/>
    <w:rPr>
      <w:color w:val="605E5C"/>
      <w:shd w:val="clear" w:color="auto" w:fill="E1DFDD"/>
    </w:rPr>
  </w:style>
  <w:style w:type="character" w:customStyle="1" w:styleId="75">
    <w:name w:val="apple-style-span"/>
    <w:qFormat/>
    <w:uiPriority w:val="0"/>
  </w:style>
  <w:style w:type="character" w:customStyle="1" w:styleId="76">
    <w:name w:val="批注文字 字符"/>
    <w:qFormat/>
    <w:uiPriority w:val="0"/>
    <w:rPr>
      <w:rFonts w:ascii="Times New Roman" w:hAnsi="Times New Roman"/>
      <w:kern w:val="2"/>
      <w:sz w:val="21"/>
      <w:szCs w:val="24"/>
    </w:rPr>
  </w:style>
  <w:style w:type="paragraph" w:customStyle="1" w:styleId="77">
    <w:name w:val="正文 A"/>
    <w:qFormat/>
    <w:uiPriority w:val="99"/>
    <w:pPr>
      <w:widowControl w:val="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78">
    <w:name w:val="表头"/>
    <w:basedOn w:val="1"/>
    <w:qFormat/>
    <w:uiPriority w:val="0"/>
    <w:pPr>
      <w:widowControl/>
      <w:jc w:val="center"/>
    </w:pPr>
    <w:rPr>
      <w:rFonts w:ascii="仿宋_GB2312" w:hAnsi="宋体" w:eastAsia="仿宋_GB2312" w:cs="等线"/>
      <w:b/>
      <w:bCs/>
      <w:kern w:val="0"/>
      <w:sz w:val="24"/>
    </w:rPr>
  </w:style>
  <w:style w:type="paragraph" w:customStyle="1" w:styleId="79">
    <w:name w:val="TOC 标题1"/>
    <w:basedOn w:val="2"/>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80">
    <w:name w:val="_Style 3"/>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1">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82">
    <w:name w:val="Char Char Char Char"/>
    <w:basedOn w:val="1"/>
    <w:qFormat/>
    <w:uiPriority w:val="0"/>
    <w:pPr>
      <w:widowControl/>
      <w:spacing w:after="160" w:line="240" w:lineRule="exact"/>
      <w:jc w:val="left"/>
    </w:pPr>
  </w:style>
  <w:style w:type="paragraph" w:customStyle="1" w:styleId="83">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84">
    <w:name w:val="列出段落3"/>
    <w:basedOn w:val="1"/>
    <w:unhideWhenUsed/>
    <w:qFormat/>
    <w:uiPriority w:val="99"/>
    <w:pPr>
      <w:ind w:firstLine="420"/>
    </w:pPr>
  </w:style>
  <w:style w:type="paragraph" w:customStyle="1" w:styleId="85">
    <w:name w:val="Table Paragraph"/>
    <w:basedOn w:val="1"/>
    <w:qFormat/>
    <w:uiPriority w:val="1"/>
    <w:pPr>
      <w:jc w:val="left"/>
    </w:pPr>
    <w:rPr>
      <w:rFonts w:ascii="Calibri" w:hAnsi="Calibri"/>
      <w:kern w:val="0"/>
      <w:sz w:val="22"/>
      <w:szCs w:val="22"/>
      <w:lang w:eastAsia="en-US"/>
    </w:rPr>
  </w:style>
  <w:style w:type="paragraph" w:customStyle="1" w:styleId="86">
    <w:name w:val="列出段落2"/>
    <w:basedOn w:val="1"/>
    <w:unhideWhenUsed/>
    <w:qFormat/>
    <w:uiPriority w:val="99"/>
    <w:pPr>
      <w:spacing w:line="360" w:lineRule="auto"/>
      <w:ind w:firstLine="420" w:firstLineChars="200"/>
    </w:pPr>
    <w:rPr>
      <w:rFonts w:ascii="Calibri" w:hAnsi="Calibri" w:eastAsia="仿宋"/>
      <w:sz w:val="28"/>
      <w:szCs w:val="22"/>
    </w:rPr>
  </w:style>
  <w:style w:type="paragraph" w:customStyle="1" w:styleId="87">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88">
    <w:name w:val="表格内容"/>
    <w:basedOn w:val="1"/>
    <w:qFormat/>
    <w:uiPriority w:val="0"/>
    <w:pPr>
      <w:widowControl/>
      <w:jc w:val="left"/>
    </w:pPr>
    <w:rPr>
      <w:rFonts w:ascii="仿宋_GB2312" w:hAnsi="宋体" w:cs="等线"/>
      <w:kern w:val="0"/>
      <w:sz w:val="24"/>
    </w:rPr>
  </w:style>
  <w:style w:type="paragraph" w:styleId="89">
    <w:name w:val="List Paragraph"/>
    <w:basedOn w:val="1"/>
    <w:qFormat/>
    <w:uiPriority w:val="34"/>
    <w:pPr>
      <w:ind w:firstLine="420" w:firstLineChars="200"/>
    </w:pPr>
  </w:style>
  <w:style w:type="paragraph" w:customStyle="1" w:styleId="90">
    <w:name w:val="默认段落字体 Para Char Char Char Char Char Char Char Char Char1 Char Char Char Char"/>
    <w:basedOn w:val="1"/>
    <w:qFormat/>
    <w:uiPriority w:val="0"/>
    <w:rPr>
      <w:rFonts w:ascii="Tahoma" w:hAnsi="Tahoma"/>
      <w:sz w:val="24"/>
      <w:szCs w:val="20"/>
    </w:rPr>
  </w:style>
  <w:style w:type="paragraph" w:customStyle="1" w:styleId="91">
    <w:name w:val="正文缩进1"/>
    <w:basedOn w:val="1"/>
    <w:next w:val="16"/>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92">
    <w:name w:val="正文-2字符首行缩进"/>
    <w:basedOn w:val="1"/>
    <w:qFormat/>
    <w:uiPriority w:val="0"/>
    <w:pPr>
      <w:spacing w:line="360" w:lineRule="auto"/>
      <w:ind w:firstLine="200" w:firstLineChars="200"/>
    </w:pPr>
    <w:rPr>
      <w:rFonts w:ascii="仿宋_GB2312" w:hAnsi="宋体" w:eastAsia="仿宋_GB2312"/>
      <w:sz w:val="28"/>
      <w:szCs w:val="22"/>
    </w:rPr>
  </w:style>
  <w:style w:type="paragraph" w:customStyle="1" w:styleId="93">
    <w:name w:val="样式1"/>
    <w:basedOn w:val="1"/>
    <w:qFormat/>
    <w:uiPriority w:val="0"/>
    <w:pPr>
      <w:numPr>
        <w:ilvl w:val="2"/>
        <w:numId w:val="1"/>
      </w:numPr>
    </w:pPr>
  </w:style>
  <w:style w:type="paragraph" w:customStyle="1" w:styleId="94">
    <w:name w:val="样式 0正文 + 首行缩进:  2 字符1"/>
    <w:qFormat/>
    <w:uiPriority w:val="99"/>
    <w:pPr>
      <w:widowControl w:val="0"/>
      <w:spacing w:line="360" w:lineRule="auto"/>
      <w:ind w:firstLine="200" w:firstLineChars="200"/>
      <w:jc w:val="both"/>
    </w:pPr>
    <w:rPr>
      <w:rFonts w:ascii="Times New Roman" w:hAnsi="Times New Roman" w:eastAsia="宋体" w:cs="Times New Roman"/>
      <w:kern w:val="2"/>
      <w:sz w:val="21"/>
      <w:lang w:val="en-US" w:eastAsia="zh-CN" w:bidi="ar-SA"/>
    </w:rPr>
  </w:style>
  <w:style w:type="paragraph" w:customStyle="1" w:styleId="95">
    <w:name w:val="正文首行缩进两字"/>
    <w:qFormat/>
    <w:uiPriority w:val="0"/>
    <w:pPr>
      <w:widowControl w:val="0"/>
      <w:spacing w:line="360" w:lineRule="auto"/>
      <w:ind w:right="245"/>
      <w:jc w:val="center"/>
    </w:pPr>
    <w:rPr>
      <w:rFonts w:ascii="Arial" w:hAnsi="Arial" w:eastAsia="宋体" w:cs="Arial"/>
      <w:bCs/>
      <w:sz w:val="24"/>
      <w:szCs w:val="24"/>
      <w:lang w:val="en-US" w:eastAsia="zh-CN" w:bidi="ar-SA"/>
    </w:rPr>
  </w:style>
  <w:style w:type="paragraph" w:customStyle="1" w:styleId="96">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97">
    <w:name w:val="列出段落1"/>
    <w:basedOn w:val="1"/>
    <w:qFormat/>
    <w:uiPriority w:val="34"/>
    <w:pPr>
      <w:ind w:firstLine="420"/>
    </w:pPr>
  </w:style>
  <w:style w:type="character" w:customStyle="1" w:styleId="98">
    <w:name w:val="font0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111</Pages>
  <Words>68673</Words>
  <Characters>72427</Characters>
  <Lines>94</Lines>
  <Paragraphs>110</Paragraphs>
  <TotalTime>65</TotalTime>
  <ScaleCrop>false</ScaleCrop>
  <LinksUpToDate>false</LinksUpToDate>
  <CharactersWithSpaces>78997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2023-11-03T08:20:00Z</dcterms:created>
  <dc:creator>科联招标韦毅锋</dc:creator>
  <cp:lastModifiedBy>WPS_1609229660</cp:lastModifiedBy>
  <cp:lastPrinted>2021-08-28T02:26:00Z</cp:lastPrinted>
  <dcterms:modified xsi:type="dcterms:W3CDTF">2026-06-18T10:15:45Z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E7C5C9B902084597AD420399273C4319_13</vt:lpwstr>
  </property>
  <property fmtid="{D5CDD505-2E9C-101B-9397-08002B2CF9AE}" pid="4" name="KSOTemplateDocerSaveRecord">
    <vt:lpwstr>eyJoZGlkIjoiZmNiMDU2YmI2NWVhZWJmYzdiNDhlOGFlODIzMDY3NTkiLCJ1c2VySWQiOiIxMTU1NDM4MjAzIn0=</vt:lpwstr>
  </property>
</Properties>
</file>