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25286">
      <w:pPr>
        <w:shd w:val="clear" w:color="auto" w:fill="auto"/>
        <w:jc w:val="center"/>
        <w:outlineLvl w:val="0"/>
        <w:rPr>
          <w:rFonts w:hint="eastAsia" w:ascii="Times New Roman" w:hAnsi="Times New Roman" w:eastAsia="宋体" w:cs="Times New Roman"/>
          <w:b/>
          <w:color w:val="auto"/>
          <w:sz w:val="36"/>
          <w:szCs w:val="20"/>
          <w:highlight w:val="none"/>
        </w:rPr>
      </w:pPr>
      <w:bookmarkStart w:id="1" w:name="_GoBack"/>
      <w:r>
        <w:rPr>
          <w:rFonts w:ascii="Times New Roman" w:hAnsi="Times New Roman" w:eastAsia="宋体" w:cs="Times New Roman"/>
          <w:b/>
          <w:color w:val="auto"/>
          <w:sz w:val="36"/>
          <w:szCs w:val="20"/>
          <w:highlight w:val="none"/>
        </w:rPr>
        <w:t xml:space="preserve"> </w:t>
      </w:r>
      <w:r>
        <w:rPr>
          <w:rFonts w:hint="eastAsia" w:ascii="Times New Roman" w:hAnsi="Times New Roman" w:eastAsia="宋体" w:cs="Times New Roman"/>
          <w:b/>
          <w:color w:val="auto"/>
          <w:sz w:val="36"/>
          <w:szCs w:val="20"/>
          <w:highlight w:val="none"/>
        </w:rPr>
        <w:t>采购需求</w:t>
      </w:r>
    </w:p>
    <w:bookmarkEnd w:id="1"/>
    <w:p w14:paraId="2DF3DEE0">
      <w:pPr>
        <w:shd w:val="clear" w:color="auto" w:fill="auto"/>
        <w:adjustRightInd w:val="0"/>
        <w:spacing w:line="340" w:lineRule="exact"/>
        <w:rPr>
          <w:rFonts w:ascii="Times New Roman" w:hAnsi="宋体" w:eastAsia="宋体" w:cs="Times New Roman"/>
          <w:b/>
          <w:color w:val="auto"/>
          <w:szCs w:val="21"/>
          <w:highlight w:val="none"/>
        </w:rPr>
      </w:pPr>
    </w:p>
    <w:p w14:paraId="0AF2AA0A">
      <w:pPr>
        <w:shd w:val="clear" w:color="auto" w:fill="auto"/>
        <w:adjustRightInd w:val="0"/>
        <w:spacing w:line="400" w:lineRule="exact"/>
        <w:rPr>
          <w:rFonts w:hint="eastAsia" w:ascii="Times New Roman" w:hAnsi="宋体" w:eastAsia="宋体" w:cs="Times New Roman"/>
          <w:b/>
          <w:color w:val="auto"/>
          <w:szCs w:val="21"/>
          <w:highlight w:val="none"/>
        </w:rPr>
      </w:pPr>
      <w:r>
        <w:rPr>
          <w:rFonts w:hint="eastAsia" w:ascii="Times New Roman" w:hAnsi="宋体" w:eastAsia="宋体" w:cs="Times New Roman"/>
          <w:b/>
          <w:color w:val="auto"/>
          <w:szCs w:val="21"/>
          <w:highlight w:val="none"/>
        </w:rPr>
        <w:t>说明：</w:t>
      </w:r>
    </w:p>
    <w:p w14:paraId="2EA6834F">
      <w:pPr>
        <w:shd w:val="clear" w:color="auto" w:fill="auto"/>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1.为落实政府采购政策需满足的要求：本招标文件所称中小企业必须符合《政府采购促进中小企业发展管理办法》（财库〔2020〕46号）的规定。</w:t>
      </w:r>
    </w:p>
    <w:p w14:paraId="6EAC770C">
      <w:pPr>
        <w:shd w:val="clear" w:color="auto" w:fill="auto"/>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2.“实质性要求”是指招标文件中已经指明不满足则投标无效的条款，或者不能负偏离的条款，或者采购需求中带“▲”的条款。</w:t>
      </w:r>
    </w:p>
    <w:p w14:paraId="5DA28ADB">
      <w:pPr>
        <w:shd w:val="clear" w:color="auto" w:fill="auto"/>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3.不需要投标人对采购需求响应为具体数值的，此采购需求的数值后将以◆号标注。</w:t>
      </w:r>
    </w:p>
    <w:p w14:paraId="06B427B7">
      <w:pPr>
        <w:shd w:val="clear" w:color="auto" w:fill="auto"/>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4.如投标人投标产品存在侵犯他人的知识产权或者专利成果行为的，应承担相应法律责任。</w:t>
      </w:r>
    </w:p>
    <w:p w14:paraId="56FE5FB3">
      <w:pPr>
        <w:shd w:val="clear" w:color="auto" w:fill="auto"/>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5.采购标的对应的中小企业划分标准所属行业名称：</w:t>
      </w:r>
      <w:r>
        <w:rPr>
          <w:rFonts w:hint="eastAsia" w:ascii="宋体" w:hAnsi="宋体" w:eastAsia="宋体" w:cs="宋体"/>
          <w:b/>
          <w:bCs/>
          <w:color w:val="auto"/>
          <w:highlight w:val="none"/>
        </w:rPr>
        <w:t>租赁和商务服务业</w:t>
      </w:r>
      <w:r>
        <w:rPr>
          <w:rFonts w:hint="eastAsia" w:ascii="宋体" w:hAnsi="宋体" w:eastAsia="宋体" w:cs="宋体"/>
          <w:color w:val="auto"/>
          <w:highlight w:val="none"/>
        </w:rPr>
        <w:t>。中小企业划分标准详见本章附件。</w:t>
      </w:r>
    </w:p>
    <w:p w14:paraId="0ED0E8BB">
      <w:pPr>
        <w:shd w:val="clear" w:color="auto" w:fill="auto"/>
        <w:rPr>
          <w:rFonts w:ascii="Times New Roman" w:hAnsi="Times New Roman" w:eastAsia="宋体" w:cs="Times New Roman"/>
          <w:color w:val="auto"/>
          <w:highlight w:val="none"/>
        </w:rPr>
      </w:pPr>
    </w:p>
    <w:tbl>
      <w:tblPr>
        <w:tblStyle w:val="4"/>
        <w:tblW w:w="99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380"/>
        <w:gridCol w:w="739"/>
        <w:gridCol w:w="408"/>
        <w:gridCol w:w="100"/>
        <w:gridCol w:w="484"/>
        <w:gridCol w:w="5400"/>
        <w:gridCol w:w="1017"/>
        <w:gridCol w:w="829"/>
      </w:tblGrid>
      <w:tr w14:paraId="603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9902" w:type="dxa"/>
            <w:gridSpan w:val="9"/>
            <w:tcBorders>
              <w:top w:val="single" w:color="auto" w:sz="4" w:space="0"/>
              <w:left w:val="single" w:color="auto" w:sz="4" w:space="0"/>
              <w:right w:val="single" w:color="auto" w:sz="4" w:space="0"/>
            </w:tcBorders>
            <w:noWrap w:val="0"/>
            <w:vAlign w:val="center"/>
          </w:tcPr>
          <w:p w14:paraId="02428B82">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b/>
                <w:color w:val="auto"/>
                <w:sz w:val="21"/>
                <w:szCs w:val="21"/>
                <w:highlight w:val="none"/>
              </w:rPr>
            </w:pPr>
            <w:bookmarkStart w:id="0" w:name="OLE_LINK20"/>
            <w:r>
              <w:rPr>
                <w:rFonts w:hint="eastAsia" w:ascii="宋体" w:hAnsi="宋体" w:eastAsia="宋体" w:cs="宋体"/>
                <w:b/>
                <w:color w:val="auto"/>
                <w:sz w:val="21"/>
                <w:szCs w:val="21"/>
                <w:highlight w:val="none"/>
              </w:rPr>
              <w:t>服务需求一览表</w:t>
            </w:r>
            <w:bookmarkEnd w:id="0"/>
          </w:p>
        </w:tc>
      </w:tr>
      <w:tr w14:paraId="2FE54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72" w:type="dxa"/>
            <w:gridSpan w:val="4"/>
            <w:tcBorders>
              <w:top w:val="single" w:color="auto" w:sz="4" w:space="0"/>
              <w:left w:val="single" w:color="auto" w:sz="4" w:space="0"/>
              <w:right w:val="single" w:color="auto" w:sz="4" w:space="0"/>
            </w:tcBorders>
            <w:noWrap w:val="0"/>
            <w:vAlign w:val="center"/>
          </w:tcPr>
          <w:p w14:paraId="485AD6F2">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标段（分标）</w:t>
            </w:r>
          </w:p>
        </w:tc>
        <w:tc>
          <w:tcPr>
            <w:tcW w:w="7830" w:type="dxa"/>
            <w:gridSpan w:val="5"/>
            <w:tcBorders>
              <w:top w:val="single" w:color="auto" w:sz="4" w:space="0"/>
              <w:left w:val="single" w:color="auto" w:sz="4" w:space="0"/>
              <w:right w:val="single" w:color="auto" w:sz="4" w:space="0"/>
            </w:tcBorders>
            <w:noWrap w:val="0"/>
            <w:vAlign w:val="center"/>
          </w:tcPr>
          <w:p w14:paraId="19605C97">
            <w:pPr>
              <w:keepNext w:val="0"/>
              <w:keepLines w:val="0"/>
              <w:pageBreakBefore w:val="0"/>
              <w:shd w:val="clear" w:color="auto" w:fill="auto"/>
              <w:kinsoku/>
              <w:wordWrap/>
              <w:overflowPunct/>
              <w:topLinePunct w:val="0"/>
              <w:bidi w:val="0"/>
              <w:snapToGrid/>
              <w:spacing w:line="400" w:lineRule="exact"/>
              <w:ind w:left="119" w:leftChars="0"/>
              <w:outlineLvl w:val="0"/>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lang w:val="en-US" w:eastAsia="zh-CN"/>
              </w:rPr>
              <w:t>/</w:t>
            </w:r>
          </w:p>
        </w:tc>
      </w:tr>
      <w:tr w14:paraId="64303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vMerge w:val="restart"/>
            <w:tcBorders>
              <w:top w:val="single" w:color="auto" w:sz="4" w:space="0"/>
              <w:left w:val="single" w:color="auto" w:sz="4" w:space="0"/>
              <w:right w:val="single" w:color="auto" w:sz="4" w:space="0"/>
            </w:tcBorders>
            <w:noWrap w:val="0"/>
            <w:vAlign w:val="center"/>
          </w:tcPr>
          <w:p w14:paraId="6AB0CD4B">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采购清单及服务参数</w:t>
            </w:r>
          </w:p>
        </w:tc>
        <w:tc>
          <w:tcPr>
            <w:tcW w:w="38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F7B510">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454C94AB">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508" w:type="dxa"/>
            <w:gridSpan w:val="2"/>
            <w:tcBorders>
              <w:top w:val="single" w:color="auto" w:sz="4" w:space="0"/>
              <w:left w:val="single" w:color="auto" w:sz="4" w:space="0"/>
              <w:bottom w:val="single" w:color="auto" w:sz="4" w:space="0"/>
              <w:right w:val="single" w:color="auto" w:sz="4" w:space="0"/>
            </w:tcBorders>
            <w:noWrap w:val="0"/>
            <w:vAlign w:val="center"/>
          </w:tcPr>
          <w:p w14:paraId="61B3D197">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484" w:type="dxa"/>
            <w:tcBorders>
              <w:top w:val="single" w:color="auto" w:sz="4" w:space="0"/>
              <w:left w:val="single" w:color="auto" w:sz="4" w:space="0"/>
              <w:bottom w:val="single" w:color="auto" w:sz="4" w:space="0"/>
              <w:right w:val="single" w:color="auto" w:sz="4" w:space="0"/>
            </w:tcBorders>
            <w:noWrap w:val="0"/>
            <w:vAlign w:val="center"/>
          </w:tcPr>
          <w:p w14:paraId="036963EB">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400" w:type="dxa"/>
            <w:tcBorders>
              <w:top w:val="single" w:color="auto" w:sz="4" w:space="0"/>
              <w:left w:val="single" w:color="auto" w:sz="4" w:space="0"/>
              <w:bottom w:val="single" w:color="auto" w:sz="4" w:space="0"/>
              <w:right w:val="single" w:color="auto" w:sz="4" w:space="0"/>
            </w:tcBorders>
            <w:noWrap w:val="0"/>
            <w:vAlign w:val="center"/>
          </w:tcPr>
          <w:p w14:paraId="5247BF56">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服务参数</w:t>
            </w:r>
          </w:p>
        </w:tc>
        <w:tc>
          <w:tcPr>
            <w:tcW w:w="1017" w:type="dxa"/>
            <w:tcBorders>
              <w:top w:val="single" w:color="auto" w:sz="4" w:space="0"/>
              <w:left w:val="single" w:color="auto" w:sz="4" w:space="0"/>
              <w:bottom w:val="single" w:color="auto" w:sz="4" w:space="0"/>
              <w:right w:val="single" w:color="auto" w:sz="4" w:space="0"/>
            </w:tcBorders>
            <w:noWrap w:val="0"/>
            <w:vAlign w:val="center"/>
          </w:tcPr>
          <w:p w14:paraId="6655D2D5">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分项预算合计（</w:t>
            </w:r>
            <w:r>
              <w:rPr>
                <w:rFonts w:hint="eastAsia" w:ascii="宋体" w:hAnsi="宋体" w:eastAsia="宋体" w:cs="宋体"/>
                <w:color w:val="auto"/>
                <w:sz w:val="21"/>
                <w:szCs w:val="21"/>
                <w:highlight w:val="none"/>
                <w:lang w:val="en-US" w:eastAsia="zh-CN"/>
              </w:rPr>
              <w:t>万</w:t>
            </w:r>
            <w:r>
              <w:rPr>
                <w:rFonts w:hint="eastAsia" w:ascii="宋体" w:hAnsi="宋体" w:eastAsia="宋体" w:cs="宋体"/>
                <w:color w:val="auto"/>
                <w:sz w:val="21"/>
                <w:szCs w:val="21"/>
                <w:highlight w:val="none"/>
              </w:rPr>
              <w:t>元）</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7FFC125F">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w:t>
            </w:r>
          </w:p>
        </w:tc>
      </w:tr>
      <w:tr w14:paraId="5056E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vMerge w:val="continue"/>
            <w:tcBorders>
              <w:left w:val="single" w:color="auto" w:sz="4" w:space="0"/>
              <w:right w:val="single" w:color="auto" w:sz="4" w:space="0"/>
            </w:tcBorders>
            <w:noWrap w:val="0"/>
            <w:vAlign w:val="top"/>
          </w:tcPr>
          <w:p w14:paraId="77087ABA">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b/>
                <w:bCs/>
                <w:color w:val="auto"/>
                <w:sz w:val="21"/>
                <w:szCs w:val="21"/>
                <w:highlight w:val="none"/>
              </w:rPr>
            </w:pPr>
          </w:p>
        </w:tc>
        <w:tc>
          <w:tcPr>
            <w:tcW w:w="380" w:type="dxa"/>
            <w:tcBorders>
              <w:top w:val="single" w:color="auto" w:sz="4" w:space="0"/>
              <w:left w:val="single" w:color="auto" w:sz="4" w:space="0"/>
              <w:bottom w:val="single" w:color="auto" w:sz="4" w:space="0"/>
              <w:right w:val="single" w:color="auto" w:sz="4" w:space="0"/>
            </w:tcBorders>
            <w:noWrap w:val="0"/>
            <w:vAlign w:val="center"/>
          </w:tcPr>
          <w:p w14:paraId="77C1FE65">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7D7DF41B">
            <w:pPr>
              <w:keepNext w:val="0"/>
              <w:keepLines w:val="0"/>
              <w:pageBreakBefore w:val="0"/>
              <w:widowControl/>
              <w:shd w:val="clear" w:color="auto" w:fill="auto"/>
              <w:kinsoku/>
              <w:wordWrap/>
              <w:overflowPunct/>
              <w:topLinePunct w:val="0"/>
              <w:bidi w:val="0"/>
              <w:snapToGrid/>
              <w:spacing w:line="400" w:lineRule="exact"/>
              <w:jc w:val="center"/>
              <w:textAlignment w:val="center"/>
              <w:rPr>
                <w:rFonts w:hint="eastAsia" w:ascii="宋体" w:hAnsi="宋体" w:eastAsia="宋体" w:cs="宋体"/>
                <w:bCs/>
                <w:caps/>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西乡塘区2026年维稳安保服务项目</w:t>
            </w:r>
          </w:p>
        </w:tc>
        <w:tc>
          <w:tcPr>
            <w:tcW w:w="508" w:type="dxa"/>
            <w:gridSpan w:val="2"/>
            <w:tcBorders>
              <w:top w:val="single" w:color="auto" w:sz="4" w:space="0"/>
              <w:left w:val="single" w:color="auto" w:sz="4" w:space="0"/>
              <w:bottom w:val="single" w:color="auto" w:sz="4" w:space="0"/>
              <w:right w:val="single" w:color="auto" w:sz="4" w:space="0"/>
            </w:tcBorders>
            <w:noWrap w:val="0"/>
            <w:vAlign w:val="center"/>
          </w:tcPr>
          <w:p w14:paraId="2F2F27E7">
            <w:pPr>
              <w:keepNext w:val="0"/>
              <w:keepLines w:val="0"/>
              <w:pageBreakBefore w:val="0"/>
              <w:widowControl/>
              <w:shd w:val="clear" w:color="auto" w:fill="auto"/>
              <w:kinsoku/>
              <w:wordWrap/>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484" w:type="dxa"/>
            <w:tcBorders>
              <w:top w:val="single" w:color="auto" w:sz="4" w:space="0"/>
              <w:left w:val="single" w:color="auto" w:sz="4" w:space="0"/>
              <w:bottom w:val="single" w:color="auto" w:sz="4" w:space="0"/>
              <w:right w:val="single" w:color="auto" w:sz="4" w:space="0"/>
            </w:tcBorders>
            <w:noWrap w:val="0"/>
            <w:vAlign w:val="center"/>
          </w:tcPr>
          <w:p w14:paraId="2C1799F7">
            <w:pPr>
              <w:keepNext w:val="0"/>
              <w:keepLines w:val="0"/>
              <w:pageBreakBefore w:val="0"/>
              <w:widowControl/>
              <w:shd w:val="clear" w:color="auto" w:fill="auto"/>
              <w:kinsoku/>
              <w:wordWrap/>
              <w:overflowPunct/>
              <w:topLinePunct w:val="0"/>
              <w:bidi w:val="0"/>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项</w:t>
            </w:r>
          </w:p>
        </w:tc>
        <w:tc>
          <w:tcPr>
            <w:tcW w:w="5400" w:type="dxa"/>
            <w:tcBorders>
              <w:top w:val="single" w:color="auto" w:sz="4" w:space="0"/>
              <w:left w:val="single" w:color="auto" w:sz="4" w:space="0"/>
              <w:bottom w:val="single" w:color="auto" w:sz="4" w:space="0"/>
              <w:right w:val="single" w:color="auto" w:sz="4" w:space="0"/>
            </w:tcBorders>
            <w:noWrap w:val="0"/>
            <w:vAlign w:val="top"/>
          </w:tcPr>
          <w:p w14:paraId="2DDFD231">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项目情况</w:t>
            </w:r>
          </w:p>
          <w:p w14:paraId="19841BBF">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西乡塘区委员会政法委员会所负责维稳治安属地范围内的保安服务，协助治安管理、维稳、交通疏</w:t>
            </w:r>
            <w:r>
              <w:rPr>
                <w:rFonts w:hint="eastAsia" w:ascii="宋体" w:hAnsi="宋体" w:eastAsia="宋体" w:cs="宋体"/>
                <w:color w:val="auto"/>
                <w:sz w:val="21"/>
                <w:szCs w:val="21"/>
                <w:highlight w:val="none"/>
                <w:lang w:val="en-US" w:eastAsia="zh-CN"/>
              </w:rPr>
              <w:t>导</w:t>
            </w:r>
            <w:r>
              <w:rPr>
                <w:rFonts w:hint="eastAsia" w:ascii="宋体" w:hAnsi="宋体" w:eastAsia="宋体" w:cs="宋体"/>
                <w:color w:val="auto"/>
                <w:sz w:val="21"/>
                <w:szCs w:val="21"/>
                <w:highlight w:val="none"/>
                <w:lang w:eastAsia="zh-CN"/>
              </w:rPr>
              <w:t>等工作。</w:t>
            </w:r>
          </w:p>
          <w:p w14:paraId="2AAEA69C">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服务要求（服务人数为245人）：</w:t>
            </w:r>
          </w:p>
          <w:p w14:paraId="0AC8837E">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2.1.1年龄在18-50岁，身高在168厘米（含）以上的退伍兵或者取得高中以上文化程度人员。</w:t>
            </w:r>
          </w:p>
          <w:p w14:paraId="0EC1ED02">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2.1.2智力正常、身体健康，没有传染病、精神病或不能控制自己行为能力的疾病病史。</w:t>
            </w:r>
          </w:p>
          <w:p w14:paraId="2216CCF1">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2.1.3政治历史清楚、品行端正、思想作风正派、无违法犯罪记录。</w:t>
            </w:r>
          </w:p>
          <w:p w14:paraId="6F0B4F4F">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2.1.4知法、懂法、守法，依法办事，严格执行国家法律法规，严格遵守保安从业规范，自觉遵守双方制定的各项规章制度。</w:t>
            </w:r>
          </w:p>
          <w:p w14:paraId="3E1543D7">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2.1.5具有吃苦耐劳的精神和高度的责任感，严格履行岗位职责，善于发现各类问题，具备一定的管理经验和处理突发事件能力。</w:t>
            </w:r>
          </w:p>
          <w:p w14:paraId="32C30BF9">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2.1.6保安人员须取得公安部门颁发的中华人民共和国保安员证。</w:t>
            </w:r>
          </w:p>
          <w:p w14:paraId="35935841">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2.1.7中标人派驻的保安人员，需经采购人面试合格后方能上岗。</w:t>
            </w:r>
          </w:p>
          <w:p w14:paraId="56FC7E74">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2.2保安人员工作职责 </w:t>
            </w:r>
          </w:p>
          <w:p w14:paraId="5DBDE0C1">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2.2.1按照国家相关规定及采购人要求，协助采购人管理辖区内的维稳和治安保卫工作，按照</w:t>
            </w:r>
            <w:r>
              <w:rPr>
                <w:rFonts w:hint="eastAsia" w:ascii="宋体" w:hAnsi="宋体" w:eastAsia="宋体" w:cs="宋体"/>
                <w:color w:val="auto"/>
                <w:sz w:val="21"/>
                <w:szCs w:val="21"/>
                <w:highlight w:val="none"/>
                <w:lang w:val="en-US" w:eastAsia="zh-CN"/>
              </w:rPr>
              <w:t>功能区的</w:t>
            </w:r>
            <w:r>
              <w:rPr>
                <w:rFonts w:hint="eastAsia" w:ascii="宋体" w:hAnsi="宋体" w:eastAsia="宋体" w:cs="宋体"/>
                <w:color w:val="auto"/>
                <w:sz w:val="21"/>
                <w:szCs w:val="21"/>
                <w:highlight w:val="none"/>
                <w:lang w:eastAsia="zh-CN"/>
              </w:rPr>
              <w:t>不同，实施相应的治安保卫措施以维护采购人辖区内的财产、人员安全，保证各功能区域的秩序正常；做好防盗、防抢劫、防破坏、防自然灾害等治安巡逻、检查、守护工作，防止刑事案件和重大事件的发生。</w:t>
            </w:r>
          </w:p>
          <w:p w14:paraId="1D30934C">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2.2.2按照国家相关规定及采购人要求，协助采购人管理辖区内的施工现场、重点区域、重要部位、场所的安全巡查工作，及时发现和消除安全隐患，预防安全生产事故的发生。</w:t>
            </w:r>
          </w:p>
          <w:p w14:paraId="4B32AAE2">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2.2.3按照国家相关规定及采购人要求，协助采购人管理辖区内维稳和治安、环境秩序工作。</w:t>
            </w:r>
          </w:p>
          <w:p w14:paraId="7947C4CD">
            <w:pPr>
              <w:keepNext w:val="0"/>
              <w:keepLines w:val="0"/>
              <w:pageBreakBefore w:val="0"/>
              <w:shd w:val="clear" w:color="auto" w:fill="auto"/>
              <w:kinsoku/>
              <w:wordWrap/>
              <w:overflowPunct/>
              <w:topLinePunct w:val="0"/>
              <w:bidi w:val="0"/>
              <w:snapToGrid/>
              <w:spacing w:line="40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2.2.4 按照国家相关规定及采购人要求，协助采购人维护辖区内举办政府重大活动、展会、体育赛事期间的秩序。</w:t>
            </w:r>
          </w:p>
          <w:p w14:paraId="183CE8D5">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2.3应急</w:t>
            </w:r>
          </w:p>
          <w:p w14:paraId="1EB313F2">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中标人在接到采购人突发事件指令半小时内派出50人，1小时内能派出100人以上的非当班应急保安队伍到达采购人突发事件区域处置突发事件。</w:t>
            </w:r>
          </w:p>
          <w:p w14:paraId="61337B22">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2.4证件</w:t>
            </w:r>
          </w:p>
          <w:p w14:paraId="12ED4306">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2.4.1中标人派驻到本项目保安人员必须持有公安机关颁发的《保安员证》。</w:t>
            </w:r>
          </w:p>
          <w:p w14:paraId="07F1076A">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2.4.2中标人</w:t>
            </w:r>
            <w:r>
              <w:rPr>
                <w:rFonts w:hint="eastAsia" w:ascii="宋体" w:hAnsi="宋体" w:eastAsia="宋体" w:cs="宋体"/>
                <w:color w:val="auto"/>
                <w:sz w:val="21"/>
                <w:szCs w:val="21"/>
                <w:highlight w:val="none"/>
                <w:lang w:val="en-US" w:eastAsia="zh-CN"/>
              </w:rPr>
              <w:t>需投入</w:t>
            </w:r>
            <w:r>
              <w:rPr>
                <w:rFonts w:hint="eastAsia" w:ascii="宋体" w:hAnsi="宋体" w:eastAsia="宋体" w:cs="宋体"/>
                <w:color w:val="auto"/>
                <w:sz w:val="21"/>
                <w:szCs w:val="21"/>
                <w:highlight w:val="none"/>
                <w:lang w:eastAsia="zh-CN"/>
              </w:rPr>
              <w:t>取得《消防设施操作员》中级（四级）以上等级证书的保安人员。中标人应适当提高其工资待遇；其培训、证件费用由中标人负责。</w:t>
            </w:r>
          </w:p>
          <w:p w14:paraId="0EC0F31E">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2.5其他</w:t>
            </w:r>
          </w:p>
          <w:p w14:paraId="532BF70A">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2.5.1中标人须按采购人划定管理区域，按照《中华人民共和国劳动法》相关规定，安排好保安人员工作和休息时间，并根据采购人实际情况配齐保安人员。采购人在实际运作中按照岗位需求有权随时增加或减少保安服务人员，双方给予书面确认，服务费用按照实际发生结算。</w:t>
            </w:r>
          </w:p>
          <w:p w14:paraId="66A447AF">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2.5.2中标人在履行合同一周内不能按采购人要求配齐保安人员的，采购人有权单方终止合同。</w:t>
            </w:r>
          </w:p>
          <w:p w14:paraId="76A0772B">
            <w:pPr>
              <w:keepNext w:val="0"/>
              <w:keepLines w:val="0"/>
              <w:pageBreakBefore w:val="0"/>
              <w:shd w:val="clear" w:color="auto" w:fill="auto"/>
              <w:kinsoku/>
              <w:wordWrap/>
              <w:overflowPunct/>
              <w:topLinePunct w:val="0"/>
              <w:bidi w:val="0"/>
              <w:snapToGrid/>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2.5.3完成采购人交办的其他临时工作。</w:t>
            </w:r>
          </w:p>
        </w:tc>
        <w:tc>
          <w:tcPr>
            <w:tcW w:w="1017" w:type="dxa"/>
            <w:tcBorders>
              <w:top w:val="single" w:color="auto" w:sz="4" w:space="0"/>
              <w:left w:val="single" w:color="auto" w:sz="4" w:space="0"/>
              <w:bottom w:val="single" w:color="auto" w:sz="4" w:space="0"/>
              <w:right w:val="single" w:color="auto" w:sz="4" w:space="0"/>
            </w:tcBorders>
            <w:noWrap w:val="0"/>
            <w:vAlign w:val="center"/>
          </w:tcPr>
          <w:p w14:paraId="51116BA8">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9114000</w:t>
            </w:r>
          </w:p>
        </w:tc>
        <w:tc>
          <w:tcPr>
            <w:tcW w:w="829" w:type="dxa"/>
            <w:tcBorders>
              <w:top w:val="single" w:color="auto" w:sz="4" w:space="0"/>
              <w:left w:val="single" w:color="auto" w:sz="4" w:space="0"/>
              <w:bottom w:val="single" w:color="auto" w:sz="4" w:space="0"/>
              <w:right w:val="single" w:color="auto" w:sz="4" w:space="0"/>
            </w:tcBorders>
            <w:noWrap w:val="0"/>
            <w:vAlign w:val="center"/>
          </w:tcPr>
          <w:p w14:paraId="56603593">
            <w:pPr>
              <w:keepNext w:val="0"/>
              <w:keepLines w:val="0"/>
              <w:pageBreakBefore w:val="0"/>
              <w:shd w:val="clear" w:color="auto" w:fill="auto"/>
              <w:kinsoku/>
              <w:wordWrap/>
              <w:overflowPunct/>
              <w:topLinePunct w:val="0"/>
              <w:bidi w:val="0"/>
              <w:snapToGrid/>
              <w:spacing w:line="400" w:lineRule="exact"/>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r>
      <w:tr w14:paraId="3C7BF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5224631B">
            <w:pPr>
              <w:keepNext w:val="0"/>
              <w:keepLines w:val="0"/>
              <w:pageBreakBefore w:val="0"/>
              <w:shd w:val="clear" w:color="auto" w:fill="auto"/>
              <w:kinsoku/>
              <w:wordWrap/>
              <w:overflowPunct/>
              <w:topLinePunct w:val="0"/>
              <w:bidi w:val="0"/>
              <w:snapToGrid/>
              <w:spacing w:line="400" w:lineRule="exact"/>
              <w:ind w:left="0" w:leftChars="0"/>
              <w:jc w:val="center"/>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357" w:type="dxa"/>
            <w:gridSpan w:val="8"/>
            <w:tcBorders>
              <w:top w:val="single" w:color="auto" w:sz="4" w:space="0"/>
              <w:left w:val="single" w:color="auto" w:sz="4" w:space="0"/>
              <w:bottom w:val="single" w:color="auto" w:sz="4" w:space="0"/>
              <w:right w:val="single" w:color="auto" w:sz="4" w:space="0"/>
            </w:tcBorders>
            <w:noWrap w:val="0"/>
            <w:vAlign w:val="center"/>
          </w:tcPr>
          <w:p w14:paraId="0ECEFF4C">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一、合同签订期：自中标通知书发出之日起25个工作日内。</w:t>
            </w:r>
          </w:p>
          <w:p w14:paraId="7A360417">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▲二、合同履行期限：自合同签订之日起12个月。</w:t>
            </w:r>
          </w:p>
          <w:p w14:paraId="4651C2F2">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三、提交服务成果地点：采购人指定地点</w:t>
            </w:r>
          </w:p>
          <w:p w14:paraId="4DF79E3D">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▲四、报价要求：</w:t>
            </w:r>
          </w:p>
          <w:p w14:paraId="36ED4F06">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1.本项目投标报价：包含但不限于保安人员的工资、相关的福利待遇和社会保险金、保安人员的住宿费、就餐费、高温补贴、法定节假日和公休假加班费以及国家规定的所有相关费用、管理费（包含保安人员意外伤害保险差额补偿等风险管理费）、服务所需的低值易耗品（如手电筒、雨衣、水鞋等必备的执勤器材）等费用、处置突发事件费用、保安人员服装费、保安人员各种培训费、中标人合理利润及其他所有成本费用的总和。</w:t>
            </w:r>
          </w:p>
          <w:p w14:paraId="0626AD8D">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2.项目最高限价：9114000元人民币。</w:t>
            </w:r>
          </w:p>
          <w:p w14:paraId="4808258E">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▲五、付款方式：</w:t>
            </w:r>
          </w:p>
          <w:p w14:paraId="63550103">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1.本服务项目无预付款</w:t>
            </w:r>
          </w:p>
          <w:p w14:paraId="1AFD0CA6">
            <w:pPr>
              <w:pStyle w:val="3"/>
              <w:keepNext w:val="0"/>
              <w:keepLines w:val="0"/>
              <w:pageBreakBefore w:val="0"/>
              <w:shd w:val="clear" w:color="auto" w:fill="auto"/>
              <w:kinsoku/>
              <w:wordWrap/>
              <w:overflowPunct/>
              <w:topLinePunct w:val="0"/>
              <w:bidi w:val="0"/>
              <w:snapToGrid/>
              <w:spacing w:after="0" w:line="400" w:lineRule="exact"/>
              <w:ind w:left="0" w:leftChars="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2.实行先服务后付款的结算形式。中标人每服务满一个月，统计月度、结算金额，经过采购人验收确认后，采购人每月28日前以转帐方式支付当月保安服务费，中标人在收到保安服务费7天内开具等额真实、有效发票送达采购人。</w:t>
            </w:r>
          </w:p>
          <w:p w14:paraId="6F8B658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六、其他要求</w:t>
            </w:r>
          </w:p>
          <w:p w14:paraId="4396A3F4">
            <w:pPr>
              <w:pStyle w:val="2"/>
              <w:rPr>
                <w:rFonts w:hint="default" w:cs="Times New Roman"/>
                <w:highlight w:val="none"/>
                <w:lang w:val="en-US" w:eastAsia="zh-CN"/>
              </w:rPr>
            </w:pPr>
            <w:r>
              <w:rPr>
                <w:rFonts w:hint="eastAsia" w:ascii="宋体" w:hAnsi="宋体" w:eastAsia="宋体" w:cs="宋体"/>
                <w:b w:val="0"/>
                <w:bCs w:val="0"/>
                <w:color w:val="auto"/>
                <w:kern w:val="2"/>
                <w:sz w:val="21"/>
                <w:szCs w:val="21"/>
                <w:highlight w:val="none"/>
                <w:u w:val="single"/>
                <w:lang w:val="en-US" w:eastAsia="zh-CN" w:bidi="ar-SA"/>
              </w:rPr>
              <w:t>1.中标供应商</w:t>
            </w:r>
            <w:r>
              <w:rPr>
                <w:rFonts w:hint="default" w:ascii="宋体" w:hAnsi="宋体" w:eastAsia="宋体" w:cs="宋体"/>
                <w:b w:val="0"/>
                <w:bCs w:val="0"/>
                <w:color w:val="auto"/>
                <w:kern w:val="2"/>
                <w:sz w:val="21"/>
                <w:szCs w:val="21"/>
                <w:highlight w:val="none"/>
                <w:u w:val="single"/>
                <w:lang w:val="en-US" w:eastAsia="zh-CN" w:bidi="ar-SA"/>
              </w:rPr>
              <w:t>从服务费中每人每月支付90元用于队员集中居住的房租和水电费</w:t>
            </w:r>
            <w:r>
              <w:rPr>
                <w:rFonts w:hint="eastAsia" w:ascii="宋体" w:hAnsi="宋体" w:eastAsia="宋体" w:cs="宋体"/>
                <w:b w:val="0"/>
                <w:bCs w:val="0"/>
                <w:color w:val="auto"/>
                <w:kern w:val="2"/>
                <w:sz w:val="21"/>
                <w:szCs w:val="21"/>
                <w:highlight w:val="none"/>
                <w:u w:val="single"/>
                <w:lang w:val="en-US" w:eastAsia="zh-CN" w:bidi="ar-SA"/>
              </w:rPr>
              <w:t>。</w:t>
            </w:r>
          </w:p>
        </w:tc>
      </w:tr>
    </w:tbl>
    <w:p w14:paraId="028CBEE8"/>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60A34"/>
    <w:rsid w:val="43A60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keepNext/>
      <w:keepLines/>
      <w:widowControl w:val="0"/>
      <w:spacing w:before="260" w:beforeLines="0" w:after="260" w:afterLines="0" w:line="413" w:lineRule="auto"/>
      <w:jc w:val="both"/>
      <w:outlineLvl w:val="1"/>
    </w:pPr>
    <w:rPr>
      <w:rFonts w:ascii="Arial" w:hAnsi="Arial" w:eastAsia="黑体" w:cs="Times New Roman"/>
      <w:b/>
      <w:bCs/>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next w:val="1"/>
    <w:semiHidden/>
    <w:qFormat/>
    <w:uiPriority w:val="99"/>
    <w:pPr>
      <w:widowControl w:val="0"/>
      <w:spacing w:after="12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2026-07-13T07:20:00Z</dcterms:created>
  <dc:creator>欧明聪</dc:creator>
  <cp:lastModifiedBy>欧明聪</cp:lastModifiedBy>
  <dcterms:modified xsi:type="dcterms:W3CDTF">2026-07-13T07:21:21Z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F623E9A3C6F14738B4D518F8CF771392_11</vt:lpwstr>
  </property>
  <property fmtid="{D5CDD505-2E9C-101B-9397-08002B2CF9AE}" pid="4" name="KSOTemplateDocerSaveRecord">
    <vt:lpwstr>eyJoZGlkIjoiZjU5NTE4Y2EwNGUwNTA5ZTk0ODVmYmYwNWU3YjQyYWUiLCJ1c2VySWQiOiIxNTkyNDk1NTU5In0=</vt:lpwstr>
  </property>
</Properties>
</file>