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2ABDC">
      <w:pPr>
        <w:pStyle w:val="3"/>
        <w:jc w:val="center"/>
        <w:outlineLvl w:val="0"/>
        <w:rPr>
          <w:rFonts w:hint="eastAsia" w:hAnsi="宋体" w:eastAsia="宋体" w:cs="宋体"/>
          <w:b/>
          <w:sz w:val="36"/>
        </w:rPr>
      </w:pPr>
      <w:r>
        <w:rPr>
          <w:rFonts w:hint="eastAsia" w:hAnsi="宋体" w:eastAsia="宋体" w:cs="宋体"/>
          <w:b/>
          <w:sz w:val="36"/>
        </w:rPr>
        <w:t>采购需求</w:t>
      </w:r>
    </w:p>
    <w:p w14:paraId="40684C3C">
      <w:pPr>
        <w:adjustRightInd w:val="0"/>
        <w:spacing w:line="340" w:lineRule="exact"/>
        <w:rPr>
          <w:rFonts w:hint="eastAsia" w:ascii="宋体" w:hAnsi="宋体" w:eastAsia="宋体" w:cs="宋体"/>
          <w:b/>
          <w:szCs w:val="21"/>
        </w:rPr>
      </w:pPr>
      <w:r>
        <w:rPr>
          <w:rFonts w:hint="eastAsia" w:ascii="宋体" w:hAnsi="宋体" w:eastAsia="宋体" w:cs="宋体"/>
          <w:b/>
          <w:szCs w:val="21"/>
        </w:rPr>
        <w:t>说明：</w:t>
      </w:r>
      <w:bookmarkStart w:id="6" w:name="_GoBack"/>
      <w:bookmarkEnd w:id="6"/>
    </w:p>
    <w:p w14:paraId="1684CB39">
      <w:pPr>
        <w:spacing w:line="360" w:lineRule="auto"/>
        <w:ind w:firstLine="420" w:firstLineChars="200"/>
        <w:jc w:val="left"/>
        <w:rPr>
          <w:rFonts w:ascii="宋体" w:hAnsi="宋体" w:eastAsia="宋体" w:cs="宋体"/>
          <w:i/>
          <w:iCs/>
          <w:szCs w:val="21"/>
        </w:rPr>
      </w:pPr>
      <w:r>
        <w:rPr>
          <w:rFonts w:hint="eastAsia" w:ascii="宋体" w:hAnsi="宋体" w:eastAsia="宋体" w:cs="宋体"/>
        </w:rPr>
        <w:t>1. 为落实政府采购政策需满足的要求</w:t>
      </w:r>
    </w:p>
    <w:p w14:paraId="25340DFA">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（1）本招标文件所称中小企业必须符合《政府采购促进中小企业发展管理办法》（财库〔2020〕46号）的规定。</w:t>
      </w:r>
    </w:p>
    <w:p w14:paraId="6C0C00D0">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eastAsia="宋体" w:cs="宋体"/>
          <w:b/>
          <w:bCs/>
          <w:szCs w:val="21"/>
        </w:rPr>
        <w:t>投标人的投标货物必须使用政府强制采购的节能产品，投标人必须在投标文件中提供所投标产品有效期内的节能产品认证证书复印件（加盖投标人公章），否则投标文件作无效处理</w:t>
      </w:r>
      <w:r>
        <w:rPr>
          <w:rFonts w:hint="eastAsia" w:ascii="宋体" w:hAnsi="宋体" w:eastAsia="宋体" w:cs="宋体"/>
          <w:szCs w:val="21"/>
        </w:rPr>
        <w:t>。如本项目包含的货物属于品目清单内非标注“★”的产品时，应优先采购，具体详见“第四章 评标方法和评标标准”。</w:t>
      </w:r>
    </w:p>
    <w:p w14:paraId="2EAEBD8D">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2.“实质性要求”是指招标文件中已经指明不满足则投标无效的条款，或者不能负偏离的条款，或者采购需求中带“</w:t>
      </w:r>
      <w:r>
        <w:rPr>
          <w:rFonts w:hint="eastAsia" w:ascii="宋体" w:hAnsi="宋体" w:eastAsia="宋体" w:cs="宋体"/>
          <w:bCs/>
        </w:rPr>
        <w:t>▲</w:t>
      </w:r>
      <w:r>
        <w:rPr>
          <w:rFonts w:hint="eastAsia" w:ascii="宋体" w:hAnsi="宋体" w:eastAsia="宋体" w:cs="宋体"/>
          <w:szCs w:val="21"/>
        </w:rPr>
        <w:t>”的条款。</w:t>
      </w:r>
    </w:p>
    <w:p w14:paraId="3C7631CA">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3.本服务项目中伴随货物的，采购需求中出现的品牌、型号或者制造商仅起参考作用，不属于指定品牌、型号或者制造商的情形。投标人可参照或者选用其他相当的品牌、型号或者制造商替代，但选用的投标产品技术参数及配置必须满足采购要求。</w:t>
      </w:r>
    </w:p>
    <w:p w14:paraId="7EFF22BE">
      <w:pPr>
        <w:spacing w:line="360" w:lineRule="auto"/>
        <w:ind w:firstLine="424" w:firstLineChars="202"/>
        <w:jc w:val="left"/>
        <w:rPr>
          <w:rFonts w:hint="eastAsia" w:ascii="宋体" w:hAnsi="宋体" w:eastAsia="宋体" w:cs="宋体"/>
        </w:rPr>
      </w:pPr>
      <w:r>
        <w:rPr>
          <w:rFonts w:hint="eastAsia" w:ascii="宋体" w:hAnsi="宋体" w:eastAsia="宋体" w:cs="宋体"/>
          <w:szCs w:val="21"/>
        </w:rPr>
        <w:t>4.投标人必须对投标文件中提供的证明材料和资质文件真实性负责，如出现虚假应标情况，投标人除了应接受有关部门的处罚外，还应依据《中华人民共和国民法典》的相关条款来进行赔偿。</w:t>
      </w:r>
    </w:p>
    <w:p w14:paraId="4135F04A">
      <w:pPr>
        <w:tabs>
          <w:tab w:val="left" w:pos="180"/>
          <w:tab w:val="left" w:pos="1620"/>
        </w:tabs>
        <w:spacing w:line="460" w:lineRule="exact"/>
        <w:ind w:firstLine="420" w:firstLineChars="200"/>
        <w:jc w:val="left"/>
        <w:rPr>
          <w:rFonts w:hint="eastAsia" w:ascii="宋体" w:hAnsi="宋体" w:eastAsia="宋体" w:cs="宋体"/>
        </w:rPr>
      </w:pPr>
      <w:r>
        <w:rPr>
          <w:rFonts w:hint="eastAsia" w:ascii="宋体" w:hAnsi="宋体" w:eastAsia="宋体" w:cs="宋体"/>
        </w:rPr>
        <w:t>5.投标人应对投标内容所涉及的专利承担法律责任，并负责保护采购人的利益不受任何损害。一切由于文字、商标、技术和软件专利授权引起的法律裁决、诉讼和赔偿费用均由中标人负责。</w:t>
      </w:r>
    </w:p>
    <w:p w14:paraId="672B456B">
      <w:pPr>
        <w:tabs>
          <w:tab w:val="left" w:pos="180"/>
          <w:tab w:val="left" w:pos="1620"/>
        </w:tabs>
        <w:spacing w:line="460" w:lineRule="exact"/>
        <w:ind w:firstLine="420" w:firstLineChars="200"/>
        <w:jc w:val="left"/>
        <w:rPr>
          <w:rFonts w:hint="eastAsia" w:ascii="宋体" w:hAnsi="宋体" w:eastAsia="宋体" w:cs="宋体"/>
        </w:rPr>
      </w:pPr>
      <w:r>
        <w:rPr>
          <w:rFonts w:hint="eastAsia" w:ascii="宋体" w:hAnsi="宋体" w:eastAsia="宋体" w:cs="宋体"/>
        </w:rPr>
        <w:t>6.本项目所有分标的所有采购标的对应的中小企业划分标准所属行业：1分标、2分标、3分标均属批发业。</w:t>
      </w:r>
    </w:p>
    <w:p w14:paraId="276D0B47">
      <w:pPr>
        <w:spacing w:line="360" w:lineRule="auto"/>
        <w:ind w:firstLine="424" w:firstLineChars="202"/>
        <w:jc w:val="left"/>
        <w:rPr>
          <w:rFonts w:hint="eastAsia" w:ascii="宋体" w:hAnsi="宋体" w:eastAsia="宋体" w:cs="宋体"/>
        </w:rPr>
      </w:pPr>
    </w:p>
    <w:p w14:paraId="5A410471">
      <w:pPr>
        <w:tabs>
          <w:tab w:val="left" w:pos="5614"/>
        </w:tabs>
        <w:spacing w:line="460" w:lineRule="exact"/>
        <w:outlineLvl w:val="0"/>
        <w:rPr>
          <w:rFonts w:hint="eastAsia" w:ascii="宋体" w:hAnsi="宋体" w:eastAsia="宋体" w:cs="宋体"/>
          <w:b/>
          <w:bCs/>
          <w:sz w:val="24"/>
        </w:rPr>
      </w:pPr>
      <w:r>
        <w:rPr>
          <w:rFonts w:hint="eastAsia" w:ascii="宋体" w:hAnsi="宋体" w:eastAsia="宋体" w:cs="宋体"/>
          <w:b/>
          <w:bCs/>
          <w:sz w:val="24"/>
        </w:rPr>
        <w:br w:type="page"/>
      </w:r>
      <w:r>
        <w:rPr>
          <w:rFonts w:hint="eastAsia" w:ascii="宋体" w:hAnsi="宋体" w:eastAsia="宋体" w:cs="宋体"/>
          <w:b/>
          <w:bCs/>
          <w:sz w:val="24"/>
        </w:rPr>
        <w:t>1分标：标准物质/气体、试剂类</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518"/>
        <w:gridCol w:w="888"/>
        <w:gridCol w:w="774"/>
        <w:gridCol w:w="5788"/>
      </w:tblGrid>
      <w:tr w14:paraId="18FF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6" w:type="dxa"/>
            <w:noWrap w:val="0"/>
            <w:vAlign w:val="center"/>
          </w:tcPr>
          <w:p w14:paraId="4EA97297">
            <w:pPr>
              <w:spacing w:line="360" w:lineRule="exact"/>
              <w:jc w:val="center"/>
              <w:rPr>
                <w:rFonts w:ascii="宋体" w:hAnsi="宋体" w:eastAsia="宋体" w:cs="Times New Roman"/>
                <w:b/>
                <w:szCs w:val="21"/>
              </w:rPr>
            </w:pPr>
            <w:r>
              <w:rPr>
                <w:rFonts w:hint="eastAsia" w:ascii="宋体" w:hAnsi="宋体" w:eastAsia="宋体" w:cs="Times New Roman"/>
                <w:b/>
                <w:szCs w:val="21"/>
              </w:rPr>
              <w:t>序号</w:t>
            </w:r>
          </w:p>
        </w:tc>
        <w:tc>
          <w:tcPr>
            <w:tcW w:w="1518" w:type="dxa"/>
            <w:noWrap w:val="0"/>
            <w:vAlign w:val="center"/>
          </w:tcPr>
          <w:p w14:paraId="33377F3F">
            <w:pPr>
              <w:spacing w:line="360" w:lineRule="exact"/>
              <w:jc w:val="center"/>
              <w:rPr>
                <w:rFonts w:ascii="宋体" w:hAnsi="宋体" w:eastAsia="宋体" w:cs="Times New Roman"/>
                <w:b/>
                <w:szCs w:val="21"/>
              </w:rPr>
            </w:pPr>
            <w:r>
              <w:rPr>
                <w:rFonts w:hint="eastAsia" w:ascii="宋体" w:hAnsi="宋体" w:eastAsia="宋体" w:cs="Times New Roman"/>
                <w:b/>
                <w:szCs w:val="21"/>
              </w:rPr>
              <w:t>采购内容</w:t>
            </w:r>
          </w:p>
        </w:tc>
        <w:tc>
          <w:tcPr>
            <w:tcW w:w="888" w:type="dxa"/>
            <w:noWrap w:val="0"/>
            <w:vAlign w:val="center"/>
          </w:tcPr>
          <w:p w14:paraId="59F6E590">
            <w:pPr>
              <w:spacing w:line="360" w:lineRule="exact"/>
              <w:jc w:val="center"/>
              <w:rPr>
                <w:rFonts w:ascii="宋体" w:hAnsi="宋体" w:eastAsia="宋体" w:cs="Times New Roman"/>
                <w:b/>
                <w:szCs w:val="21"/>
              </w:rPr>
            </w:pPr>
            <w:r>
              <w:rPr>
                <w:rFonts w:hint="eastAsia" w:ascii="宋体" w:hAnsi="宋体" w:eastAsia="宋体" w:cs="Times New Roman"/>
                <w:b/>
                <w:szCs w:val="21"/>
              </w:rPr>
              <w:t>数量</w:t>
            </w:r>
          </w:p>
        </w:tc>
        <w:tc>
          <w:tcPr>
            <w:tcW w:w="774" w:type="dxa"/>
            <w:noWrap w:val="0"/>
            <w:vAlign w:val="center"/>
          </w:tcPr>
          <w:p w14:paraId="2DBE57CD">
            <w:pPr>
              <w:spacing w:line="360" w:lineRule="exact"/>
              <w:jc w:val="center"/>
              <w:rPr>
                <w:rFonts w:ascii="宋体" w:hAnsi="宋体" w:eastAsia="宋体" w:cs="Times New Roman"/>
                <w:b/>
                <w:szCs w:val="21"/>
              </w:rPr>
            </w:pPr>
            <w:r>
              <w:rPr>
                <w:rFonts w:hint="eastAsia" w:ascii="宋体" w:hAnsi="宋体" w:eastAsia="宋体" w:cs="Times New Roman"/>
                <w:b/>
                <w:szCs w:val="21"/>
              </w:rPr>
              <w:t>单位</w:t>
            </w:r>
          </w:p>
        </w:tc>
        <w:tc>
          <w:tcPr>
            <w:tcW w:w="5788" w:type="dxa"/>
            <w:noWrap w:val="0"/>
            <w:vAlign w:val="center"/>
          </w:tcPr>
          <w:p w14:paraId="1DAE86D7">
            <w:pPr>
              <w:spacing w:line="360" w:lineRule="exact"/>
              <w:jc w:val="center"/>
              <w:rPr>
                <w:rFonts w:ascii="宋体" w:hAnsi="宋体" w:eastAsia="宋体" w:cs="Times New Roman"/>
                <w:b/>
                <w:szCs w:val="21"/>
              </w:rPr>
            </w:pPr>
            <w:r>
              <w:rPr>
                <w:rFonts w:hint="eastAsia" w:ascii="宋体" w:hAnsi="宋体" w:eastAsia="宋体" w:cs="Times New Roman"/>
                <w:b/>
                <w:szCs w:val="21"/>
              </w:rPr>
              <w:t>项目要求及技术需求</w:t>
            </w:r>
          </w:p>
        </w:tc>
      </w:tr>
      <w:tr w14:paraId="302D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706" w:type="dxa"/>
            <w:noWrap w:val="0"/>
            <w:vAlign w:val="center"/>
          </w:tcPr>
          <w:p w14:paraId="50F6375A">
            <w:pPr>
              <w:spacing w:line="360" w:lineRule="exact"/>
              <w:jc w:val="center"/>
              <w:rPr>
                <w:rFonts w:hint="eastAsia" w:ascii="宋体" w:hAnsi="宋体" w:eastAsia="宋体" w:cs="Times New Roman"/>
                <w:szCs w:val="21"/>
              </w:rPr>
            </w:pPr>
            <w:r>
              <w:rPr>
                <w:rFonts w:hint="eastAsia" w:ascii="宋体" w:hAnsi="宋体" w:eastAsia="宋体" w:cs="Times New Roman"/>
                <w:szCs w:val="21"/>
              </w:rPr>
              <w:t>1</w:t>
            </w:r>
          </w:p>
        </w:tc>
        <w:tc>
          <w:tcPr>
            <w:tcW w:w="1518" w:type="dxa"/>
            <w:noWrap w:val="0"/>
            <w:vAlign w:val="center"/>
          </w:tcPr>
          <w:p w14:paraId="3C9FCD0E">
            <w:pPr>
              <w:spacing w:line="360" w:lineRule="exact"/>
              <w:jc w:val="center"/>
              <w:rPr>
                <w:rFonts w:ascii="宋体" w:hAnsi="宋体" w:eastAsia="宋体" w:cs="Times New Roman"/>
                <w:szCs w:val="21"/>
              </w:rPr>
            </w:pPr>
            <w:r>
              <w:rPr>
                <w:rFonts w:hint="eastAsia" w:ascii="宋体" w:hAnsi="宋体" w:eastAsia="宋体" w:cs="Times New Roman"/>
                <w:szCs w:val="21"/>
              </w:rPr>
              <w:t>标准物质/气体、试剂类供货服务</w:t>
            </w:r>
          </w:p>
        </w:tc>
        <w:tc>
          <w:tcPr>
            <w:tcW w:w="888" w:type="dxa"/>
            <w:noWrap w:val="0"/>
            <w:vAlign w:val="center"/>
          </w:tcPr>
          <w:p w14:paraId="4E9BB042">
            <w:pPr>
              <w:spacing w:line="360" w:lineRule="exact"/>
              <w:jc w:val="center"/>
              <w:rPr>
                <w:rFonts w:ascii="宋体" w:hAnsi="宋体" w:eastAsia="宋体" w:cs="Times New Roman"/>
                <w:szCs w:val="21"/>
              </w:rPr>
            </w:pPr>
            <w:r>
              <w:rPr>
                <w:rFonts w:hint="eastAsia" w:ascii="宋体" w:hAnsi="宋体" w:eastAsia="宋体" w:cs="Times New Roman"/>
                <w:szCs w:val="21"/>
              </w:rPr>
              <w:t>1</w:t>
            </w:r>
          </w:p>
        </w:tc>
        <w:tc>
          <w:tcPr>
            <w:tcW w:w="774" w:type="dxa"/>
            <w:noWrap w:val="0"/>
            <w:vAlign w:val="center"/>
          </w:tcPr>
          <w:p w14:paraId="7E946F18">
            <w:pPr>
              <w:spacing w:line="360" w:lineRule="exact"/>
              <w:jc w:val="center"/>
              <w:rPr>
                <w:rFonts w:hint="eastAsia" w:ascii="宋体" w:hAnsi="宋体" w:eastAsia="宋体" w:cs="Times New Roman"/>
                <w:szCs w:val="21"/>
              </w:rPr>
            </w:pPr>
            <w:r>
              <w:rPr>
                <w:rFonts w:hint="eastAsia" w:ascii="宋体" w:hAnsi="宋体" w:eastAsia="宋体" w:cs="Times New Roman"/>
                <w:szCs w:val="21"/>
              </w:rPr>
              <w:t>项</w:t>
            </w:r>
          </w:p>
        </w:tc>
        <w:tc>
          <w:tcPr>
            <w:tcW w:w="5788" w:type="dxa"/>
            <w:noWrap w:val="0"/>
            <w:vAlign w:val="center"/>
          </w:tcPr>
          <w:p w14:paraId="154F7360">
            <w:pPr>
              <w:spacing w:line="360" w:lineRule="auto"/>
              <w:rPr>
                <w:rFonts w:hint="eastAsia" w:ascii="宋体" w:hAnsi="宋体" w:eastAsia="宋体" w:cs="Times New Roman"/>
                <w:szCs w:val="21"/>
              </w:rPr>
            </w:pPr>
            <w:r>
              <w:rPr>
                <w:rFonts w:hint="eastAsia" w:ascii="宋体" w:hAnsi="宋体" w:eastAsia="宋体" w:cs="Times New Roman"/>
                <w:szCs w:val="21"/>
              </w:rPr>
              <w:t>一、服务要求</w:t>
            </w:r>
          </w:p>
          <w:p w14:paraId="29FCC42E">
            <w:pPr>
              <w:spacing w:line="360" w:lineRule="auto"/>
              <w:rPr>
                <w:rFonts w:hint="eastAsia" w:ascii="宋体" w:hAnsi="宋体" w:eastAsia="宋体" w:cs="Times New Roman"/>
                <w:szCs w:val="21"/>
              </w:rPr>
            </w:pPr>
            <w:r>
              <w:rPr>
                <w:rFonts w:hint="eastAsia" w:ascii="宋体" w:hAnsi="宋体" w:eastAsia="宋体" w:cs="Times New Roman"/>
                <w:szCs w:val="21"/>
              </w:rPr>
              <w:t>1.根据采购人需求频率负责送货上门，并在采购人实验耗材供应服务指定时间之前送达指定地点。</w:t>
            </w:r>
          </w:p>
          <w:p w14:paraId="59DD7D08">
            <w:pPr>
              <w:spacing w:line="360" w:lineRule="auto"/>
              <w:rPr>
                <w:rFonts w:hint="eastAsia" w:ascii="宋体" w:hAnsi="宋体" w:eastAsia="宋体" w:cs="Times New Roman"/>
                <w:szCs w:val="21"/>
              </w:rPr>
            </w:pPr>
            <w:r>
              <w:rPr>
                <w:rFonts w:hint="eastAsia" w:ascii="宋体" w:hAnsi="宋体" w:eastAsia="宋体" w:cs="Times New Roman"/>
                <w:szCs w:val="21"/>
              </w:rPr>
              <w:t>2.交付货品清单同货物一并送达采购人。货品在交付前发生的风险均由中标人自行负责。</w:t>
            </w:r>
          </w:p>
          <w:p w14:paraId="77EDCA4C">
            <w:pPr>
              <w:spacing w:line="360" w:lineRule="auto"/>
              <w:rPr>
                <w:rFonts w:hint="eastAsia" w:ascii="宋体" w:hAnsi="宋体" w:eastAsia="宋体" w:cs="Times New Roman"/>
                <w:szCs w:val="21"/>
              </w:rPr>
            </w:pPr>
            <w:r>
              <w:rPr>
                <w:rFonts w:hint="eastAsia" w:ascii="宋体" w:hAnsi="宋体" w:eastAsia="宋体" w:cs="Times New Roman"/>
                <w:szCs w:val="21"/>
              </w:rPr>
              <w:t>3.中标人安排回访，解决使用者在工作中的实际困难。了解其所提供产品的质量情况并及时反馈给厂家。</w:t>
            </w:r>
          </w:p>
          <w:p w14:paraId="186E2379">
            <w:pPr>
              <w:spacing w:line="360" w:lineRule="auto"/>
              <w:rPr>
                <w:rFonts w:hint="eastAsia" w:ascii="宋体" w:hAnsi="宋体" w:eastAsia="宋体" w:cs="Times New Roman"/>
                <w:szCs w:val="21"/>
              </w:rPr>
            </w:pPr>
            <w:r>
              <w:rPr>
                <w:rFonts w:hint="eastAsia" w:ascii="宋体" w:hAnsi="宋体" w:eastAsia="宋体" w:cs="Times New Roman"/>
                <w:szCs w:val="21"/>
              </w:rPr>
              <w:t>二、结算要求</w:t>
            </w:r>
          </w:p>
          <w:p w14:paraId="27EF578F">
            <w:pPr>
              <w:spacing w:line="360" w:lineRule="auto"/>
              <w:rPr>
                <w:rFonts w:hint="eastAsia" w:ascii="宋体" w:hAnsi="宋体" w:eastAsia="宋体" w:cs="Times New Roman"/>
                <w:szCs w:val="21"/>
              </w:rPr>
            </w:pPr>
            <w:r>
              <w:rPr>
                <w:rFonts w:hint="eastAsia" w:ascii="宋体" w:hAnsi="宋体" w:eastAsia="宋体" w:cs="Times New Roman"/>
                <w:szCs w:val="21"/>
              </w:rPr>
              <w:t>1.按附件《标准物质、气体、试剂》工作表中的各货品按实际发生的数量计算。货品价格按中标人中标单价后乘以实际数量进行结算。</w:t>
            </w:r>
          </w:p>
          <w:p w14:paraId="46B049D9">
            <w:pPr>
              <w:spacing w:line="360" w:lineRule="auto"/>
              <w:rPr>
                <w:rFonts w:hint="eastAsia" w:ascii="宋体" w:hAnsi="宋体" w:eastAsia="宋体" w:cs="Times New Roman"/>
                <w:szCs w:val="21"/>
              </w:rPr>
            </w:pPr>
            <w:r>
              <w:rPr>
                <w:rFonts w:hint="eastAsia" w:ascii="宋体" w:hAnsi="宋体" w:eastAsia="宋体" w:cs="Times New Roman"/>
                <w:szCs w:val="21"/>
              </w:rPr>
              <w:t>▲三、供货要求</w:t>
            </w:r>
          </w:p>
          <w:p w14:paraId="78AD141F">
            <w:pPr>
              <w:spacing w:line="360" w:lineRule="auto"/>
              <w:rPr>
                <w:rFonts w:hint="eastAsia" w:ascii="宋体" w:hAnsi="宋体" w:eastAsia="宋体" w:cs="Times New Roman"/>
                <w:szCs w:val="21"/>
              </w:rPr>
            </w:pPr>
            <w:r>
              <w:rPr>
                <w:rFonts w:hint="eastAsia" w:ascii="宋体" w:hAnsi="宋体" w:eastAsia="宋体" w:cs="Times New Roman"/>
                <w:szCs w:val="21"/>
              </w:rPr>
              <w:t>1.在采购周期内，中标人不得以物价上涨为由提高中标产品价格，更不得以此为由拒绝采购及供货。</w:t>
            </w:r>
          </w:p>
          <w:p w14:paraId="2AE69766">
            <w:pPr>
              <w:spacing w:line="360" w:lineRule="auto"/>
              <w:rPr>
                <w:rFonts w:hint="eastAsia" w:ascii="宋体" w:hAnsi="宋体" w:eastAsia="宋体" w:cs="Times New Roman"/>
                <w:szCs w:val="21"/>
              </w:rPr>
            </w:pPr>
            <w:r>
              <w:rPr>
                <w:rFonts w:hint="eastAsia" w:ascii="宋体" w:hAnsi="宋体" w:eastAsia="宋体" w:cs="Times New Roman"/>
                <w:szCs w:val="21"/>
              </w:rPr>
              <w:t>2.中标人负责送货上门，并按照投标承诺标准和采购人的需求及时供货，不得以缺货、运输延误等任何理由拖延供货或不供货。对拖延供货或不供货的中标人，经采购人警告两次或以上的，采购人有权依法解除合同。</w:t>
            </w:r>
          </w:p>
          <w:p w14:paraId="1767303C">
            <w:pPr>
              <w:spacing w:line="360" w:lineRule="auto"/>
              <w:rPr>
                <w:rFonts w:hint="eastAsia" w:ascii="宋体" w:hAnsi="宋体" w:eastAsia="宋体" w:cs="Times New Roman"/>
                <w:szCs w:val="21"/>
              </w:rPr>
            </w:pPr>
            <w:r>
              <w:rPr>
                <w:rFonts w:hint="eastAsia" w:ascii="宋体" w:hAnsi="宋体" w:eastAsia="宋体" w:cs="Times New Roman"/>
                <w:szCs w:val="21"/>
              </w:rPr>
              <w:t>3.中标人应在货物发运前对其进行满足运输距离、防潮、防震和防破损装卸等进行包装，以保证货物安全运输；并按与采购人确定的运输方式将货物运送至采购人指定地点，相关费用由中标人承担。</w:t>
            </w:r>
          </w:p>
          <w:p w14:paraId="02E7D671">
            <w:pPr>
              <w:spacing w:line="360" w:lineRule="auto"/>
              <w:rPr>
                <w:rFonts w:hint="eastAsia" w:ascii="宋体" w:hAnsi="宋体" w:eastAsia="宋体" w:cs="Times New Roman"/>
                <w:szCs w:val="21"/>
              </w:rPr>
            </w:pPr>
            <w:r>
              <w:rPr>
                <w:rFonts w:hint="eastAsia" w:ascii="宋体" w:hAnsi="宋体" w:eastAsia="宋体" w:cs="Times New Roman"/>
                <w:szCs w:val="21"/>
              </w:rPr>
              <w:t>4.中标人在供货时须提供供货货物正规来源的证明材料，确保货物的质量符合国家、行业相关质量标准和交易合法。</w:t>
            </w:r>
          </w:p>
          <w:p w14:paraId="3DB37CD0">
            <w:pPr>
              <w:spacing w:line="360" w:lineRule="auto"/>
              <w:rPr>
                <w:rFonts w:hint="eastAsia" w:ascii="宋体" w:hAnsi="宋体" w:eastAsia="宋体" w:cs="Times New Roman"/>
                <w:szCs w:val="21"/>
                <w:lang w:eastAsia="zh-CN"/>
              </w:rPr>
            </w:pPr>
            <w:r>
              <w:rPr>
                <w:rFonts w:hint="eastAsia" w:ascii="宋体" w:hAnsi="宋体" w:eastAsia="宋体" w:cs="Times New Roman"/>
                <w:szCs w:val="21"/>
              </w:rPr>
              <w:t>5.中标人实际配送的货物必须为合格品，不能以次充好或提供假冒伪劣产品，否则采购人有权单方中止或终止与中标人的项</w:t>
            </w:r>
            <w:r>
              <w:rPr>
                <w:rFonts w:hint="eastAsia" w:ascii="宋体" w:hAnsi="宋体" w:eastAsia="宋体" w:cs="Times New Roman"/>
                <w:szCs w:val="21"/>
              </w:rPr>
              <w:pict>
                <v:shape id="Object 90" o:spid="_x0000_s1026" o:spt="75" type="#_x0000_t75" style="position:absolute;left:0pt;margin-left:198.9pt;margin-top:-596.9pt;height:65.4pt;width:72.6pt;mso-wrap-distance-bottom:0pt;mso-wrap-distance-left:9pt;mso-wrap-distance-right:9pt;mso-wrap-distance-top:0pt;z-index:251661312;mso-width-relative:page;mso-height-relative:page;" o:ole="t" filled="f" o:preferrelative="t" stroked="f" coordsize="21600,21600">
                  <v:path/>
                  <v:fill on="f" focussize="0,0"/>
                  <v:stroke on="f"/>
                  <v:imagedata r:id="rId5" o:title=""/>
                  <o:lock v:ext="edit" aspectratio="t"/>
                  <w10:wrap type="square"/>
                </v:shape>
                <o:OLEObject Type="Embed" ProgID="Excel.Sheet.8" ShapeID="Object 90" DrawAspect="Icon" ObjectID="_1468075725" r:id="rId4">
                  <o:LockedField>false</o:LockedField>
                </o:OLEObject>
              </w:pict>
            </w:r>
            <w:r>
              <w:rPr>
                <w:rFonts w:hint="eastAsia" w:ascii="宋体" w:hAnsi="宋体" w:eastAsia="宋体" w:cs="Times New Roman"/>
                <w:szCs w:val="21"/>
              </w:rPr>
              <w:t>目合同并追究相关法律责任。</w:t>
            </w:r>
          </w:p>
        </w:tc>
      </w:tr>
      <w:tr w14:paraId="3777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706" w:type="dxa"/>
            <w:noWrap w:val="0"/>
            <w:vAlign w:val="center"/>
          </w:tcPr>
          <w:p w14:paraId="40A50909">
            <w:pPr>
              <w:spacing w:line="360" w:lineRule="exact"/>
              <w:rPr>
                <w:rFonts w:ascii="宋体" w:hAnsi="宋体" w:eastAsia="宋体" w:cs="Times New Roman"/>
                <w:szCs w:val="21"/>
              </w:rPr>
            </w:pPr>
            <w:r>
              <w:rPr>
                <w:rFonts w:hint="eastAsia" w:ascii="宋体" w:hAnsi="宋体" w:eastAsia="宋体" w:cs="Times New Roman"/>
                <w:szCs w:val="21"/>
              </w:rPr>
              <w:t>商务条款</w:t>
            </w:r>
          </w:p>
        </w:tc>
        <w:tc>
          <w:tcPr>
            <w:tcW w:w="8968" w:type="dxa"/>
            <w:gridSpan w:val="4"/>
            <w:noWrap w:val="0"/>
            <w:vAlign w:val="center"/>
          </w:tcPr>
          <w:p w14:paraId="646F7FA7">
            <w:pPr>
              <w:spacing w:line="360" w:lineRule="auto"/>
              <w:rPr>
                <w:rFonts w:hint="eastAsia" w:ascii="宋体" w:hAnsi="宋体" w:eastAsia="宋体" w:cs="Times New Roman"/>
                <w:szCs w:val="21"/>
              </w:rPr>
            </w:pPr>
            <w:r>
              <w:rPr>
                <w:rFonts w:hint="eastAsia" w:ascii="宋体" w:hAnsi="宋体" w:eastAsia="宋体" w:cs="Times New Roman"/>
                <w:szCs w:val="21"/>
              </w:rPr>
              <w:t>1.质保期及有效期：按产品的国家及行业有关标准执行，交货验收合格之日起不少于一年。</w:t>
            </w:r>
          </w:p>
          <w:p w14:paraId="486DEE75">
            <w:pPr>
              <w:spacing w:line="360" w:lineRule="auto"/>
              <w:rPr>
                <w:rFonts w:hint="eastAsia" w:ascii="宋体" w:hAnsi="宋体" w:eastAsia="宋体" w:cs="Times New Roman"/>
                <w:szCs w:val="21"/>
              </w:rPr>
            </w:pPr>
            <w:r>
              <w:rPr>
                <w:rFonts w:hint="eastAsia" w:ascii="宋体" w:hAnsi="宋体" w:eastAsia="宋体" w:cs="Times New Roman"/>
                <w:szCs w:val="21"/>
              </w:rPr>
              <w:t>2.售中及售后服务要求：提供送货上门（或邮寄）服务，送货同时能提供产品的合格证或检验报告（如有必须提供），产品发生质量问题时接到采购人通知后12小时内响应，24小时内到达现场处理，无法处理的须更换，且不能再另收取任何费用；定期回访；其余按投标人承诺进行；</w:t>
            </w:r>
          </w:p>
          <w:p w14:paraId="64538649">
            <w:pPr>
              <w:spacing w:line="360" w:lineRule="auto"/>
              <w:rPr>
                <w:rFonts w:hint="eastAsia" w:ascii="宋体" w:hAnsi="宋体" w:eastAsia="宋体" w:cs="宋体"/>
              </w:rPr>
            </w:pPr>
            <w:r>
              <w:rPr>
                <w:rFonts w:hint="eastAsia" w:ascii="宋体" w:hAnsi="宋体" w:eastAsia="宋体" w:cs="Times New Roman"/>
                <w:szCs w:val="21"/>
              </w:rPr>
              <w:t>3.</w:t>
            </w:r>
            <w:r>
              <w:rPr>
                <w:rFonts w:hint="eastAsia" w:ascii="宋体" w:hAnsi="宋体" w:eastAsia="宋体" w:cs="宋体"/>
              </w:rPr>
              <w:t>交货时间：除与采购人有特殊约定外，能保证下单后2个工作日内完成供货；有充足的货车或者通过快递保证每周至少3次对采购人实验室送货，遇到临时任务或急样能在当天12小时内完成供货。</w:t>
            </w:r>
          </w:p>
          <w:p w14:paraId="573FC446">
            <w:pPr>
              <w:spacing w:line="360" w:lineRule="auto"/>
              <w:rPr>
                <w:rFonts w:hint="eastAsia" w:ascii="宋体" w:hAnsi="宋体" w:eastAsia="宋体" w:cs="Times New Roman"/>
                <w:szCs w:val="21"/>
              </w:rPr>
            </w:pPr>
            <w:r>
              <w:rPr>
                <w:rFonts w:hint="eastAsia" w:ascii="宋体" w:hAnsi="宋体" w:eastAsia="宋体" w:cs="宋体"/>
              </w:rPr>
              <w:t>交货地点：广西南宁市市区内采购人指定地点。</w:t>
            </w:r>
          </w:p>
          <w:p w14:paraId="6EEAFC9E">
            <w:pPr>
              <w:spacing w:line="360" w:lineRule="auto"/>
              <w:rPr>
                <w:rFonts w:hint="eastAsia" w:ascii="宋体" w:hAnsi="宋体" w:eastAsia="宋体" w:cs="Times New Roman"/>
                <w:szCs w:val="21"/>
              </w:rPr>
            </w:pPr>
            <w:r>
              <w:rPr>
                <w:rFonts w:hint="eastAsia" w:ascii="宋体" w:hAnsi="宋体" w:eastAsia="宋体" w:cs="Times New Roman"/>
                <w:szCs w:val="21"/>
              </w:rPr>
              <w:t>4.付款条件：每批货根据实际供货情况进行结算，每批次自验收合格之日起3个工作日内，中标供应商开具请款函及发票给采购人，承包人在收到请款函及发票之日起20个工作日内，支付该批货物全部合同款给中标供应商。</w:t>
            </w:r>
          </w:p>
          <w:p w14:paraId="4CC46415">
            <w:pPr>
              <w:spacing w:line="360" w:lineRule="auto"/>
              <w:rPr>
                <w:rFonts w:hint="eastAsia" w:ascii="宋体" w:hAnsi="宋体" w:eastAsia="宋体" w:cs="Times New Roman"/>
                <w:szCs w:val="21"/>
              </w:rPr>
            </w:pPr>
            <w:r>
              <w:rPr>
                <w:rFonts w:hint="eastAsia" w:ascii="宋体" w:hAnsi="宋体" w:eastAsia="宋体" w:cs="Times New Roman"/>
                <w:szCs w:val="21"/>
              </w:rPr>
              <w:t>5.投标人保证若中标后向采购人提供的产品是全新、完整、未使用过的。</w:t>
            </w:r>
          </w:p>
          <w:p w14:paraId="309DA2F2">
            <w:pPr>
              <w:spacing w:line="360" w:lineRule="auto"/>
              <w:rPr>
                <w:rFonts w:hint="eastAsia" w:ascii="宋体" w:hAnsi="宋体" w:eastAsia="宋体" w:cs="Times New Roman"/>
                <w:szCs w:val="21"/>
              </w:rPr>
            </w:pPr>
            <w:r>
              <w:rPr>
                <w:rFonts w:hint="eastAsia" w:ascii="宋体" w:hAnsi="宋体" w:eastAsia="宋体" w:cs="Times New Roman"/>
                <w:szCs w:val="21"/>
              </w:rPr>
              <w:t>6.投标人必须根据附件工作表中产品“规格、参数”的内容进行报价，且与附件工作表中单位一致，并计算全部产品累计总价金额。</w:t>
            </w:r>
          </w:p>
          <w:p w14:paraId="0BD115B9">
            <w:pPr>
              <w:spacing w:line="360" w:lineRule="auto"/>
              <w:rPr>
                <w:rFonts w:ascii="宋体" w:hAnsi="宋体" w:eastAsia="宋体" w:cs="Times New Roman"/>
                <w:szCs w:val="21"/>
              </w:rPr>
            </w:pPr>
            <w:r>
              <w:rPr>
                <w:rFonts w:hint="eastAsia" w:ascii="宋体" w:hAnsi="宋体" w:eastAsia="宋体" w:cs="Times New Roman"/>
                <w:szCs w:val="21"/>
              </w:rPr>
              <w:t>7.报价要求：本分标要求投标人投标时提供单价报价，附件工作表中所列产品在项目服务期内供货价格不能高于投标报价价格。投标人应按所投分标产品品目清单中的货物进行逐项报价，不能恶意低价投标。</w:t>
            </w:r>
            <w:r>
              <w:rPr>
                <w:rFonts w:hint="eastAsia" w:ascii="宋体" w:hAnsi="宋体" w:eastAsia="宋体" w:cs="Times New Roman"/>
                <w:b/>
                <w:bCs/>
                <w:szCs w:val="21"/>
              </w:rPr>
              <w:t>投标人任一产品单价报价超过附件工作表对应产品单价最高限价的，本分标投标无效。</w:t>
            </w:r>
          </w:p>
          <w:p w14:paraId="09CDD115">
            <w:pPr>
              <w:spacing w:line="360" w:lineRule="auto"/>
              <w:rPr>
                <w:rFonts w:hint="eastAsia" w:ascii="宋体" w:hAnsi="宋体" w:eastAsia="宋体" w:cs="Times New Roman"/>
                <w:szCs w:val="21"/>
              </w:rPr>
            </w:pPr>
            <w:r>
              <w:rPr>
                <w:rFonts w:hint="eastAsia" w:ascii="宋体" w:hAnsi="宋体" w:eastAsia="宋体" w:cs="Times New Roman"/>
                <w:szCs w:val="21"/>
              </w:rPr>
              <w:t>8.本项目服务期内，附件工作表中所列产品为可能购买的品种，只有在采购人需要时才购买，采购人根据实际使用量与中标供应商据实结算。</w:t>
            </w:r>
          </w:p>
          <w:p w14:paraId="5B46E85A">
            <w:pPr>
              <w:spacing w:line="360" w:lineRule="auto"/>
              <w:rPr>
                <w:rFonts w:hint="eastAsia" w:ascii="宋体" w:hAnsi="宋体" w:eastAsia="宋体" w:cs="Times New Roman"/>
                <w:szCs w:val="21"/>
              </w:rPr>
            </w:pPr>
            <w:r>
              <w:rPr>
                <w:rFonts w:hint="eastAsia" w:ascii="宋体" w:hAnsi="宋体" w:eastAsia="宋体" w:cs="Times New Roman"/>
                <w:szCs w:val="21"/>
              </w:rPr>
              <w:t>9.供货的产品质量和所引用标准必须符合采购人实验需求，如不满足需求，中标人必须无条件更换；供货的产品当出现2次不满足采购人实验需求时，中标人必须更换为满足实验需求的合格产品，价格不变；如原产品确属质量不合格，中标人应免费更换为同档次及以上合格产品。</w:t>
            </w:r>
          </w:p>
          <w:p w14:paraId="2EA6357C">
            <w:pPr>
              <w:spacing w:line="360" w:lineRule="auto"/>
              <w:rPr>
                <w:rFonts w:hint="eastAsia" w:ascii="宋体" w:hAnsi="宋体" w:eastAsia="宋体" w:cs="Times New Roman"/>
                <w:szCs w:val="21"/>
              </w:rPr>
            </w:pPr>
            <w:r>
              <w:rPr>
                <w:rFonts w:hint="eastAsia" w:ascii="宋体" w:hAnsi="宋体" w:eastAsia="宋体" w:cs="Times New Roman"/>
                <w:szCs w:val="21"/>
              </w:rPr>
              <w:t>10.中标人应配备符合产品存放条件的库房，对常用产品拥有一定库存量。投标人投入本项目的储存仓库面积至少100㎡（自有库房提供不动产权证（或房产证）复印件，租赁库房提供库房租赁合同复印件）。</w:t>
            </w:r>
          </w:p>
          <w:p w14:paraId="0B760845">
            <w:pPr>
              <w:spacing w:line="360" w:lineRule="auto"/>
              <w:rPr>
                <w:rFonts w:hint="eastAsia" w:ascii="宋体" w:hAnsi="宋体" w:eastAsia="宋体" w:cs="宋体"/>
              </w:rPr>
            </w:pPr>
            <w:r>
              <w:rPr>
                <w:rFonts w:hint="eastAsia" w:ascii="宋体" w:hAnsi="宋体" w:eastAsia="宋体" w:cs="Times New Roman"/>
                <w:szCs w:val="21"/>
              </w:rPr>
              <w:t>11.</w:t>
            </w:r>
            <w:r>
              <w:rPr>
                <w:rFonts w:hint="eastAsia" w:ascii="宋体" w:hAnsi="宋体" w:eastAsia="宋体" w:cs="宋体"/>
              </w:rPr>
              <w:t>本项目服务期自合同签订之日起一年内，服务期满合同自行终止。服务期内如本分标预算用完则合同自行终止。本项目自中标通知书发出后25日内签订合同。</w:t>
            </w:r>
          </w:p>
          <w:p w14:paraId="79F1A45D">
            <w:pPr>
              <w:spacing w:line="360" w:lineRule="auto"/>
              <w:rPr>
                <w:rFonts w:ascii="宋体" w:hAnsi="宋体" w:eastAsia="宋体" w:cs="宋体"/>
              </w:rPr>
            </w:pPr>
            <w:r>
              <w:rPr>
                <w:rFonts w:hint="eastAsia" w:ascii="宋体" w:hAnsi="宋体" w:eastAsia="宋体" w:cs="宋体"/>
              </w:rPr>
              <w:t>12.本标项“3.健康医疗所”中第18、19项产品“校准血清”、“校准血清”属第二类医疗器械，投标人需在投标文件中提供所投产品的‌第二类医疗器械注册证。</w:t>
            </w:r>
          </w:p>
        </w:tc>
      </w:tr>
      <w:tr w14:paraId="2A11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706" w:type="dxa"/>
            <w:noWrap w:val="0"/>
            <w:vAlign w:val="center"/>
          </w:tcPr>
          <w:p w14:paraId="439188CF">
            <w:pPr>
              <w:spacing w:line="360" w:lineRule="exact"/>
              <w:rPr>
                <w:rFonts w:ascii="宋体" w:hAnsi="宋体" w:eastAsia="宋体" w:cs="Times New Roman"/>
                <w:szCs w:val="21"/>
              </w:rPr>
            </w:pPr>
            <w:r>
              <w:rPr>
                <w:rFonts w:hint="eastAsia" w:ascii="宋体" w:hAnsi="宋体" w:eastAsia="宋体" w:cs="宋体"/>
                <w:szCs w:val="21"/>
              </w:rPr>
              <w:t>其他说明</w:t>
            </w:r>
          </w:p>
        </w:tc>
        <w:tc>
          <w:tcPr>
            <w:tcW w:w="8968" w:type="dxa"/>
            <w:gridSpan w:val="4"/>
            <w:noWrap w:val="0"/>
            <w:vAlign w:val="center"/>
          </w:tcPr>
          <w:p w14:paraId="753347C5">
            <w:pPr>
              <w:spacing w:line="360" w:lineRule="auto"/>
              <w:rPr>
                <w:rFonts w:hint="eastAsia" w:ascii="宋体" w:hAnsi="宋体" w:eastAsia="宋体" w:cs="Times New Roman"/>
                <w:szCs w:val="21"/>
              </w:rPr>
            </w:pPr>
            <w:r>
              <w:rPr>
                <w:rFonts w:hint="eastAsia" w:ascii="宋体" w:hAnsi="宋体" w:eastAsia="宋体" w:cs="Times New Roman"/>
                <w:szCs w:val="21"/>
              </w:rPr>
              <w:t>一、进口产品说明：</w:t>
            </w:r>
          </w:p>
          <w:p w14:paraId="53ED725A">
            <w:pPr>
              <w:spacing w:line="360" w:lineRule="auto"/>
              <w:rPr>
                <w:rFonts w:hint="eastAsia" w:ascii="宋体" w:hAnsi="宋体" w:eastAsia="宋体" w:cs="Times New Roman"/>
                <w:szCs w:val="21"/>
              </w:rPr>
            </w:pPr>
            <w:r>
              <w:rPr>
                <w:rFonts w:hint="eastAsia" w:ascii="宋体" w:hAnsi="宋体" w:eastAsia="宋体" w:cs="Times New Roman"/>
                <w:szCs w:val="21"/>
              </w:rPr>
              <w:t>▲本项目货物所涉及的货物不接受进口产品（即通过中国海关报关验放进入中国境内且产自关境外的产品）参与投标，如有进口产品参与投标的作无效投标处理。</w:t>
            </w:r>
          </w:p>
          <w:p w14:paraId="4171F574">
            <w:pPr>
              <w:spacing w:line="360" w:lineRule="auto"/>
              <w:rPr>
                <w:rFonts w:hint="eastAsia" w:ascii="宋体" w:hAnsi="宋体" w:eastAsia="宋体" w:cs="Times New Roman"/>
                <w:szCs w:val="21"/>
              </w:rPr>
            </w:pPr>
            <w:r>
              <w:rPr>
                <w:rFonts w:hint="eastAsia" w:ascii="宋体" w:hAnsi="宋体" w:eastAsia="宋体" w:cs="Times New Roman"/>
                <w:szCs w:val="21"/>
              </w:rPr>
              <w:t>二、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p w14:paraId="545493D0">
            <w:pPr>
              <w:spacing w:line="360" w:lineRule="auto"/>
              <w:rPr>
                <w:rFonts w:hint="eastAsia" w:ascii="宋体" w:hAnsi="宋体" w:eastAsia="宋体" w:cs="Times New Roman"/>
                <w:szCs w:val="21"/>
              </w:rPr>
            </w:pPr>
            <w:r>
              <w:rPr>
                <w:rFonts w:hint="eastAsia" w:ascii="宋体" w:hAnsi="宋体" w:eastAsia="宋体" w:cs="Times New Roman"/>
                <w:szCs w:val="21"/>
              </w:rPr>
              <w:t>三、与本项目有关的设计图纸、技术规范、文件等附件资料及其获取方式：</w:t>
            </w:r>
          </w:p>
          <w:p w14:paraId="41FFB95B">
            <w:pPr>
              <w:spacing w:line="360" w:lineRule="auto"/>
              <w:rPr>
                <w:rFonts w:hint="eastAsia" w:ascii="宋体" w:hAnsi="宋体" w:eastAsia="宋体" w:cs="Times New Roman"/>
                <w:szCs w:val="21"/>
              </w:rPr>
            </w:pPr>
            <w:r>
              <w:rPr>
                <w:rFonts w:hint="eastAsia" w:ascii="宋体" w:hAnsi="宋体" w:eastAsia="宋体" w:cs="Times New Roman"/>
                <w:szCs w:val="21"/>
              </w:rPr>
              <w:t xml:space="preserve">文件或者资料名称： 无                                </w:t>
            </w:r>
          </w:p>
          <w:p w14:paraId="35E09002">
            <w:pPr>
              <w:spacing w:line="360" w:lineRule="auto"/>
              <w:rPr>
                <w:rFonts w:hint="eastAsia" w:ascii="宋体" w:hAnsi="宋体" w:eastAsia="宋体" w:cs="Times New Roman"/>
                <w:szCs w:val="21"/>
              </w:rPr>
            </w:pPr>
            <w:r>
              <w:rPr>
                <w:rFonts w:hint="eastAsia" w:ascii="宋体" w:hAnsi="宋体" w:eastAsia="宋体" w:cs="Times New Roman"/>
                <w:szCs w:val="21"/>
              </w:rPr>
              <w:t xml:space="preserve">公布渠道或者获取方式：无                             </w:t>
            </w:r>
          </w:p>
          <w:p w14:paraId="72572065">
            <w:pPr>
              <w:spacing w:line="360" w:lineRule="auto"/>
              <w:rPr>
                <w:rFonts w:hint="eastAsia" w:ascii="宋体" w:hAnsi="宋体" w:eastAsia="宋体" w:cs="Times New Roman"/>
                <w:szCs w:val="21"/>
              </w:rPr>
            </w:pPr>
            <w:r>
              <w:rPr>
                <w:rFonts w:hint="eastAsia" w:ascii="宋体" w:hAnsi="宋体" w:eastAsia="宋体" w:cs="Times New Roman"/>
                <w:szCs w:val="21"/>
              </w:rPr>
              <w:t>▲四、允许负偏离项：</w:t>
            </w:r>
          </w:p>
          <w:p w14:paraId="165930F7">
            <w:pPr>
              <w:spacing w:line="360" w:lineRule="auto"/>
              <w:rPr>
                <w:rFonts w:hint="eastAsia" w:ascii="宋体" w:hAnsi="宋体" w:eastAsia="宋体" w:cs="Times New Roman"/>
                <w:szCs w:val="21"/>
              </w:rPr>
            </w:pPr>
            <w:r>
              <w:rPr>
                <w:rFonts w:hint="eastAsia" w:ascii="宋体" w:hAnsi="宋体" w:eastAsia="宋体" w:cs="Times New Roman"/>
                <w:szCs w:val="21"/>
              </w:rPr>
              <w:t>商务条款评审中允许负偏离的条款数为0项。</w:t>
            </w:r>
          </w:p>
          <w:p w14:paraId="4F63BA8C">
            <w:pPr>
              <w:spacing w:line="360" w:lineRule="exact"/>
              <w:rPr>
                <w:rFonts w:hint="eastAsia" w:ascii="宋体" w:hAnsi="宋体" w:eastAsia="宋体" w:cs="宋体"/>
              </w:rPr>
            </w:pPr>
            <w:r>
              <w:rPr>
                <w:rFonts w:hint="eastAsia" w:ascii="宋体" w:hAnsi="宋体" w:eastAsia="宋体" w:cs="Times New Roman"/>
                <w:szCs w:val="21"/>
              </w:rPr>
              <w:t>技术需求评审中允许负偏离的条款数为0项。</w:t>
            </w:r>
          </w:p>
        </w:tc>
      </w:tr>
    </w:tbl>
    <w:p w14:paraId="009AEE92">
      <w:pPr>
        <w:tabs>
          <w:tab w:val="left" w:pos="5614"/>
        </w:tabs>
        <w:spacing w:line="460" w:lineRule="exact"/>
        <w:outlineLvl w:val="0"/>
        <w:rPr>
          <w:rFonts w:hint="eastAsia" w:ascii="宋体" w:hAnsi="宋体" w:eastAsia="宋体" w:cs="宋体"/>
          <w:b/>
          <w:bCs/>
          <w:sz w:val="24"/>
        </w:rPr>
      </w:pPr>
      <w:r>
        <w:rPr>
          <w:rFonts w:hint="eastAsia" w:ascii="宋体" w:hAnsi="宋体" w:eastAsia="宋体" w:cs="宋体"/>
          <w:b/>
          <w:bCs/>
          <w:sz w:val="24"/>
        </w:rPr>
        <w:br w:type="page"/>
      </w:r>
      <w:bookmarkStart w:id="0" w:name="_Toc31713"/>
      <w:bookmarkStart w:id="1" w:name="_Toc9502"/>
      <w:bookmarkStart w:id="2" w:name="_Toc8984"/>
      <w:r>
        <w:rPr>
          <w:rFonts w:hint="eastAsia" w:ascii="宋体" w:hAnsi="宋体" w:eastAsia="宋体" w:cs="宋体"/>
          <w:b/>
          <w:bCs/>
          <w:sz w:val="24"/>
        </w:rPr>
        <w:t>2分标：</w:t>
      </w:r>
      <w:bookmarkEnd w:id="0"/>
      <w:bookmarkEnd w:id="1"/>
      <w:bookmarkEnd w:id="2"/>
      <w:r>
        <w:rPr>
          <w:rFonts w:hint="eastAsia" w:ascii="宋体" w:hAnsi="宋体" w:eastAsia="宋体" w:cs="宋体"/>
          <w:b/>
          <w:bCs/>
          <w:sz w:val="24"/>
        </w:rPr>
        <w:t>耗材工具类</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503"/>
        <w:gridCol w:w="728"/>
        <w:gridCol w:w="774"/>
        <w:gridCol w:w="5959"/>
      </w:tblGrid>
      <w:tr w14:paraId="2CF1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63" w:type="dxa"/>
            <w:noWrap w:val="0"/>
            <w:vAlign w:val="center"/>
          </w:tcPr>
          <w:p w14:paraId="7C42061D">
            <w:pPr>
              <w:spacing w:line="360" w:lineRule="exact"/>
              <w:jc w:val="center"/>
              <w:rPr>
                <w:rFonts w:ascii="宋体" w:hAnsi="宋体" w:eastAsia="宋体" w:cs="Times New Roman"/>
                <w:b/>
                <w:szCs w:val="21"/>
              </w:rPr>
            </w:pPr>
            <w:r>
              <w:rPr>
                <w:rFonts w:hint="eastAsia" w:ascii="宋体" w:hAnsi="宋体" w:eastAsia="宋体" w:cs="Times New Roman"/>
                <w:b/>
                <w:szCs w:val="21"/>
              </w:rPr>
              <w:t>序号</w:t>
            </w:r>
          </w:p>
        </w:tc>
        <w:tc>
          <w:tcPr>
            <w:tcW w:w="1503" w:type="dxa"/>
            <w:noWrap w:val="0"/>
            <w:vAlign w:val="center"/>
          </w:tcPr>
          <w:p w14:paraId="632A9F89">
            <w:pPr>
              <w:spacing w:line="360" w:lineRule="exact"/>
              <w:jc w:val="center"/>
              <w:rPr>
                <w:rFonts w:ascii="宋体" w:hAnsi="宋体" w:eastAsia="宋体" w:cs="Times New Roman"/>
                <w:b/>
                <w:szCs w:val="21"/>
              </w:rPr>
            </w:pPr>
            <w:r>
              <w:rPr>
                <w:rFonts w:hint="eastAsia" w:ascii="宋体" w:hAnsi="宋体" w:eastAsia="宋体" w:cs="Times New Roman"/>
                <w:b/>
                <w:szCs w:val="21"/>
              </w:rPr>
              <w:t>采购内容</w:t>
            </w:r>
          </w:p>
        </w:tc>
        <w:tc>
          <w:tcPr>
            <w:tcW w:w="728" w:type="dxa"/>
            <w:noWrap w:val="0"/>
            <w:vAlign w:val="center"/>
          </w:tcPr>
          <w:p w14:paraId="04A5E1CB">
            <w:pPr>
              <w:spacing w:line="360" w:lineRule="exact"/>
              <w:jc w:val="center"/>
              <w:rPr>
                <w:rFonts w:ascii="宋体" w:hAnsi="宋体" w:eastAsia="宋体" w:cs="Times New Roman"/>
                <w:b/>
                <w:szCs w:val="21"/>
              </w:rPr>
            </w:pPr>
            <w:r>
              <w:rPr>
                <w:rFonts w:hint="eastAsia" w:ascii="宋体" w:hAnsi="宋体" w:eastAsia="宋体" w:cs="Times New Roman"/>
                <w:b/>
                <w:szCs w:val="21"/>
              </w:rPr>
              <w:t>数量</w:t>
            </w:r>
          </w:p>
        </w:tc>
        <w:tc>
          <w:tcPr>
            <w:tcW w:w="774" w:type="dxa"/>
            <w:noWrap w:val="0"/>
            <w:vAlign w:val="center"/>
          </w:tcPr>
          <w:p w14:paraId="265C747B">
            <w:pPr>
              <w:spacing w:line="360" w:lineRule="exact"/>
              <w:jc w:val="center"/>
              <w:rPr>
                <w:rFonts w:ascii="宋体" w:hAnsi="宋体" w:eastAsia="宋体" w:cs="Times New Roman"/>
                <w:b/>
                <w:szCs w:val="21"/>
              </w:rPr>
            </w:pPr>
            <w:r>
              <w:rPr>
                <w:rFonts w:hint="eastAsia" w:ascii="宋体" w:hAnsi="宋体" w:eastAsia="宋体" w:cs="Times New Roman"/>
                <w:b/>
                <w:szCs w:val="21"/>
              </w:rPr>
              <w:t>单位</w:t>
            </w:r>
          </w:p>
        </w:tc>
        <w:tc>
          <w:tcPr>
            <w:tcW w:w="5959" w:type="dxa"/>
            <w:noWrap w:val="0"/>
            <w:vAlign w:val="center"/>
          </w:tcPr>
          <w:p w14:paraId="0D757E06">
            <w:pPr>
              <w:spacing w:line="360" w:lineRule="exact"/>
              <w:jc w:val="center"/>
              <w:rPr>
                <w:rFonts w:ascii="宋体" w:hAnsi="宋体" w:eastAsia="宋体" w:cs="Times New Roman"/>
                <w:b/>
                <w:szCs w:val="21"/>
              </w:rPr>
            </w:pPr>
            <w:r>
              <w:rPr>
                <w:rFonts w:hint="eastAsia" w:ascii="宋体" w:hAnsi="宋体" w:eastAsia="宋体" w:cs="Times New Roman"/>
                <w:b/>
                <w:szCs w:val="21"/>
              </w:rPr>
              <w:t>项目要求及技术需求</w:t>
            </w:r>
          </w:p>
        </w:tc>
      </w:tr>
      <w:tr w14:paraId="71DA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63" w:type="dxa"/>
            <w:noWrap w:val="0"/>
            <w:vAlign w:val="center"/>
          </w:tcPr>
          <w:p w14:paraId="2BAC11F7">
            <w:pPr>
              <w:spacing w:line="360" w:lineRule="exact"/>
              <w:jc w:val="center"/>
              <w:rPr>
                <w:rFonts w:hint="eastAsia" w:ascii="宋体" w:hAnsi="宋体" w:eastAsia="宋体" w:cs="Times New Roman"/>
                <w:szCs w:val="21"/>
              </w:rPr>
            </w:pPr>
            <w:r>
              <w:rPr>
                <w:rFonts w:hint="eastAsia" w:ascii="宋体" w:hAnsi="宋体" w:eastAsia="宋体" w:cs="Times New Roman"/>
                <w:szCs w:val="21"/>
              </w:rPr>
              <w:t>1</w:t>
            </w:r>
          </w:p>
        </w:tc>
        <w:tc>
          <w:tcPr>
            <w:tcW w:w="1503" w:type="dxa"/>
            <w:noWrap w:val="0"/>
            <w:vAlign w:val="center"/>
          </w:tcPr>
          <w:p w14:paraId="45A0A186">
            <w:pPr>
              <w:spacing w:line="360" w:lineRule="exact"/>
              <w:jc w:val="center"/>
              <w:rPr>
                <w:rFonts w:ascii="宋体" w:hAnsi="宋体" w:eastAsia="宋体" w:cs="Times New Roman"/>
                <w:szCs w:val="21"/>
              </w:rPr>
            </w:pPr>
            <w:r>
              <w:rPr>
                <w:rFonts w:hint="eastAsia" w:ascii="宋体" w:hAnsi="宋体" w:eastAsia="宋体" w:cs="Times New Roman"/>
                <w:szCs w:val="21"/>
              </w:rPr>
              <w:t>耗材工具类供货服务</w:t>
            </w:r>
          </w:p>
        </w:tc>
        <w:tc>
          <w:tcPr>
            <w:tcW w:w="728" w:type="dxa"/>
            <w:noWrap w:val="0"/>
            <w:vAlign w:val="center"/>
          </w:tcPr>
          <w:p w14:paraId="23AFA00F">
            <w:pPr>
              <w:spacing w:line="360" w:lineRule="exact"/>
              <w:jc w:val="center"/>
              <w:rPr>
                <w:rFonts w:ascii="宋体" w:hAnsi="宋体" w:eastAsia="宋体" w:cs="Times New Roman"/>
                <w:szCs w:val="21"/>
              </w:rPr>
            </w:pPr>
            <w:r>
              <w:rPr>
                <w:rFonts w:hint="eastAsia" w:ascii="宋体" w:hAnsi="宋体" w:eastAsia="宋体" w:cs="Times New Roman"/>
                <w:szCs w:val="21"/>
              </w:rPr>
              <w:t>1</w:t>
            </w:r>
          </w:p>
        </w:tc>
        <w:tc>
          <w:tcPr>
            <w:tcW w:w="774" w:type="dxa"/>
            <w:noWrap w:val="0"/>
            <w:vAlign w:val="center"/>
          </w:tcPr>
          <w:p w14:paraId="13F32B0A">
            <w:pPr>
              <w:spacing w:line="360" w:lineRule="exact"/>
              <w:jc w:val="center"/>
              <w:rPr>
                <w:rFonts w:hint="eastAsia" w:ascii="宋体" w:hAnsi="宋体" w:eastAsia="宋体" w:cs="Times New Roman"/>
                <w:szCs w:val="21"/>
              </w:rPr>
            </w:pPr>
            <w:r>
              <w:rPr>
                <w:rFonts w:hint="eastAsia" w:ascii="宋体" w:hAnsi="宋体" w:eastAsia="宋体" w:cs="Times New Roman"/>
                <w:szCs w:val="21"/>
              </w:rPr>
              <w:t>项</w:t>
            </w:r>
          </w:p>
        </w:tc>
        <w:tc>
          <w:tcPr>
            <w:tcW w:w="5959" w:type="dxa"/>
            <w:noWrap w:val="0"/>
            <w:vAlign w:val="center"/>
          </w:tcPr>
          <w:p w14:paraId="3EF8BEAC">
            <w:pPr>
              <w:spacing w:line="360" w:lineRule="auto"/>
              <w:rPr>
                <w:rFonts w:hint="eastAsia" w:ascii="宋体" w:hAnsi="宋体" w:eastAsia="宋体" w:cs="Times New Roman"/>
                <w:szCs w:val="21"/>
              </w:rPr>
            </w:pPr>
            <w:r>
              <w:rPr>
                <w:rFonts w:hint="eastAsia" w:ascii="宋体" w:hAnsi="宋体" w:eastAsia="宋体" w:cs="Times New Roman"/>
                <w:szCs w:val="21"/>
              </w:rPr>
              <w:t>一、服务要求</w:t>
            </w:r>
          </w:p>
          <w:p w14:paraId="75CC51B1">
            <w:pPr>
              <w:spacing w:line="360" w:lineRule="auto"/>
              <w:rPr>
                <w:rFonts w:hint="eastAsia" w:ascii="宋体" w:hAnsi="宋体" w:eastAsia="宋体" w:cs="Times New Roman"/>
                <w:szCs w:val="21"/>
              </w:rPr>
            </w:pPr>
            <w:r>
              <w:rPr>
                <w:rFonts w:hint="eastAsia" w:ascii="宋体" w:hAnsi="宋体" w:eastAsia="宋体" w:cs="Times New Roman"/>
                <w:szCs w:val="21"/>
              </w:rPr>
              <w:t>1.根据采购人需求频率负责送货上门，并在采购人实验耗材供应服务指定时间之前送达指定地点。</w:t>
            </w:r>
          </w:p>
          <w:p w14:paraId="2ED11407">
            <w:pPr>
              <w:spacing w:line="360" w:lineRule="auto"/>
              <w:rPr>
                <w:rFonts w:hint="eastAsia" w:ascii="宋体" w:hAnsi="宋体" w:eastAsia="宋体" w:cs="Times New Roman"/>
                <w:szCs w:val="21"/>
              </w:rPr>
            </w:pPr>
            <w:r>
              <w:rPr>
                <w:rFonts w:hint="eastAsia" w:ascii="宋体" w:hAnsi="宋体" w:eastAsia="宋体" w:cs="Times New Roman"/>
                <w:szCs w:val="21"/>
              </w:rPr>
              <w:t>2.交付货品清单同货物一并送达采购人。货品在交付前发生的风险均由中标人自行负责。</w:t>
            </w:r>
          </w:p>
          <w:p w14:paraId="644BB870">
            <w:pPr>
              <w:spacing w:line="360" w:lineRule="auto"/>
              <w:rPr>
                <w:rFonts w:hint="eastAsia" w:ascii="宋体" w:hAnsi="宋体" w:eastAsia="宋体" w:cs="Times New Roman"/>
                <w:szCs w:val="21"/>
              </w:rPr>
            </w:pPr>
            <w:r>
              <w:rPr>
                <w:rFonts w:hint="eastAsia" w:ascii="宋体" w:hAnsi="宋体" w:eastAsia="宋体" w:cs="Times New Roman"/>
                <w:szCs w:val="21"/>
              </w:rPr>
              <w:t>3.中标人安排回访，解决使用者在工作中的实际困难。了解其所提供产品的质量情况并及时反馈给厂家。</w:t>
            </w:r>
          </w:p>
          <w:p w14:paraId="228FF796">
            <w:pPr>
              <w:spacing w:line="360" w:lineRule="auto"/>
              <w:rPr>
                <w:rFonts w:hint="eastAsia" w:ascii="宋体" w:hAnsi="宋体" w:eastAsia="宋体" w:cs="Times New Roman"/>
                <w:szCs w:val="21"/>
              </w:rPr>
            </w:pPr>
            <w:r>
              <w:rPr>
                <w:rFonts w:hint="eastAsia" w:ascii="宋体" w:hAnsi="宋体" w:eastAsia="宋体" w:cs="Times New Roman"/>
                <w:szCs w:val="21"/>
              </w:rPr>
              <w:t>二、结算要求</w:t>
            </w:r>
          </w:p>
          <w:p w14:paraId="4058CFB1">
            <w:pPr>
              <w:spacing w:line="360" w:lineRule="auto"/>
              <w:rPr>
                <w:rFonts w:hint="eastAsia" w:ascii="宋体" w:hAnsi="宋体" w:eastAsia="宋体" w:cs="Times New Roman"/>
                <w:szCs w:val="21"/>
              </w:rPr>
            </w:pPr>
            <w:r>
              <w:rPr>
                <w:rFonts w:hint="eastAsia" w:ascii="宋体" w:hAnsi="宋体" w:eastAsia="宋体" w:cs="Times New Roman"/>
                <w:szCs w:val="21"/>
              </w:rPr>
              <w:t>1.按附件《耗材工具类》工作表中的各货品按实际发生的数量计算。货品价格按中标人中标单价后乘以实际数量进行结算。</w:t>
            </w:r>
          </w:p>
          <w:p w14:paraId="3593FBD3">
            <w:pPr>
              <w:spacing w:line="360" w:lineRule="auto"/>
              <w:rPr>
                <w:rFonts w:hint="eastAsia" w:ascii="宋体" w:hAnsi="宋体" w:eastAsia="宋体" w:cs="Times New Roman"/>
                <w:szCs w:val="21"/>
              </w:rPr>
            </w:pPr>
            <w:r>
              <w:rPr>
                <w:rFonts w:hint="eastAsia" w:ascii="宋体" w:hAnsi="宋体" w:eastAsia="宋体" w:cs="Times New Roman"/>
                <w:szCs w:val="21"/>
              </w:rPr>
              <w:t>▲三、供货要求</w:t>
            </w:r>
          </w:p>
          <w:p w14:paraId="64DFF094">
            <w:pPr>
              <w:spacing w:line="360" w:lineRule="auto"/>
              <w:rPr>
                <w:rFonts w:hint="eastAsia" w:ascii="宋体" w:hAnsi="宋体" w:eastAsia="宋体" w:cs="Times New Roman"/>
                <w:szCs w:val="21"/>
              </w:rPr>
            </w:pPr>
            <w:r>
              <w:rPr>
                <w:rFonts w:hint="eastAsia" w:ascii="宋体" w:hAnsi="宋体" w:eastAsia="宋体" w:cs="Times New Roman"/>
                <w:szCs w:val="21"/>
              </w:rPr>
              <w:t>1.在采购周期内，中标人不得以物价上涨为由提高中标产品价格，更不得以此为由拒绝采购及供货。</w:t>
            </w:r>
          </w:p>
          <w:p w14:paraId="7566904E">
            <w:pPr>
              <w:spacing w:line="360" w:lineRule="auto"/>
              <w:rPr>
                <w:rFonts w:hint="eastAsia" w:ascii="宋体" w:hAnsi="宋体" w:eastAsia="宋体" w:cs="Times New Roman"/>
                <w:szCs w:val="21"/>
              </w:rPr>
            </w:pPr>
            <w:r>
              <w:rPr>
                <w:rFonts w:hint="eastAsia" w:ascii="宋体" w:hAnsi="宋体" w:eastAsia="宋体" w:cs="Times New Roman"/>
                <w:szCs w:val="21"/>
              </w:rPr>
              <w:t>2.中标人负责送货上门，并按照投标承诺标准和采购人的需求及时供货，不得以缺货、运输延误等任何理由拖延供货或不供货。对拖延供货或不供货的中标人，经采购人警告两次或以上的，采购人有权依法解除合同。</w:t>
            </w:r>
          </w:p>
          <w:p w14:paraId="49295BCD">
            <w:pPr>
              <w:spacing w:line="360" w:lineRule="auto"/>
              <w:rPr>
                <w:rFonts w:hint="eastAsia" w:ascii="宋体" w:hAnsi="宋体" w:eastAsia="宋体" w:cs="Times New Roman"/>
                <w:szCs w:val="21"/>
              </w:rPr>
            </w:pPr>
            <w:r>
              <w:rPr>
                <w:rFonts w:hint="eastAsia" w:ascii="宋体" w:hAnsi="宋体" w:eastAsia="宋体" w:cs="Times New Roman"/>
                <w:szCs w:val="21"/>
              </w:rPr>
              <w:t>3.中标人应在货物发运前对其进行满足运输距离、防潮、防震和防破损装卸等进行包装，以保证货物安全运输；并按与采购人确定的运输方式将货物运送至采购人指定地点，相关费用由中标人承担。</w:t>
            </w:r>
          </w:p>
          <w:p w14:paraId="3C21A2DB">
            <w:pPr>
              <w:spacing w:line="360" w:lineRule="auto"/>
              <w:rPr>
                <w:rFonts w:hint="eastAsia" w:ascii="宋体" w:hAnsi="宋体" w:eastAsia="宋体" w:cs="Times New Roman"/>
                <w:szCs w:val="21"/>
              </w:rPr>
            </w:pPr>
            <w:r>
              <w:rPr>
                <w:rFonts w:hint="eastAsia" w:ascii="宋体" w:hAnsi="宋体" w:eastAsia="宋体" w:cs="Times New Roman"/>
                <w:szCs w:val="21"/>
              </w:rPr>
              <w:t>4.中标人在供货时须提供供货货物正规来源的证明材料，确保货物的质量符合国家、行业相关质量标准和交易合法。</w:t>
            </w:r>
          </w:p>
          <w:p w14:paraId="6F716A58">
            <w:pPr>
              <w:spacing w:line="360" w:lineRule="auto"/>
              <w:rPr>
                <w:rFonts w:hint="eastAsia" w:ascii="宋体" w:hAnsi="宋体" w:eastAsia="宋体" w:cs="Times New Roman"/>
                <w:szCs w:val="21"/>
              </w:rPr>
            </w:pPr>
            <w:r>
              <w:rPr>
                <w:rFonts w:hint="eastAsia" w:ascii="宋体" w:hAnsi="宋体" w:eastAsia="宋体" w:cs="Times New Roman"/>
                <w:szCs w:val="21"/>
              </w:rPr>
              <w:pict>
                <v:shape id="Object 88" o:spid="_x0000_s1027" o:spt="75" type="#_x0000_t75" style="position:absolute;left:0pt;margin-left:211.5pt;margin-top:30.2pt;height:65.4pt;width:72.6pt;mso-wrap-distance-bottom:0pt;mso-wrap-distance-left:9pt;mso-wrap-distance-right:9pt;mso-wrap-distance-top:0pt;z-index:251659264;mso-width-relative:page;mso-height-relative:page;" o:ole="t" filled="f" o:preferrelative="t" stroked="f" coordsize="21600,21600">
                  <v:path/>
                  <v:fill on="f" focussize="0,0"/>
                  <v:stroke on="f"/>
                  <v:imagedata r:id="rId7" o:title=""/>
                  <o:lock v:ext="edit" aspectratio="t"/>
                  <w10:wrap type="square"/>
                </v:shape>
                <o:OLEObject Type="Embed" ProgID="Excel.Sheet.8" ShapeID="Object 88" DrawAspect="Icon" ObjectID="_1468075726" r:id="rId6">
                  <o:LockedField>false</o:LockedField>
                </o:OLEObject>
              </w:pict>
            </w:r>
            <w:r>
              <w:rPr>
                <w:rFonts w:hint="eastAsia" w:ascii="宋体" w:hAnsi="宋体" w:eastAsia="宋体" w:cs="Times New Roman"/>
                <w:szCs w:val="21"/>
              </w:rPr>
              <w:t>5.中标人实际配送的货物必须为合格品，不能以次充好或提供假冒伪劣产品，否则采购人有权单方中止或终止与中标人的项目合同并追究相关法律责任。</w:t>
            </w:r>
          </w:p>
        </w:tc>
      </w:tr>
      <w:tr w14:paraId="2CBD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663" w:type="dxa"/>
            <w:noWrap w:val="0"/>
            <w:vAlign w:val="center"/>
          </w:tcPr>
          <w:p w14:paraId="3E7F9D94">
            <w:pPr>
              <w:spacing w:line="360" w:lineRule="exact"/>
              <w:rPr>
                <w:rFonts w:ascii="宋体" w:hAnsi="宋体" w:eastAsia="宋体" w:cs="Times New Roman"/>
                <w:szCs w:val="21"/>
              </w:rPr>
            </w:pPr>
            <w:r>
              <w:rPr>
                <w:rFonts w:hint="eastAsia" w:ascii="宋体" w:hAnsi="宋体" w:eastAsia="宋体" w:cs="Times New Roman"/>
                <w:szCs w:val="21"/>
              </w:rPr>
              <w:t>商务条款</w:t>
            </w:r>
          </w:p>
        </w:tc>
        <w:tc>
          <w:tcPr>
            <w:tcW w:w="8964" w:type="dxa"/>
            <w:gridSpan w:val="4"/>
            <w:noWrap w:val="0"/>
            <w:vAlign w:val="center"/>
          </w:tcPr>
          <w:p w14:paraId="4BB6F3BF">
            <w:pPr>
              <w:spacing w:line="360" w:lineRule="auto"/>
              <w:rPr>
                <w:rFonts w:hint="eastAsia" w:ascii="宋体" w:hAnsi="宋体" w:eastAsia="宋体" w:cs="Times New Roman"/>
                <w:szCs w:val="21"/>
              </w:rPr>
            </w:pPr>
            <w:r>
              <w:rPr>
                <w:rFonts w:hint="eastAsia" w:ascii="宋体" w:hAnsi="宋体" w:eastAsia="宋体" w:cs="Times New Roman"/>
                <w:szCs w:val="21"/>
              </w:rPr>
              <w:t>1.质保期及有效期：按产品的国家及行业有关标准执行，交货验收合格之日起不少于一年。</w:t>
            </w:r>
          </w:p>
          <w:p w14:paraId="1D8E5922">
            <w:pPr>
              <w:spacing w:line="360" w:lineRule="auto"/>
              <w:rPr>
                <w:rFonts w:hint="eastAsia" w:ascii="宋体" w:hAnsi="宋体" w:eastAsia="宋体" w:cs="Times New Roman"/>
                <w:szCs w:val="21"/>
              </w:rPr>
            </w:pPr>
            <w:r>
              <w:rPr>
                <w:rFonts w:hint="eastAsia" w:ascii="宋体" w:hAnsi="宋体" w:eastAsia="宋体" w:cs="Times New Roman"/>
                <w:szCs w:val="21"/>
              </w:rPr>
              <w:t>2.售中及售后服务要求：提供送货上门（或邮寄）服务，送货同时能提供产品的合格证或检验报告（如有必须提供），产品发生质量问题时接到采购人通知后12小时内响应，24小时内到达现场处理，无法处理的须更换，且不能再另收取任何费用；定期回访；其余按投标人承诺进行；</w:t>
            </w:r>
          </w:p>
          <w:p w14:paraId="5FE064CE">
            <w:pPr>
              <w:spacing w:line="360" w:lineRule="auto"/>
              <w:rPr>
                <w:rFonts w:hint="eastAsia" w:ascii="宋体" w:hAnsi="宋体" w:eastAsia="宋体" w:cs="Times New Roman"/>
                <w:szCs w:val="21"/>
              </w:rPr>
            </w:pPr>
            <w:r>
              <w:rPr>
                <w:rFonts w:hint="eastAsia" w:ascii="宋体" w:hAnsi="宋体" w:eastAsia="宋体" w:cs="Times New Roman"/>
                <w:szCs w:val="21"/>
              </w:rPr>
              <w:t>3.交货时间：除与采购人有特殊约定外，能保证下单后2个工作日内完成供货；有充足的货车或者通过快递保证每周至少3次对采购人实验室送货，遇到临时任务或急样能在当天12小时内完成供货。</w:t>
            </w:r>
          </w:p>
          <w:p w14:paraId="3A93467E">
            <w:pPr>
              <w:spacing w:line="360" w:lineRule="auto"/>
              <w:rPr>
                <w:rFonts w:hint="eastAsia" w:ascii="宋体" w:hAnsi="宋体" w:eastAsia="宋体" w:cs="Times New Roman"/>
                <w:szCs w:val="21"/>
              </w:rPr>
            </w:pPr>
            <w:r>
              <w:rPr>
                <w:rFonts w:hint="eastAsia" w:ascii="宋体" w:hAnsi="宋体" w:eastAsia="宋体" w:cs="Times New Roman"/>
                <w:szCs w:val="21"/>
              </w:rPr>
              <w:t>交货地点：广西南宁市市区内采购人指定地点。</w:t>
            </w:r>
          </w:p>
          <w:p w14:paraId="7BA9545A">
            <w:pPr>
              <w:spacing w:line="360" w:lineRule="auto"/>
              <w:rPr>
                <w:rFonts w:hint="eastAsia" w:ascii="宋体" w:hAnsi="宋体" w:eastAsia="宋体" w:cs="Times New Roman"/>
                <w:szCs w:val="21"/>
              </w:rPr>
            </w:pPr>
            <w:r>
              <w:rPr>
                <w:rFonts w:hint="eastAsia" w:ascii="宋体" w:hAnsi="宋体" w:eastAsia="宋体" w:cs="Times New Roman"/>
                <w:szCs w:val="21"/>
              </w:rPr>
              <w:t>4.付款条件：每批货根据实际供货情况进行结算，每批次自验收合格之日起3个工作日内，中标供应商开具请款函及发票给采购人，承包人在收到请款函及发票之日起20个工作日内，支付该批货物全部合同款给中标供应商。</w:t>
            </w:r>
          </w:p>
          <w:p w14:paraId="09D08964">
            <w:pPr>
              <w:spacing w:line="360" w:lineRule="auto"/>
              <w:rPr>
                <w:rFonts w:hint="eastAsia" w:ascii="宋体" w:hAnsi="宋体" w:eastAsia="宋体" w:cs="Times New Roman"/>
                <w:szCs w:val="21"/>
              </w:rPr>
            </w:pPr>
            <w:r>
              <w:rPr>
                <w:rFonts w:hint="eastAsia" w:ascii="宋体" w:hAnsi="宋体" w:eastAsia="宋体" w:cs="Times New Roman"/>
                <w:szCs w:val="21"/>
              </w:rPr>
              <w:t>5.投标人保证若中标后向采购人提供的产品是全新、完整、未使用过的。</w:t>
            </w:r>
          </w:p>
          <w:p w14:paraId="1A679626">
            <w:pPr>
              <w:spacing w:line="360" w:lineRule="auto"/>
              <w:rPr>
                <w:rFonts w:hint="eastAsia" w:ascii="宋体" w:hAnsi="宋体" w:eastAsia="宋体" w:cs="Times New Roman"/>
                <w:szCs w:val="21"/>
              </w:rPr>
            </w:pPr>
            <w:r>
              <w:rPr>
                <w:rFonts w:hint="eastAsia" w:ascii="宋体" w:hAnsi="宋体" w:eastAsia="宋体" w:cs="Times New Roman"/>
                <w:szCs w:val="21"/>
              </w:rPr>
              <w:t>6.投标人必须根据附件工作表中产品“规格、参数”的内容进行报价，且与附件工作表中单位一致，并计算全部产品累计总价金额。</w:t>
            </w:r>
          </w:p>
          <w:p w14:paraId="1B0F327B">
            <w:pPr>
              <w:spacing w:line="360" w:lineRule="auto"/>
              <w:rPr>
                <w:rFonts w:hint="eastAsia" w:ascii="宋体" w:hAnsi="宋体" w:eastAsia="宋体" w:cs="Times New Roman"/>
                <w:szCs w:val="21"/>
              </w:rPr>
            </w:pPr>
            <w:r>
              <w:rPr>
                <w:rFonts w:hint="eastAsia" w:ascii="宋体" w:hAnsi="宋体" w:eastAsia="宋体" w:cs="Times New Roman"/>
                <w:szCs w:val="21"/>
              </w:rPr>
              <w:t>7.报价要求：本分标要求投标人投标时提供单价报价，附件工作表中所列产品在项目服务期内供货价格不能高于投标报价价格。投标人应按所投分标产品品目清单中的货物进行逐项报价，不能恶意低价投标。投标人任一产品单价报价超过附件工作表对应产品单价最高限价的，本分标投标无效。</w:t>
            </w:r>
          </w:p>
          <w:p w14:paraId="0B3A018F">
            <w:pPr>
              <w:spacing w:line="360" w:lineRule="auto"/>
              <w:rPr>
                <w:rFonts w:hint="eastAsia" w:ascii="宋体" w:hAnsi="宋体" w:eastAsia="宋体" w:cs="Times New Roman"/>
                <w:szCs w:val="21"/>
              </w:rPr>
            </w:pPr>
            <w:r>
              <w:rPr>
                <w:rFonts w:hint="eastAsia" w:ascii="宋体" w:hAnsi="宋体" w:eastAsia="宋体" w:cs="Times New Roman"/>
                <w:szCs w:val="21"/>
              </w:rPr>
              <w:t>8.本项目服务期内，附件工作表中所列产品为可能购买的品种，只有在采购人需要时才购买，采购人根据实际使用量与中标供应商据实结算。</w:t>
            </w:r>
          </w:p>
          <w:p w14:paraId="539E6D6D">
            <w:pPr>
              <w:spacing w:line="360" w:lineRule="auto"/>
              <w:rPr>
                <w:rFonts w:hint="eastAsia" w:ascii="宋体" w:hAnsi="宋体" w:eastAsia="宋体" w:cs="Times New Roman"/>
                <w:szCs w:val="21"/>
              </w:rPr>
            </w:pPr>
            <w:r>
              <w:rPr>
                <w:rFonts w:hint="eastAsia" w:ascii="宋体" w:hAnsi="宋体" w:eastAsia="宋体" w:cs="Times New Roman"/>
                <w:szCs w:val="21"/>
              </w:rPr>
              <w:t>9.供货的产品质量和所引用标准必须符合采购人实验需求，如不满足需求，中标人必须无条件更换；供货的产品当出现2次不满足采购人实验需求时，中标人必须更换为满足实验需求的合格产品，价格不变；如原产品确属质量不合格，中标人应免费更换为同档次及以上合格产品。</w:t>
            </w:r>
          </w:p>
          <w:p w14:paraId="2E1632C4">
            <w:pPr>
              <w:spacing w:line="360" w:lineRule="auto"/>
              <w:rPr>
                <w:rFonts w:hint="eastAsia" w:ascii="宋体" w:hAnsi="宋体" w:eastAsia="宋体" w:cs="Times New Roman"/>
                <w:szCs w:val="21"/>
              </w:rPr>
            </w:pPr>
            <w:r>
              <w:rPr>
                <w:rFonts w:hint="eastAsia" w:ascii="宋体" w:hAnsi="宋体" w:eastAsia="宋体" w:cs="Times New Roman"/>
                <w:szCs w:val="21"/>
              </w:rPr>
              <w:t>10.中标人应配备符合产品存放条件的库房，对常用产品拥有一定库存量。投标人投入本项目的储存仓库面积至少100㎡（自有库房提供不动产权证（或房产证）复印件，租赁库房提供库房租赁合同复印件）。</w:t>
            </w:r>
          </w:p>
          <w:p w14:paraId="0668B42B">
            <w:pPr>
              <w:spacing w:line="360" w:lineRule="auto"/>
              <w:rPr>
                <w:rFonts w:hint="eastAsia" w:ascii="宋体" w:hAnsi="宋体" w:eastAsia="宋体" w:cs="Times New Roman"/>
                <w:szCs w:val="21"/>
              </w:rPr>
            </w:pPr>
            <w:r>
              <w:rPr>
                <w:rFonts w:hint="eastAsia" w:ascii="宋体" w:hAnsi="宋体" w:eastAsia="宋体" w:cs="Times New Roman"/>
                <w:szCs w:val="21"/>
              </w:rPr>
              <w:t>11.本项目服务期自合同签订之日起一年内，服务期满合同自行终止。服务期内如本分标预算用完则合同自行终止。本项目自中标通知书发出后25日内签订合同。</w:t>
            </w:r>
          </w:p>
        </w:tc>
      </w:tr>
      <w:tr w14:paraId="797B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63" w:type="dxa"/>
            <w:noWrap w:val="0"/>
            <w:vAlign w:val="center"/>
          </w:tcPr>
          <w:p w14:paraId="6E52140A">
            <w:pPr>
              <w:spacing w:line="360" w:lineRule="exact"/>
              <w:rPr>
                <w:rFonts w:ascii="宋体" w:hAnsi="宋体" w:eastAsia="宋体" w:cs="Times New Roman"/>
                <w:szCs w:val="21"/>
              </w:rPr>
            </w:pPr>
            <w:r>
              <w:rPr>
                <w:rFonts w:hint="eastAsia" w:ascii="宋体" w:hAnsi="宋体" w:eastAsia="宋体" w:cs="Times New Roman"/>
                <w:szCs w:val="21"/>
              </w:rPr>
              <w:t>其他说明</w:t>
            </w:r>
          </w:p>
        </w:tc>
        <w:tc>
          <w:tcPr>
            <w:tcW w:w="8964" w:type="dxa"/>
            <w:gridSpan w:val="4"/>
            <w:noWrap w:val="0"/>
            <w:vAlign w:val="center"/>
          </w:tcPr>
          <w:p w14:paraId="7E3A0479">
            <w:pPr>
              <w:spacing w:line="360" w:lineRule="auto"/>
              <w:rPr>
                <w:rFonts w:hint="eastAsia" w:ascii="宋体" w:hAnsi="宋体" w:eastAsia="宋体" w:cs="Times New Roman"/>
                <w:szCs w:val="21"/>
              </w:rPr>
            </w:pPr>
            <w:r>
              <w:rPr>
                <w:rFonts w:hint="eastAsia" w:ascii="宋体" w:hAnsi="宋体" w:eastAsia="宋体" w:cs="Times New Roman"/>
                <w:szCs w:val="21"/>
              </w:rPr>
              <w:t>一、进口产品说明：</w:t>
            </w:r>
          </w:p>
          <w:p w14:paraId="322933C6">
            <w:pPr>
              <w:spacing w:line="360" w:lineRule="auto"/>
              <w:rPr>
                <w:rFonts w:hint="eastAsia" w:ascii="宋体" w:hAnsi="宋体" w:eastAsia="宋体" w:cs="Times New Roman"/>
                <w:szCs w:val="21"/>
              </w:rPr>
            </w:pPr>
            <w:r>
              <w:rPr>
                <w:rFonts w:hint="eastAsia" w:ascii="宋体" w:hAnsi="宋体" w:eastAsia="宋体" w:cs="Times New Roman"/>
                <w:szCs w:val="21"/>
              </w:rPr>
              <w:t>▲本项目货物所涉及的货物不接受进口产品（即通过中国海关报关验放进入中国境内且产自关境外的产品）参与投标，如有进口产品参与投标的作无效投标处理。</w:t>
            </w:r>
          </w:p>
          <w:p w14:paraId="31E1E7D2">
            <w:pPr>
              <w:spacing w:line="360" w:lineRule="auto"/>
              <w:rPr>
                <w:rFonts w:hint="eastAsia" w:ascii="宋体" w:hAnsi="宋体" w:eastAsia="宋体" w:cs="Times New Roman"/>
                <w:szCs w:val="21"/>
              </w:rPr>
            </w:pPr>
            <w:r>
              <w:rPr>
                <w:rFonts w:hint="eastAsia" w:ascii="宋体" w:hAnsi="宋体" w:eastAsia="宋体" w:cs="Times New Roman"/>
                <w:szCs w:val="21"/>
              </w:rPr>
              <w:t>二、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p w14:paraId="0E14949E">
            <w:pPr>
              <w:spacing w:line="360" w:lineRule="auto"/>
              <w:rPr>
                <w:rFonts w:hint="eastAsia" w:ascii="宋体" w:hAnsi="宋体" w:eastAsia="宋体" w:cs="Times New Roman"/>
                <w:szCs w:val="21"/>
              </w:rPr>
            </w:pPr>
            <w:r>
              <w:rPr>
                <w:rFonts w:hint="eastAsia" w:ascii="宋体" w:hAnsi="宋体" w:eastAsia="宋体" w:cs="Times New Roman"/>
                <w:szCs w:val="21"/>
              </w:rPr>
              <w:t>三、与本项目有关的设计图纸、技术规范、文件等附件资料及其获取方式：</w:t>
            </w:r>
          </w:p>
          <w:p w14:paraId="2EC25C2C">
            <w:pPr>
              <w:spacing w:line="360" w:lineRule="auto"/>
              <w:rPr>
                <w:rFonts w:hint="eastAsia" w:ascii="宋体" w:hAnsi="宋体" w:eastAsia="宋体" w:cs="Times New Roman"/>
                <w:szCs w:val="21"/>
              </w:rPr>
            </w:pPr>
            <w:r>
              <w:rPr>
                <w:rFonts w:hint="eastAsia" w:ascii="宋体" w:hAnsi="宋体" w:eastAsia="宋体" w:cs="Times New Roman"/>
                <w:szCs w:val="21"/>
              </w:rPr>
              <w:t xml:space="preserve">文件或者资料名称： 无                                </w:t>
            </w:r>
          </w:p>
          <w:p w14:paraId="7511A8B2">
            <w:pPr>
              <w:spacing w:line="360" w:lineRule="auto"/>
              <w:rPr>
                <w:rFonts w:hint="eastAsia" w:ascii="宋体" w:hAnsi="宋体" w:eastAsia="宋体" w:cs="Times New Roman"/>
                <w:szCs w:val="21"/>
              </w:rPr>
            </w:pPr>
            <w:r>
              <w:rPr>
                <w:rFonts w:hint="eastAsia" w:ascii="宋体" w:hAnsi="宋体" w:eastAsia="宋体" w:cs="Times New Roman"/>
                <w:szCs w:val="21"/>
              </w:rPr>
              <w:t xml:space="preserve">公布渠道或者获取方式：无                             </w:t>
            </w:r>
          </w:p>
          <w:p w14:paraId="0990D15D">
            <w:pPr>
              <w:spacing w:line="360" w:lineRule="auto"/>
              <w:rPr>
                <w:rFonts w:hint="eastAsia" w:ascii="宋体" w:hAnsi="宋体" w:eastAsia="宋体" w:cs="Times New Roman"/>
                <w:szCs w:val="21"/>
              </w:rPr>
            </w:pPr>
            <w:r>
              <w:rPr>
                <w:rFonts w:hint="eastAsia" w:ascii="宋体" w:hAnsi="宋体" w:eastAsia="宋体" w:cs="Times New Roman"/>
                <w:szCs w:val="21"/>
              </w:rPr>
              <w:t>▲四、允许负偏离项：</w:t>
            </w:r>
          </w:p>
          <w:p w14:paraId="69FBBAAE">
            <w:pPr>
              <w:spacing w:line="360" w:lineRule="auto"/>
              <w:rPr>
                <w:rFonts w:hint="eastAsia" w:ascii="宋体" w:hAnsi="宋体" w:eastAsia="宋体" w:cs="Times New Roman"/>
                <w:szCs w:val="21"/>
              </w:rPr>
            </w:pPr>
            <w:r>
              <w:rPr>
                <w:rFonts w:hint="eastAsia" w:ascii="宋体" w:hAnsi="宋体" w:eastAsia="宋体" w:cs="Times New Roman"/>
                <w:szCs w:val="21"/>
              </w:rPr>
              <w:t>商务条款评审中允许负偏离的条款数为0项。</w:t>
            </w:r>
          </w:p>
          <w:p w14:paraId="4B18AEA2">
            <w:pPr>
              <w:spacing w:line="360" w:lineRule="auto"/>
              <w:rPr>
                <w:rFonts w:hint="eastAsia" w:ascii="宋体" w:hAnsi="宋体" w:eastAsia="宋体" w:cs="宋体"/>
              </w:rPr>
            </w:pPr>
            <w:r>
              <w:rPr>
                <w:rFonts w:hint="eastAsia" w:ascii="宋体" w:hAnsi="宋体" w:eastAsia="宋体" w:cs="Times New Roman"/>
                <w:szCs w:val="21"/>
              </w:rPr>
              <w:t>技术需求评审中允许负偏离的条款数为0项。</w:t>
            </w:r>
          </w:p>
        </w:tc>
      </w:tr>
    </w:tbl>
    <w:p w14:paraId="7582A171">
      <w:pPr>
        <w:tabs>
          <w:tab w:val="left" w:pos="5614"/>
        </w:tabs>
        <w:spacing w:line="460" w:lineRule="exact"/>
        <w:outlineLvl w:val="0"/>
        <w:rPr>
          <w:rFonts w:hint="eastAsia" w:ascii="宋体" w:hAnsi="宋体" w:eastAsia="宋体" w:cs="宋体"/>
          <w:b/>
          <w:bCs/>
          <w:sz w:val="24"/>
        </w:rPr>
      </w:pPr>
      <w:r>
        <w:rPr>
          <w:rFonts w:hint="eastAsia" w:ascii="宋体" w:hAnsi="宋体" w:eastAsia="宋体" w:cs="宋体"/>
          <w:b/>
          <w:bCs/>
          <w:sz w:val="24"/>
        </w:rPr>
        <w:br w:type="page"/>
      </w:r>
      <w:bookmarkStart w:id="3" w:name="_Toc19851"/>
      <w:bookmarkStart w:id="4" w:name="_Toc23913"/>
      <w:bookmarkStart w:id="5" w:name="_Toc22628"/>
      <w:r>
        <w:rPr>
          <w:rFonts w:hint="eastAsia" w:ascii="宋体" w:hAnsi="宋体" w:eastAsia="宋体" w:cs="宋体"/>
          <w:b/>
          <w:bCs/>
          <w:sz w:val="24"/>
        </w:rPr>
        <w:t>3分标：</w:t>
      </w:r>
      <w:bookmarkEnd w:id="3"/>
      <w:bookmarkEnd w:id="4"/>
      <w:bookmarkEnd w:id="5"/>
      <w:r>
        <w:rPr>
          <w:rFonts w:hint="eastAsia" w:ascii="宋体" w:hAnsi="宋体" w:eastAsia="宋体" w:cs="宋体"/>
          <w:b/>
          <w:bCs/>
          <w:sz w:val="24"/>
        </w:rPr>
        <w:t>产业链专用材料类</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503"/>
        <w:gridCol w:w="728"/>
        <w:gridCol w:w="774"/>
        <w:gridCol w:w="5959"/>
      </w:tblGrid>
      <w:tr w14:paraId="250B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63" w:type="dxa"/>
            <w:noWrap w:val="0"/>
            <w:vAlign w:val="center"/>
          </w:tcPr>
          <w:p w14:paraId="350FC0EC">
            <w:pPr>
              <w:spacing w:line="360" w:lineRule="exact"/>
              <w:jc w:val="center"/>
              <w:rPr>
                <w:rFonts w:ascii="宋体" w:hAnsi="宋体" w:eastAsia="宋体" w:cs="Times New Roman"/>
                <w:b/>
                <w:szCs w:val="21"/>
              </w:rPr>
            </w:pPr>
            <w:r>
              <w:rPr>
                <w:rFonts w:hint="eastAsia" w:ascii="宋体" w:hAnsi="宋体" w:eastAsia="宋体" w:cs="Times New Roman"/>
                <w:b/>
                <w:szCs w:val="21"/>
              </w:rPr>
              <w:t>序号</w:t>
            </w:r>
          </w:p>
        </w:tc>
        <w:tc>
          <w:tcPr>
            <w:tcW w:w="1503" w:type="dxa"/>
            <w:noWrap w:val="0"/>
            <w:vAlign w:val="center"/>
          </w:tcPr>
          <w:p w14:paraId="632A2BA9">
            <w:pPr>
              <w:spacing w:line="360" w:lineRule="exact"/>
              <w:jc w:val="center"/>
              <w:rPr>
                <w:rFonts w:ascii="宋体" w:hAnsi="宋体" w:eastAsia="宋体" w:cs="Times New Roman"/>
                <w:b/>
                <w:szCs w:val="21"/>
              </w:rPr>
            </w:pPr>
            <w:r>
              <w:rPr>
                <w:rFonts w:hint="eastAsia" w:ascii="宋体" w:hAnsi="宋体" w:eastAsia="宋体" w:cs="Times New Roman"/>
                <w:b/>
                <w:szCs w:val="21"/>
              </w:rPr>
              <w:t>采购内容</w:t>
            </w:r>
          </w:p>
        </w:tc>
        <w:tc>
          <w:tcPr>
            <w:tcW w:w="728" w:type="dxa"/>
            <w:noWrap w:val="0"/>
            <w:vAlign w:val="center"/>
          </w:tcPr>
          <w:p w14:paraId="67A680EC">
            <w:pPr>
              <w:spacing w:line="360" w:lineRule="exact"/>
              <w:jc w:val="center"/>
              <w:rPr>
                <w:rFonts w:ascii="宋体" w:hAnsi="宋体" w:eastAsia="宋体" w:cs="Times New Roman"/>
                <w:b/>
                <w:szCs w:val="21"/>
              </w:rPr>
            </w:pPr>
            <w:r>
              <w:rPr>
                <w:rFonts w:hint="eastAsia" w:ascii="宋体" w:hAnsi="宋体" w:eastAsia="宋体" w:cs="Times New Roman"/>
                <w:b/>
                <w:szCs w:val="21"/>
              </w:rPr>
              <w:t>数量</w:t>
            </w:r>
          </w:p>
        </w:tc>
        <w:tc>
          <w:tcPr>
            <w:tcW w:w="774" w:type="dxa"/>
            <w:noWrap w:val="0"/>
            <w:vAlign w:val="center"/>
          </w:tcPr>
          <w:p w14:paraId="54DF90BC">
            <w:pPr>
              <w:spacing w:line="360" w:lineRule="exact"/>
              <w:jc w:val="center"/>
              <w:rPr>
                <w:rFonts w:ascii="宋体" w:hAnsi="宋体" w:eastAsia="宋体" w:cs="Times New Roman"/>
                <w:b/>
                <w:szCs w:val="21"/>
              </w:rPr>
            </w:pPr>
            <w:r>
              <w:rPr>
                <w:rFonts w:hint="eastAsia" w:ascii="宋体" w:hAnsi="宋体" w:eastAsia="宋体" w:cs="Times New Roman"/>
                <w:b/>
                <w:szCs w:val="21"/>
              </w:rPr>
              <w:t>单位</w:t>
            </w:r>
          </w:p>
        </w:tc>
        <w:tc>
          <w:tcPr>
            <w:tcW w:w="5959" w:type="dxa"/>
            <w:noWrap w:val="0"/>
            <w:vAlign w:val="center"/>
          </w:tcPr>
          <w:p w14:paraId="5C7D3213">
            <w:pPr>
              <w:spacing w:line="360" w:lineRule="exact"/>
              <w:jc w:val="center"/>
              <w:rPr>
                <w:rFonts w:ascii="宋体" w:hAnsi="宋体" w:eastAsia="宋体" w:cs="Times New Roman"/>
                <w:b/>
                <w:szCs w:val="21"/>
              </w:rPr>
            </w:pPr>
            <w:r>
              <w:rPr>
                <w:rFonts w:hint="eastAsia" w:ascii="宋体" w:hAnsi="宋体" w:eastAsia="宋体" w:cs="Times New Roman"/>
                <w:b/>
                <w:szCs w:val="21"/>
              </w:rPr>
              <w:t>项目要求及技术需求</w:t>
            </w:r>
          </w:p>
        </w:tc>
      </w:tr>
      <w:tr w14:paraId="7B1D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663" w:type="dxa"/>
            <w:noWrap w:val="0"/>
            <w:vAlign w:val="center"/>
          </w:tcPr>
          <w:p w14:paraId="10DFF343">
            <w:pPr>
              <w:spacing w:line="360" w:lineRule="exact"/>
              <w:jc w:val="center"/>
              <w:rPr>
                <w:rFonts w:hint="eastAsia" w:ascii="宋体" w:hAnsi="宋体" w:eastAsia="宋体" w:cs="Times New Roman"/>
                <w:szCs w:val="21"/>
              </w:rPr>
            </w:pPr>
            <w:r>
              <w:rPr>
                <w:rFonts w:hint="eastAsia" w:ascii="宋体" w:hAnsi="宋体" w:eastAsia="宋体" w:cs="Times New Roman"/>
                <w:szCs w:val="21"/>
              </w:rPr>
              <w:t>1</w:t>
            </w:r>
          </w:p>
        </w:tc>
        <w:tc>
          <w:tcPr>
            <w:tcW w:w="1503" w:type="dxa"/>
            <w:noWrap w:val="0"/>
            <w:vAlign w:val="center"/>
          </w:tcPr>
          <w:p w14:paraId="417057CC">
            <w:pPr>
              <w:spacing w:line="360" w:lineRule="exact"/>
              <w:jc w:val="center"/>
              <w:rPr>
                <w:rFonts w:ascii="宋体" w:hAnsi="宋体" w:eastAsia="宋体" w:cs="Times New Roman"/>
                <w:szCs w:val="21"/>
              </w:rPr>
            </w:pPr>
            <w:r>
              <w:rPr>
                <w:rFonts w:hint="eastAsia" w:ascii="宋体" w:hAnsi="宋体" w:eastAsia="宋体" w:cs="Times New Roman"/>
                <w:szCs w:val="21"/>
              </w:rPr>
              <w:t>产业链专用材料类供货服务</w:t>
            </w:r>
          </w:p>
        </w:tc>
        <w:tc>
          <w:tcPr>
            <w:tcW w:w="728" w:type="dxa"/>
            <w:noWrap w:val="0"/>
            <w:vAlign w:val="center"/>
          </w:tcPr>
          <w:p w14:paraId="0125AE94">
            <w:pPr>
              <w:spacing w:line="360" w:lineRule="exact"/>
              <w:jc w:val="center"/>
              <w:rPr>
                <w:rFonts w:ascii="宋体" w:hAnsi="宋体" w:eastAsia="宋体" w:cs="Times New Roman"/>
                <w:szCs w:val="21"/>
              </w:rPr>
            </w:pPr>
            <w:r>
              <w:rPr>
                <w:rFonts w:hint="eastAsia" w:ascii="宋体" w:hAnsi="宋体" w:eastAsia="宋体" w:cs="Times New Roman"/>
                <w:szCs w:val="21"/>
              </w:rPr>
              <w:t>1</w:t>
            </w:r>
          </w:p>
        </w:tc>
        <w:tc>
          <w:tcPr>
            <w:tcW w:w="774" w:type="dxa"/>
            <w:noWrap w:val="0"/>
            <w:vAlign w:val="center"/>
          </w:tcPr>
          <w:p w14:paraId="0C85D41C">
            <w:pPr>
              <w:spacing w:line="360" w:lineRule="exact"/>
              <w:jc w:val="center"/>
              <w:rPr>
                <w:rFonts w:hint="eastAsia" w:ascii="宋体" w:hAnsi="宋体" w:eastAsia="宋体" w:cs="Times New Roman"/>
                <w:szCs w:val="21"/>
              </w:rPr>
            </w:pPr>
            <w:r>
              <w:rPr>
                <w:rFonts w:hint="eastAsia" w:ascii="宋体" w:hAnsi="宋体" w:eastAsia="宋体" w:cs="Times New Roman"/>
                <w:szCs w:val="21"/>
              </w:rPr>
              <w:t>项</w:t>
            </w:r>
          </w:p>
        </w:tc>
        <w:tc>
          <w:tcPr>
            <w:tcW w:w="5959" w:type="dxa"/>
            <w:noWrap w:val="0"/>
            <w:vAlign w:val="center"/>
          </w:tcPr>
          <w:p w14:paraId="62DEB55A">
            <w:pPr>
              <w:spacing w:line="360" w:lineRule="auto"/>
              <w:rPr>
                <w:rFonts w:hint="eastAsia" w:ascii="宋体" w:hAnsi="宋体" w:eastAsia="宋体" w:cs="Times New Roman"/>
                <w:szCs w:val="21"/>
              </w:rPr>
            </w:pPr>
            <w:r>
              <w:rPr>
                <w:rFonts w:hint="eastAsia" w:ascii="宋体" w:hAnsi="宋体" w:eastAsia="宋体" w:cs="Times New Roman"/>
                <w:szCs w:val="21"/>
              </w:rPr>
              <w:t>一、服务要求</w:t>
            </w:r>
          </w:p>
          <w:p w14:paraId="521A6393">
            <w:pPr>
              <w:spacing w:line="360" w:lineRule="auto"/>
              <w:rPr>
                <w:rFonts w:hint="eastAsia" w:ascii="宋体" w:hAnsi="宋体" w:eastAsia="宋体" w:cs="Times New Roman"/>
                <w:szCs w:val="21"/>
              </w:rPr>
            </w:pPr>
            <w:r>
              <w:rPr>
                <w:rFonts w:hint="eastAsia" w:ascii="宋体" w:hAnsi="宋体" w:eastAsia="宋体" w:cs="Times New Roman"/>
                <w:szCs w:val="21"/>
              </w:rPr>
              <w:t>1.根据采购人需求频率负责送货上门，并在采购人实验耗材供应服务指定时间之前送达指定地点。</w:t>
            </w:r>
          </w:p>
          <w:p w14:paraId="031DF4AE">
            <w:pPr>
              <w:spacing w:line="360" w:lineRule="auto"/>
              <w:rPr>
                <w:rFonts w:hint="eastAsia" w:ascii="宋体" w:hAnsi="宋体" w:eastAsia="宋体" w:cs="Times New Roman"/>
                <w:szCs w:val="21"/>
              </w:rPr>
            </w:pPr>
            <w:r>
              <w:rPr>
                <w:rFonts w:hint="eastAsia" w:ascii="宋体" w:hAnsi="宋体" w:eastAsia="宋体" w:cs="Times New Roman"/>
                <w:szCs w:val="21"/>
              </w:rPr>
              <w:t>2.交付货品清单同货物一并送达采购人。货品在交付前发生的风险均由中标人自行负责。</w:t>
            </w:r>
          </w:p>
          <w:p w14:paraId="5492FE5B">
            <w:pPr>
              <w:spacing w:line="360" w:lineRule="auto"/>
              <w:rPr>
                <w:rFonts w:hint="eastAsia" w:ascii="宋体" w:hAnsi="宋体" w:eastAsia="宋体" w:cs="Times New Roman"/>
                <w:szCs w:val="21"/>
              </w:rPr>
            </w:pPr>
            <w:r>
              <w:rPr>
                <w:rFonts w:hint="eastAsia" w:ascii="宋体" w:hAnsi="宋体" w:eastAsia="宋体" w:cs="Times New Roman"/>
                <w:szCs w:val="21"/>
              </w:rPr>
              <w:t>3.中标人安排回访，解决使用者在工作中的实际困难。了解其所提供产品的质量情况并及时反馈给厂家。</w:t>
            </w:r>
          </w:p>
          <w:p w14:paraId="20B7B894">
            <w:pPr>
              <w:spacing w:line="360" w:lineRule="auto"/>
              <w:rPr>
                <w:rFonts w:hint="eastAsia" w:ascii="宋体" w:hAnsi="宋体" w:eastAsia="宋体" w:cs="Times New Roman"/>
                <w:szCs w:val="21"/>
              </w:rPr>
            </w:pPr>
            <w:r>
              <w:rPr>
                <w:rFonts w:hint="eastAsia" w:ascii="宋体" w:hAnsi="宋体" w:eastAsia="宋体" w:cs="Times New Roman"/>
                <w:szCs w:val="21"/>
              </w:rPr>
              <w:t>二、结算要求</w:t>
            </w:r>
          </w:p>
          <w:p w14:paraId="6251968D">
            <w:pPr>
              <w:spacing w:line="360" w:lineRule="auto"/>
              <w:rPr>
                <w:rFonts w:hint="eastAsia" w:ascii="宋体" w:hAnsi="宋体" w:eastAsia="宋体" w:cs="Times New Roman"/>
                <w:szCs w:val="21"/>
              </w:rPr>
            </w:pPr>
            <w:r>
              <w:rPr>
                <w:rFonts w:hint="eastAsia" w:ascii="宋体" w:hAnsi="宋体" w:eastAsia="宋体" w:cs="Times New Roman"/>
                <w:szCs w:val="21"/>
              </w:rPr>
              <w:t>1.按附件《产业链专用材料》工作表中的各货品按实际发生的数量计算。货品价格按中标人中标单价后乘以实际数量进行结算。</w:t>
            </w:r>
          </w:p>
          <w:p w14:paraId="1EC1722D">
            <w:pPr>
              <w:spacing w:line="360" w:lineRule="auto"/>
              <w:rPr>
                <w:rFonts w:hint="eastAsia" w:ascii="宋体" w:hAnsi="宋体" w:eastAsia="宋体" w:cs="Times New Roman"/>
                <w:szCs w:val="21"/>
              </w:rPr>
            </w:pPr>
            <w:r>
              <w:rPr>
                <w:rFonts w:hint="eastAsia" w:ascii="宋体" w:hAnsi="宋体" w:eastAsia="宋体" w:cs="Times New Roman"/>
                <w:szCs w:val="21"/>
              </w:rPr>
              <w:t>▲三、供货要求</w:t>
            </w:r>
          </w:p>
          <w:p w14:paraId="7DD8410A">
            <w:pPr>
              <w:spacing w:line="360" w:lineRule="auto"/>
              <w:rPr>
                <w:rFonts w:hint="eastAsia" w:ascii="宋体" w:hAnsi="宋体" w:eastAsia="宋体" w:cs="Times New Roman"/>
                <w:szCs w:val="21"/>
              </w:rPr>
            </w:pPr>
            <w:r>
              <w:rPr>
                <w:rFonts w:hint="eastAsia" w:ascii="宋体" w:hAnsi="宋体" w:eastAsia="宋体" w:cs="Times New Roman"/>
                <w:szCs w:val="21"/>
              </w:rPr>
              <w:t>1.在采购周期内，中标人不得以物价上涨为由提高中标产品价格，更不得以此为由拒绝采购及供货。</w:t>
            </w:r>
          </w:p>
          <w:p w14:paraId="7299223E">
            <w:pPr>
              <w:spacing w:line="360" w:lineRule="auto"/>
              <w:rPr>
                <w:rFonts w:hint="eastAsia" w:ascii="宋体" w:hAnsi="宋体" w:eastAsia="宋体" w:cs="Times New Roman"/>
                <w:szCs w:val="21"/>
              </w:rPr>
            </w:pPr>
            <w:r>
              <w:rPr>
                <w:rFonts w:hint="eastAsia" w:ascii="宋体" w:hAnsi="宋体" w:eastAsia="宋体" w:cs="Times New Roman"/>
                <w:szCs w:val="21"/>
              </w:rPr>
              <w:t>2.中标人负责送货上门，并按照投标承诺标准和采购人的需求及时供货，不得以缺货、运输延误等任何理由拖延供货或不供货。对拖延供货或不供货的中标人，经采购人警告两次或以上的，采购人有权依法解除合同。</w:t>
            </w:r>
          </w:p>
          <w:p w14:paraId="57C55BA6">
            <w:pPr>
              <w:spacing w:line="360" w:lineRule="auto"/>
              <w:rPr>
                <w:rFonts w:hint="eastAsia" w:ascii="宋体" w:hAnsi="宋体" w:eastAsia="宋体" w:cs="Times New Roman"/>
                <w:szCs w:val="21"/>
              </w:rPr>
            </w:pPr>
            <w:r>
              <w:rPr>
                <w:rFonts w:hint="eastAsia" w:ascii="宋体" w:hAnsi="宋体" w:eastAsia="宋体" w:cs="Times New Roman"/>
                <w:szCs w:val="21"/>
              </w:rPr>
              <w:t>3.中标人应在货物发运前对其进行满足运输距离、防潮、防震和防破损装卸等进行包装，以保证货物安全运输；并按与采购人确定的运输方式将货物运送至采购人指定地点，相关费用由中标人承担。</w:t>
            </w:r>
          </w:p>
          <w:p w14:paraId="2017B124">
            <w:pPr>
              <w:spacing w:line="360" w:lineRule="auto"/>
              <w:rPr>
                <w:rFonts w:hint="eastAsia" w:ascii="宋体" w:hAnsi="宋体" w:eastAsia="宋体" w:cs="Times New Roman"/>
                <w:szCs w:val="21"/>
              </w:rPr>
            </w:pPr>
            <w:r>
              <w:rPr>
                <w:rFonts w:hint="eastAsia" w:ascii="宋体" w:hAnsi="宋体" w:eastAsia="宋体" w:cs="Times New Roman"/>
                <w:szCs w:val="21"/>
              </w:rPr>
              <w:t>4.中标人在供货时须提供供货货物正规来源的证明材料，确保货物的质量符合国家、行业相关质量标准和交易合法。</w:t>
            </w:r>
          </w:p>
          <w:p w14:paraId="75F83F94">
            <w:pPr>
              <w:spacing w:line="360" w:lineRule="auto"/>
              <w:rPr>
                <w:rFonts w:hint="eastAsia" w:ascii="宋体" w:hAnsi="宋体" w:eastAsia="宋体" w:cs="Times New Roman"/>
                <w:szCs w:val="21"/>
              </w:rPr>
            </w:pPr>
            <w:r>
              <w:rPr>
                <w:rFonts w:hint="eastAsia" w:ascii="宋体" w:hAnsi="宋体" w:eastAsia="宋体" w:cs="Times New Roman"/>
                <w:szCs w:val="21"/>
              </w:rPr>
              <w:t>5.中标人实际配送的货物必须为合格品，不能以次充好或提供假冒伪劣产品，否则采购人有权单方中止或终止与中标人的项</w:t>
            </w:r>
            <w:r>
              <w:rPr>
                <w:rFonts w:hint="eastAsia" w:ascii="宋体" w:hAnsi="宋体" w:eastAsia="宋体" w:cs="Times New Roman"/>
                <w:szCs w:val="21"/>
              </w:rPr>
              <w:pict>
                <v:shape id="Object 89" o:spid="_x0000_s1028" o:spt="75" type="#_x0000_t75" style="position:absolute;left:0pt;margin-left:198.15pt;margin-top:-599.55pt;height:65.4pt;width:72.6pt;mso-wrap-distance-bottom:0pt;mso-wrap-distance-left:9pt;mso-wrap-distance-right:9pt;mso-wrap-distance-top:0pt;z-index:251660288;mso-width-relative:page;mso-height-relative:page;" o:ole="t" filled="f" o:preferrelative="t" stroked="f" coordsize="21600,21600">
                  <v:path/>
                  <v:fill on="f" focussize="0,0"/>
                  <v:stroke on="f"/>
                  <v:imagedata r:id="rId9" o:title=""/>
                  <o:lock v:ext="edit" aspectratio="t"/>
                  <w10:wrap type="square"/>
                </v:shape>
                <o:OLEObject Type="Embed" ProgID="Excel.Sheet.8" ShapeID="Object 89" DrawAspect="Icon" ObjectID="_1468075727" r:id="rId8">
                  <o:LockedField>false</o:LockedField>
                </o:OLEObject>
              </w:pict>
            </w:r>
            <w:r>
              <w:rPr>
                <w:rFonts w:hint="eastAsia" w:ascii="宋体" w:hAnsi="宋体" w:eastAsia="宋体" w:cs="Times New Roman"/>
                <w:szCs w:val="21"/>
              </w:rPr>
              <w:t>目合同并追究相关法律责任。</w:t>
            </w:r>
          </w:p>
        </w:tc>
      </w:tr>
      <w:tr w14:paraId="4AF2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663" w:type="dxa"/>
            <w:noWrap w:val="0"/>
            <w:vAlign w:val="center"/>
          </w:tcPr>
          <w:p w14:paraId="0FFBC161">
            <w:pPr>
              <w:spacing w:line="360" w:lineRule="exact"/>
              <w:rPr>
                <w:rFonts w:ascii="宋体" w:hAnsi="宋体" w:eastAsia="宋体" w:cs="Times New Roman"/>
                <w:szCs w:val="21"/>
              </w:rPr>
            </w:pPr>
            <w:r>
              <w:rPr>
                <w:rFonts w:hint="eastAsia" w:ascii="宋体" w:hAnsi="宋体" w:eastAsia="宋体" w:cs="Times New Roman"/>
                <w:szCs w:val="21"/>
              </w:rPr>
              <w:t>商务条款</w:t>
            </w:r>
          </w:p>
        </w:tc>
        <w:tc>
          <w:tcPr>
            <w:tcW w:w="8964" w:type="dxa"/>
            <w:gridSpan w:val="4"/>
            <w:noWrap w:val="0"/>
            <w:vAlign w:val="center"/>
          </w:tcPr>
          <w:p w14:paraId="587EB849">
            <w:pPr>
              <w:spacing w:line="360" w:lineRule="auto"/>
              <w:rPr>
                <w:rFonts w:hint="eastAsia" w:ascii="宋体" w:hAnsi="宋体" w:eastAsia="宋体" w:cs="Times New Roman"/>
                <w:szCs w:val="21"/>
              </w:rPr>
            </w:pPr>
            <w:r>
              <w:rPr>
                <w:rFonts w:hint="eastAsia" w:ascii="宋体" w:hAnsi="宋体" w:eastAsia="宋体" w:cs="Times New Roman"/>
                <w:szCs w:val="21"/>
              </w:rPr>
              <w:t>1.质保期及有效期：按产品的国家及行业有关标准执行，交货验收合格之日起不少于一年。</w:t>
            </w:r>
          </w:p>
          <w:p w14:paraId="3D05CE8E">
            <w:pPr>
              <w:spacing w:line="360" w:lineRule="auto"/>
              <w:rPr>
                <w:rFonts w:hint="eastAsia" w:ascii="宋体" w:hAnsi="宋体" w:eastAsia="宋体" w:cs="Times New Roman"/>
                <w:szCs w:val="21"/>
              </w:rPr>
            </w:pPr>
            <w:r>
              <w:rPr>
                <w:rFonts w:hint="eastAsia" w:ascii="宋体" w:hAnsi="宋体" w:eastAsia="宋体" w:cs="Times New Roman"/>
                <w:szCs w:val="21"/>
              </w:rPr>
              <w:t>2.售中及售后服务要求：提供送货上门（或邮寄）服务，送货同时能提供产品的合格证或检验报告（如有必须提供），产品发生质量问题时接到采购人通知后12小时内响应，24小时内到达现场处理，无法处理的须更换，且不能再另收取任何费用；定期回访；其余按投标人承诺进行；</w:t>
            </w:r>
          </w:p>
          <w:p w14:paraId="7EA14678">
            <w:pPr>
              <w:spacing w:line="360" w:lineRule="auto"/>
              <w:rPr>
                <w:rFonts w:hint="eastAsia" w:ascii="宋体" w:hAnsi="宋体" w:eastAsia="宋体" w:cs="Times New Roman"/>
                <w:szCs w:val="21"/>
              </w:rPr>
            </w:pPr>
            <w:r>
              <w:rPr>
                <w:rFonts w:hint="eastAsia" w:ascii="宋体" w:hAnsi="宋体" w:eastAsia="宋体" w:cs="Times New Roman"/>
                <w:szCs w:val="21"/>
              </w:rPr>
              <w:t>3.交货时间：除与采购人有特殊约定外，能保证下单后2个工作日内完成供货；有充足的货车或者通过快递保证每周至少3次对采购人实验室送货，遇到临时任务或急样能在当天12小时内完成供货。</w:t>
            </w:r>
          </w:p>
          <w:p w14:paraId="402B3BC0">
            <w:pPr>
              <w:spacing w:line="360" w:lineRule="auto"/>
              <w:rPr>
                <w:rFonts w:hint="eastAsia" w:ascii="宋体" w:hAnsi="宋体" w:eastAsia="宋体" w:cs="Times New Roman"/>
                <w:szCs w:val="21"/>
              </w:rPr>
            </w:pPr>
            <w:r>
              <w:rPr>
                <w:rFonts w:hint="eastAsia" w:ascii="宋体" w:hAnsi="宋体" w:eastAsia="宋体" w:cs="Times New Roman"/>
                <w:szCs w:val="21"/>
              </w:rPr>
              <w:t>交货地点：广西南宁市市区内采购人指定地点。</w:t>
            </w:r>
          </w:p>
          <w:p w14:paraId="303D1EB1">
            <w:pPr>
              <w:spacing w:line="360" w:lineRule="auto"/>
              <w:rPr>
                <w:rFonts w:hint="eastAsia" w:ascii="宋体" w:hAnsi="宋体" w:eastAsia="宋体" w:cs="Times New Roman"/>
                <w:szCs w:val="21"/>
              </w:rPr>
            </w:pPr>
            <w:r>
              <w:rPr>
                <w:rFonts w:hint="eastAsia" w:ascii="宋体" w:hAnsi="宋体" w:eastAsia="宋体" w:cs="Times New Roman"/>
                <w:szCs w:val="21"/>
              </w:rPr>
              <w:t>4.付款条件：每批货根据实际供货情况进行结算，每批次自验收合格之日起3个工作日内，中标供应商开具请款函及发票给采购人，承包人在收到请款函及发票之日起20个工作日内，支付该批货物全部合同款给中标供应商。</w:t>
            </w:r>
          </w:p>
          <w:p w14:paraId="09698F41">
            <w:pPr>
              <w:spacing w:line="360" w:lineRule="auto"/>
              <w:rPr>
                <w:rFonts w:hint="eastAsia" w:ascii="宋体" w:hAnsi="宋体" w:eastAsia="宋体" w:cs="Times New Roman"/>
                <w:szCs w:val="21"/>
              </w:rPr>
            </w:pPr>
            <w:r>
              <w:rPr>
                <w:rFonts w:hint="eastAsia" w:ascii="宋体" w:hAnsi="宋体" w:eastAsia="宋体" w:cs="Times New Roman"/>
                <w:szCs w:val="21"/>
              </w:rPr>
              <w:t>5.投标人保证若中标后向采购人提供的产品是全新、完整、未使用过的。</w:t>
            </w:r>
          </w:p>
          <w:p w14:paraId="733EA880">
            <w:pPr>
              <w:spacing w:line="360" w:lineRule="auto"/>
              <w:rPr>
                <w:rFonts w:hint="eastAsia" w:ascii="宋体" w:hAnsi="宋体" w:eastAsia="宋体" w:cs="Times New Roman"/>
                <w:szCs w:val="21"/>
              </w:rPr>
            </w:pPr>
            <w:r>
              <w:rPr>
                <w:rFonts w:hint="eastAsia" w:ascii="宋体" w:hAnsi="宋体" w:eastAsia="宋体" w:cs="Times New Roman"/>
                <w:szCs w:val="21"/>
              </w:rPr>
              <w:t>6.投标人必须根据附件工作表中产品“规格、参数”的内容进行报价，且与附件工作表中单位一致，并计算全部产品累计总价金额。</w:t>
            </w:r>
          </w:p>
          <w:p w14:paraId="43D2032D">
            <w:pPr>
              <w:spacing w:line="360" w:lineRule="auto"/>
              <w:rPr>
                <w:rFonts w:hint="eastAsia" w:ascii="宋体" w:hAnsi="宋体" w:eastAsia="宋体" w:cs="Times New Roman"/>
                <w:szCs w:val="21"/>
              </w:rPr>
            </w:pPr>
            <w:r>
              <w:rPr>
                <w:rFonts w:hint="eastAsia" w:ascii="宋体" w:hAnsi="宋体" w:eastAsia="宋体" w:cs="Times New Roman"/>
                <w:szCs w:val="21"/>
              </w:rPr>
              <w:t>7.报价要求：本分标要求投标人投标时提供单价报价，附件工作表中所列产品在项目服务期内供货价格不能高于投标报价价格。投标人应按所投分标产品品目清单中的货物进行逐项报价，不能恶意低价投标。投标人任一产品单价报价超过附件工作表对应产品单价最高限价的，本分标投标无效。</w:t>
            </w:r>
          </w:p>
          <w:p w14:paraId="0B4A3F32">
            <w:pPr>
              <w:spacing w:line="360" w:lineRule="auto"/>
              <w:rPr>
                <w:rFonts w:hint="eastAsia" w:ascii="宋体" w:hAnsi="宋体" w:eastAsia="宋体" w:cs="Times New Roman"/>
                <w:szCs w:val="21"/>
              </w:rPr>
            </w:pPr>
            <w:r>
              <w:rPr>
                <w:rFonts w:hint="eastAsia" w:ascii="宋体" w:hAnsi="宋体" w:eastAsia="宋体" w:cs="Times New Roman"/>
                <w:szCs w:val="21"/>
              </w:rPr>
              <w:t>8.本项目服务期内，附件工作表中所列产品为可能购买的品种，只有在采购人需要时才购买，采购人根据实际使用量与中标供应商据实结算。</w:t>
            </w:r>
          </w:p>
          <w:p w14:paraId="0BCAFD0C">
            <w:pPr>
              <w:spacing w:line="360" w:lineRule="auto"/>
              <w:rPr>
                <w:rFonts w:hint="eastAsia" w:ascii="宋体" w:hAnsi="宋体" w:eastAsia="宋体" w:cs="Times New Roman"/>
                <w:szCs w:val="21"/>
              </w:rPr>
            </w:pPr>
            <w:r>
              <w:rPr>
                <w:rFonts w:hint="eastAsia" w:ascii="宋体" w:hAnsi="宋体" w:eastAsia="宋体" w:cs="Times New Roman"/>
                <w:szCs w:val="21"/>
              </w:rPr>
              <w:t>9.供货的产品质量和所引用标准必须符合采购人实验需求，如不满足需求，中标人必须无条件更换；供货的产品当出现2次不满足采购人实验需求时，中标人必须更换为满足实验需求的合格产品，价格不变；如原产品确属质量不合格，中标人应免费更换为同档次及以上合格产品。</w:t>
            </w:r>
          </w:p>
          <w:p w14:paraId="4E11CCFE">
            <w:pPr>
              <w:spacing w:line="360" w:lineRule="auto"/>
              <w:rPr>
                <w:rFonts w:hint="eastAsia" w:ascii="宋体" w:hAnsi="宋体" w:eastAsia="宋体" w:cs="Times New Roman"/>
                <w:szCs w:val="21"/>
              </w:rPr>
            </w:pPr>
            <w:r>
              <w:rPr>
                <w:rFonts w:hint="eastAsia" w:ascii="宋体" w:hAnsi="宋体" w:eastAsia="宋体" w:cs="Times New Roman"/>
                <w:szCs w:val="21"/>
              </w:rPr>
              <w:t>10.中标人应配备符合产品存放条件的库房，对常用产品拥有一定库存量。投标人投入本项目的储存仓库面积至少100㎡（自有库房提供不动产权证（或房产证）复印件，租赁库房提供库房租赁合同复印件）。</w:t>
            </w:r>
          </w:p>
          <w:p w14:paraId="14D5D9D7">
            <w:pPr>
              <w:spacing w:line="360" w:lineRule="auto"/>
              <w:rPr>
                <w:rFonts w:hint="eastAsia" w:ascii="宋体" w:hAnsi="宋体" w:eastAsia="宋体" w:cs="Times New Roman"/>
                <w:szCs w:val="21"/>
              </w:rPr>
            </w:pPr>
            <w:r>
              <w:rPr>
                <w:rFonts w:hint="eastAsia" w:ascii="宋体" w:hAnsi="宋体" w:eastAsia="宋体" w:cs="Times New Roman"/>
                <w:szCs w:val="21"/>
              </w:rPr>
              <w:t>11.本项目服务期自合同签订之日起一年内，服务期满合同自行终止。服务期内如本分标预算用完则合同自行终止。本项目自中标通知书发出后25日内签订合同。</w:t>
            </w:r>
          </w:p>
        </w:tc>
      </w:tr>
      <w:tr w14:paraId="281F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63" w:type="dxa"/>
            <w:noWrap w:val="0"/>
            <w:vAlign w:val="center"/>
          </w:tcPr>
          <w:p w14:paraId="253C8F17">
            <w:pPr>
              <w:spacing w:line="360" w:lineRule="exact"/>
              <w:rPr>
                <w:rFonts w:ascii="宋体" w:hAnsi="宋体" w:eastAsia="宋体" w:cs="Times New Roman"/>
                <w:szCs w:val="21"/>
              </w:rPr>
            </w:pPr>
            <w:r>
              <w:rPr>
                <w:rFonts w:hint="eastAsia" w:ascii="宋体" w:hAnsi="宋体" w:eastAsia="宋体" w:cs="Times New Roman"/>
                <w:szCs w:val="21"/>
              </w:rPr>
              <w:t>其他说明</w:t>
            </w:r>
          </w:p>
        </w:tc>
        <w:tc>
          <w:tcPr>
            <w:tcW w:w="8964" w:type="dxa"/>
            <w:gridSpan w:val="4"/>
            <w:noWrap w:val="0"/>
            <w:vAlign w:val="center"/>
          </w:tcPr>
          <w:p w14:paraId="5D9921C1">
            <w:pPr>
              <w:spacing w:line="360" w:lineRule="auto"/>
              <w:rPr>
                <w:rFonts w:hint="eastAsia" w:ascii="宋体" w:hAnsi="宋体" w:eastAsia="宋体" w:cs="Times New Roman"/>
                <w:szCs w:val="21"/>
              </w:rPr>
            </w:pPr>
            <w:r>
              <w:rPr>
                <w:rFonts w:hint="eastAsia" w:ascii="宋体" w:hAnsi="宋体" w:eastAsia="宋体" w:cs="Times New Roman"/>
                <w:szCs w:val="21"/>
              </w:rPr>
              <w:t>一、进口产品说明：</w:t>
            </w:r>
          </w:p>
          <w:p w14:paraId="5832EF5F">
            <w:pPr>
              <w:spacing w:line="360" w:lineRule="auto"/>
              <w:rPr>
                <w:rFonts w:hint="eastAsia" w:ascii="宋体" w:hAnsi="宋体" w:eastAsia="宋体" w:cs="Times New Roman"/>
                <w:szCs w:val="21"/>
              </w:rPr>
            </w:pPr>
            <w:r>
              <w:rPr>
                <w:rFonts w:hint="eastAsia" w:ascii="宋体" w:hAnsi="宋体" w:eastAsia="宋体" w:cs="Times New Roman"/>
                <w:szCs w:val="21"/>
              </w:rPr>
              <w:t>▲本项目货物所涉及的货物不接受进口产品（即通过中国海关报关验放进入中国境内且产自关境外的产品）参与投标，如有进口产品参与投标的作无效投标处理。</w:t>
            </w:r>
          </w:p>
          <w:p w14:paraId="0274BDF7">
            <w:pPr>
              <w:spacing w:line="360" w:lineRule="auto"/>
              <w:rPr>
                <w:rFonts w:hint="eastAsia" w:ascii="宋体" w:hAnsi="宋体" w:eastAsia="宋体" w:cs="Times New Roman"/>
                <w:szCs w:val="21"/>
              </w:rPr>
            </w:pPr>
            <w:r>
              <w:rPr>
                <w:rFonts w:hint="eastAsia" w:ascii="宋体" w:hAnsi="宋体" w:eastAsia="宋体" w:cs="Times New Roman"/>
                <w:szCs w:val="21"/>
              </w:rPr>
              <w:t>二、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p w14:paraId="095BBCC3">
            <w:pPr>
              <w:spacing w:line="360" w:lineRule="auto"/>
              <w:rPr>
                <w:rFonts w:hint="eastAsia" w:ascii="宋体" w:hAnsi="宋体" w:eastAsia="宋体" w:cs="Times New Roman"/>
                <w:szCs w:val="21"/>
              </w:rPr>
            </w:pPr>
            <w:r>
              <w:rPr>
                <w:rFonts w:hint="eastAsia" w:ascii="宋体" w:hAnsi="宋体" w:eastAsia="宋体" w:cs="Times New Roman"/>
                <w:szCs w:val="21"/>
              </w:rPr>
              <w:t>三、与本项目有关的设计图纸、技术规范、文件等附件资料及其获取方式：</w:t>
            </w:r>
          </w:p>
          <w:p w14:paraId="4F3CEF3A">
            <w:pPr>
              <w:spacing w:line="360" w:lineRule="auto"/>
              <w:rPr>
                <w:rFonts w:hint="eastAsia" w:ascii="宋体" w:hAnsi="宋体" w:eastAsia="宋体" w:cs="Times New Roman"/>
                <w:szCs w:val="21"/>
              </w:rPr>
            </w:pPr>
            <w:r>
              <w:rPr>
                <w:rFonts w:hint="eastAsia" w:ascii="宋体" w:hAnsi="宋体" w:eastAsia="宋体" w:cs="Times New Roman"/>
                <w:szCs w:val="21"/>
              </w:rPr>
              <w:t xml:space="preserve">文件或者资料名称： 无                                </w:t>
            </w:r>
          </w:p>
          <w:p w14:paraId="3961A571">
            <w:pPr>
              <w:spacing w:line="360" w:lineRule="auto"/>
              <w:rPr>
                <w:rFonts w:hint="eastAsia" w:ascii="宋体" w:hAnsi="宋体" w:eastAsia="宋体" w:cs="Times New Roman"/>
                <w:szCs w:val="21"/>
              </w:rPr>
            </w:pPr>
            <w:r>
              <w:rPr>
                <w:rFonts w:hint="eastAsia" w:ascii="宋体" w:hAnsi="宋体" w:eastAsia="宋体" w:cs="Times New Roman"/>
                <w:szCs w:val="21"/>
              </w:rPr>
              <w:t xml:space="preserve">公布渠道或者获取方式：无                             </w:t>
            </w:r>
          </w:p>
          <w:p w14:paraId="53CA721D">
            <w:pPr>
              <w:spacing w:line="360" w:lineRule="auto"/>
              <w:rPr>
                <w:rFonts w:hint="eastAsia" w:ascii="宋体" w:hAnsi="宋体" w:eastAsia="宋体" w:cs="Times New Roman"/>
                <w:szCs w:val="21"/>
              </w:rPr>
            </w:pPr>
            <w:r>
              <w:rPr>
                <w:rFonts w:hint="eastAsia" w:ascii="宋体" w:hAnsi="宋体" w:eastAsia="宋体" w:cs="Times New Roman"/>
                <w:szCs w:val="21"/>
              </w:rPr>
              <w:t>▲四、允许负偏离项：</w:t>
            </w:r>
          </w:p>
          <w:p w14:paraId="1E39C362">
            <w:pPr>
              <w:spacing w:line="360" w:lineRule="auto"/>
              <w:rPr>
                <w:rFonts w:hint="eastAsia" w:ascii="宋体" w:hAnsi="宋体" w:eastAsia="宋体" w:cs="Times New Roman"/>
                <w:szCs w:val="21"/>
              </w:rPr>
            </w:pPr>
            <w:r>
              <w:rPr>
                <w:rFonts w:hint="eastAsia" w:ascii="宋体" w:hAnsi="宋体" w:eastAsia="宋体" w:cs="Times New Roman"/>
                <w:szCs w:val="21"/>
              </w:rPr>
              <w:t>商务条款评审中允许负偏离的条款数为0项。</w:t>
            </w:r>
          </w:p>
          <w:p w14:paraId="58E80922">
            <w:pPr>
              <w:spacing w:line="360" w:lineRule="auto"/>
              <w:rPr>
                <w:rFonts w:hint="eastAsia" w:ascii="宋体" w:hAnsi="宋体" w:eastAsia="宋体" w:cs="宋体"/>
              </w:rPr>
            </w:pPr>
            <w:r>
              <w:rPr>
                <w:rFonts w:hint="eastAsia" w:ascii="宋体" w:hAnsi="宋体" w:eastAsia="宋体" w:cs="Times New Roman"/>
                <w:szCs w:val="21"/>
              </w:rPr>
              <w:t>技术需求评审中允许负偏离的条款数为0项。</w:t>
            </w:r>
          </w:p>
        </w:tc>
      </w:tr>
    </w:tbl>
    <w:p w14:paraId="5B5E1775"/>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9838F6"/>
    <w:rsid w:val="14983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index 8"/>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3">
    <w:name w:val="Plain Text"/>
    <w:next w:val="2"/>
    <w:unhideWhenUsed/>
    <w:qFormat/>
    <w:uiPriority w:val="0"/>
    <w:pPr>
      <w:widowControl w:val="0"/>
      <w:jc w:val="both"/>
    </w:pPr>
    <w:rPr>
      <w:rFonts w:ascii="宋体" w:hAnsi="Courier New"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2026-08-11T07:16:00Z</dcterms:created>
  <dc:creator>欧明聪</dc:creator>
  <cp:lastModifiedBy>欧明聪</cp:lastModifiedBy>
  <dcterms:modified xsi:type="dcterms:W3CDTF">2026-08-11T07:17:20Z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7343C5479E4C42BAA2782DE588CD007D_11</vt:lpwstr>
  </property>
  <property fmtid="{D5CDD505-2E9C-101B-9397-08002B2CF9AE}" pid="4" name="KSOTemplateDocerSaveRecord">
    <vt:lpwstr>eyJoZGlkIjoiNmFiYWEwZWY0YjhkOTZjNmY1MTY3ZDU2MWZkYzc3NDAiLCJ1c2VySWQiOiIxNTkyNDk1NTU5In0=</vt:lpwstr>
  </property>
</Properties>
</file>