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line="360" w:lineRule="auto"/>
        <w:jc w:val="center"/>
        <w:rPr>
          <w:rFonts w:ascii="宋体" w:hAnsi="宋体" w:eastAsia="宋体" w:cs="宋体"/>
          <w:color w:val="auto"/>
          <w:sz w:val="52"/>
          <w:szCs w:val="52"/>
          <w:highlight w:val="none"/>
        </w:rPr>
      </w:pPr>
    </w:p>
    <w:p>
      <w:pPr>
        <w:snapToGrid w:val="0"/>
        <w:spacing w:before="120" w:beforeLines="50" w:line="360" w:lineRule="auto"/>
        <w:jc w:val="center"/>
        <w:rPr>
          <w:rFonts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广西科联招标中心有限公司</w:t>
      </w:r>
    </w:p>
    <w:p>
      <w:pPr>
        <w:spacing w:before="156" w:line="360" w:lineRule="auto"/>
        <w:jc w:val="center"/>
        <w:rPr>
          <w:rFonts w:ascii="宋体" w:hAnsi="宋体" w:eastAsia="宋体" w:cs="宋体"/>
          <w:b/>
          <w:bCs/>
          <w:color w:val="auto"/>
          <w:sz w:val="48"/>
          <w:szCs w:val="48"/>
          <w:highlight w:val="none"/>
        </w:rPr>
      </w:pPr>
      <w:r>
        <w:rPr>
          <w:rFonts w:hint="eastAsia" w:ascii="宋体" w:hAnsi="宋体" w:eastAsia="宋体" w:cs="宋体"/>
          <w:b/>
          <w:bCs/>
          <w:color w:val="auto"/>
          <w:sz w:val="96"/>
          <w:szCs w:val="96"/>
          <w:highlight w:val="none"/>
        </w:rPr>
        <w:t>竞争性谈判文件</w:t>
      </w:r>
    </w:p>
    <w:p>
      <w:pPr>
        <w:spacing w:before="312" w:after="156" w:line="360" w:lineRule="auto"/>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（全流程电子化评标）</w:t>
      </w:r>
    </w:p>
    <w:p>
      <w:pPr>
        <w:spacing w:line="360" w:lineRule="auto"/>
        <w:rPr>
          <w:rFonts w:ascii="宋体" w:hAnsi="宋体" w:eastAsia="宋体" w:cs="宋体"/>
          <w:b/>
          <w:color w:val="auto"/>
          <w:sz w:val="32"/>
          <w:szCs w:val="32"/>
          <w:highlight w:val="none"/>
        </w:rPr>
      </w:pPr>
    </w:p>
    <w:p>
      <w:pPr>
        <w:spacing w:line="360" w:lineRule="auto"/>
        <w:jc w:val="center"/>
        <w:rPr>
          <w:rFonts w:ascii="宋体" w:hAnsi="宋体" w:eastAsia="宋体" w:cs="宋体"/>
          <w:b/>
          <w:color w:val="auto"/>
          <w:sz w:val="32"/>
          <w:szCs w:val="32"/>
          <w:highlight w:val="none"/>
        </w:rPr>
      </w:pPr>
    </w:p>
    <w:p>
      <w:pPr>
        <w:spacing w:before="156" w:line="360" w:lineRule="auto"/>
        <w:ind w:firstLine="1145"/>
        <w:rPr>
          <w:rFonts w:hint="eastAsia" w:ascii="宋体" w:hAnsi="宋体" w:eastAsia="宋体" w:cs="宋体"/>
          <w:b/>
          <w:bCs/>
          <w:color w:val="auto"/>
          <w:sz w:val="30"/>
          <w:szCs w:val="30"/>
          <w:highlight w:val="none"/>
          <w:lang w:val="zh-CN"/>
        </w:rPr>
      </w:pPr>
      <w:r>
        <w:rPr>
          <w:rFonts w:hint="eastAsia" w:ascii="宋体" w:hAnsi="宋体" w:eastAsia="宋体" w:cs="宋体"/>
          <w:b/>
          <w:bCs/>
          <w:color w:val="auto"/>
          <w:sz w:val="30"/>
          <w:szCs w:val="30"/>
          <w:highlight w:val="none"/>
          <w:lang w:val="zh-CN"/>
        </w:rPr>
        <w:t>项目名称：多功能一体化产床等医疗设备采购项目</w:t>
      </w:r>
    </w:p>
    <w:p>
      <w:pPr>
        <w:spacing w:before="156" w:line="360" w:lineRule="auto"/>
        <w:ind w:firstLine="1145"/>
        <w:rPr>
          <w:rFonts w:hint="eastAsia" w:ascii="宋体" w:hAnsi="宋体" w:eastAsia="宋体" w:cs="宋体"/>
          <w:b/>
          <w:color w:val="auto"/>
          <w:sz w:val="30"/>
          <w:szCs w:val="48"/>
          <w:highlight w:val="none"/>
          <w:lang w:eastAsia="zh-CN"/>
        </w:rPr>
      </w:pPr>
      <w:r>
        <w:rPr>
          <w:rFonts w:hint="eastAsia" w:ascii="宋体" w:hAnsi="宋体" w:eastAsia="宋体" w:cs="宋体"/>
          <w:b/>
          <w:bCs/>
          <w:color w:val="auto"/>
          <w:sz w:val="30"/>
          <w:szCs w:val="30"/>
          <w:highlight w:val="none"/>
        </w:rPr>
        <w:t>项目编号：</w:t>
      </w:r>
      <w:r>
        <w:rPr>
          <w:rFonts w:hint="eastAsia" w:ascii="宋体" w:hAnsi="宋体" w:eastAsia="宋体" w:cs="宋体"/>
          <w:b/>
          <w:bCs/>
          <w:color w:val="auto"/>
          <w:sz w:val="30"/>
          <w:szCs w:val="30"/>
          <w:highlight w:val="none"/>
          <w:lang w:eastAsia="zh-CN"/>
        </w:rPr>
        <w:t>GXZC2026-J1-002180-GXKL</w:t>
      </w:r>
    </w:p>
    <w:p>
      <w:pPr>
        <w:spacing w:before="50" w:after="120" w:line="360" w:lineRule="auto"/>
        <w:ind w:firstLine="1125"/>
        <w:rPr>
          <w:rFonts w:ascii="宋体" w:hAnsi="宋体" w:eastAsia="宋体" w:cs="宋体"/>
          <w:b/>
          <w:bCs/>
          <w:color w:val="auto"/>
          <w:sz w:val="30"/>
          <w:szCs w:val="30"/>
          <w:highlight w:val="none"/>
          <w:lang w:val="zh-CN"/>
        </w:rPr>
      </w:pPr>
    </w:p>
    <w:p>
      <w:pPr>
        <w:spacing w:before="50" w:after="120" w:line="360" w:lineRule="auto"/>
        <w:ind w:firstLine="1125"/>
        <w:rPr>
          <w:rFonts w:ascii="宋体" w:hAnsi="宋体" w:eastAsia="宋体" w:cs="宋体"/>
          <w:b/>
          <w:bCs/>
          <w:color w:val="auto"/>
          <w:sz w:val="30"/>
          <w:szCs w:val="30"/>
          <w:highlight w:val="none"/>
          <w:lang w:val="zh-CN"/>
        </w:rPr>
      </w:pPr>
    </w:p>
    <w:p>
      <w:pPr>
        <w:spacing w:before="50" w:after="120" w:line="360" w:lineRule="auto"/>
        <w:ind w:firstLine="1125"/>
        <w:rPr>
          <w:rFonts w:ascii="宋体" w:hAnsi="宋体" w:eastAsia="宋体" w:cs="宋体"/>
          <w:b/>
          <w:bCs/>
          <w:color w:val="auto"/>
          <w:sz w:val="30"/>
          <w:szCs w:val="30"/>
          <w:highlight w:val="none"/>
          <w:lang w:val="zh-CN"/>
        </w:rPr>
      </w:pPr>
    </w:p>
    <w:p>
      <w:pPr>
        <w:spacing w:before="50" w:after="120" w:line="360" w:lineRule="auto"/>
        <w:ind w:firstLine="1125"/>
        <w:rPr>
          <w:rFonts w:ascii="宋体" w:hAnsi="宋体" w:eastAsia="宋体" w:cs="宋体"/>
          <w:b/>
          <w:bCs/>
          <w:color w:val="auto"/>
          <w:sz w:val="30"/>
          <w:szCs w:val="30"/>
          <w:highlight w:val="none"/>
          <w:lang w:val="zh-CN"/>
        </w:rPr>
      </w:pPr>
      <w:r>
        <w:rPr>
          <w:rFonts w:hint="eastAsia" w:ascii="宋体" w:hAnsi="宋体" w:eastAsia="宋体" w:cs="宋体"/>
          <w:b/>
          <w:bCs/>
          <w:color w:val="auto"/>
          <w:sz w:val="30"/>
          <w:szCs w:val="30"/>
          <w:highlight w:val="none"/>
          <w:lang w:val="zh-CN"/>
        </w:rPr>
        <w:t xml:space="preserve">采 购 人：广西医科大学附属武鸣医院 </w:t>
      </w:r>
      <w:r>
        <w:rPr>
          <w:rFonts w:hint="eastAsia" w:ascii="宋体" w:hAnsi="宋体" w:eastAsia="宋体" w:cs="宋体"/>
          <w:b/>
          <w:bCs/>
          <w:color w:val="auto"/>
          <w:sz w:val="30"/>
          <w:szCs w:val="30"/>
          <w:highlight w:val="none"/>
        </w:rPr>
        <w:t xml:space="preserve"> </w:t>
      </w:r>
    </w:p>
    <w:p>
      <w:pPr>
        <w:spacing w:before="50" w:after="120" w:line="360" w:lineRule="auto"/>
        <w:ind w:firstLine="1125"/>
        <w:rPr>
          <w:rFonts w:ascii="宋体" w:hAnsi="宋体" w:eastAsia="宋体" w:cs="宋体"/>
          <w:b/>
          <w:bCs/>
          <w:color w:val="auto"/>
          <w:sz w:val="30"/>
          <w:szCs w:val="30"/>
          <w:highlight w:val="none"/>
          <w:lang w:val="zh-CN"/>
        </w:rPr>
      </w:pPr>
      <w:r>
        <w:rPr>
          <w:rFonts w:hint="eastAsia" w:ascii="宋体" w:hAnsi="宋体" w:eastAsia="宋体" w:cs="宋体"/>
          <w:b/>
          <w:bCs/>
          <w:color w:val="auto"/>
          <w:sz w:val="30"/>
          <w:szCs w:val="30"/>
          <w:highlight w:val="none"/>
          <w:lang w:val="zh-CN"/>
        </w:rPr>
        <w:t>采购代理机构：</w:t>
      </w:r>
      <w:bookmarkStart w:id="0" w:name="PO_3000001866_PM031"/>
      <w:r>
        <w:rPr>
          <w:rFonts w:hint="eastAsia" w:ascii="宋体" w:hAnsi="宋体" w:eastAsia="宋体" w:cs="宋体"/>
          <w:b/>
          <w:bCs/>
          <w:color w:val="auto"/>
          <w:sz w:val="30"/>
          <w:szCs w:val="30"/>
          <w:highlight w:val="none"/>
          <w:lang w:val="zh-CN"/>
        </w:rPr>
        <w:t>广西科联招标中心有限公司</w:t>
      </w:r>
      <w:bookmarkEnd w:id="0"/>
    </w:p>
    <w:p>
      <w:pPr>
        <w:spacing w:line="360" w:lineRule="auto"/>
        <w:jc w:val="center"/>
        <w:rPr>
          <w:rFonts w:ascii="宋体" w:hAnsi="宋体" w:eastAsia="宋体" w:cs="宋体"/>
          <w:b/>
          <w:color w:val="auto"/>
          <w:sz w:val="32"/>
          <w:szCs w:val="32"/>
          <w:highlight w:val="none"/>
        </w:rPr>
      </w:pPr>
    </w:p>
    <w:p>
      <w:pPr>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2026年</w:t>
      </w:r>
      <w:r>
        <w:rPr>
          <w:rFonts w:hint="eastAsia" w:ascii="宋体" w:hAnsi="宋体" w:eastAsia="宋体" w:cs="宋体"/>
          <w:b/>
          <w:color w:val="auto"/>
          <w:sz w:val="32"/>
          <w:szCs w:val="32"/>
          <w:highlight w:val="none"/>
          <w:lang w:val="en-US" w:eastAsia="zh-CN"/>
        </w:rPr>
        <w:t>7</w:t>
      </w:r>
      <w:r>
        <w:rPr>
          <w:rFonts w:hint="eastAsia" w:ascii="宋体" w:hAnsi="宋体" w:eastAsia="宋体" w:cs="宋体"/>
          <w:b/>
          <w:color w:val="auto"/>
          <w:sz w:val="32"/>
          <w:szCs w:val="32"/>
          <w:highlight w:val="none"/>
        </w:rPr>
        <w:t>月</w:t>
      </w:r>
      <w:r>
        <w:rPr>
          <w:rFonts w:hint="eastAsia" w:ascii="宋体" w:hAnsi="宋体" w:eastAsia="宋体" w:cs="宋体"/>
          <w:b/>
          <w:color w:val="auto"/>
          <w:sz w:val="32"/>
          <w:szCs w:val="32"/>
          <w:highlight w:val="none"/>
          <w:lang w:val="en-US" w:eastAsia="zh-CN"/>
        </w:rPr>
        <w:t>8</w:t>
      </w:r>
      <w:r>
        <w:rPr>
          <w:rFonts w:hint="eastAsia" w:ascii="宋体" w:hAnsi="宋体" w:eastAsia="宋体" w:cs="宋体"/>
          <w:b/>
          <w:color w:val="auto"/>
          <w:sz w:val="32"/>
          <w:szCs w:val="32"/>
          <w:highlight w:val="none"/>
        </w:rPr>
        <w:t>日</w:t>
      </w:r>
    </w:p>
    <w:p>
      <w:pPr>
        <w:ind w:firstLine="803"/>
        <w:jc w:val="center"/>
        <w:rPr>
          <w:rFonts w:ascii="宋体" w:hAnsi="宋体" w:eastAsia="宋体" w:cs="宋体"/>
          <w:b/>
          <w:color w:val="auto"/>
          <w:sz w:val="32"/>
          <w:szCs w:val="32"/>
          <w:highlight w:val="none"/>
          <w:lang w:val="zh-CN"/>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sectPr>
      </w:pPr>
    </w:p>
    <w:p>
      <w:pPr>
        <w:spacing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pPr>
        <w:spacing w:line="400" w:lineRule="exact"/>
        <w:jc w:val="center"/>
        <w:rPr>
          <w:rFonts w:ascii="宋体" w:hAnsi="宋体" w:eastAsia="宋体" w:cs="宋体"/>
          <w:b/>
          <w:color w:val="auto"/>
          <w:sz w:val="44"/>
          <w:szCs w:val="44"/>
          <w:highlight w:val="none"/>
        </w:rPr>
      </w:pPr>
    </w:p>
    <w:p>
      <w:pPr>
        <w:pStyle w:val="31"/>
        <w:tabs>
          <w:tab w:val="right" w:leader="dot" w:pos="8879"/>
        </w:tabs>
        <w:rPr>
          <w:rFonts w:ascii="宋体" w:hAnsi="宋体" w:eastAsia="宋体" w:cs="宋体"/>
          <w:b/>
          <w:color w:val="auto"/>
          <w:sz w:val="28"/>
          <w:szCs w:val="28"/>
          <w:highlight w:val="none"/>
        </w:rPr>
      </w:pPr>
    </w:p>
    <w:p>
      <w:pPr>
        <w:pStyle w:val="31"/>
        <w:tabs>
          <w:tab w:val="right" w:leader="dot" w:pos="8879"/>
        </w:tabs>
        <w:spacing w:line="480" w:lineRule="auto"/>
        <w:rPr>
          <w:rFonts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TOC \o "1-1" \h \u </w:instrText>
      </w:r>
      <w:r>
        <w:rPr>
          <w:rFonts w:hint="eastAsia" w:ascii="宋体" w:hAnsi="宋体" w:eastAsia="宋体" w:cs="宋体"/>
          <w:b/>
          <w:color w:val="auto"/>
          <w:sz w:val="24"/>
          <w:szCs w:val="24"/>
          <w:highlight w:val="none"/>
        </w:rPr>
        <w:fldChar w:fldCharType="separate"/>
      </w:r>
      <w:r>
        <w:rPr>
          <w:color w:val="auto"/>
          <w:highlight w:val="none"/>
        </w:rPr>
        <w:fldChar w:fldCharType="begin"/>
      </w:r>
      <w:r>
        <w:rPr>
          <w:color w:val="auto"/>
          <w:highlight w:val="none"/>
        </w:rPr>
        <w:instrText xml:space="preserve"> HYPERLINK \l "_Toc28468" </w:instrText>
      </w:r>
      <w:r>
        <w:rPr>
          <w:color w:val="auto"/>
          <w:highlight w:val="none"/>
        </w:rPr>
        <w:fldChar w:fldCharType="separate"/>
      </w:r>
      <w:r>
        <w:rPr>
          <w:rFonts w:hint="eastAsia" w:ascii="宋体" w:hAnsi="宋体" w:eastAsia="宋体" w:cs="宋体"/>
          <w:b/>
          <w:bCs/>
          <w:color w:val="auto"/>
          <w:sz w:val="24"/>
          <w:szCs w:val="24"/>
          <w:highlight w:val="none"/>
          <w:lang w:val="zh-CN"/>
        </w:rPr>
        <w:t>第一章 竞争性谈判公告</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_Toc28468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pPr>
        <w:pStyle w:val="31"/>
        <w:tabs>
          <w:tab w:val="right" w:leader="dot" w:pos="8879"/>
        </w:tabs>
        <w:spacing w:line="480" w:lineRule="auto"/>
        <w:rPr>
          <w:rFonts w:ascii="宋体" w:hAnsi="宋体" w:eastAsia="宋体" w:cs="宋体"/>
          <w:b/>
          <w:bCs/>
          <w:color w:val="auto"/>
          <w:sz w:val="24"/>
          <w:szCs w:val="24"/>
          <w:highlight w:val="none"/>
        </w:rPr>
      </w:pPr>
      <w:r>
        <w:rPr>
          <w:color w:val="auto"/>
          <w:highlight w:val="none"/>
        </w:rPr>
        <w:fldChar w:fldCharType="begin"/>
      </w:r>
      <w:r>
        <w:rPr>
          <w:color w:val="auto"/>
          <w:highlight w:val="none"/>
        </w:rPr>
        <w:instrText xml:space="preserve"> HYPERLINK \l "_Toc7676" </w:instrText>
      </w:r>
      <w:r>
        <w:rPr>
          <w:color w:val="auto"/>
          <w:highlight w:val="none"/>
        </w:rPr>
        <w:fldChar w:fldCharType="separate"/>
      </w:r>
      <w:r>
        <w:rPr>
          <w:rFonts w:hint="eastAsia" w:ascii="宋体" w:hAnsi="宋体" w:eastAsia="宋体" w:cs="宋体"/>
          <w:b/>
          <w:bCs/>
          <w:color w:val="auto"/>
          <w:sz w:val="24"/>
          <w:szCs w:val="24"/>
          <w:highlight w:val="none"/>
          <w:lang w:val="zh-CN"/>
        </w:rPr>
        <w:t>第二章 采购需求</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_Toc7676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pPr>
        <w:pStyle w:val="31"/>
        <w:tabs>
          <w:tab w:val="right" w:leader="dot" w:pos="8879"/>
        </w:tabs>
        <w:spacing w:line="480" w:lineRule="auto"/>
        <w:rPr>
          <w:rFonts w:ascii="宋体" w:hAnsi="宋体" w:eastAsia="宋体" w:cs="宋体"/>
          <w:b/>
          <w:bCs/>
          <w:color w:val="auto"/>
          <w:sz w:val="24"/>
          <w:szCs w:val="24"/>
          <w:highlight w:val="none"/>
        </w:rPr>
      </w:pPr>
      <w:r>
        <w:rPr>
          <w:color w:val="auto"/>
          <w:highlight w:val="none"/>
        </w:rPr>
        <w:fldChar w:fldCharType="begin"/>
      </w:r>
      <w:r>
        <w:rPr>
          <w:color w:val="auto"/>
          <w:highlight w:val="none"/>
        </w:rPr>
        <w:instrText xml:space="preserve"> HYPERLINK \l "_Toc16363" </w:instrText>
      </w:r>
      <w:r>
        <w:rPr>
          <w:color w:val="auto"/>
          <w:highlight w:val="none"/>
        </w:rPr>
        <w:fldChar w:fldCharType="separate"/>
      </w:r>
      <w:r>
        <w:rPr>
          <w:rFonts w:hint="eastAsia" w:ascii="宋体" w:hAnsi="宋体" w:eastAsia="宋体" w:cs="宋体"/>
          <w:b/>
          <w:bCs/>
          <w:color w:val="auto"/>
          <w:sz w:val="24"/>
          <w:szCs w:val="24"/>
          <w:highlight w:val="none"/>
          <w:lang w:val="zh-CN"/>
        </w:rPr>
        <w:t>第三章 供应商须知</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_Toc16363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31</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pPr>
        <w:pStyle w:val="31"/>
        <w:tabs>
          <w:tab w:val="right" w:leader="dot" w:pos="8879"/>
        </w:tabs>
        <w:spacing w:line="480" w:lineRule="auto"/>
        <w:rPr>
          <w:rFonts w:ascii="宋体" w:hAnsi="宋体" w:eastAsia="宋体" w:cs="宋体"/>
          <w:b/>
          <w:bCs/>
          <w:color w:val="auto"/>
          <w:sz w:val="24"/>
          <w:szCs w:val="24"/>
          <w:highlight w:val="none"/>
        </w:rPr>
      </w:pPr>
      <w:r>
        <w:rPr>
          <w:color w:val="auto"/>
          <w:highlight w:val="none"/>
        </w:rPr>
        <w:fldChar w:fldCharType="begin"/>
      </w:r>
      <w:r>
        <w:rPr>
          <w:color w:val="auto"/>
          <w:highlight w:val="none"/>
        </w:rPr>
        <w:instrText xml:space="preserve"> HYPERLINK \l "_Toc17139" </w:instrText>
      </w:r>
      <w:r>
        <w:rPr>
          <w:color w:val="auto"/>
          <w:highlight w:val="none"/>
        </w:rPr>
        <w:fldChar w:fldCharType="separate"/>
      </w:r>
      <w:r>
        <w:rPr>
          <w:rFonts w:hint="eastAsia" w:ascii="宋体" w:hAnsi="宋体" w:eastAsia="宋体" w:cs="宋体"/>
          <w:b/>
          <w:bCs/>
          <w:color w:val="auto"/>
          <w:sz w:val="24"/>
          <w:szCs w:val="24"/>
          <w:highlight w:val="none"/>
          <w:lang w:val="zh-CN"/>
        </w:rPr>
        <w:t>第四章 评审程序、评审方法和成交标准</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_Toc17139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50</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pPr>
        <w:pStyle w:val="31"/>
        <w:tabs>
          <w:tab w:val="right" w:leader="dot" w:pos="8879"/>
        </w:tabs>
        <w:spacing w:line="480" w:lineRule="auto"/>
        <w:rPr>
          <w:rFonts w:ascii="宋体" w:hAnsi="宋体" w:eastAsia="宋体" w:cs="宋体"/>
          <w:b/>
          <w:bCs/>
          <w:color w:val="auto"/>
          <w:sz w:val="24"/>
          <w:szCs w:val="24"/>
          <w:highlight w:val="none"/>
        </w:rPr>
      </w:pPr>
      <w:r>
        <w:rPr>
          <w:color w:val="auto"/>
          <w:highlight w:val="none"/>
        </w:rPr>
        <w:fldChar w:fldCharType="begin"/>
      </w:r>
      <w:r>
        <w:rPr>
          <w:color w:val="auto"/>
          <w:highlight w:val="none"/>
        </w:rPr>
        <w:instrText xml:space="preserve"> HYPERLINK \l "_Toc25678" </w:instrText>
      </w:r>
      <w:r>
        <w:rPr>
          <w:color w:val="auto"/>
          <w:highlight w:val="none"/>
        </w:rPr>
        <w:fldChar w:fldCharType="separate"/>
      </w:r>
      <w:r>
        <w:rPr>
          <w:rFonts w:hint="eastAsia" w:ascii="宋体" w:hAnsi="宋体" w:eastAsia="宋体" w:cs="宋体"/>
          <w:b/>
          <w:bCs/>
          <w:color w:val="auto"/>
          <w:sz w:val="24"/>
          <w:szCs w:val="24"/>
          <w:highlight w:val="none"/>
          <w:lang w:val="zh-CN"/>
        </w:rPr>
        <w:t>第五章 响应文件格式</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_Toc25678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56</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pPr>
        <w:pStyle w:val="31"/>
        <w:tabs>
          <w:tab w:val="right" w:leader="dot" w:pos="8879"/>
        </w:tabs>
        <w:spacing w:line="480" w:lineRule="auto"/>
        <w:rPr>
          <w:rFonts w:ascii="宋体" w:hAnsi="宋体" w:eastAsia="宋体" w:cs="宋体"/>
          <w:b/>
          <w:bCs/>
          <w:color w:val="auto"/>
          <w:sz w:val="24"/>
          <w:szCs w:val="24"/>
          <w:highlight w:val="none"/>
        </w:rPr>
      </w:pPr>
      <w:r>
        <w:rPr>
          <w:color w:val="auto"/>
          <w:highlight w:val="none"/>
        </w:rPr>
        <w:fldChar w:fldCharType="begin"/>
      </w:r>
      <w:r>
        <w:rPr>
          <w:color w:val="auto"/>
          <w:highlight w:val="none"/>
        </w:rPr>
        <w:instrText xml:space="preserve"> HYPERLINK \l "_Toc4631" </w:instrText>
      </w:r>
      <w:r>
        <w:rPr>
          <w:color w:val="auto"/>
          <w:highlight w:val="none"/>
        </w:rPr>
        <w:fldChar w:fldCharType="separate"/>
      </w:r>
      <w:r>
        <w:rPr>
          <w:rFonts w:hint="eastAsia" w:ascii="宋体" w:hAnsi="宋体" w:eastAsia="宋体" w:cs="宋体"/>
          <w:b/>
          <w:bCs/>
          <w:color w:val="auto"/>
          <w:sz w:val="24"/>
          <w:szCs w:val="24"/>
          <w:highlight w:val="none"/>
          <w:lang w:val="zh-CN"/>
        </w:rPr>
        <w:t>第六章 合同文本</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_Toc4631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87</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pPr>
        <w:pStyle w:val="31"/>
        <w:tabs>
          <w:tab w:val="right" w:leader="dot" w:pos="8879"/>
        </w:tabs>
        <w:spacing w:line="480" w:lineRule="auto"/>
        <w:rPr>
          <w:rFonts w:ascii="宋体" w:hAnsi="宋体" w:eastAsia="宋体" w:cs="宋体"/>
          <w:color w:val="auto"/>
          <w:highlight w:val="none"/>
        </w:rPr>
      </w:pPr>
      <w:r>
        <w:rPr>
          <w:color w:val="auto"/>
          <w:highlight w:val="none"/>
        </w:rPr>
        <w:fldChar w:fldCharType="begin"/>
      </w:r>
      <w:r>
        <w:rPr>
          <w:color w:val="auto"/>
          <w:highlight w:val="none"/>
        </w:rPr>
        <w:instrText xml:space="preserve"> HYPERLINK \l "_Toc24483" </w:instrText>
      </w:r>
      <w:r>
        <w:rPr>
          <w:color w:val="auto"/>
          <w:highlight w:val="none"/>
        </w:rPr>
        <w:fldChar w:fldCharType="separate"/>
      </w:r>
      <w:r>
        <w:rPr>
          <w:rFonts w:hint="eastAsia" w:ascii="宋体" w:hAnsi="宋体" w:eastAsia="宋体" w:cs="宋体"/>
          <w:b/>
          <w:bCs/>
          <w:color w:val="auto"/>
          <w:sz w:val="24"/>
          <w:szCs w:val="24"/>
          <w:highlight w:val="none"/>
          <w:lang w:val="zh-CN"/>
        </w:rPr>
        <w:t>第七章 质疑、投诉材料格式</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_Toc24483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99</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pPr>
        <w:spacing w:line="480" w:lineRule="auto"/>
        <w:rPr>
          <w:rFonts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fldChar w:fldCharType="end"/>
      </w:r>
    </w:p>
    <w:p>
      <w:pPr>
        <w:spacing w:line="400" w:lineRule="exact"/>
        <w:jc w:val="center"/>
        <w:rPr>
          <w:rFonts w:ascii="宋体" w:hAnsi="宋体" w:eastAsia="宋体" w:cs="宋体"/>
          <w:b/>
          <w:color w:val="auto"/>
          <w:sz w:val="32"/>
          <w:szCs w:val="32"/>
          <w:highlight w:val="none"/>
        </w:rPr>
      </w:pPr>
    </w:p>
    <w:p>
      <w:pPr>
        <w:spacing w:line="400" w:lineRule="exact"/>
        <w:jc w:val="center"/>
        <w:rPr>
          <w:rFonts w:ascii="宋体" w:hAnsi="宋体" w:eastAsia="宋体" w:cs="宋体"/>
          <w:b/>
          <w:color w:val="auto"/>
          <w:sz w:val="32"/>
          <w:szCs w:val="32"/>
          <w:highlight w:val="none"/>
        </w:rPr>
      </w:pPr>
    </w:p>
    <w:p>
      <w:pPr>
        <w:spacing w:line="400" w:lineRule="exact"/>
        <w:rPr>
          <w:rFonts w:ascii="宋体" w:hAnsi="宋体" w:eastAsia="宋体" w:cs="宋体"/>
          <w:b/>
          <w:color w:val="auto"/>
          <w:sz w:val="32"/>
          <w:szCs w:val="32"/>
          <w:highlight w:val="none"/>
        </w:rPr>
        <w:sectPr>
          <w:footerReference r:id="rId8" w:type="first"/>
          <w:footerReference r:id="rId7" w:type="default"/>
          <w:pgSz w:w="11906" w:h="16838"/>
          <w:pgMar w:top="1440" w:right="1440" w:bottom="1440" w:left="1587" w:header="851" w:footer="992" w:gutter="0"/>
          <w:cols w:space="720" w:num="1"/>
          <w:titlePg/>
        </w:sectPr>
      </w:pPr>
    </w:p>
    <w:p>
      <w:pPr>
        <w:keepNext/>
        <w:keepLines/>
        <w:spacing w:before="340" w:after="330" w:line="400" w:lineRule="exact"/>
        <w:jc w:val="center"/>
        <w:outlineLvl w:val="0"/>
        <w:rPr>
          <w:rFonts w:ascii="宋体" w:hAnsi="宋体" w:eastAsia="宋体" w:cs="宋体"/>
          <w:b/>
          <w:bCs/>
          <w:color w:val="auto"/>
          <w:sz w:val="44"/>
          <w:szCs w:val="44"/>
          <w:highlight w:val="none"/>
          <w:lang w:val="zh-CN"/>
        </w:rPr>
      </w:pPr>
      <w:bookmarkStart w:id="1" w:name="_Toc21011"/>
      <w:bookmarkStart w:id="2" w:name="_Toc15375"/>
      <w:bookmarkStart w:id="3" w:name="_Toc6626"/>
      <w:bookmarkStart w:id="4" w:name="_Toc7085"/>
      <w:bookmarkStart w:id="5" w:name="_Toc32002"/>
      <w:bookmarkStart w:id="6" w:name="_Toc28468"/>
      <w:bookmarkStart w:id="7" w:name="_Toc2567"/>
      <w:bookmarkStart w:id="8" w:name="_Toc21558"/>
      <w:bookmarkStart w:id="9" w:name="_Toc80205920"/>
      <w:r>
        <w:rPr>
          <w:rFonts w:hint="eastAsia" w:ascii="宋体" w:hAnsi="宋体" w:eastAsia="宋体" w:cs="宋体"/>
          <w:b/>
          <w:bCs/>
          <w:color w:val="auto"/>
          <w:sz w:val="44"/>
          <w:szCs w:val="44"/>
          <w:highlight w:val="none"/>
          <w:lang w:val="zh-CN"/>
        </w:rPr>
        <w:t>第一章 竞争性谈判公告</w:t>
      </w:r>
      <w:bookmarkEnd w:id="1"/>
      <w:bookmarkEnd w:id="2"/>
      <w:bookmarkEnd w:id="3"/>
      <w:bookmarkEnd w:id="4"/>
      <w:bookmarkEnd w:id="5"/>
      <w:bookmarkEnd w:id="6"/>
      <w:bookmarkEnd w:id="7"/>
      <w:bookmarkEnd w:id="8"/>
      <w:bookmarkEnd w:id="9"/>
      <w:bookmarkStart w:id="10" w:name="_Toc35393798"/>
      <w:bookmarkStart w:id="11" w:name="_Toc35393629"/>
      <w:bookmarkStart w:id="12" w:name="_Toc44229878"/>
      <w:bookmarkStart w:id="13" w:name="_Toc28359089"/>
      <w:bookmarkStart w:id="14" w:name="_Toc28359012"/>
      <w:bookmarkStart w:id="15" w:name="_Toc35393623"/>
      <w:bookmarkStart w:id="16" w:name="_Toc28359081"/>
      <w:bookmarkStart w:id="17" w:name="_Toc28359004"/>
      <w:bookmarkStart w:id="18" w:name="_Toc35393792"/>
    </w:p>
    <w:tbl>
      <w:tblPr>
        <w:tblStyle w:val="44"/>
        <w:tblW w:w="9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9" w:type="dxa"/>
          </w:tcPr>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项目概况</w:t>
            </w:r>
          </w:p>
          <w:p>
            <w:pPr>
              <w:spacing w:line="360" w:lineRule="auto"/>
              <w:ind w:firstLine="420"/>
              <w:rPr>
                <w:rFonts w:ascii="宋体" w:hAnsi="宋体" w:eastAsia="宋体" w:cs="宋体"/>
                <w:bCs/>
                <w:color w:val="auto"/>
                <w:sz w:val="24"/>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多功能一体化产床等医疗设备采购项目</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采购项目的潜在供应商应在广西政府采购云平台（</w:t>
            </w:r>
            <w:r>
              <w:rPr>
                <w:rStyle w:val="47"/>
                <w:rFonts w:hint="eastAsia" w:ascii="宋体" w:hAnsi="宋体" w:eastAsia="宋体" w:cs="宋体"/>
                <w:b w:val="0"/>
                <w:bCs/>
                <w:color w:val="auto"/>
                <w:szCs w:val="21"/>
                <w:highlight w:val="none"/>
              </w:rPr>
              <w:t>https://www.gcy.zfcg.gxzf.gov.cn）</w:t>
            </w:r>
            <w:r>
              <w:rPr>
                <w:rFonts w:hint="eastAsia" w:ascii="宋体" w:hAnsi="宋体" w:eastAsia="宋体" w:cs="宋体"/>
                <w:color w:val="auto"/>
                <w:szCs w:val="21"/>
                <w:highlight w:val="none"/>
              </w:rPr>
              <w:t>获取采购文件，并于2026年</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rPr>
              <w:t>日9点00分（北京时间）前提交响应文件。</w:t>
            </w:r>
          </w:p>
        </w:tc>
      </w:tr>
    </w:tbl>
    <w:p>
      <w:pPr>
        <w:rPr>
          <w:rFonts w:ascii="宋体" w:hAnsi="宋体" w:eastAsia="宋体" w:cs="宋体"/>
          <w:color w:val="auto"/>
          <w:szCs w:val="24"/>
          <w:highlight w:val="none"/>
        </w:rPr>
      </w:pPr>
    </w:p>
    <w:p>
      <w:pPr>
        <w:spacing w:line="360" w:lineRule="auto"/>
        <w:ind w:firstLine="480"/>
        <w:rPr>
          <w:rFonts w:ascii="宋体" w:hAnsi="宋体" w:eastAsia="宋体" w:cs="宋体"/>
          <w:color w:val="auto"/>
          <w:szCs w:val="24"/>
          <w:highlight w:val="none"/>
        </w:rPr>
      </w:pPr>
      <w:r>
        <w:rPr>
          <w:rFonts w:hint="eastAsia" w:ascii="宋体" w:hAnsi="宋体" w:eastAsia="宋体" w:cs="宋体"/>
          <w:bCs/>
          <w:color w:val="auto"/>
          <w:sz w:val="24"/>
          <w:szCs w:val="24"/>
          <w:highlight w:val="none"/>
        </w:rPr>
        <w:t>一、项目基本情况</w:t>
      </w:r>
      <w:bookmarkEnd w:id="10"/>
      <w:bookmarkEnd w:id="11"/>
      <w:bookmarkEnd w:id="12"/>
      <w:bookmarkEnd w:id="13"/>
      <w:bookmarkEnd w:id="14"/>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lang w:eastAsia="zh-CN"/>
        </w:rPr>
        <w:t>GXZC2026-J1-002180-GXKL</w:t>
      </w:r>
      <w:r>
        <w:rPr>
          <w:rFonts w:hint="eastAsia" w:ascii="宋体" w:hAnsi="宋体" w:eastAsia="宋体" w:cs="宋体"/>
          <w:color w:val="auto"/>
          <w:szCs w:val="21"/>
          <w:highlight w:val="none"/>
        </w:rPr>
        <w:tab/>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多功能一体化产床等医疗设备采购项目</w:t>
      </w:r>
      <w:r>
        <w:rPr>
          <w:rFonts w:hint="eastAsia" w:ascii="宋体" w:hAnsi="宋体" w:eastAsia="宋体" w:cs="宋体"/>
          <w:color w:val="auto"/>
          <w:szCs w:val="21"/>
          <w:highlight w:val="none"/>
        </w:rPr>
        <w:t xml:space="preserve"> </w:t>
      </w:r>
    </w:p>
    <w:p>
      <w:pPr>
        <w:pStyle w:val="43"/>
        <w:ind w:left="0" w:firstLineChars="200"/>
        <w:rPr>
          <w:color w:val="auto"/>
          <w:highlight w:val="none"/>
        </w:rPr>
      </w:pPr>
      <w:r>
        <w:rPr>
          <w:rFonts w:hint="eastAsia" w:ascii="宋体" w:hAnsi="宋体"/>
          <w:color w:val="auto"/>
          <w:szCs w:val="21"/>
          <w:highlight w:val="none"/>
        </w:rPr>
        <w:t>采购方式：竞争性谈判</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预算总金额（元）：1698</w:t>
      </w:r>
      <w:r>
        <w:rPr>
          <w:rFonts w:hint="eastAsia" w:ascii="宋体" w:hAnsi="宋体" w:eastAsia="宋体" w:cs="宋体"/>
          <w:color w:val="auto"/>
          <w:szCs w:val="21"/>
          <w:highlight w:val="none"/>
          <w:lang w:val="en-US" w:eastAsia="zh-CN"/>
        </w:rPr>
        <w:t>000</w:t>
      </w:r>
      <w:r>
        <w:rPr>
          <w:rFonts w:hint="eastAsia" w:ascii="宋体" w:hAnsi="宋体" w:eastAsia="宋体" w:cs="宋体"/>
          <w:color w:val="auto"/>
          <w:szCs w:val="21"/>
          <w:highlight w:val="none"/>
        </w:rPr>
        <w:t>.00元</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采购需求：</w:t>
      </w:r>
    </w:p>
    <w:p>
      <w:pPr>
        <w:spacing w:line="360"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标项名称：</w:t>
      </w:r>
      <w:r>
        <w:rPr>
          <w:rFonts w:hint="eastAsia" w:ascii="宋体" w:hAnsi="宋体" w:eastAsia="宋体" w:cs="宋体"/>
          <w:color w:val="auto"/>
          <w:szCs w:val="21"/>
          <w:highlight w:val="none"/>
          <w:lang w:eastAsia="zh-CN"/>
        </w:rPr>
        <w:t>多功能一体化产床等医疗设备采购项目</w:t>
      </w:r>
    </w:p>
    <w:p>
      <w:pPr>
        <w:spacing w:line="360"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数量：</w:t>
      </w:r>
      <w:r>
        <w:rPr>
          <w:rFonts w:hint="eastAsia" w:ascii="宋体" w:hAnsi="宋体" w:eastAsia="宋体" w:cs="宋体"/>
          <w:color w:val="auto"/>
          <w:szCs w:val="21"/>
          <w:highlight w:val="none"/>
          <w:lang w:val="en-US" w:eastAsia="zh-CN"/>
        </w:rPr>
        <w:t>20台</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预算金额（元）：1698</w:t>
      </w:r>
      <w:r>
        <w:rPr>
          <w:rFonts w:hint="eastAsia" w:ascii="宋体" w:hAnsi="宋体" w:eastAsia="宋体" w:cs="宋体"/>
          <w:color w:val="auto"/>
          <w:szCs w:val="21"/>
          <w:highlight w:val="none"/>
          <w:lang w:val="en-US" w:eastAsia="zh-CN"/>
        </w:rPr>
        <w:t>000</w:t>
      </w:r>
      <w:r>
        <w:rPr>
          <w:rFonts w:hint="eastAsia" w:ascii="宋体" w:hAnsi="宋体" w:eastAsia="宋体" w:cs="宋体"/>
          <w:color w:val="auto"/>
          <w:szCs w:val="21"/>
          <w:highlight w:val="none"/>
        </w:rPr>
        <w:t>.00元</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简要规格描述或项目基本概况介绍、用途：详见公告附件</w:t>
      </w:r>
    </w:p>
    <w:p>
      <w:pPr>
        <w:spacing w:line="360" w:lineRule="auto"/>
        <w:ind w:firstLine="420"/>
        <w:rPr>
          <w:rFonts w:ascii="宋体" w:hAnsi="宋体" w:eastAsia="宋体" w:cs="宋体"/>
          <w:color w:val="auto"/>
          <w:highlight w:val="none"/>
        </w:rPr>
      </w:pPr>
      <w:r>
        <w:rPr>
          <w:rFonts w:hint="eastAsia" w:ascii="宋体" w:hAnsi="宋体" w:eastAsia="宋体" w:cs="宋体"/>
          <w:color w:val="auto"/>
          <w:highlight w:val="none"/>
        </w:rPr>
        <w:t>最高限价：</w:t>
      </w:r>
      <w:r>
        <w:rPr>
          <w:rFonts w:hint="eastAsia" w:ascii="宋体" w:hAnsi="宋体" w:eastAsia="宋体" w:cs="宋体"/>
          <w:color w:val="auto"/>
          <w:szCs w:val="21"/>
          <w:highlight w:val="none"/>
        </w:rPr>
        <w:t>1698</w:t>
      </w:r>
      <w:r>
        <w:rPr>
          <w:rFonts w:hint="eastAsia" w:ascii="宋体" w:hAnsi="宋体" w:eastAsia="宋体" w:cs="宋体"/>
          <w:color w:val="auto"/>
          <w:szCs w:val="21"/>
          <w:highlight w:val="none"/>
          <w:lang w:val="en-US" w:eastAsia="zh-CN"/>
        </w:rPr>
        <w:t>000</w:t>
      </w:r>
      <w:r>
        <w:rPr>
          <w:rFonts w:hint="eastAsia" w:ascii="宋体" w:hAnsi="宋体" w:eastAsia="宋体" w:cs="宋体"/>
          <w:color w:val="auto"/>
          <w:szCs w:val="21"/>
          <w:highlight w:val="none"/>
        </w:rPr>
        <w:t>.00元</w:t>
      </w:r>
    </w:p>
    <w:p>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合同履行期限：</w:t>
      </w:r>
      <w:r>
        <w:rPr>
          <w:rFonts w:hint="eastAsia" w:ascii="宋体" w:hAnsi="宋体" w:eastAsia="宋体" w:cs="宋体"/>
          <w:color w:val="auto"/>
          <w:szCs w:val="21"/>
          <w:highlight w:val="none"/>
          <w:lang w:val="en-US" w:eastAsia="zh-CN"/>
        </w:rPr>
        <w:t>自签订合同之日起60日历日内安装调试完毕并交付使用</w:t>
      </w:r>
      <w:r>
        <w:rPr>
          <w:rFonts w:hint="eastAsia" w:ascii="宋体" w:hAnsi="宋体" w:eastAsia="宋体" w:cs="宋体"/>
          <w:color w:val="auto"/>
          <w:szCs w:val="21"/>
          <w:highlight w:val="none"/>
        </w:rPr>
        <w:t>。</w:t>
      </w:r>
    </w:p>
    <w:p>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本项目（是/否）接受联合体：否</w:t>
      </w:r>
    </w:p>
    <w:p>
      <w:pPr>
        <w:spacing w:line="360" w:lineRule="auto"/>
        <w:ind w:firstLine="42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备注：/</w:t>
      </w:r>
      <w:bookmarkStart w:id="180" w:name="_GoBack"/>
      <w:bookmarkEnd w:id="180"/>
    </w:p>
    <w:p>
      <w:pPr>
        <w:spacing w:line="360" w:lineRule="auto"/>
        <w:ind w:firstLine="482"/>
        <w:rPr>
          <w:rFonts w:ascii="宋体" w:hAnsi="宋体" w:eastAsia="宋体" w:cs="宋体"/>
          <w:bCs/>
          <w:color w:val="auto"/>
          <w:sz w:val="24"/>
          <w:szCs w:val="24"/>
          <w:highlight w:val="none"/>
        </w:rPr>
      </w:pPr>
      <w:bookmarkStart w:id="19" w:name="_Toc35393799"/>
      <w:bookmarkStart w:id="20" w:name="_Toc28359013"/>
      <w:bookmarkStart w:id="21" w:name="_Toc44229879"/>
      <w:bookmarkStart w:id="22" w:name="_Toc28359090"/>
      <w:bookmarkStart w:id="23" w:name="_Toc35393630"/>
      <w:r>
        <w:rPr>
          <w:rFonts w:hint="eastAsia" w:ascii="宋体" w:hAnsi="宋体" w:eastAsia="宋体" w:cs="宋体"/>
          <w:b/>
          <w:color w:val="auto"/>
          <w:sz w:val="24"/>
          <w:szCs w:val="24"/>
          <w:highlight w:val="none"/>
        </w:rPr>
        <w:t>二、申请人的资格</w:t>
      </w:r>
      <w:bookmarkEnd w:id="19"/>
      <w:bookmarkEnd w:id="20"/>
      <w:bookmarkEnd w:id="21"/>
      <w:bookmarkEnd w:id="22"/>
      <w:bookmarkEnd w:id="23"/>
      <w:r>
        <w:rPr>
          <w:rFonts w:hint="eastAsia" w:ascii="宋体" w:hAnsi="宋体" w:eastAsia="宋体" w:cs="宋体"/>
          <w:b/>
          <w:color w:val="auto"/>
          <w:sz w:val="24"/>
          <w:szCs w:val="24"/>
          <w:highlight w:val="none"/>
        </w:rPr>
        <w:t>要求</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1.满足《中华人民共和国政府采购法》第二十二条规定。</w:t>
      </w:r>
    </w:p>
    <w:p>
      <w:pPr>
        <w:spacing w:line="360" w:lineRule="auto"/>
        <w:ind w:firstLine="420"/>
        <w:rPr>
          <w:rFonts w:ascii="宋体" w:hAnsi="宋体" w:eastAsia="宋体" w:cs="宋体"/>
          <w:color w:val="auto"/>
          <w:szCs w:val="21"/>
          <w:highlight w:val="none"/>
          <w:u w:val="single"/>
        </w:rPr>
      </w:pPr>
      <w:r>
        <w:rPr>
          <w:rFonts w:hint="eastAsia" w:ascii="宋体" w:hAnsi="宋体" w:eastAsia="宋体" w:cs="宋体"/>
          <w:color w:val="auto"/>
          <w:szCs w:val="21"/>
          <w:highlight w:val="none"/>
        </w:rPr>
        <w:t>2.落实政府采购政策需满足的资格要求：</w:t>
      </w:r>
      <w:r>
        <w:rPr>
          <w:rFonts w:hint="eastAsia" w:ascii="宋体" w:hAnsi="宋体" w:eastAsia="宋体" w:cs="宋体"/>
          <w:color w:val="auto"/>
          <w:szCs w:val="21"/>
          <w:highlight w:val="none"/>
          <w:lang w:val="en-US" w:eastAsia="zh-CN"/>
        </w:rPr>
        <w:t>无</w:t>
      </w:r>
      <w:r>
        <w:rPr>
          <w:rFonts w:hint="eastAsia" w:ascii="宋体" w:hAnsi="宋体" w:eastAsia="宋体" w:cs="宋体"/>
          <w:color w:val="auto"/>
          <w:szCs w:val="21"/>
          <w:highlight w:val="none"/>
        </w:rPr>
        <w:t>。</w:t>
      </w:r>
    </w:p>
    <w:p>
      <w:pPr>
        <w:spacing w:line="360" w:lineRule="auto"/>
        <w:ind w:firstLine="420"/>
        <w:rPr>
          <w:rFonts w:ascii="宋体" w:hAnsi="宋体" w:eastAsia="宋体" w:cs="宋体"/>
          <w:color w:val="auto"/>
          <w:szCs w:val="21"/>
          <w:highlight w:val="none"/>
          <w:u w:val="none"/>
        </w:rPr>
      </w:pPr>
      <w:r>
        <w:rPr>
          <w:rFonts w:hint="eastAsia" w:ascii="宋体" w:hAnsi="宋体" w:eastAsia="宋体" w:cs="宋体"/>
          <w:color w:val="auto"/>
          <w:szCs w:val="21"/>
          <w:highlight w:val="none"/>
          <w:u w:val="none"/>
        </w:rPr>
        <w:t>3.本项目的特定资格要求：</w:t>
      </w:r>
      <w:r>
        <w:rPr>
          <w:rFonts w:hint="eastAsia" w:ascii="宋体" w:hAnsi="宋体" w:eastAsia="宋体" w:cs="宋体"/>
          <w:color w:val="auto"/>
          <w:szCs w:val="21"/>
          <w:highlight w:val="none"/>
          <w:u w:val="none"/>
          <w:lang w:val="en-US" w:eastAsia="zh-CN"/>
        </w:rPr>
        <w:t>供应商</w:t>
      </w:r>
      <w:r>
        <w:rPr>
          <w:rFonts w:hint="eastAsia" w:ascii="宋体" w:hAnsi="宋体" w:eastAsia="宋体" w:cs="宋体"/>
          <w:color w:val="auto"/>
          <w:szCs w:val="21"/>
          <w:highlight w:val="none"/>
          <w:u w:val="none"/>
        </w:rPr>
        <w:t>须具备有效的第三类医疗器械经营许可证（必须在首次</w:t>
      </w:r>
      <w:r>
        <w:rPr>
          <w:rFonts w:hint="eastAsia" w:ascii="宋体" w:hAnsi="宋体" w:eastAsia="宋体" w:cs="宋体"/>
          <w:color w:val="auto"/>
          <w:szCs w:val="21"/>
          <w:highlight w:val="none"/>
          <w:u w:val="none"/>
          <w:lang w:val="en-US" w:eastAsia="zh-CN"/>
        </w:rPr>
        <w:t>响应</w:t>
      </w:r>
      <w:r>
        <w:rPr>
          <w:rFonts w:hint="eastAsia" w:ascii="宋体" w:hAnsi="宋体" w:eastAsia="宋体" w:cs="宋体"/>
          <w:color w:val="auto"/>
          <w:szCs w:val="21"/>
          <w:highlight w:val="none"/>
          <w:u w:val="none"/>
        </w:rPr>
        <w:t>文件中提供相应有效的证书复印件），且其经营范围必须包含本项目采购的第三类医疗器械产品；或</w:t>
      </w:r>
      <w:r>
        <w:rPr>
          <w:rFonts w:hint="eastAsia" w:ascii="宋体" w:hAnsi="宋体" w:eastAsia="宋体" w:cs="宋体"/>
          <w:color w:val="auto"/>
          <w:szCs w:val="21"/>
          <w:highlight w:val="none"/>
          <w:u w:val="none"/>
          <w:lang w:val="en-US" w:eastAsia="zh-CN"/>
        </w:rPr>
        <w:t>供应商</w:t>
      </w:r>
      <w:r>
        <w:rPr>
          <w:rFonts w:hint="eastAsia" w:ascii="宋体" w:hAnsi="宋体" w:eastAsia="宋体" w:cs="宋体"/>
          <w:color w:val="auto"/>
          <w:szCs w:val="21"/>
          <w:highlight w:val="none"/>
          <w:u w:val="none"/>
        </w:rPr>
        <w:t>为符合国家现行《医疗器械监督管理条例》第四十三条规定的注册人的，则必须在首次</w:t>
      </w:r>
      <w:r>
        <w:rPr>
          <w:rFonts w:hint="eastAsia" w:ascii="宋体" w:hAnsi="宋体" w:eastAsia="宋体" w:cs="宋体"/>
          <w:color w:val="auto"/>
          <w:szCs w:val="21"/>
          <w:highlight w:val="none"/>
          <w:u w:val="none"/>
          <w:lang w:val="en-US" w:eastAsia="zh-CN"/>
        </w:rPr>
        <w:t>响应</w:t>
      </w:r>
      <w:r>
        <w:rPr>
          <w:rFonts w:hint="eastAsia" w:ascii="宋体" w:hAnsi="宋体" w:eastAsia="宋体" w:cs="宋体"/>
          <w:color w:val="auto"/>
          <w:szCs w:val="21"/>
          <w:highlight w:val="none"/>
          <w:u w:val="none"/>
        </w:rPr>
        <w:t>文件中提供本项目采购的第三类医疗器械产品有效的医疗器械注册证复印件。</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三、获取采购文件</w:t>
      </w:r>
      <w:bookmarkEnd w:id="15"/>
      <w:bookmarkEnd w:id="16"/>
      <w:bookmarkEnd w:id="17"/>
      <w:bookmarkEnd w:id="18"/>
    </w:p>
    <w:p>
      <w:pPr>
        <w:spacing w:line="360" w:lineRule="auto"/>
        <w:ind w:firstLine="540"/>
        <w:rPr>
          <w:rFonts w:ascii="宋体" w:hAnsi="宋体" w:eastAsia="宋体" w:cs="宋体"/>
          <w:bCs/>
          <w:color w:val="auto"/>
          <w:szCs w:val="21"/>
          <w:highlight w:val="none"/>
        </w:rPr>
      </w:pPr>
      <w:bookmarkStart w:id="24" w:name="_Toc28359082"/>
      <w:bookmarkStart w:id="25" w:name="_Toc28359005"/>
      <w:bookmarkStart w:id="26" w:name="_Toc35393624"/>
      <w:bookmarkStart w:id="27" w:name="_Toc35393793"/>
      <w:r>
        <w:rPr>
          <w:rFonts w:hint="eastAsia" w:ascii="宋体" w:hAnsi="宋体" w:eastAsia="宋体" w:cs="宋体"/>
          <w:bCs/>
          <w:color w:val="auto"/>
          <w:szCs w:val="21"/>
          <w:highlight w:val="none"/>
        </w:rPr>
        <w:t>时间：2026年</w:t>
      </w:r>
      <w:r>
        <w:rPr>
          <w:rFonts w:hint="eastAsia" w:ascii="宋体" w:hAnsi="宋体" w:eastAsia="宋体" w:cs="宋体"/>
          <w:bCs/>
          <w:color w:val="auto"/>
          <w:szCs w:val="21"/>
          <w:highlight w:val="none"/>
          <w:lang w:val="en-US" w:eastAsia="zh-CN"/>
        </w:rPr>
        <w:t>7</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lang w:val="en-US" w:eastAsia="zh-CN"/>
        </w:rPr>
        <w:t>8</w:t>
      </w:r>
      <w:r>
        <w:rPr>
          <w:rFonts w:hint="eastAsia" w:ascii="宋体" w:hAnsi="宋体" w:eastAsia="宋体" w:cs="宋体"/>
          <w:bCs/>
          <w:color w:val="auto"/>
          <w:szCs w:val="21"/>
          <w:highlight w:val="none"/>
        </w:rPr>
        <w:t>日至2026年</w:t>
      </w:r>
      <w:r>
        <w:rPr>
          <w:rFonts w:hint="eastAsia" w:ascii="宋体" w:hAnsi="宋体" w:eastAsia="宋体" w:cs="宋体"/>
          <w:bCs/>
          <w:color w:val="auto"/>
          <w:szCs w:val="21"/>
          <w:highlight w:val="none"/>
          <w:lang w:val="en-US" w:eastAsia="zh-CN"/>
        </w:rPr>
        <w:t>7</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lang w:val="en-US" w:eastAsia="zh-CN"/>
        </w:rPr>
        <w:t>13</w:t>
      </w:r>
      <w:r>
        <w:rPr>
          <w:rFonts w:hint="eastAsia" w:ascii="宋体" w:hAnsi="宋体" w:eastAsia="宋体" w:cs="宋体"/>
          <w:bCs/>
          <w:color w:val="auto"/>
          <w:szCs w:val="21"/>
          <w:highlight w:val="none"/>
        </w:rPr>
        <w:t>日，每天</w:t>
      </w:r>
      <w:r>
        <w:rPr>
          <w:rFonts w:hint="eastAsia" w:ascii="宋体" w:hAnsi="宋体" w:eastAsia="宋体" w:cs="宋体"/>
          <w:bCs/>
          <w:color w:val="auto"/>
          <w:szCs w:val="21"/>
          <w:highlight w:val="none"/>
          <w:lang w:val="en-US" w:eastAsia="zh-CN"/>
        </w:rPr>
        <w:t>上午0:00</w:t>
      </w:r>
      <w:r>
        <w:rPr>
          <w:rFonts w:hint="eastAsia" w:ascii="宋体" w:hAnsi="宋体" w:eastAsia="宋体" w:cs="宋体"/>
          <w:color w:val="auto"/>
          <w:szCs w:val="21"/>
          <w:highlight w:val="none"/>
        </w:rPr>
        <w:t>至12:00，下午12:00至23:59</w:t>
      </w:r>
      <w:r>
        <w:rPr>
          <w:rFonts w:hint="eastAsia" w:ascii="宋体" w:hAnsi="宋体" w:eastAsia="宋体" w:cs="宋体"/>
          <w:bCs/>
          <w:color w:val="auto"/>
          <w:szCs w:val="21"/>
          <w:highlight w:val="none"/>
        </w:rPr>
        <w:t>（北京时间，法定节假日除外）</w:t>
      </w:r>
    </w:p>
    <w:p>
      <w:pPr>
        <w:spacing w:line="360" w:lineRule="auto"/>
        <w:ind w:firstLine="540"/>
        <w:rPr>
          <w:rFonts w:ascii="宋体" w:hAnsi="宋体" w:eastAsia="宋体" w:cs="宋体"/>
          <w:bCs/>
          <w:color w:val="auto"/>
          <w:szCs w:val="21"/>
          <w:highlight w:val="none"/>
        </w:rPr>
      </w:pPr>
      <w:r>
        <w:rPr>
          <w:rFonts w:hint="eastAsia" w:ascii="宋体" w:hAnsi="宋体" w:eastAsia="宋体" w:cs="宋体"/>
          <w:bCs/>
          <w:color w:val="auto"/>
          <w:szCs w:val="21"/>
          <w:highlight w:val="none"/>
        </w:rPr>
        <w:t>地点：</w:t>
      </w:r>
      <w:r>
        <w:rPr>
          <w:rFonts w:hint="eastAsia" w:ascii="宋体" w:hAnsi="宋体" w:eastAsia="宋体" w:cs="宋体"/>
          <w:color w:val="auto"/>
          <w:szCs w:val="21"/>
          <w:highlight w:val="none"/>
        </w:rPr>
        <w:t>广西政府采购云平台（</w:t>
      </w:r>
      <w:r>
        <w:rPr>
          <w:rStyle w:val="47"/>
          <w:rFonts w:hint="eastAsia" w:ascii="宋体" w:hAnsi="宋体" w:eastAsia="宋体" w:cs="宋体"/>
          <w:b w:val="0"/>
          <w:bCs/>
          <w:color w:val="auto"/>
          <w:szCs w:val="21"/>
          <w:highlight w:val="none"/>
        </w:rPr>
        <w:t>https://www.gcy.zfcg.gxzf.gov.cn）</w:t>
      </w:r>
    </w:p>
    <w:p>
      <w:pPr>
        <w:spacing w:line="360" w:lineRule="auto"/>
        <w:ind w:firstLine="420"/>
        <w:rPr>
          <w:rFonts w:ascii="宋体" w:hAnsi="宋体" w:eastAsia="宋体" w:cs="宋体"/>
          <w:b/>
          <w:bCs/>
          <w:color w:val="auto"/>
          <w:sz w:val="24"/>
          <w:szCs w:val="24"/>
          <w:highlight w:val="none"/>
        </w:rPr>
      </w:pPr>
      <w:r>
        <w:rPr>
          <w:rFonts w:hint="eastAsia" w:ascii="宋体" w:hAnsi="宋体" w:eastAsia="宋体" w:cs="宋体"/>
          <w:color w:val="auto"/>
          <w:szCs w:val="21"/>
          <w:highlight w:val="none"/>
        </w:rPr>
        <w:t>方式：网上下载。本项目不发放纸质采购文件，潜在供应商可自行在广西政府采购云平台（</w:t>
      </w:r>
      <w:r>
        <w:rPr>
          <w:rStyle w:val="47"/>
          <w:rFonts w:hint="eastAsia" w:ascii="宋体" w:hAnsi="宋体" w:eastAsia="宋体" w:cs="宋体"/>
          <w:b w:val="0"/>
          <w:bCs/>
          <w:color w:val="auto"/>
          <w:szCs w:val="21"/>
          <w:highlight w:val="none"/>
        </w:rPr>
        <w:t>https://www.gcy.zfcg.gxzf.gov.cn）</w:t>
      </w:r>
      <w:r>
        <w:rPr>
          <w:rFonts w:hint="eastAsia" w:ascii="宋体" w:hAnsi="宋体" w:eastAsia="宋体" w:cs="宋体"/>
          <w:color w:val="auto"/>
          <w:szCs w:val="21"/>
          <w:highlight w:val="none"/>
        </w:rPr>
        <w:t>下载采购文件（操作路径：登录广西政府采购云平台－项目采购－获取采购文件-找到本项目-点击“申请获取采购文件”），电子版响应文件制作需要基于广西政府采购云平台获取的采购文件编制。</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售价：人民币0元。</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w:t>
      </w:r>
      <w:bookmarkEnd w:id="24"/>
      <w:bookmarkEnd w:id="25"/>
      <w:bookmarkEnd w:id="26"/>
      <w:bookmarkEnd w:id="27"/>
      <w:r>
        <w:rPr>
          <w:rFonts w:hint="eastAsia" w:ascii="宋体" w:hAnsi="宋体" w:eastAsia="宋体" w:cs="宋体"/>
          <w:b/>
          <w:bCs/>
          <w:color w:val="auto"/>
          <w:sz w:val="24"/>
          <w:szCs w:val="24"/>
          <w:highlight w:val="none"/>
        </w:rPr>
        <w:t>响应文件提交</w:t>
      </w:r>
    </w:p>
    <w:p>
      <w:pPr>
        <w:spacing w:line="360" w:lineRule="auto"/>
        <w:ind w:firstLine="420"/>
        <w:rPr>
          <w:rFonts w:ascii="宋体" w:hAnsi="宋体" w:eastAsia="宋体" w:cs="宋体"/>
          <w:bCs/>
          <w:color w:val="auto"/>
          <w:szCs w:val="21"/>
          <w:highlight w:val="none"/>
        </w:rPr>
      </w:pPr>
      <w:r>
        <w:rPr>
          <w:rFonts w:hint="eastAsia" w:ascii="宋体" w:hAnsi="宋体" w:eastAsia="宋体" w:cs="宋体"/>
          <w:color w:val="auto"/>
          <w:szCs w:val="21"/>
          <w:highlight w:val="none"/>
        </w:rPr>
        <w:t>1.首次响应文件提交截止时间：</w:t>
      </w:r>
      <w:r>
        <w:rPr>
          <w:rFonts w:hint="eastAsia" w:ascii="宋体" w:hAnsi="宋体" w:eastAsia="宋体" w:cs="宋体"/>
          <w:bCs/>
          <w:color w:val="auto"/>
          <w:szCs w:val="21"/>
          <w:highlight w:val="none"/>
          <w:u w:val="single"/>
        </w:rPr>
        <w:t xml:space="preserve">  2026年</w:t>
      </w:r>
      <w:r>
        <w:rPr>
          <w:rFonts w:hint="eastAsia" w:ascii="宋体" w:hAnsi="宋体" w:eastAsia="宋体" w:cs="宋体"/>
          <w:bCs/>
          <w:color w:val="auto"/>
          <w:szCs w:val="21"/>
          <w:highlight w:val="none"/>
          <w:u w:val="single"/>
          <w:lang w:val="en-US" w:eastAsia="zh-CN"/>
        </w:rPr>
        <w:t>7</w:t>
      </w:r>
      <w:r>
        <w:rPr>
          <w:rFonts w:hint="eastAsia" w:ascii="宋体" w:hAnsi="宋体" w:eastAsia="宋体" w:cs="宋体"/>
          <w:bCs/>
          <w:color w:val="auto"/>
          <w:szCs w:val="21"/>
          <w:highlight w:val="none"/>
          <w:u w:val="single"/>
        </w:rPr>
        <w:t>月</w:t>
      </w:r>
      <w:r>
        <w:rPr>
          <w:rFonts w:hint="eastAsia" w:ascii="宋体" w:hAnsi="宋体" w:eastAsia="宋体" w:cs="宋体"/>
          <w:bCs/>
          <w:color w:val="auto"/>
          <w:szCs w:val="21"/>
          <w:highlight w:val="none"/>
          <w:u w:val="single"/>
          <w:lang w:val="en-US" w:eastAsia="zh-CN"/>
        </w:rPr>
        <w:t>14</w:t>
      </w:r>
      <w:r>
        <w:rPr>
          <w:rFonts w:hint="eastAsia" w:ascii="宋体" w:hAnsi="宋体" w:eastAsia="宋体" w:cs="宋体"/>
          <w:bCs/>
          <w:color w:val="auto"/>
          <w:szCs w:val="21"/>
          <w:highlight w:val="none"/>
          <w:u w:val="single"/>
        </w:rPr>
        <w:t>日9点00分</w:t>
      </w:r>
      <w:r>
        <w:rPr>
          <w:rFonts w:hint="eastAsia" w:ascii="宋体" w:hAnsi="宋体" w:eastAsia="宋体" w:cs="宋体"/>
          <w:bCs/>
          <w:color w:val="auto"/>
          <w:szCs w:val="21"/>
          <w:highlight w:val="none"/>
        </w:rPr>
        <w:t>（北京时间）</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2.首次响应文件提交地点：广西政府采购云平台（https://www.gcy.zfcg.gxzf.gov.cn/）</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五、开启（首次响应文件开启时间）</w:t>
      </w:r>
    </w:p>
    <w:p>
      <w:pPr>
        <w:spacing w:line="360" w:lineRule="auto"/>
        <w:ind w:firstLine="630"/>
        <w:rPr>
          <w:rFonts w:ascii="宋体" w:hAnsi="宋体" w:eastAsia="宋体" w:cs="宋体"/>
          <w:bCs/>
          <w:color w:val="auto"/>
          <w:szCs w:val="21"/>
          <w:highlight w:val="none"/>
          <w:u w:val="single"/>
        </w:rPr>
      </w:pPr>
      <w:r>
        <w:rPr>
          <w:rFonts w:hint="eastAsia" w:ascii="宋体" w:hAnsi="宋体" w:eastAsia="宋体" w:cs="宋体"/>
          <w:color w:val="auto"/>
          <w:szCs w:val="21"/>
          <w:highlight w:val="none"/>
        </w:rPr>
        <w:t>时间：</w:t>
      </w:r>
      <w:bookmarkStart w:id="28" w:name="PO_3000001871_PM015_2"/>
      <w:r>
        <w:rPr>
          <w:rFonts w:hint="eastAsia" w:ascii="宋体" w:hAnsi="宋体" w:eastAsia="宋体" w:cs="宋体"/>
          <w:color w:val="auto"/>
          <w:szCs w:val="21"/>
          <w:highlight w:val="none"/>
          <w:u w:val="single"/>
        </w:rPr>
        <w:t xml:space="preserve"> 2026年</w:t>
      </w:r>
      <w:r>
        <w:rPr>
          <w:rFonts w:hint="eastAsia" w:ascii="宋体" w:hAnsi="宋体" w:eastAsia="宋体" w:cs="宋体"/>
          <w:color w:val="auto"/>
          <w:szCs w:val="21"/>
          <w:highlight w:val="none"/>
          <w:u w:val="single"/>
          <w:lang w:val="en-US" w:eastAsia="zh-CN"/>
        </w:rPr>
        <w:t>7</w:t>
      </w:r>
      <w:r>
        <w:rPr>
          <w:rFonts w:hint="eastAsia" w:ascii="宋体" w:hAnsi="宋体" w:eastAsia="宋体" w:cs="宋体"/>
          <w:color w:val="auto"/>
          <w:szCs w:val="21"/>
          <w:highlight w:val="none"/>
          <w:u w:val="single"/>
        </w:rPr>
        <w:t>月</w:t>
      </w:r>
      <w:r>
        <w:rPr>
          <w:rFonts w:hint="eastAsia" w:ascii="宋体" w:hAnsi="宋体" w:eastAsia="宋体" w:cs="宋体"/>
          <w:color w:val="auto"/>
          <w:szCs w:val="21"/>
          <w:highlight w:val="none"/>
          <w:u w:val="single"/>
          <w:lang w:val="en-US" w:eastAsia="zh-CN"/>
        </w:rPr>
        <w:t>14</w:t>
      </w:r>
      <w:r>
        <w:rPr>
          <w:rFonts w:hint="eastAsia" w:ascii="宋体" w:hAnsi="宋体" w:eastAsia="宋体" w:cs="宋体"/>
          <w:color w:val="auto"/>
          <w:szCs w:val="21"/>
          <w:highlight w:val="none"/>
          <w:u w:val="single"/>
        </w:rPr>
        <w:t>日9点00分</w:t>
      </w:r>
      <w:r>
        <w:rPr>
          <w:rFonts w:hint="eastAsia" w:ascii="宋体" w:hAnsi="宋体" w:eastAsia="宋体" w:cs="宋体"/>
          <w:bCs/>
          <w:color w:val="auto"/>
          <w:szCs w:val="21"/>
          <w:highlight w:val="none"/>
        </w:rPr>
        <w:t>（北京时间）</w:t>
      </w:r>
      <w:bookmarkEnd w:id="28"/>
      <w:r>
        <w:rPr>
          <w:rFonts w:hint="eastAsia" w:ascii="宋体" w:hAnsi="宋体" w:eastAsia="宋体" w:cs="宋体"/>
          <w:color w:val="auto"/>
          <w:szCs w:val="21"/>
          <w:highlight w:val="none"/>
        </w:rPr>
        <w:t>后</w:t>
      </w:r>
    </w:p>
    <w:p>
      <w:pPr>
        <w:spacing w:line="360" w:lineRule="auto"/>
        <w:ind w:firstLine="630"/>
        <w:rPr>
          <w:rFonts w:ascii="宋体" w:hAnsi="宋体" w:eastAsia="宋体" w:cs="宋体"/>
          <w:bCs/>
          <w:color w:val="auto"/>
          <w:szCs w:val="21"/>
          <w:highlight w:val="none"/>
          <w:u w:val="single"/>
        </w:rPr>
      </w:pPr>
      <w:r>
        <w:rPr>
          <w:rFonts w:hint="eastAsia" w:ascii="宋体" w:hAnsi="宋体" w:eastAsia="宋体" w:cs="宋体"/>
          <w:color w:val="auto"/>
          <w:szCs w:val="21"/>
          <w:highlight w:val="none"/>
        </w:rPr>
        <w:t>地点：广西政府采购云平台（https://www.gcy.zfcg.gxzf.gov.cn/）</w:t>
      </w:r>
    </w:p>
    <w:p>
      <w:pPr>
        <w:spacing w:line="360" w:lineRule="auto"/>
        <w:ind w:firstLine="482"/>
        <w:rPr>
          <w:rFonts w:ascii="宋体" w:hAnsi="宋体" w:eastAsia="宋体" w:cs="宋体"/>
          <w:b/>
          <w:bCs/>
          <w:color w:val="auto"/>
          <w:sz w:val="24"/>
          <w:szCs w:val="24"/>
          <w:highlight w:val="none"/>
        </w:rPr>
      </w:pPr>
      <w:bookmarkStart w:id="29" w:name="_Toc28359084"/>
      <w:bookmarkStart w:id="30" w:name="_Toc35393625"/>
      <w:bookmarkStart w:id="31" w:name="_Toc35393794"/>
      <w:bookmarkStart w:id="32" w:name="_Toc28359007"/>
      <w:r>
        <w:rPr>
          <w:rFonts w:hint="eastAsia" w:ascii="宋体" w:hAnsi="宋体" w:eastAsia="宋体" w:cs="宋体"/>
          <w:b/>
          <w:bCs/>
          <w:color w:val="auto"/>
          <w:sz w:val="24"/>
          <w:szCs w:val="24"/>
          <w:highlight w:val="none"/>
        </w:rPr>
        <w:t>六、公告期限</w:t>
      </w:r>
      <w:bookmarkEnd w:id="29"/>
      <w:bookmarkEnd w:id="30"/>
      <w:bookmarkEnd w:id="31"/>
      <w:bookmarkEnd w:id="32"/>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自本公告发布之日起3个工作日。</w:t>
      </w:r>
    </w:p>
    <w:p>
      <w:pPr>
        <w:spacing w:line="360" w:lineRule="auto"/>
        <w:ind w:firstLine="482"/>
        <w:rPr>
          <w:rFonts w:ascii="宋体" w:hAnsi="宋体" w:eastAsia="宋体" w:cs="宋体"/>
          <w:b/>
          <w:bCs/>
          <w:color w:val="auto"/>
          <w:sz w:val="24"/>
          <w:szCs w:val="24"/>
          <w:highlight w:val="none"/>
        </w:rPr>
      </w:pPr>
      <w:bookmarkStart w:id="33" w:name="_Toc35393795"/>
      <w:bookmarkStart w:id="34" w:name="_Toc35393626"/>
      <w:r>
        <w:rPr>
          <w:rFonts w:hint="eastAsia" w:ascii="宋体" w:hAnsi="宋体" w:eastAsia="宋体" w:cs="宋体"/>
          <w:b/>
          <w:bCs/>
          <w:color w:val="auto"/>
          <w:sz w:val="24"/>
          <w:szCs w:val="24"/>
          <w:highlight w:val="none"/>
        </w:rPr>
        <w:t>七、其他补充事宜</w:t>
      </w:r>
      <w:bookmarkEnd w:id="33"/>
      <w:bookmarkEnd w:id="34"/>
    </w:p>
    <w:p>
      <w:pPr>
        <w:spacing w:line="360" w:lineRule="auto"/>
        <w:ind w:firstLine="420"/>
        <w:rPr>
          <w:rFonts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1.谈判保证金： </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本项目需要缴纳谈判保证金，相关要求：</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谈判保证金金额：（大写）</w:t>
      </w:r>
      <w:r>
        <w:rPr>
          <w:rFonts w:hint="eastAsia" w:ascii="宋体" w:hAnsi="宋体" w:eastAsia="宋体" w:cs="宋体"/>
          <w:color w:val="auto"/>
          <w:szCs w:val="21"/>
          <w:highlight w:val="none"/>
          <w:u w:val="single"/>
        </w:rPr>
        <w:t>人民币</w:t>
      </w:r>
      <w:r>
        <w:rPr>
          <w:rFonts w:hint="eastAsia" w:ascii="宋体" w:hAnsi="宋体" w:eastAsia="宋体" w:cs="宋体"/>
          <w:color w:val="auto"/>
          <w:szCs w:val="21"/>
          <w:highlight w:val="none"/>
          <w:u w:val="single"/>
          <w:lang w:val="en-US" w:eastAsia="zh-CN"/>
        </w:rPr>
        <w:t>壹万</w:t>
      </w:r>
      <w:r>
        <w:rPr>
          <w:rFonts w:hint="eastAsia" w:ascii="宋体" w:hAnsi="宋体" w:eastAsia="宋体" w:cs="宋体"/>
          <w:color w:val="auto"/>
          <w:szCs w:val="21"/>
          <w:highlight w:val="none"/>
          <w:u w:val="single"/>
        </w:rPr>
        <w:t>元整（小写）</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10</w:t>
      </w:r>
      <w:r>
        <w:rPr>
          <w:rFonts w:hint="eastAsia" w:ascii="宋体" w:hAnsi="宋体" w:eastAsia="宋体" w:cs="宋体"/>
          <w:color w:val="auto"/>
          <w:szCs w:val="21"/>
          <w:highlight w:val="none"/>
          <w:u w:val="single"/>
        </w:rPr>
        <w:t xml:space="preserve">000.00元 </w:t>
      </w:r>
      <w:r>
        <w:rPr>
          <w:rFonts w:hint="eastAsia" w:ascii="宋体" w:hAnsi="宋体" w:eastAsia="宋体" w:cs="宋体"/>
          <w:color w:val="auto"/>
          <w:szCs w:val="21"/>
          <w:highlight w:val="none"/>
        </w:rPr>
        <w:t>。</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谈判保证金的缴纳方式：银行转账、支票、汇票、本票或者金融机构、担保机构出具的保函等非现金形式提交。采用银行转账方式的，在首次响应文件提交截止时间前交至采购代理机构指定账户并且到账；缴纳谈判保证金指定账户的信息：</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开户银行：招商银行南宁市金浦路支行</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开户名称：广西科联招标中心有限公司</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银行账号：7719011969103330000000637</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采用支票、汇票、本票或者保函等方式的，供应商必须在首次响应文件提交截止时间前将支票、汇票、本票或者金融机构、担保机构出具的保函（电子保函除外）等原件提交给采购代理机构。否则视为无效谈判保证金。</w:t>
      </w:r>
    </w:p>
    <w:p>
      <w:pPr>
        <w:spacing w:line="360" w:lineRule="auto"/>
        <w:ind w:firstLine="420"/>
        <w:rPr>
          <w:rFonts w:ascii="宋体" w:hAnsi="宋体" w:eastAsia="宋体" w:cs="宋体"/>
          <w:color w:val="auto"/>
          <w:szCs w:val="21"/>
          <w:highlight w:val="none"/>
        </w:rPr>
      </w:pPr>
      <w:bookmarkStart w:id="35" w:name="_Hlk37429595"/>
      <w:bookmarkStart w:id="36" w:name="_Hlk37429585"/>
      <w:r>
        <w:rPr>
          <w:rFonts w:hint="eastAsia" w:ascii="宋体" w:hAnsi="宋体" w:eastAsia="宋体" w:cs="宋体"/>
          <w:color w:val="auto"/>
          <w:szCs w:val="21"/>
          <w:highlight w:val="none"/>
        </w:rPr>
        <w:t>2.网上查询地址：</w:t>
      </w:r>
      <w:bookmarkEnd w:id="35"/>
      <w:bookmarkEnd w:id="36"/>
    </w:p>
    <w:p>
      <w:pPr>
        <w:spacing w:line="360" w:lineRule="auto"/>
        <w:ind w:firstLine="420" w:firstLineChars="200"/>
        <w:jc w:val="both"/>
        <w:rPr>
          <w:rFonts w:hint="eastAsia" w:ascii="宋体" w:hAnsi="宋体" w:eastAsia="宋体" w:cs="宋体"/>
          <w:color w:val="auto"/>
          <w:szCs w:val="21"/>
          <w:highlight w:val="none"/>
          <w:lang w:eastAsia="zh-CN"/>
        </w:rPr>
      </w:pPr>
      <w:bookmarkStart w:id="37" w:name="_Hlk37429674"/>
      <w:r>
        <w:rPr>
          <w:rFonts w:hint="eastAsia" w:ascii="宋体" w:hAnsi="宋体" w:eastAsia="宋体" w:cs="宋体"/>
          <w:color w:val="auto"/>
          <w:szCs w:val="21"/>
          <w:highlight w:val="none"/>
        </w:rPr>
        <w:t>http://www.ccgp.gov.cn/（中国政府采购网）、http://zfcg.gxzf.gov.cn/  (广西政府采购网)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none"/>
          <w:lang w:eastAsia="zh-CN"/>
        </w:rPr>
        <w:t>https://www.gxmu.edu.cn/（</w:t>
      </w:r>
      <w:r>
        <w:rPr>
          <w:rFonts w:hint="eastAsia" w:ascii="宋体" w:hAnsi="宋体" w:eastAsia="宋体" w:cs="宋体"/>
          <w:color w:val="auto"/>
          <w:szCs w:val="21"/>
          <w:highlight w:val="none"/>
          <w:u w:val="none"/>
          <w:lang w:val="en-US" w:eastAsia="zh-CN"/>
        </w:rPr>
        <w:t>广西医科大学官网</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none"/>
        </w:rPr>
        <w:t>、http://www.gxmuwmfy.com/</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none"/>
        </w:rPr>
        <w:t>广西医科大学附属武鸣医院官网</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none"/>
        </w:rPr>
        <w:t>。</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3.本项目需要落实的政府采购政策：</w:t>
      </w:r>
    </w:p>
    <w:p>
      <w:pPr>
        <w:spacing w:line="360" w:lineRule="auto"/>
        <w:ind w:firstLine="315"/>
        <w:rPr>
          <w:rFonts w:ascii="宋体" w:hAnsi="宋体" w:eastAsia="宋体" w:cs="宋体"/>
          <w:color w:val="auto"/>
          <w:szCs w:val="21"/>
          <w:highlight w:val="none"/>
        </w:rPr>
      </w:pPr>
      <w:r>
        <w:rPr>
          <w:rFonts w:hint="eastAsia" w:ascii="宋体" w:hAnsi="宋体" w:eastAsia="宋体" w:cs="宋体"/>
          <w:color w:val="auto"/>
          <w:szCs w:val="21"/>
          <w:highlight w:val="none"/>
        </w:rPr>
        <w:t>（1）政府采购促进中小企业发展。</w:t>
      </w:r>
    </w:p>
    <w:p>
      <w:pPr>
        <w:spacing w:line="360" w:lineRule="auto"/>
        <w:ind w:firstLine="315"/>
        <w:rPr>
          <w:rFonts w:ascii="宋体" w:hAnsi="宋体" w:eastAsia="宋体" w:cs="宋体"/>
          <w:color w:val="auto"/>
          <w:szCs w:val="21"/>
          <w:highlight w:val="none"/>
        </w:rPr>
      </w:pPr>
      <w:r>
        <w:rPr>
          <w:rFonts w:hint="eastAsia" w:ascii="宋体" w:hAnsi="宋体" w:eastAsia="宋体" w:cs="宋体"/>
          <w:color w:val="auto"/>
          <w:szCs w:val="21"/>
          <w:highlight w:val="none"/>
        </w:rPr>
        <w:t>（2）政府采购支持采用本国产品的政策。</w:t>
      </w:r>
    </w:p>
    <w:p>
      <w:pPr>
        <w:spacing w:line="360" w:lineRule="auto"/>
        <w:ind w:firstLine="315"/>
        <w:rPr>
          <w:rFonts w:ascii="宋体" w:hAnsi="宋体" w:eastAsia="宋体" w:cs="宋体"/>
          <w:color w:val="auto"/>
          <w:szCs w:val="21"/>
          <w:highlight w:val="none"/>
        </w:rPr>
      </w:pPr>
      <w:r>
        <w:rPr>
          <w:rFonts w:hint="eastAsia" w:ascii="宋体" w:hAnsi="宋体" w:eastAsia="宋体" w:cs="宋体"/>
          <w:color w:val="auto"/>
          <w:szCs w:val="21"/>
          <w:highlight w:val="none"/>
        </w:rPr>
        <w:t>（3）强制采购节能产品；优先采购节能产品、环境标志产品。</w:t>
      </w:r>
    </w:p>
    <w:p>
      <w:pPr>
        <w:spacing w:line="360" w:lineRule="auto"/>
        <w:ind w:firstLine="315"/>
        <w:rPr>
          <w:rFonts w:ascii="宋体" w:hAnsi="宋体" w:eastAsia="宋体" w:cs="宋体"/>
          <w:color w:val="auto"/>
          <w:szCs w:val="21"/>
          <w:highlight w:val="none"/>
        </w:rPr>
      </w:pPr>
      <w:r>
        <w:rPr>
          <w:rFonts w:hint="eastAsia" w:ascii="宋体" w:hAnsi="宋体" w:eastAsia="宋体" w:cs="宋体"/>
          <w:color w:val="auto"/>
          <w:szCs w:val="21"/>
          <w:highlight w:val="none"/>
        </w:rPr>
        <w:t>（4）政府采购促进残疾人就业政策。</w:t>
      </w:r>
    </w:p>
    <w:p>
      <w:pPr>
        <w:spacing w:line="360" w:lineRule="auto"/>
        <w:ind w:firstLine="315"/>
        <w:rPr>
          <w:rFonts w:ascii="宋体" w:hAnsi="宋体" w:eastAsia="宋体" w:cs="宋体"/>
          <w:color w:val="auto"/>
          <w:szCs w:val="21"/>
          <w:highlight w:val="none"/>
        </w:rPr>
      </w:pPr>
      <w:r>
        <w:rPr>
          <w:rFonts w:hint="eastAsia" w:ascii="宋体" w:hAnsi="宋体" w:eastAsia="宋体" w:cs="宋体"/>
          <w:color w:val="auto"/>
          <w:szCs w:val="21"/>
          <w:highlight w:val="none"/>
        </w:rPr>
        <w:t>（5）政府采购支持监狱企业发展。</w:t>
      </w:r>
    </w:p>
    <w:p>
      <w:pPr>
        <w:spacing w:line="360" w:lineRule="auto"/>
        <w:ind w:firstLine="315"/>
        <w:rPr>
          <w:rFonts w:ascii="宋体" w:hAnsi="宋体" w:eastAsia="宋体" w:cs="宋体"/>
          <w:color w:val="auto"/>
          <w:szCs w:val="21"/>
          <w:highlight w:val="none"/>
        </w:rPr>
      </w:pPr>
      <w:r>
        <w:rPr>
          <w:rFonts w:hint="eastAsia" w:ascii="宋体" w:hAnsi="宋体" w:eastAsia="宋体" w:cs="宋体"/>
          <w:color w:val="auto"/>
          <w:szCs w:val="21"/>
          <w:highlight w:val="none"/>
        </w:rPr>
        <w:t>（6）在政府采购中实施本国产品标准及相关政策。</w:t>
      </w:r>
      <w:bookmarkEnd w:id="37"/>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5.对在“信用中国”网站(www.creditchina.gov.cn)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pPr>
        <w:spacing w:line="360" w:lineRule="auto"/>
        <w:ind w:firstLine="422"/>
        <w:rPr>
          <w:rFonts w:ascii="宋体" w:hAnsi="宋体" w:eastAsia="宋体" w:cs="宋体"/>
          <w:color w:val="auto"/>
          <w:szCs w:val="21"/>
          <w:highlight w:val="none"/>
        </w:rPr>
      </w:pPr>
      <w:r>
        <w:rPr>
          <w:rFonts w:hint="eastAsia" w:ascii="宋体" w:hAnsi="宋体" w:eastAsia="宋体" w:cs="宋体"/>
          <w:b/>
          <w:bCs/>
          <w:color w:val="auto"/>
          <w:szCs w:val="21"/>
          <w:highlight w:val="none"/>
        </w:rPr>
        <w:t>6.在线竞标的有关说明：</w:t>
      </w:r>
    </w:p>
    <w:p>
      <w:pPr>
        <w:widowControl/>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（1）响应文件提交方式：本项目为全流程电子化项目，通过广西政府采购云平台（</w:t>
      </w:r>
      <w:r>
        <w:rPr>
          <w:rStyle w:val="47"/>
          <w:rFonts w:hint="eastAsia" w:ascii="宋体" w:hAnsi="宋体" w:eastAsia="宋体" w:cs="宋体"/>
          <w:b w:val="0"/>
          <w:bCs/>
          <w:color w:val="auto"/>
          <w:szCs w:val="21"/>
          <w:highlight w:val="none"/>
        </w:rPr>
        <w:t>https://www.gcy.zfcg.gxzf.gov.cn）</w:t>
      </w:r>
      <w:r>
        <w:rPr>
          <w:rFonts w:hint="eastAsia" w:ascii="宋体" w:hAnsi="宋体" w:eastAsia="宋体" w:cs="宋体"/>
          <w:color w:val="auto"/>
          <w:szCs w:val="21"/>
          <w:highlight w:val="none"/>
        </w:rPr>
        <w:t>实行在线电子响应，供应商应先安装广西政府采购云平台新版客户端（新版客户端下载路径：广西政府采购网（访问地址http://zfcg.gxzf.gov.cn）—办事指南—下载专区），并按照本项目采购文件和广西政府采购云平台的要求编制、加密后在响应文件提交截止时间前通过网络上传至广西政府采购云平台，</w:t>
      </w:r>
      <w:r>
        <w:rPr>
          <w:rFonts w:hint="eastAsia" w:ascii="宋体" w:hAnsi="宋体" w:eastAsia="宋体" w:cs="宋体"/>
          <w:b/>
          <w:color w:val="auto"/>
          <w:szCs w:val="21"/>
          <w:highlight w:val="none"/>
        </w:rPr>
        <w:t>供应商在广西政府采购云平台提交电子版响应文件时，请填写参加远程采购活动经办人联系方式</w:t>
      </w:r>
      <w:r>
        <w:rPr>
          <w:rFonts w:hint="eastAsia" w:ascii="宋体" w:hAnsi="宋体" w:eastAsia="宋体" w:cs="宋体"/>
          <w:color w:val="auto"/>
          <w:szCs w:val="21"/>
          <w:highlight w:val="none"/>
        </w:rPr>
        <w:t>。</w:t>
      </w:r>
    </w:p>
    <w:p>
      <w:pPr>
        <w:widowControl/>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（2）未进行网上注册并办理数字证书（CA认证）的供应商将无法参与本项目政府采购活动，潜在供应商应当在首次响应文件提交截止时间前，完成电子交易平台上的CA数字证书办理及响应文件的提交。</w:t>
      </w:r>
    </w:p>
    <w:p>
      <w:pPr>
        <w:widowControl/>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pPr>
        <w:spacing w:line="360" w:lineRule="auto"/>
        <w:ind w:firstLine="422"/>
        <w:rPr>
          <w:rFonts w:ascii="宋体" w:hAnsi="宋体" w:eastAsia="宋体" w:cs="宋体"/>
          <w:b/>
          <w:color w:val="auto"/>
          <w:szCs w:val="21"/>
          <w:highlight w:val="none"/>
          <w:u w:val="single"/>
        </w:rPr>
      </w:pPr>
      <w:r>
        <w:rPr>
          <w:rFonts w:hint="eastAsia" w:ascii="宋体" w:hAnsi="宋体" w:eastAsia="宋体" w:cs="宋体"/>
          <w:b/>
          <w:color w:val="auto"/>
          <w:szCs w:val="21"/>
          <w:highlight w:val="none"/>
          <w:u w:val="single"/>
        </w:rPr>
        <w:t>注：供应商应当在首次响应文件提交截止时间前完成电子版响应文件的上传、提交，响应文件提交截止时间前可以补充、修改或者撤回响应文件。补充或者修改响应文件的，应当先行撤回原文件，补充、修改后重新上传、提交。</w:t>
      </w:r>
      <w:r>
        <w:rPr>
          <w:rFonts w:hint="eastAsia" w:ascii="宋体" w:hAnsi="宋体" w:eastAsia="宋体" w:cs="宋体"/>
          <w:b/>
          <w:color w:val="auto"/>
          <w:szCs w:val="21"/>
          <w:highlight w:val="none"/>
        </w:rPr>
        <w:t>响应文件提交</w:t>
      </w:r>
      <w:r>
        <w:rPr>
          <w:rFonts w:hint="eastAsia" w:ascii="宋体" w:hAnsi="宋体" w:eastAsia="宋体" w:cs="宋体"/>
          <w:b/>
          <w:color w:val="auto"/>
          <w:szCs w:val="21"/>
          <w:highlight w:val="none"/>
          <w:u w:val="single"/>
        </w:rPr>
        <w:t>截止时间前未完成上传、提交的，视为撤回响应文件。响应文件提交截止时间以后上传提交的响应文件，广西政府采购云平台将予以拒收。</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（4）CA证书在线解密：首次响应文件开启时，需要供应商登录广西政府采购云平台电子开标大厅按规定时间对加密的响应文件进行解密。</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（5）供应商需要在具备有摄像头及语音功能且互联网网络状况良好的电脑登录广西政府采购云平台远程开标大厅参与本次谈判，否则后果自负。</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7.若对项目采购电子交易系统操作有疑问，可登录广西政府采购云平台（</w:t>
      </w:r>
      <w:r>
        <w:rPr>
          <w:rStyle w:val="47"/>
          <w:rFonts w:hint="eastAsia" w:ascii="宋体" w:hAnsi="宋体" w:eastAsia="宋体" w:cs="宋体"/>
          <w:b w:val="0"/>
          <w:bCs/>
          <w:color w:val="auto"/>
          <w:szCs w:val="21"/>
          <w:highlight w:val="none"/>
        </w:rPr>
        <w:t>https://www.gcy.zfcg.gxzf.gov.cn/</w:t>
      </w:r>
      <w:r>
        <w:rPr>
          <w:rFonts w:hint="eastAsia" w:ascii="宋体" w:hAnsi="宋体" w:eastAsia="宋体" w:cs="宋体"/>
          <w:color w:val="auto"/>
          <w:szCs w:val="21"/>
          <w:highlight w:val="none"/>
        </w:rPr>
        <w:t>），点击右侧咨询小采，获取采小蜜智能服务管家帮助，或拨打广西政府采购云平台服务热线95763获取热线服务帮助。</w:t>
      </w:r>
    </w:p>
    <w:p>
      <w:pPr>
        <w:pStyle w:val="28"/>
        <w:spacing w:line="360" w:lineRule="auto"/>
        <w:ind w:firstLine="420"/>
        <w:rPr>
          <w:rFonts w:ascii="宋体" w:hAnsi="宋体" w:cs="宋体"/>
          <w:color w:val="auto"/>
          <w:sz w:val="21"/>
          <w:szCs w:val="21"/>
          <w:highlight w:val="none"/>
          <w:lang w:val="en-US"/>
        </w:rPr>
      </w:pPr>
      <w:r>
        <w:rPr>
          <w:rFonts w:hint="eastAsia" w:ascii="宋体" w:hAnsi="宋体" w:cs="宋体"/>
          <w:color w:val="auto"/>
          <w:sz w:val="21"/>
          <w:szCs w:val="21"/>
          <w:highlight w:val="none"/>
          <w:lang w:val="en-US"/>
        </w:rPr>
        <w:t>8.银行、保险、石油石化、电力、电信等有行业特殊情况的，法人的分支机构经法人授权后可以分支机构的身份参加政府采购。如供应商为分支机构的，必须在响应文件中同时提供经法人授权供应商以分支机构名义参加竞标的授权委托书、法人营业执照及分支机构营业执照的复印件。</w:t>
      </w:r>
    </w:p>
    <w:p>
      <w:pPr>
        <w:spacing w:line="360" w:lineRule="auto"/>
        <w:ind w:firstLine="482"/>
        <w:rPr>
          <w:rFonts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八、凡对本次采购提出询问，请按以下方式联系。</w:t>
      </w:r>
    </w:p>
    <w:p>
      <w:pPr>
        <w:spacing w:line="360" w:lineRule="auto"/>
        <w:ind w:firstLine="735"/>
        <w:jc w:val="left"/>
        <w:rPr>
          <w:rFonts w:ascii="宋体" w:hAnsi="宋体" w:eastAsia="宋体" w:cs="宋体"/>
          <w:color w:val="auto"/>
          <w:szCs w:val="21"/>
          <w:highlight w:val="none"/>
        </w:rPr>
      </w:pPr>
      <w:r>
        <w:rPr>
          <w:rFonts w:hint="eastAsia" w:ascii="宋体" w:hAnsi="宋体" w:eastAsia="宋体" w:cs="宋体"/>
          <w:color w:val="auto"/>
          <w:szCs w:val="21"/>
          <w:highlight w:val="none"/>
        </w:rPr>
        <w:t>1.采购人信息</w:t>
      </w:r>
    </w:p>
    <w:p>
      <w:pPr>
        <w:spacing w:line="360" w:lineRule="auto"/>
        <w:ind w:left="1041" w:hanging="262"/>
        <w:jc w:val="left"/>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lang w:eastAsia="zh-CN"/>
        </w:rPr>
        <w:t>广西医科大学附属武鸣医院</w:t>
      </w:r>
    </w:p>
    <w:p>
      <w:pPr>
        <w:spacing w:line="360" w:lineRule="auto"/>
        <w:ind w:left="1041" w:hanging="262"/>
        <w:jc w:val="left"/>
        <w:rPr>
          <w:rFonts w:ascii="宋体" w:hAnsi="宋体" w:eastAsia="宋体" w:cs="宋体"/>
          <w:color w:val="auto"/>
          <w:szCs w:val="21"/>
          <w:highlight w:val="none"/>
        </w:rPr>
      </w:pPr>
      <w:r>
        <w:rPr>
          <w:rFonts w:hint="eastAsia" w:ascii="宋体" w:hAnsi="宋体" w:eastAsia="宋体" w:cs="宋体"/>
          <w:color w:val="auto"/>
          <w:szCs w:val="21"/>
          <w:highlight w:val="none"/>
        </w:rPr>
        <w:t>地 址：广西南宁市武鸣区永宁路26号</w:t>
      </w:r>
    </w:p>
    <w:p>
      <w:pPr>
        <w:spacing w:line="360" w:lineRule="auto"/>
        <w:ind w:left="1041" w:hanging="262"/>
        <w:jc w:val="left"/>
        <w:rPr>
          <w:rFonts w:ascii="宋体" w:hAnsi="宋体" w:eastAsia="宋体" w:cs="宋体"/>
          <w:color w:val="auto"/>
          <w:szCs w:val="21"/>
          <w:highlight w:val="none"/>
        </w:rPr>
      </w:pPr>
      <w:r>
        <w:rPr>
          <w:rFonts w:hint="eastAsia" w:ascii="宋体" w:hAnsi="宋体" w:eastAsia="宋体" w:cs="宋体"/>
          <w:color w:val="auto"/>
          <w:szCs w:val="21"/>
          <w:highlight w:val="none"/>
          <w:lang w:val="zh-CN"/>
        </w:rPr>
        <w:t>联系方式</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丘工</w:t>
      </w:r>
      <w:r>
        <w:rPr>
          <w:rFonts w:hint="eastAsia" w:ascii="宋体" w:hAnsi="宋体" w:eastAsia="宋体" w:cs="宋体"/>
          <w:color w:val="auto"/>
          <w:szCs w:val="21"/>
          <w:highlight w:val="none"/>
        </w:rPr>
        <w:t>，0771-6200039</w:t>
      </w:r>
    </w:p>
    <w:p>
      <w:pPr>
        <w:spacing w:line="360" w:lineRule="auto"/>
        <w:ind w:left="1041" w:hanging="262"/>
        <w:jc w:val="left"/>
        <w:rPr>
          <w:rFonts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pPr>
        <w:spacing w:line="360" w:lineRule="auto"/>
        <w:ind w:firstLine="735"/>
        <w:rPr>
          <w:rFonts w:ascii="宋体" w:hAnsi="宋体" w:eastAsia="宋体" w:cs="宋体"/>
          <w:color w:val="auto"/>
          <w:szCs w:val="21"/>
          <w:highlight w:val="none"/>
        </w:rPr>
      </w:pPr>
      <w:r>
        <w:rPr>
          <w:rFonts w:hint="eastAsia" w:ascii="宋体" w:hAnsi="宋体" w:eastAsia="宋体" w:cs="宋体"/>
          <w:color w:val="auto"/>
          <w:szCs w:val="21"/>
          <w:highlight w:val="none"/>
        </w:rPr>
        <w:t>名 称：广西科联招标中心有限公司</w:t>
      </w:r>
    </w:p>
    <w:p>
      <w:pPr>
        <w:spacing w:line="360" w:lineRule="auto"/>
        <w:ind w:firstLine="735"/>
        <w:rPr>
          <w:rFonts w:ascii="宋体" w:hAnsi="宋体" w:eastAsia="宋体" w:cs="宋体"/>
          <w:color w:val="auto"/>
          <w:szCs w:val="21"/>
          <w:highlight w:val="none"/>
        </w:rPr>
      </w:pPr>
      <w:r>
        <w:rPr>
          <w:rFonts w:hint="eastAsia" w:ascii="宋体" w:hAnsi="宋体" w:eastAsia="宋体" w:cs="宋体"/>
          <w:color w:val="auto"/>
          <w:szCs w:val="21"/>
          <w:highlight w:val="none"/>
        </w:rPr>
        <w:t>地　址：广西南宁市大学东路170号</w:t>
      </w:r>
    </w:p>
    <w:p>
      <w:pPr>
        <w:spacing w:line="360" w:lineRule="auto"/>
        <w:ind w:firstLine="735"/>
        <w:rPr>
          <w:rFonts w:ascii="宋体" w:hAnsi="宋体" w:eastAsia="宋体" w:cs="宋体"/>
          <w:color w:val="auto"/>
          <w:szCs w:val="21"/>
          <w:highlight w:val="none"/>
        </w:rPr>
      </w:pPr>
      <w:r>
        <w:rPr>
          <w:rFonts w:hint="eastAsia" w:ascii="宋体" w:hAnsi="宋体" w:eastAsia="宋体" w:cs="宋体"/>
          <w:color w:val="auto"/>
          <w:szCs w:val="21"/>
          <w:highlight w:val="none"/>
        </w:rPr>
        <w:t>项目联系人：韦雯思</w:t>
      </w:r>
    </w:p>
    <w:p>
      <w:pPr>
        <w:spacing w:line="360" w:lineRule="auto"/>
        <w:ind w:firstLine="735"/>
        <w:rPr>
          <w:rFonts w:ascii="宋体" w:hAnsi="宋体" w:eastAsia="宋体" w:cs="宋体"/>
          <w:color w:val="auto"/>
          <w:szCs w:val="21"/>
          <w:highlight w:val="none"/>
        </w:rPr>
      </w:pPr>
      <w:r>
        <w:rPr>
          <w:rFonts w:hint="eastAsia" w:ascii="宋体" w:hAnsi="宋体" w:eastAsia="宋体" w:cs="宋体"/>
          <w:color w:val="auto"/>
          <w:szCs w:val="21"/>
          <w:highlight w:val="none"/>
        </w:rPr>
        <w:t>项目联系方式：0771-3486278</w:t>
      </w:r>
    </w:p>
    <w:p>
      <w:pPr>
        <w:spacing w:line="360" w:lineRule="auto"/>
        <w:ind w:firstLine="735"/>
        <w:rPr>
          <w:rFonts w:ascii="宋体" w:hAnsi="宋体" w:eastAsia="宋体" w:cs="宋体"/>
          <w:color w:val="auto"/>
          <w:szCs w:val="21"/>
          <w:highlight w:val="none"/>
        </w:rPr>
      </w:pPr>
      <w:r>
        <w:rPr>
          <w:rFonts w:hint="eastAsia" w:ascii="宋体" w:hAnsi="宋体" w:eastAsia="宋体" w:cs="宋体"/>
          <w:color w:val="auto"/>
          <w:szCs w:val="21"/>
          <w:highlight w:val="none"/>
        </w:rPr>
        <w:t>保证金、服务费到账查询电话：黄缨然，0771-2203986</w:t>
      </w:r>
    </w:p>
    <w:p>
      <w:pPr>
        <w:spacing w:line="360" w:lineRule="auto"/>
        <w:ind w:firstLine="735"/>
        <w:rPr>
          <w:rFonts w:ascii="宋体" w:hAnsi="宋体" w:eastAsia="宋体" w:cs="宋体"/>
          <w:color w:val="auto"/>
          <w:szCs w:val="21"/>
          <w:highlight w:val="none"/>
        </w:rPr>
      </w:pPr>
      <w:r>
        <w:rPr>
          <w:rFonts w:hint="eastAsia" w:ascii="宋体" w:hAnsi="宋体" w:eastAsia="宋体" w:cs="宋体"/>
          <w:color w:val="auto"/>
          <w:szCs w:val="21"/>
          <w:highlight w:val="none"/>
        </w:rPr>
        <w:t>3.项目联系方式</w:t>
      </w:r>
    </w:p>
    <w:p>
      <w:pPr>
        <w:spacing w:line="360" w:lineRule="auto"/>
        <w:ind w:firstLine="735"/>
        <w:rPr>
          <w:rFonts w:ascii="宋体" w:hAnsi="宋体" w:eastAsia="宋体" w:cs="宋体"/>
          <w:color w:val="auto"/>
          <w:szCs w:val="21"/>
          <w:highlight w:val="none"/>
        </w:rPr>
      </w:pPr>
      <w:r>
        <w:rPr>
          <w:rFonts w:hint="eastAsia" w:ascii="宋体" w:hAnsi="宋体" w:eastAsia="宋体" w:cs="宋体"/>
          <w:color w:val="auto"/>
          <w:szCs w:val="21"/>
          <w:highlight w:val="none"/>
        </w:rPr>
        <w:t>项目联系人：韦雯思</w:t>
      </w:r>
    </w:p>
    <w:p>
      <w:pPr>
        <w:spacing w:line="360" w:lineRule="auto"/>
        <w:ind w:firstLine="735"/>
        <w:rPr>
          <w:rFonts w:ascii="宋体" w:hAnsi="宋体" w:eastAsia="宋体" w:cs="宋体"/>
          <w:color w:val="auto"/>
          <w:szCs w:val="21"/>
          <w:highlight w:val="none"/>
        </w:rPr>
      </w:pPr>
      <w:r>
        <w:rPr>
          <w:rFonts w:hint="eastAsia" w:ascii="宋体" w:hAnsi="宋体" w:eastAsia="宋体" w:cs="宋体"/>
          <w:color w:val="auto"/>
          <w:szCs w:val="21"/>
          <w:highlight w:val="none"/>
        </w:rPr>
        <w:t>电    话：0771-3486278</w:t>
      </w:r>
    </w:p>
    <w:p>
      <w:pPr>
        <w:spacing w:line="360" w:lineRule="auto"/>
        <w:ind w:firstLine="735"/>
        <w:rPr>
          <w:rFonts w:ascii="宋体" w:hAnsi="宋体" w:eastAsia="宋体" w:cs="宋体"/>
          <w:color w:val="auto"/>
          <w:szCs w:val="21"/>
          <w:highlight w:val="none"/>
        </w:rPr>
      </w:pPr>
    </w:p>
    <w:p>
      <w:pPr>
        <w:spacing w:line="360" w:lineRule="auto"/>
        <w:ind w:firstLine="735"/>
        <w:jc w:val="right"/>
        <w:rPr>
          <w:rFonts w:ascii="宋体" w:hAnsi="宋体" w:eastAsia="宋体" w:cs="宋体"/>
          <w:color w:val="auto"/>
          <w:szCs w:val="21"/>
          <w:highlight w:val="none"/>
        </w:rPr>
      </w:pPr>
      <w:r>
        <w:rPr>
          <w:rFonts w:hint="eastAsia" w:ascii="宋体" w:hAnsi="宋体" w:eastAsia="宋体" w:cs="宋体"/>
          <w:color w:val="auto"/>
          <w:szCs w:val="21"/>
          <w:highlight w:val="none"/>
        </w:rPr>
        <w:t>广西科联招标中心有限公司</w:t>
      </w:r>
    </w:p>
    <w:p>
      <w:pPr>
        <w:spacing w:line="360" w:lineRule="auto"/>
        <w:ind w:firstLine="735"/>
        <w:jc w:val="right"/>
        <w:rPr>
          <w:rFonts w:ascii="宋体" w:hAnsi="宋体" w:eastAsia="宋体" w:cs="宋体"/>
          <w:color w:val="auto"/>
          <w:szCs w:val="21"/>
          <w:highlight w:val="none"/>
        </w:rPr>
      </w:pPr>
      <w:r>
        <w:rPr>
          <w:rFonts w:hint="eastAsia" w:ascii="宋体" w:hAnsi="宋体" w:eastAsia="宋体" w:cs="宋体"/>
          <w:color w:val="auto"/>
          <w:szCs w:val="21"/>
          <w:highlight w:val="none"/>
        </w:rPr>
        <w:t>2026年</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日</w:t>
      </w:r>
    </w:p>
    <w:p>
      <w:pPr>
        <w:spacing w:line="380" w:lineRule="exact"/>
        <w:ind w:firstLine="420"/>
        <w:rPr>
          <w:rFonts w:ascii="宋体" w:hAnsi="宋体" w:eastAsia="宋体" w:cs="宋体"/>
          <w:color w:val="auto"/>
          <w:szCs w:val="21"/>
          <w:highlight w:val="none"/>
        </w:rPr>
      </w:pPr>
    </w:p>
    <w:p>
      <w:pPr>
        <w:pStyle w:val="43"/>
        <w:rPr>
          <w:rFonts w:ascii="宋体" w:hAnsi="宋体" w:cs="宋体"/>
          <w:color w:val="auto"/>
          <w:szCs w:val="21"/>
          <w:highlight w:val="none"/>
        </w:rPr>
      </w:pPr>
    </w:p>
    <w:p>
      <w:pPr>
        <w:rPr>
          <w:rFonts w:ascii="宋体" w:hAnsi="宋体" w:eastAsia="宋体" w:cs="宋体"/>
          <w:color w:val="auto"/>
          <w:szCs w:val="21"/>
          <w:highlight w:val="none"/>
        </w:rPr>
      </w:pPr>
    </w:p>
    <w:p>
      <w:pPr>
        <w:pStyle w:val="43"/>
        <w:rPr>
          <w:rFonts w:ascii="宋体" w:hAnsi="宋体" w:cs="宋体"/>
          <w:color w:val="auto"/>
          <w:szCs w:val="21"/>
          <w:highlight w:val="none"/>
        </w:rPr>
      </w:pPr>
    </w:p>
    <w:p>
      <w:pPr>
        <w:rPr>
          <w:rFonts w:ascii="宋体" w:hAnsi="宋体" w:eastAsia="宋体" w:cs="宋体"/>
          <w:color w:val="auto"/>
          <w:szCs w:val="21"/>
          <w:highlight w:val="none"/>
        </w:rPr>
      </w:pPr>
    </w:p>
    <w:p>
      <w:pPr>
        <w:pStyle w:val="43"/>
        <w:rPr>
          <w:rFonts w:ascii="宋体" w:hAnsi="宋体" w:cs="宋体"/>
          <w:color w:val="auto"/>
          <w:szCs w:val="21"/>
          <w:highlight w:val="none"/>
        </w:rPr>
      </w:pPr>
    </w:p>
    <w:p>
      <w:pPr>
        <w:rPr>
          <w:rFonts w:ascii="宋体" w:hAnsi="宋体" w:eastAsia="宋体" w:cs="宋体"/>
          <w:color w:val="auto"/>
          <w:szCs w:val="21"/>
          <w:highlight w:val="none"/>
        </w:rPr>
      </w:pPr>
    </w:p>
    <w:p>
      <w:pPr>
        <w:pStyle w:val="43"/>
        <w:rPr>
          <w:rFonts w:ascii="宋体" w:hAnsi="宋体" w:cs="宋体"/>
          <w:color w:val="auto"/>
          <w:szCs w:val="21"/>
          <w:highlight w:val="none"/>
        </w:rPr>
      </w:pPr>
    </w:p>
    <w:p>
      <w:pPr>
        <w:rPr>
          <w:rFonts w:ascii="宋体" w:hAnsi="宋体" w:eastAsia="宋体" w:cs="宋体"/>
          <w:color w:val="auto"/>
          <w:szCs w:val="21"/>
          <w:highlight w:val="none"/>
        </w:rPr>
      </w:pPr>
    </w:p>
    <w:p>
      <w:pPr>
        <w:pStyle w:val="43"/>
        <w:rPr>
          <w:rFonts w:ascii="宋体" w:hAnsi="宋体" w:cs="宋体"/>
          <w:color w:val="auto"/>
          <w:szCs w:val="21"/>
          <w:highlight w:val="none"/>
        </w:rPr>
      </w:pPr>
    </w:p>
    <w:p>
      <w:pPr>
        <w:rPr>
          <w:rFonts w:ascii="宋体" w:hAnsi="宋体" w:eastAsia="宋体" w:cs="宋体"/>
          <w:color w:val="auto"/>
          <w:szCs w:val="21"/>
          <w:highlight w:val="none"/>
        </w:rPr>
      </w:pPr>
    </w:p>
    <w:p>
      <w:pPr>
        <w:pStyle w:val="43"/>
        <w:rPr>
          <w:rFonts w:ascii="宋体" w:hAnsi="宋体" w:cs="宋体"/>
          <w:color w:val="auto"/>
          <w:szCs w:val="21"/>
          <w:highlight w:val="none"/>
        </w:rPr>
      </w:pPr>
    </w:p>
    <w:p>
      <w:pPr>
        <w:rPr>
          <w:rFonts w:ascii="宋体" w:hAnsi="宋体" w:eastAsia="宋体" w:cs="宋体"/>
          <w:color w:val="auto"/>
          <w:szCs w:val="21"/>
          <w:highlight w:val="none"/>
        </w:rPr>
      </w:pPr>
    </w:p>
    <w:p>
      <w:pPr>
        <w:pStyle w:val="43"/>
        <w:rPr>
          <w:rFonts w:ascii="宋体" w:hAnsi="宋体" w:cs="宋体"/>
          <w:color w:val="auto"/>
          <w:szCs w:val="21"/>
          <w:highlight w:val="none"/>
        </w:rPr>
      </w:pPr>
    </w:p>
    <w:p>
      <w:pPr>
        <w:rPr>
          <w:rFonts w:ascii="宋体" w:hAnsi="宋体" w:eastAsia="宋体" w:cs="宋体"/>
          <w:color w:val="auto"/>
          <w:szCs w:val="21"/>
          <w:highlight w:val="none"/>
        </w:rPr>
      </w:pPr>
    </w:p>
    <w:p>
      <w:pPr>
        <w:pStyle w:val="43"/>
        <w:rPr>
          <w:rFonts w:ascii="宋体" w:hAnsi="宋体" w:cs="宋体"/>
          <w:color w:val="auto"/>
          <w:szCs w:val="21"/>
          <w:highlight w:val="none"/>
        </w:rPr>
      </w:pPr>
    </w:p>
    <w:p>
      <w:pPr>
        <w:rPr>
          <w:rFonts w:ascii="宋体" w:hAnsi="宋体" w:eastAsia="宋体" w:cs="宋体"/>
          <w:color w:val="auto"/>
          <w:szCs w:val="21"/>
          <w:highlight w:val="none"/>
        </w:rPr>
      </w:pPr>
    </w:p>
    <w:p>
      <w:pPr>
        <w:pStyle w:val="43"/>
        <w:rPr>
          <w:rFonts w:ascii="宋体" w:hAnsi="宋体" w:cs="宋体"/>
          <w:color w:val="auto"/>
          <w:szCs w:val="21"/>
          <w:highlight w:val="none"/>
        </w:rPr>
      </w:pPr>
    </w:p>
    <w:p>
      <w:pPr>
        <w:rPr>
          <w:rFonts w:ascii="宋体" w:hAnsi="宋体" w:eastAsia="宋体" w:cs="宋体"/>
          <w:color w:val="auto"/>
          <w:szCs w:val="21"/>
          <w:highlight w:val="none"/>
        </w:rPr>
      </w:pPr>
    </w:p>
    <w:p>
      <w:pPr>
        <w:pStyle w:val="43"/>
        <w:rPr>
          <w:rFonts w:ascii="宋体" w:hAnsi="宋体" w:cs="宋体"/>
          <w:color w:val="auto"/>
          <w:szCs w:val="21"/>
          <w:highlight w:val="none"/>
        </w:rPr>
      </w:pPr>
    </w:p>
    <w:p>
      <w:pPr>
        <w:rPr>
          <w:rFonts w:ascii="宋体" w:hAnsi="宋体" w:eastAsia="宋体" w:cs="宋体"/>
          <w:color w:val="auto"/>
          <w:highlight w:val="none"/>
        </w:rPr>
      </w:pPr>
    </w:p>
    <w:p>
      <w:pPr>
        <w:rPr>
          <w:rFonts w:ascii="宋体" w:hAnsi="宋体" w:eastAsia="宋体" w:cs="宋体"/>
          <w:b/>
          <w:color w:val="auto"/>
          <w:sz w:val="32"/>
          <w:szCs w:val="32"/>
          <w:highlight w:val="none"/>
          <w:lang w:val="zh-CN"/>
        </w:rPr>
      </w:pPr>
      <w:bookmarkStart w:id="38" w:name="_Toc21351"/>
      <w:bookmarkStart w:id="39" w:name="_Toc16263"/>
      <w:bookmarkStart w:id="40" w:name="_Toc80205921"/>
      <w:bookmarkStart w:id="41" w:name="_Toc27517"/>
      <w:bookmarkStart w:id="42" w:name="_Toc7360"/>
      <w:bookmarkStart w:id="43" w:name="_Toc30720"/>
      <w:bookmarkStart w:id="44" w:name="_Toc14086"/>
      <w:bookmarkStart w:id="45" w:name="_Toc7676"/>
      <w:bookmarkStart w:id="46" w:name="_Toc30021"/>
      <w:r>
        <w:rPr>
          <w:rFonts w:hint="eastAsia" w:ascii="宋体" w:hAnsi="宋体" w:eastAsia="宋体" w:cs="宋体"/>
          <w:b/>
          <w:color w:val="auto"/>
          <w:sz w:val="32"/>
          <w:szCs w:val="32"/>
          <w:highlight w:val="none"/>
          <w:lang w:val="zh-CN"/>
        </w:rPr>
        <w:br w:type="page" w:clear="all"/>
      </w:r>
    </w:p>
    <w:p>
      <w:pPr>
        <w:keepNext/>
        <w:keepLines/>
        <w:spacing w:before="340" w:after="330" w:line="578" w:lineRule="auto"/>
        <w:jc w:val="center"/>
        <w:outlineLvl w:val="0"/>
        <w:rPr>
          <w:rFonts w:ascii="宋体" w:hAnsi="宋体" w:eastAsia="宋体" w:cs="宋体"/>
          <w:b/>
          <w:bCs/>
          <w:color w:val="auto"/>
          <w:sz w:val="44"/>
          <w:szCs w:val="44"/>
          <w:highlight w:val="none"/>
          <w:lang w:val="zh-CN"/>
        </w:rPr>
      </w:pPr>
      <w:r>
        <w:rPr>
          <w:rFonts w:hint="eastAsia" w:ascii="宋体" w:hAnsi="宋体" w:eastAsia="宋体" w:cs="宋体"/>
          <w:b/>
          <w:color w:val="auto"/>
          <w:sz w:val="32"/>
          <w:szCs w:val="32"/>
          <w:highlight w:val="none"/>
          <w:lang w:val="zh-CN"/>
        </w:rPr>
        <w:t>第二章 采购需求</w:t>
      </w:r>
      <w:bookmarkEnd w:id="38"/>
      <w:bookmarkEnd w:id="39"/>
      <w:bookmarkEnd w:id="40"/>
      <w:bookmarkEnd w:id="41"/>
      <w:bookmarkEnd w:id="42"/>
      <w:bookmarkEnd w:id="43"/>
      <w:bookmarkEnd w:id="44"/>
      <w:bookmarkEnd w:id="45"/>
      <w:bookmarkEnd w:id="46"/>
    </w:p>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说明：</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4"/>
          <w:highlight w:val="none"/>
        </w:rPr>
        <w:t>1. 为落实政府采购政策需满足的要求：</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（1）本竞争性谈判文件所称中小企业必须符合《政府采购促进中小企业发展管理办法》（财库〔2020〕46号）的规定。</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w:t>
      </w:r>
      <w:r>
        <w:rPr>
          <w:rFonts w:hint="eastAsia" w:ascii="宋体" w:hAnsi="宋体" w:eastAsia="宋体" w:cs="宋体"/>
          <w:b/>
          <w:bCs/>
          <w:color w:val="auto"/>
          <w:szCs w:val="21"/>
          <w:highlight w:val="none"/>
        </w:rPr>
        <w:t>供应商必须在响应文件中提供所竞标产品有效期内的节能产品认证证书复印件（加盖供应商公章），否则响应文件作无效处理</w:t>
      </w:r>
      <w:r>
        <w:rPr>
          <w:rFonts w:hint="eastAsia" w:ascii="宋体" w:hAnsi="宋体" w:eastAsia="宋体" w:cs="宋体"/>
          <w:color w:val="auto"/>
          <w:szCs w:val="21"/>
          <w:highlight w:val="none"/>
        </w:rPr>
        <w:t>。如本项目包含的配套货物属于品目清单内非标注“★”的产品时，应优先采购，具体详见“第四章 评审程序、评审方法和成交标准”。</w:t>
      </w:r>
    </w:p>
    <w:p>
      <w:pPr>
        <w:pStyle w:val="28"/>
        <w:spacing w:line="360" w:lineRule="auto"/>
        <w:ind w:firstLine="420"/>
        <w:rPr>
          <w:rFonts w:hint="eastAsia" w:ascii="宋体" w:hAnsi="宋体" w:eastAsia="宋体" w:cs="宋体"/>
          <w:b/>
          <w:bCs/>
          <w:color w:val="auto"/>
          <w:szCs w:val="21"/>
          <w:highlight w:val="none"/>
          <w:u w:val="single"/>
          <w:lang w:val="en-US" w:eastAsia="zh-CN"/>
        </w:rPr>
      </w:pPr>
      <w:r>
        <w:rPr>
          <w:rFonts w:hint="eastAsia" w:ascii="宋体" w:hAnsi="宋体" w:cs="宋体"/>
          <w:color w:val="auto"/>
          <w:sz w:val="21"/>
          <w:szCs w:val="21"/>
          <w:highlight w:val="none"/>
          <w:lang w:val="en-US"/>
        </w:rPr>
        <w:t>2.</w:t>
      </w:r>
      <w:r>
        <w:rPr>
          <w:rFonts w:hint="eastAsia" w:ascii="宋体" w:hAnsi="宋体" w:cs="宋体"/>
          <w:b/>
          <w:bCs/>
          <w:color w:val="auto"/>
          <w:sz w:val="21"/>
          <w:szCs w:val="21"/>
          <w:highlight w:val="none"/>
          <w:lang w:val="en-US"/>
        </w:rPr>
        <w:t>采购需求中带“▲”的条款为实质性条款，不满足作无效响应处理</w:t>
      </w:r>
      <w:r>
        <w:rPr>
          <w:rFonts w:hint="eastAsia" w:ascii="宋体" w:hAnsi="宋体" w:cs="宋体"/>
          <w:b/>
          <w:bCs/>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bidi="ar-SA"/>
        </w:rPr>
        <w:t>未标注</w:t>
      </w:r>
      <w:r>
        <w:rPr>
          <w:rFonts w:hint="eastAsia" w:ascii="宋体" w:hAnsi="宋体" w:cs="宋体"/>
          <w:color w:val="auto"/>
          <w:sz w:val="21"/>
          <w:szCs w:val="21"/>
          <w:highlight w:val="none"/>
          <w:u w:val="single"/>
          <w:lang w:val="en-US" w:eastAsia="zh-CN" w:bidi="ar-SA"/>
        </w:rPr>
        <w:t>“</w:t>
      </w:r>
      <w:r>
        <w:rPr>
          <w:rFonts w:hint="eastAsia" w:ascii="宋体" w:hAnsi="宋体" w:eastAsia="宋体" w:cs="宋体"/>
          <w:color w:val="auto"/>
          <w:sz w:val="21"/>
          <w:szCs w:val="21"/>
          <w:highlight w:val="none"/>
          <w:u w:val="single"/>
          <w:lang w:val="en-US" w:eastAsia="zh-CN" w:bidi="ar-SA"/>
        </w:rPr>
        <w:t>▲</w:t>
      </w:r>
      <w:r>
        <w:rPr>
          <w:rFonts w:hint="eastAsia" w:ascii="宋体" w:hAnsi="宋体" w:cs="宋体"/>
          <w:color w:val="auto"/>
          <w:sz w:val="21"/>
          <w:szCs w:val="21"/>
          <w:highlight w:val="none"/>
          <w:u w:val="single"/>
          <w:lang w:val="en-US" w:eastAsia="zh-CN" w:bidi="ar-SA"/>
        </w:rPr>
        <w:t>”</w:t>
      </w:r>
      <w:r>
        <w:rPr>
          <w:rFonts w:hint="eastAsia" w:ascii="宋体" w:hAnsi="宋体" w:eastAsia="宋体" w:cs="宋体"/>
          <w:color w:val="auto"/>
          <w:sz w:val="21"/>
          <w:szCs w:val="21"/>
          <w:highlight w:val="none"/>
          <w:u w:val="single"/>
          <w:lang w:val="en-US" w:eastAsia="zh-CN" w:bidi="ar-SA"/>
        </w:rPr>
        <w:t>的参数或条款发生负偏离或不响应达 3 项（含）以上的，响应无效</w:t>
      </w:r>
      <w:r>
        <w:rPr>
          <w:rFonts w:hint="eastAsia" w:ascii="宋体" w:hAnsi="宋体" w:cs="宋体"/>
          <w:color w:val="auto"/>
          <w:sz w:val="21"/>
          <w:szCs w:val="21"/>
          <w:highlight w:val="none"/>
          <w:u w:val="single"/>
          <w:lang w:val="en-US" w:eastAsia="zh-CN" w:bidi="ar-SA"/>
        </w:rPr>
        <w:t>。</w:t>
      </w:r>
    </w:p>
    <w:p>
      <w:pPr>
        <w:pStyle w:val="28"/>
        <w:spacing w:line="360" w:lineRule="auto"/>
        <w:ind w:firstLine="420"/>
        <w:rPr>
          <w:rFonts w:ascii="宋体" w:hAnsi="宋体" w:cs="宋体"/>
          <w:color w:val="auto"/>
          <w:sz w:val="21"/>
          <w:szCs w:val="21"/>
          <w:highlight w:val="none"/>
          <w:lang w:val="en-US"/>
        </w:rPr>
      </w:pPr>
      <w:r>
        <w:rPr>
          <w:rFonts w:hint="eastAsia" w:ascii="宋体" w:hAnsi="宋体" w:cs="宋体"/>
          <w:color w:val="auto"/>
          <w:sz w:val="21"/>
          <w:szCs w:val="21"/>
          <w:highlight w:val="none"/>
          <w:lang w:val="en-US"/>
        </w:rPr>
        <w:t>3.采购需求中出现的品牌、型号或者制造商仅起参考作用，不属于指定品牌、型号或者制造商的情形。供应商可参照或者选用其他相当的品牌、型号或者制造商替代，但选用的竞标产品技术参数及配置必须满足采购要求。</w:t>
      </w:r>
    </w:p>
    <w:p>
      <w:pPr>
        <w:spacing w:line="360" w:lineRule="auto"/>
        <w:ind w:firstLine="424"/>
        <w:jc w:val="left"/>
        <w:rPr>
          <w:rFonts w:ascii="宋体" w:hAnsi="宋体" w:eastAsia="宋体" w:cs="宋体"/>
          <w:color w:val="auto"/>
          <w:highlight w:val="none"/>
        </w:rPr>
      </w:pPr>
      <w:bookmarkStart w:id="47" w:name="PO_3000001871_PM050"/>
      <w:r>
        <w:rPr>
          <w:rFonts w:hint="eastAsia" w:ascii="宋体" w:hAnsi="宋体" w:eastAsia="宋体" w:cs="宋体"/>
          <w:color w:val="auto"/>
          <w:szCs w:val="21"/>
          <w:highlight w:val="none"/>
        </w:rPr>
        <w:t>4.供应商必须对响应文件中提供的证明材料和资质文件真实性负责，如出现虚假应标情况，供应商除了应接受有关部门的处罚外，还应依据《中华人民共和国民法典》的相关条款来进行赔偿。</w:t>
      </w:r>
    </w:p>
    <w:p>
      <w:pPr>
        <w:tabs>
          <w:tab w:val="left" w:pos="180"/>
          <w:tab w:val="left" w:pos="1620"/>
        </w:tabs>
        <w:spacing w:line="360" w:lineRule="auto"/>
        <w:ind w:firstLine="420"/>
        <w:rPr>
          <w:rFonts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szCs w:val="21"/>
          <w:highlight w:val="none"/>
        </w:rPr>
        <w:t>供应商</w:t>
      </w:r>
      <w:r>
        <w:rPr>
          <w:rFonts w:hint="eastAsia" w:ascii="宋体" w:hAnsi="宋体" w:eastAsia="宋体" w:cs="宋体"/>
          <w:color w:val="auto"/>
          <w:highlight w:val="none"/>
        </w:rPr>
        <w:t>应对竞标内容所涉及的专利承担法律责任，并负责保护采购人的利益不受任何损害。一切由于文字、商标、技术和软件专利授权引起的法律裁决、诉讼和赔偿费用均由成交供应商负责。</w:t>
      </w:r>
    </w:p>
    <w:p>
      <w:pPr>
        <w:tabs>
          <w:tab w:val="left" w:pos="180"/>
          <w:tab w:val="left" w:pos="1620"/>
        </w:tabs>
        <w:spacing w:line="360" w:lineRule="auto"/>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6.采购标的对应的中小企业划分标准所属行业名称：</w:t>
      </w:r>
      <w:r>
        <w:rPr>
          <w:rFonts w:hint="eastAsia" w:ascii="宋体" w:hAnsi="宋体" w:eastAsia="宋体" w:cs="宋体"/>
          <w:color w:val="auto"/>
          <w:highlight w:val="none"/>
          <w:u w:val="single"/>
        </w:rPr>
        <w:t xml:space="preserve"> </w:t>
      </w:r>
      <w:r>
        <w:rPr>
          <w:rFonts w:hint="eastAsia" w:ascii="宋体" w:hAnsi="宋体" w:eastAsia="宋体" w:cs="宋体"/>
          <w:color w:val="auto"/>
          <w:szCs w:val="21"/>
          <w:highlight w:val="none"/>
          <w:u w:val="single"/>
        </w:rPr>
        <w:t>工业</w:t>
      </w:r>
      <w:r>
        <w:rPr>
          <w:rFonts w:hint="eastAsia" w:ascii="宋体" w:hAnsi="宋体" w:eastAsia="宋体" w:cs="宋体"/>
          <w:color w:val="auto"/>
          <w:highlight w:val="none"/>
          <w:u w:val="single"/>
        </w:rPr>
        <w:t>。</w:t>
      </w:r>
    </w:p>
    <w:p>
      <w:pPr>
        <w:spacing w:before="50" w:after="50" w:line="360" w:lineRule="auto"/>
        <w:ind w:firstLine="420"/>
        <w:jc w:val="left"/>
        <w:rPr>
          <w:rFonts w:hint="eastAsia" w:ascii="宋体" w:hAnsi="宋体" w:cs="宋体"/>
          <w:b/>
          <w:bCs/>
          <w:color w:val="auto"/>
          <w:sz w:val="21"/>
          <w:szCs w:val="21"/>
          <w:highlight w:val="none"/>
        </w:rPr>
      </w:pPr>
      <w:r>
        <w:rPr>
          <w:rFonts w:hint="eastAsia" w:ascii="宋体" w:cs="宋体"/>
          <w:b/>
          <w:bCs/>
          <w:color w:val="auto"/>
          <w:szCs w:val="21"/>
          <w:highlight w:val="none"/>
          <w:lang w:val="en-US" w:eastAsia="zh-CN"/>
        </w:rPr>
        <w:t>7.每项标的对应的响应报价</w:t>
      </w:r>
      <w:r>
        <w:rPr>
          <w:rFonts w:hint="eastAsia" w:ascii="宋体" w:hAnsi="宋体" w:eastAsia="宋体" w:cs="宋体"/>
          <w:b/>
          <w:bCs/>
          <w:color w:val="auto"/>
          <w:highlight w:val="none"/>
          <w:lang w:val="en-US" w:eastAsia="zh-CN"/>
        </w:rPr>
        <w:t>不能超过采购需求中对应的分项预算合计，</w:t>
      </w:r>
      <w:r>
        <w:rPr>
          <w:rFonts w:hint="eastAsia" w:ascii="宋体" w:hAnsi="宋体" w:cs="宋体"/>
          <w:b/>
          <w:bCs/>
          <w:color w:val="auto"/>
          <w:sz w:val="21"/>
          <w:szCs w:val="21"/>
          <w:highlight w:val="none"/>
        </w:rPr>
        <w:t>否则其响应按无效响应处理。</w:t>
      </w:r>
    </w:p>
    <w:bookmarkEnd w:id="47"/>
    <w:p>
      <w:pPr>
        <w:pStyle w:val="28"/>
        <w:rPr>
          <w:rFonts w:ascii="宋体" w:hAnsi="宋体" w:cs="宋体"/>
          <w:i/>
          <w:iCs/>
          <w:color w:val="auto"/>
          <w:highlight w:val="none"/>
          <w:u w:val="single"/>
          <w:lang w:val="en-US"/>
        </w:rPr>
      </w:pPr>
    </w:p>
    <w:p>
      <w:pPr>
        <w:jc w:val="center"/>
        <w:rPr>
          <w:rFonts w:ascii="宋体" w:hAnsi="宋体" w:eastAsia="宋体" w:cs="宋体"/>
          <w:color w:val="auto"/>
          <w:szCs w:val="24"/>
          <w:highlight w:val="none"/>
        </w:rPr>
      </w:pPr>
      <w:bookmarkStart w:id="48" w:name="PO_TDCUS_ITEM_PB_REQ_FILE_1_1"/>
    </w:p>
    <w:tbl>
      <w:tblPr>
        <w:tblStyle w:val="44"/>
        <w:tblW w:w="985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27"/>
        <w:gridCol w:w="327"/>
        <w:gridCol w:w="879"/>
        <w:gridCol w:w="590"/>
        <w:gridCol w:w="6051"/>
        <w:gridCol w:w="158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27" w:type="dxa"/>
            <w:vMerge w:val="restart"/>
            <w:tcBorders>
              <w:top w:val="single" w:color="auto" w:sz="4" w:space="0"/>
              <w:left w:val="single" w:color="auto" w:sz="4" w:space="0"/>
              <w:right w:val="single" w:color="auto" w:sz="4" w:space="0"/>
            </w:tcBorders>
            <w:vAlign w:val="center"/>
          </w:tcPr>
          <w:p>
            <w:pPr>
              <w:spacing w:line="360" w:lineRule="auto"/>
              <w:jc w:val="center"/>
              <w:rPr>
                <w:rFonts w:hint="eastAsia" w:ascii="宋体" w:hAnsi="宋体" w:eastAsia="宋体" w:cs="宋体"/>
                <w:color w:val="auto"/>
                <w:sz w:val="21"/>
                <w:szCs w:val="21"/>
                <w:highlight w:val="none"/>
              </w:rPr>
            </w:pPr>
          </w:p>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需求一览表</w:t>
            </w:r>
          </w:p>
        </w:tc>
        <w:tc>
          <w:tcPr>
            <w:tcW w:w="327"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87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w:t>
            </w:r>
          </w:p>
          <w:p>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名称</w:t>
            </w:r>
          </w:p>
        </w:tc>
        <w:tc>
          <w:tcPr>
            <w:tcW w:w="5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数量及单位</w:t>
            </w:r>
          </w:p>
        </w:tc>
        <w:tc>
          <w:tcPr>
            <w:tcW w:w="60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技术参数及配置</w:t>
            </w:r>
          </w:p>
        </w:tc>
        <w:tc>
          <w:tcPr>
            <w:tcW w:w="158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分项预算合计（元）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427" w:type="dxa"/>
            <w:vMerge w:val="continue"/>
            <w:tcBorders>
              <w:left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rPr>
            </w:pPr>
          </w:p>
        </w:tc>
        <w:tc>
          <w:tcPr>
            <w:tcW w:w="3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多功能一体化产床</w:t>
            </w:r>
          </w:p>
        </w:tc>
        <w:tc>
          <w:tcPr>
            <w:tcW w:w="5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1台</w:t>
            </w:r>
          </w:p>
        </w:tc>
        <w:tc>
          <w:tcPr>
            <w:tcW w:w="6051" w:type="dxa"/>
            <w:tcBorders>
              <w:top w:val="single" w:color="auto" w:sz="4" w:space="0"/>
              <w:left w:val="single" w:color="auto" w:sz="4" w:space="0"/>
              <w:bottom w:val="single" w:color="auto" w:sz="4" w:space="0"/>
              <w:right w:val="single" w:color="auto" w:sz="4" w:space="0"/>
            </w:tcBorders>
            <w:vAlign w:val="bottom"/>
          </w:tcPr>
          <w:p>
            <w:pPr>
              <w:widowControl/>
              <w:spacing w:line="360" w:lineRule="auto"/>
              <w:ind w:firstLine="211" w:firstLineChars="100"/>
              <w:jc w:val="left"/>
              <w:rPr>
                <w:rFonts w:hint="eastAsia" w:ascii="宋体" w:hAnsi="宋体" w:eastAsia="宋体" w:cs="宋体"/>
                <w:b/>
                <w:bCs/>
                <w:color w:val="auto"/>
                <w:sz w:val="21"/>
                <w:szCs w:val="21"/>
                <w:highlight w:val="none"/>
                <w:lang w:eastAsia="zh-CN" w:bidi="ar"/>
              </w:rPr>
            </w:pPr>
            <w:r>
              <w:rPr>
                <w:rFonts w:hint="eastAsia" w:ascii="宋体" w:hAnsi="宋体" w:eastAsia="宋体" w:cs="宋体"/>
                <w:b/>
                <w:bCs/>
                <w:color w:val="auto"/>
                <w:sz w:val="21"/>
                <w:szCs w:val="21"/>
                <w:highlight w:val="none"/>
                <w:lang w:val="en-US" w:eastAsia="zh-CN" w:bidi="ar"/>
              </w:rPr>
              <w:t>一、</w:t>
            </w:r>
            <w:r>
              <w:rPr>
                <w:rFonts w:hint="eastAsia" w:ascii="宋体" w:hAnsi="宋体" w:eastAsia="宋体" w:cs="宋体"/>
                <w:b/>
                <w:bCs/>
                <w:color w:val="auto"/>
                <w:sz w:val="21"/>
                <w:szCs w:val="21"/>
                <w:highlight w:val="none"/>
                <w:lang w:eastAsia="zh-CN" w:bidi="ar"/>
              </w:rPr>
              <w:t>设备基本功能</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eastAsia="zh-CN" w:bidi="ar"/>
              </w:rPr>
            </w:pPr>
            <w:r>
              <w:rPr>
                <w:rFonts w:hint="eastAsia" w:ascii="宋体" w:hAnsi="宋体" w:eastAsia="宋体" w:cs="宋体"/>
                <w:b w:val="0"/>
                <w:bCs w:val="0"/>
                <w:color w:val="auto"/>
                <w:sz w:val="21"/>
                <w:szCs w:val="21"/>
                <w:highlight w:val="none"/>
                <w:lang w:val="en-US" w:eastAsia="zh-CN" w:bidi="ar"/>
              </w:rPr>
              <w:t>能够满足“一体化家庭式分娩理念”，适合产妇待产、分娩、产后恢复各个阶段使用，具有从病床到分娩台的全自动转化功能，为产妇的分娩过程提供充分的舒适性。</w:t>
            </w:r>
          </w:p>
          <w:p>
            <w:pPr>
              <w:widowControl/>
              <w:spacing w:line="360" w:lineRule="auto"/>
              <w:ind w:firstLine="211" w:firstLineChars="100"/>
              <w:jc w:val="left"/>
              <w:rPr>
                <w:rFonts w:hint="eastAsia" w:ascii="宋体" w:hAnsi="宋体" w:eastAsia="宋体" w:cs="宋体"/>
                <w:b/>
                <w:bCs/>
                <w:color w:val="auto"/>
                <w:sz w:val="21"/>
                <w:szCs w:val="21"/>
                <w:highlight w:val="none"/>
                <w:lang w:eastAsia="zh-CN" w:bidi="ar"/>
              </w:rPr>
            </w:pPr>
            <w:r>
              <w:rPr>
                <w:rFonts w:hint="eastAsia" w:ascii="宋体" w:hAnsi="宋体" w:eastAsia="宋体" w:cs="宋体"/>
                <w:b/>
                <w:bCs/>
                <w:color w:val="auto"/>
                <w:sz w:val="21"/>
                <w:szCs w:val="21"/>
                <w:highlight w:val="none"/>
                <w:lang w:eastAsia="zh-CN" w:bidi="ar"/>
              </w:rPr>
              <w:t>二、设备主要配置</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1.电动机械助力系统，整个床体稳定性强。</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2.手控面板和主控上升下降的固定式（非线控）脚踏开关，位于侧护栏内外两侧和床体底部的两侧，方便临床使用。</w:t>
            </w:r>
          </w:p>
          <w:p>
            <w:pPr>
              <w:widowControl/>
              <w:spacing w:line="360" w:lineRule="auto"/>
              <w:ind w:firstLine="210"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3.产病床配有CPR快速释放功能。</w:t>
            </w:r>
          </w:p>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三、主要参数指标</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1.适用范围：供妇产科诊查、分娩、休养及施行一般产科手术用（医疗器械注册证佐证）。</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2.床面尺寸：长度≥ 1950mm，宽度≥ 860mm。</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 xml:space="preserve">3.床面高度：最低≤485mm，最高≥900 mm（不含床垫）。 </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4.护栏升降距离：≥400mm。</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5.背板最大折转角度≥63°，臀板最大上折角度：≥12°。</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6.前后最大倾斜角度：后倾≥12°。</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7.脚板升降行程：≥190mm，拉手移动行程：≥120mm。</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8.脚板最大外摆角度：≥90°，脚板最大上折角度：≥90°。</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9.背板、膝板、床面高低升降等部位调节方式为电机电动操作系统完成，前后倾斜为手动操作完成。背板座板连动，防止产妇臀部下滑造成安全隐患，便于保护会阴，方便侧切与缝合。</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10.可拆卸 PE 塑料床头板，更贴切家庭化温馨产房的理念。</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11.感应式夜灯可在手动和自动间切换，方便产妇夜晚上下床，配备有音响播放系统，配有插卡器和USB接口双功能，可由产妇自由选择音乐。</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12.不间断电源系统可保证紧急情况下使用。</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13.搁腿架脚蹬一体化设计，带有防滑颗粒和脚掌垫，符合人体工程学，既可当分娩脚蹬使用，又可当搁腿架使用。</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14.床底两侧固定有两组辅助控制器（非线控），能方便医护人员在会阴部缝合时，因双手消毒而无法用双手调节床体，同时辅助控制器具有自锁保护功能，防止分娩时误操作。</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15.床垫为两套纳米银离子材质和高密度凹凸记忆海绵复合而成，内套便于消毒，更换，清洗。外套头部可套于床体背板上，可防止床垫左右滑动。外套臀部有专用的不锈钢卡扣固定，防止上下滑动，脱卸方便。床垫具有阻燃设计。</w:t>
            </w:r>
          </w:p>
          <w:p>
            <w:pPr>
              <w:widowControl/>
              <w:spacing w:line="360" w:lineRule="auto"/>
              <w:ind w:firstLine="210"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16.整床设计最低位具有反弹保护功能及后倾反弹保护功能。</w:t>
            </w:r>
          </w:p>
          <w:p>
            <w:pPr>
              <w:widowControl/>
              <w:spacing w:line="360" w:lineRule="auto"/>
              <w:ind w:firstLine="211" w:firstLineChars="100"/>
              <w:jc w:val="left"/>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val="en-US" w:eastAsia="zh-CN" w:bidi="ar"/>
              </w:rPr>
              <w:t>四、</w:t>
            </w:r>
            <w:r>
              <w:rPr>
                <w:rFonts w:hint="eastAsia" w:ascii="宋体" w:hAnsi="宋体" w:eastAsia="宋体" w:cs="宋体"/>
                <w:b/>
                <w:bCs/>
                <w:color w:val="auto"/>
                <w:sz w:val="21"/>
                <w:szCs w:val="21"/>
                <w:highlight w:val="none"/>
                <w:lang w:bidi="ar"/>
              </w:rPr>
              <w:t>配置清单</w:t>
            </w:r>
          </w:p>
          <w:tbl>
            <w:tblPr>
              <w:tblStyle w:val="4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3027"/>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序号</w:t>
                  </w:r>
                </w:p>
              </w:tc>
              <w:tc>
                <w:tcPr>
                  <w:tcW w:w="2598"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名称</w:t>
                  </w:r>
                </w:p>
              </w:tc>
              <w:tc>
                <w:tcPr>
                  <w:tcW w:w="1404"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1</w:t>
                  </w:r>
                </w:p>
              </w:tc>
              <w:tc>
                <w:tcPr>
                  <w:tcW w:w="2598"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多功能一体化产床</w:t>
                  </w:r>
                </w:p>
              </w:tc>
              <w:tc>
                <w:tcPr>
                  <w:tcW w:w="1404"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2</w:t>
                  </w:r>
                </w:p>
              </w:tc>
              <w:tc>
                <w:tcPr>
                  <w:tcW w:w="2598"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搁腿架</w:t>
                  </w:r>
                </w:p>
              </w:tc>
              <w:tc>
                <w:tcPr>
                  <w:tcW w:w="1404"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1 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center"/>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3</w:t>
                  </w:r>
                </w:p>
              </w:tc>
              <w:tc>
                <w:tcPr>
                  <w:tcW w:w="2598" w:type="pct"/>
                  <w:noWrap w:val="0"/>
                  <w:vAlign w:val="center"/>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脚蹬</w:t>
                  </w:r>
                </w:p>
              </w:tc>
              <w:tc>
                <w:tcPr>
                  <w:tcW w:w="1404" w:type="pct"/>
                  <w:noWrap w:val="0"/>
                  <w:vAlign w:val="center"/>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1副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center"/>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4</w:t>
                  </w:r>
                </w:p>
              </w:tc>
              <w:tc>
                <w:tcPr>
                  <w:tcW w:w="2598" w:type="pct"/>
                  <w:noWrap w:val="0"/>
                  <w:vAlign w:val="center"/>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床垫</w:t>
                  </w:r>
                </w:p>
              </w:tc>
              <w:tc>
                <w:tcPr>
                  <w:tcW w:w="1404" w:type="pct"/>
                  <w:noWrap w:val="0"/>
                  <w:vAlign w:val="center"/>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5</w:t>
                  </w:r>
                </w:p>
              </w:tc>
              <w:tc>
                <w:tcPr>
                  <w:tcW w:w="2598" w:type="pct"/>
                  <w:noWrap w:val="0"/>
                  <w:vAlign w:val="center"/>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输液架</w:t>
                  </w:r>
                </w:p>
              </w:tc>
              <w:tc>
                <w:tcPr>
                  <w:tcW w:w="1404" w:type="pct"/>
                  <w:noWrap w:val="0"/>
                  <w:vAlign w:val="center"/>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1件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6</w:t>
                  </w:r>
                </w:p>
              </w:tc>
              <w:tc>
                <w:tcPr>
                  <w:tcW w:w="2598"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床头板</w:t>
                  </w:r>
                </w:p>
              </w:tc>
              <w:tc>
                <w:tcPr>
                  <w:tcW w:w="1404"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1件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7</w:t>
                  </w:r>
                </w:p>
              </w:tc>
              <w:tc>
                <w:tcPr>
                  <w:tcW w:w="2598"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辅助台</w:t>
                  </w:r>
                </w:p>
              </w:tc>
              <w:tc>
                <w:tcPr>
                  <w:tcW w:w="1404"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1件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8</w:t>
                  </w:r>
                </w:p>
              </w:tc>
              <w:tc>
                <w:tcPr>
                  <w:tcW w:w="2598"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val="en-US" w:eastAsia="zh-CN" w:bidi="ar"/>
                    </w:rPr>
                    <w:t>污物盆</w:t>
                  </w:r>
                </w:p>
              </w:tc>
              <w:tc>
                <w:tcPr>
                  <w:tcW w:w="1404"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1件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9</w:t>
                  </w:r>
                </w:p>
              </w:tc>
              <w:tc>
                <w:tcPr>
                  <w:tcW w:w="2598"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防水垫</w:t>
                  </w:r>
                </w:p>
              </w:tc>
              <w:tc>
                <w:tcPr>
                  <w:tcW w:w="1404"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2件</w:t>
                  </w:r>
                </w:p>
              </w:tc>
            </w:tr>
          </w:tbl>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▲五、售后服务</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1.主机质保期不低于5年；</w:t>
            </w:r>
          </w:p>
          <w:p>
            <w:pPr>
              <w:widowControl/>
              <w:spacing w:line="360" w:lineRule="auto"/>
              <w:ind w:firstLine="210" w:firstLineChars="100"/>
              <w:jc w:val="left"/>
              <w:rPr>
                <w:rFonts w:hint="default" w:ascii="宋体" w:hAnsi="宋体" w:eastAsia="宋体" w:cs="宋体"/>
                <w:b/>
                <w:bCs/>
                <w:color w:val="auto"/>
                <w:sz w:val="21"/>
                <w:szCs w:val="21"/>
                <w:highlight w:val="none"/>
                <w:lang w:val="en-US" w:bidi="ar"/>
              </w:rPr>
            </w:pPr>
            <w:r>
              <w:rPr>
                <w:rFonts w:hint="eastAsia" w:ascii="宋体" w:hAnsi="宋体" w:eastAsia="宋体" w:cs="宋体"/>
                <w:b w:val="0"/>
                <w:bCs w:val="0"/>
                <w:color w:val="auto"/>
                <w:sz w:val="21"/>
                <w:szCs w:val="21"/>
                <w:highlight w:val="none"/>
                <w:lang w:val="en-US" w:eastAsia="zh-CN" w:bidi="ar"/>
              </w:rPr>
              <w:t>2.质保期内，一般故障2小时内响应。</w:t>
            </w:r>
          </w:p>
        </w:tc>
        <w:tc>
          <w:tcPr>
            <w:tcW w:w="1581" w:type="dxa"/>
            <w:tcBorders>
              <w:top w:val="single" w:color="auto" w:sz="4" w:space="0"/>
              <w:left w:val="single" w:color="auto" w:sz="4" w:space="0"/>
              <w:bottom w:val="single" w:color="auto" w:sz="4" w:space="0"/>
              <w:right w:val="single" w:color="auto" w:sz="4" w:space="0"/>
            </w:tcBorders>
            <w:vAlign w:val="top"/>
          </w:tcPr>
          <w:p>
            <w:pPr>
              <w:widowControl/>
              <w:spacing w:line="360" w:lineRule="auto"/>
              <w:jc w:val="both"/>
              <w:rPr>
                <w:rFonts w:hint="default"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146000.00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427" w:type="dxa"/>
            <w:tcBorders>
              <w:left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rPr>
            </w:pPr>
          </w:p>
        </w:tc>
        <w:tc>
          <w:tcPr>
            <w:tcW w:w="3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神经肌肉刺激治疗仪</w:t>
            </w:r>
          </w:p>
        </w:tc>
        <w:tc>
          <w:tcPr>
            <w:tcW w:w="5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1台</w:t>
            </w:r>
          </w:p>
        </w:tc>
        <w:tc>
          <w:tcPr>
            <w:tcW w:w="6051"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一、设备基本功能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配合体表电极、盆底治疗头，可进行神经肌肉刺激治疗，促进局部血液循环、缓解疼痛、兴奋神经肌肉和盆底肌训练，同时可通过3D形体评估技术对骨盆倾斜等部分体态问题进行快速检测。</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二、主要参数指标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1.电刺激通道≥4个，多功能通道≥4个，外部数字通道≥1个，可同时调整≥4个通道的电流强度。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2.电流类型≥3种，设备刺激电流最小强度增减步阶≤0.1mA。</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3.压力传感器量程：0-</w:t>
            </w:r>
            <w:r>
              <w:rPr>
                <w:rStyle w:val="267"/>
                <w:rFonts w:hint="eastAsia" w:ascii="宋体" w:hAnsi="宋体" w:eastAsia="宋体" w:cs="宋体"/>
                <w:color w:val="auto"/>
                <w:kern w:val="2"/>
                <w:sz w:val="21"/>
                <w:szCs w:val="21"/>
                <w:highlight w:val="none"/>
                <w:lang w:val="fr-FR" w:eastAsia="zh-CN" w:bidi="ar-SA"/>
              </w:rPr>
              <w:t>10</w:t>
            </w:r>
            <w:r>
              <w:rPr>
                <w:rStyle w:val="267"/>
                <w:rFonts w:hint="eastAsia" w:ascii="宋体" w:hAnsi="宋体" w:eastAsia="宋体" w:cs="宋体"/>
                <w:color w:val="auto"/>
                <w:kern w:val="2"/>
                <w:sz w:val="21"/>
                <w:szCs w:val="21"/>
                <w:highlight w:val="none"/>
                <w:lang w:val="en-US" w:eastAsia="zh-CN" w:bidi="ar-SA"/>
              </w:rPr>
              <w:t>00cmH</w:t>
            </w:r>
            <w:r>
              <w:rPr>
                <w:rStyle w:val="267"/>
                <w:rFonts w:hint="eastAsia" w:ascii="宋体" w:hAnsi="宋体" w:eastAsia="宋体" w:cs="宋体"/>
                <w:color w:val="auto"/>
                <w:kern w:val="2"/>
                <w:sz w:val="21"/>
                <w:szCs w:val="21"/>
                <w:highlight w:val="none"/>
                <w:vertAlign w:val="subscript"/>
                <w:lang w:val="en-US" w:eastAsia="zh-CN" w:bidi="ar-SA"/>
              </w:rPr>
              <w:t>2</w:t>
            </w:r>
            <w:r>
              <w:rPr>
                <w:rStyle w:val="267"/>
                <w:rFonts w:hint="eastAsia" w:ascii="宋体" w:hAnsi="宋体" w:eastAsia="宋体" w:cs="宋体"/>
                <w:color w:val="auto"/>
                <w:kern w:val="2"/>
                <w:sz w:val="21"/>
                <w:szCs w:val="21"/>
                <w:highlight w:val="none"/>
                <w:lang w:val="en-US" w:eastAsia="zh-CN" w:bidi="ar-SA"/>
              </w:rPr>
              <w:t>O，压力分辨率≤0.1cmH</w:t>
            </w:r>
            <w:r>
              <w:rPr>
                <w:rStyle w:val="267"/>
                <w:rFonts w:hint="eastAsia" w:ascii="宋体" w:hAnsi="宋体" w:eastAsia="宋体" w:cs="宋体"/>
                <w:color w:val="auto"/>
                <w:kern w:val="2"/>
                <w:sz w:val="21"/>
                <w:szCs w:val="21"/>
                <w:highlight w:val="none"/>
                <w:vertAlign w:val="subscript"/>
                <w:lang w:val="en-US" w:eastAsia="zh-CN" w:bidi="ar-SA"/>
              </w:rPr>
              <w:t>2</w:t>
            </w:r>
            <w:r>
              <w:rPr>
                <w:rStyle w:val="267"/>
                <w:rFonts w:hint="eastAsia" w:ascii="宋体" w:hAnsi="宋体" w:eastAsia="宋体" w:cs="宋体"/>
                <w:color w:val="auto"/>
                <w:kern w:val="2"/>
                <w:sz w:val="21"/>
                <w:szCs w:val="21"/>
                <w:highlight w:val="none"/>
                <w:lang w:val="en-US" w:eastAsia="zh-CN" w:bidi="ar-SA"/>
              </w:rPr>
              <w:t>O。</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4.电流输出延迟时间0-120s，上升时间0-10s,平台时间0-30s，下降时间0-10s，休息时间0-30s。</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5.设备内置≥6种常规筛查评估模式，满足中华预防医学会《中国妇女盆底功能障碍防治项目》盆底压力及肌电评估指标要求。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6.支持采集人体正面、背面的体表深度3D实际图像模型，以及动态原地踏步三维模型录像。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7.具有≥9种治疗模式。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8.预置治疗方案数达≥200个以上。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9.支持在同一台设备完成体态图像采集、评估及治疗。</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10.方案可提供禁忌症、适应症、电极位置示意图等信息，同一方案支持内置≥50个电极贴片示意图。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11.具有可视化POP-Q评估功能、治疗方案管理功能、疗效分析功能、自动评估功能、双刺激方案组合功能、疼痛评分及不适评分。</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baseline"/>
              <w:rPr>
                <w:rStyle w:val="267"/>
                <w:rFonts w:hint="eastAsia" w:ascii="宋体" w:hAnsi="宋体" w:eastAsia="宋体" w:cs="宋体"/>
                <w:b/>
                <w:bCs/>
                <w:color w:val="auto"/>
                <w:kern w:val="2"/>
                <w:sz w:val="21"/>
                <w:szCs w:val="21"/>
                <w:highlight w:val="none"/>
                <w:lang w:val="en-US" w:eastAsia="zh-CN" w:bidi="ar-SA"/>
              </w:rPr>
            </w:pPr>
            <w:r>
              <w:rPr>
                <w:rStyle w:val="267"/>
                <w:rFonts w:hint="eastAsia" w:ascii="宋体" w:hAnsi="宋体" w:eastAsia="宋体" w:cs="宋体"/>
                <w:b/>
                <w:bCs/>
                <w:color w:val="auto"/>
                <w:kern w:val="2"/>
                <w:sz w:val="21"/>
                <w:szCs w:val="21"/>
                <w:highlight w:val="none"/>
                <w:lang w:val="en-US" w:eastAsia="zh-CN" w:bidi="ar-SA"/>
              </w:rPr>
              <w:t>三、配置清单</w:t>
            </w:r>
          </w:p>
          <w:tbl>
            <w:tblPr>
              <w:tblStyle w:val="45"/>
              <w:tblW w:w="48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4312"/>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3829"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w:t>
                  </w:r>
                </w:p>
              </w:tc>
              <w:tc>
                <w:tcPr>
                  <w:tcW w:w="618"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82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Style w:val="267"/>
                      <w:rFonts w:hint="eastAsia" w:ascii="宋体" w:hAnsi="宋体" w:eastAsia="宋体" w:cs="宋体"/>
                      <w:color w:val="auto"/>
                      <w:kern w:val="2"/>
                      <w:sz w:val="21"/>
                      <w:szCs w:val="21"/>
                      <w:highlight w:val="none"/>
                      <w:lang w:val="en-US" w:eastAsia="zh-CN" w:bidi="ar-SA"/>
                    </w:rPr>
                    <w:t>神经肌肉刺激治疗仪（含移动小车）</w:t>
                  </w:r>
                </w:p>
              </w:tc>
              <w:tc>
                <w:tcPr>
                  <w:tcW w:w="618"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382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Style w:val="267"/>
                      <w:rFonts w:hint="eastAsia" w:ascii="宋体" w:hAnsi="宋体" w:eastAsia="宋体" w:cs="宋体"/>
                      <w:color w:val="auto"/>
                      <w:kern w:val="2"/>
                      <w:sz w:val="21"/>
                      <w:szCs w:val="21"/>
                      <w:highlight w:val="none"/>
                      <w:lang w:val="en-US" w:eastAsia="zh-CN" w:bidi="ar-SA"/>
                    </w:rPr>
                    <w:t>软件包(盆底功能个性化治疗系统、治疗工作站软件)</w:t>
                  </w:r>
                </w:p>
              </w:tc>
              <w:tc>
                <w:tcPr>
                  <w:tcW w:w="618"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Style w:val="267"/>
                      <w:rFonts w:hint="eastAsia" w:ascii="宋体" w:hAnsi="宋体" w:eastAsia="宋体" w:cs="宋体"/>
                      <w:color w:val="auto"/>
                      <w:kern w:val="2"/>
                      <w:sz w:val="21"/>
                      <w:szCs w:val="21"/>
                      <w:highlight w:val="none"/>
                      <w:lang w:val="en-US" w:eastAsia="zh-CN" w:bidi="ar-SA"/>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382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Style w:val="267"/>
                      <w:rFonts w:hint="eastAsia" w:ascii="宋体" w:hAnsi="宋体" w:eastAsia="宋体" w:cs="宋体"/>
                      <w:color w:val="auto"/>
                      <w:kern w:val="2"/>
                      <w:sz w:val="21"/>
                      <w:szCs w:val="21"/>
                      <w:highlight w:val="none"/>
                      <w:lang w:val="en-US" w:eastAsia="zh-CN" w:bidi="ar-SA"/>
                    </w:rPr>
                    <w:t>输出电缆线</w:t>
                  </w:r>
                </w:p>
              </w:tc>
              <w:tc>
                <w:tcPr>
                  <w:tcW w:w="618"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Style w:val="267"/>
                      <w:rFonts w:hint="eastAsia" w:ascii="宋体" w:hAnsi="宋体" w:eastAsia="宋体" w:cs="宋体"/>
                      <w:color w:val="auto"/>
                      <w:kern w:val="2"/>
                      <w:sz w:val="21"/>
                      <w:szCs w:val="21"/>
                      <w:highlight w:val="none"/>
                      <w:lang w:val="en-US" w:eastAsia="zh-CN" w:bidi="ar-SA"/>
                    </w:rPr>
                    <w:t>2条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82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Style w:val="267"/>
                      <w:rFonts w:hint="eastAsia" w:ascii="宋体" w:hAnsi="宋体" w:eastAsia="宋体" w:cs="宋体"/>
                      <w:color w:val="auto"/>
                      <w:kern w:val="2"/>
                      <w:sz w:val="21"/>
                      <w:szCs w:val="21"/>
                      <w:highlight w:val="none"/>
                      <w:lang w:val="en-US" w:eastAsia="zh-CN" w:bidi="ar-SA"/>
                    </w:rPr>
                    <w:t>压力传感器</w:t>
                  </w:r>
                </w:p>
              </w:tc>
              <w:tc>
                <w:tcPr>
                  <w:tcW w:w="618"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Style w:val="267"/>
                      <w:rFonts w:hint="eastAsia" w:ascii="宋体" w:hAnsi="宋体" w:eastAsia="宋体" w:cs="宋体"/>
                      <w:color w:val="auto"/>
                      <w:kern w:val="2"/>
                      <w:sz w:val="21"/>
                      <w:szCs w:val="21"/>
                      <w:highlight w:val="none"/>
                      <w:lang w:val="en-US" w:eastAsia="zh-CN" w:bidi="ar-SA"/>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382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形体三维图像采集软件</w:t>
                  </w:r>
                </w:p>
              </w:tc>
              <w:tc>
                <w:tcPr>
                  <w:tcW w:w="618"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3829"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导联线</w:t>
                  </w:r>
                </w:p>
              </w:tc>
              <w:tc>
                <w:tcPr>
                  <w:tcW w:w="618"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9条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3829"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USB线</w:t>
                  </w:r>
                </w:p>
              </w:tc>
              <w:tc>
                <w:tcPr>
                  <w:tcW w:w="618"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3829"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sz w:val="21"/>
                      <w:szCs w:val="21"/>
                      <w:highlight w:val="none"/>
                    </w:rPr>
                  </w:pPr>
                  <w:r>
                    <w:rPr>
                      <w:rStyle w:val="267"/>
                      <w:rFonts w:hint="eastAsia" w:ascii="宋体" w:hAnsi="宋体" w:eastAsia="宋体" w:cs="宋体"/>
                      <w:color w:val="auto"/>
                      <w:kern w:val="2"/>
                      <w:sz w:val="21"/>
                      <w:szCs w:val="21"/>
                      <w:highlight w:val="none"/>
                      <w:lang w:val="en-US" w:eastAsia="zh-CN" w:bidi="ar-SA"/>
                    </w:rPr>
                    <w:t>操作主机</w:t>
                  </w:r>
                </w:p>
              </w:tc>
              <w:tc>
                <w:tcPr>
                  <w:tcW w:w="618"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sz w:val="21"/>
                      <w:szCs w:val="21"/>
                      <w:highlight w:val="none"/>
                      <w:lang w:val="en-US" w:eastAsia="zh-CN"/>
                    </w:rPr>
                  </w:pPr>
                  <w:r>
                    <w:rPr>
                      <w:rStyle w:val="267"/>
                      <w:rFonts w:hint="eastAsia" w:ascii="宋体" w:hAnsi="宋体" w:eastAsia="宋体" w:cs="宋体"/>
                      <w:color w:val="auto"/>
                      <w:kern w:val="2"/>
                      <w:sz w:val="21"/>
                      <w:szCs w:val="21"/>
                      <w:highlight w:val="none"/>
                      <w:lang w:val="en-US" w:eastAsia="zh-CN" w:bidi="ar-SA"/>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3829"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扫码枪</w:t>
                  </w:r>
                </w:p>
              </w:tc>
              <w:tc>
                <w:tcPr>
                  <w:tcW w:w="618"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1个</w:t>
                  </w: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▲四、售后服务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1.主机质保期不低于5年。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color w:val="auto"/>
                <w:highlight w:val="none"/>
              </w:rPr>
            </w:pPr>
            <w:r>
              <w:rPr>
                <w:rFonts w:hint="eastAsia" w:ascii="宋体" w:hAnsi="宋体" w:eastAsia="宋体" w:cs="宋体"/>
                <w:color w:val="auto"/>
                <w:sz w:val="21"/>
                <w:szCs w:val="21"/>
                <w:highlight w:val="none"/>
                <w:lang w:val="en-US" w:eastAsia="zh-CN"/>
              </w:rPr>
              <w:t>2.质保期内，一般故障2小时内响应。</w:t>
            </w:r>
          </w:p>
        </w:tc>
        <w:tc>
          <w:tcPr>
            <w:tcW w:w="158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205000.00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427" w:type="dxa"/>
            <w:tcBorders>
              <w:left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rPr>
            </w:pPr>
          </w:p>
        </w:tc>
        <w:tc>
          <w:tcPr>
            <w:tcW w:w="3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吊塔</w:t>
            </w:r>
          </w:p>
        </w:tc>
        <w:tc>
          <w:tcPr>
            <w:tcW w:w="5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8套</w:t>
            </w:r>
          </w:p>
        </w:tc>
        <w:tc>
          <w:tcPr>
            <w:tcW w:w="6051"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一、主要参数指标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 xml:space="preserve">1.吊塔主体材料要求为6005高强度铝合金，吊塔所采用的材料必须防腐蚀，设备表面喷塑采用环保抗菌粉末，附着力达到最高等级0，防止发生感控风险。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2.所有吊塔上承载的设备的电源线路及气源管路和塔体之间没有相对移动，所有电源线路及气源管路必须在塔体内不能外露，保证吊塔在移动过程中，不会因位置的改变导致线路脱落的意外发生。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3.配有良好的机械刹车系统，保证吊塔不产生漂移。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 xml:space="preserve">4.抽屉，采用抽拉式，且自带吸合功能；抽屉内部可进行分隔管理。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5.吊塔的最大承重≥250kg，工作过程中产生噪音≤30dB。</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6.所有气体插座和接头为标准制式。各种气体插座均为不同颜色和不同形状，防止误操作，具有Standby (中文译义：原位待接通状态)功能，可带气维修。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7.吊塔所有气体终端和接头与吊塔同品牌。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8.单臂吊塔配置要求：</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8.1吊柱式，气电箱长度≥800mm。</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8.2气电箱旋转角度≥340°。</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8.3机械单臂，旋转半径总长≥750mm。</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 xml:space="preserve">9.每套附件配置： </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9.1国标气体插座（氧气≥2个，空气≥2个，负压吸引≥1个），并包含所有插头，具体可根据需求进行调整。</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9.2 10A五孔电源插座≥10个。</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9.3网络接口≥ 2个。</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9.4等电位柱≥2个。</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9.5仪器承载托盘≥2个，托盘尺寸（长×宽）约530mm×480mm,其中一个带抽屉。</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9.6集线器≥4个。</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9.7双臂延伸臂≥1个。</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267"/>
                <w:rFonts w:hint="eastAsia" w:ascii="宋体" w:hAnsi="宋体" w:eastAsia="宋体" w:cs="宋体"/>
                <w:color w:val="auto"/>
                <w:kern w:val="2"/>
                <w:sz w:val="21"/>
                <w:szCs w:val="21"/>
                <w:highlight w:val="none"/>
                <w:lang w:val="en-US" w:eastAsia="zh-CN" w:bidi="ar-SA"/>
              </w:rPr>
            </w:pPr>
            <w:r>
              <w:rPr>
                <w:rStyle w:val="267"/>
                <w:rFonts w:hint="eastAsia" w:ascii="宋体" w:hAnsi="宋体" w:eastAsia="宋体" w:cs="宋体"/>
                <w:color w:val="auto"/>
                <w:kern w:val="2"/>
                <w:sz w:val="21"/>
                <w:szCs w:val="21"/>
                <w:highlight w:val="none"/>
                <w:lang w:val="en-US" w:eastAsia="zh-CN" w:bidi="ar-SA"/>
              </w:rPr>
              <w:t>9.8输液架≥1个。</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▲二、售后服务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1.主机质保期不低于5年；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bCs/>
                <w:color w:val="auto"/>
                <w:sz w:val="21"/>
                <w:szCs w:val="21"/>
                <w:highlight w:val="none"/>
                <w:lang w:bidi="ar"/>
              </w:rPr>
            </w:pPr>
            <w:r>
              <w:rPr>
                <w:rFonts w:hint="eastAsia" w:ascii="宋体" w:hAnsi="宋体" w:eastAsia="宋体" w:cs="宋体"/>
                <w:color w:val="auto"/>
                <w:sz w:val="21"/>
                <w:szCs w:val="21"/>
                <w:highlight w:val="none"/>
                <w:lang w:val="en-US" w:eastAsia="zh-CN"/>
              </w:rPr>
              <w:t>2.质保期内，一般故障2小时内响应。</w:t>
            </w:r>
          </w:p>
        </w:tc>
        <w:tc>
          <w:tcPr>
            <w:tcW w:w="158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312000.00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427" w:type="dxa"/>
            <w:tcBorders>
              <w:left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rPr>
            </w:pPr>
          </w:p>
        </w:tc>
        <w:tc>
          <w:tcPr>
            <w:tcW w:w="3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心电监护系统（一拖八）</w:t>
            </w:r>
          </w:p>
        </w:tc>
        <w:tc>
          <w:tcPr>
            <w:tcW w:w="5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1套</w:t>
            </w:r>
          </w:p>
        </w:tc>
        <w:tc>
          <w:tcPr>
            <w:tcW w:w="6051"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一、中央监护系统参数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（一）产品形态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1.中心监护系统支持中央站, 工作站, 浏览站, 远程查询系统等多种产品形态互连，中央站提供其他产品形态访问中央站的权限设置，且提供单个床位是否允许外部进行访问的设置，工作站支持远程集中监护中央站上接收的病人，并提供不同控制权限的设置，满足不同临床场景下的部署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2.中心监护系统支持有线、无线、遥测多元化的组网方式，中心监护网络中支持≥1000台床旁设备互连。</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bookmarkStart w:id="49" w:name="_Toc446926731"/>
            <w:r>
              <w:rPr>
                <w:rFonts w:hint="eastAsia" w:ascii="宋体" w:hAnsi="宋体" w:eastAsia="宋体" w:cs="宋体"/>
                <w:color w:val="auto"/>
                <w:sz w:val="21"/>
                <w:szCs w:val="21"/>
                <w:highlight w:val="none"/>
                <w:lang w:val="en-US" w:eastAsia="zh-CN"/>
              </w:rPr>
              <w:t>（二）系统功能</w:t>
            </w:r>
            <w:bookmarkEnd w:id="49"/>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1.中心监护系统可支持参数监测ECG， ST, QT/QTc， RESP，SPO2， PR， TEMP，NIBP， IBP， C.O.，CCO， ScvO2，ICG，BIS，RM，CO2，AG，EEG，NMT，rSO2，TcGas等。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2.支持设备集成参数的监测。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bookmarkStart w:id="50" w:name="_Toc446926733"/>
            <w:r>
              <w:rPr>
                <w:rFonts w:hint="eastAsia" w:ascii="宋体" w:hAnsi="宋体" w:eastAsia="宋体" w:cs="宋体"/>
                <w:color w:val="auto"/>
                <w:sz w:val="21"/>
                <w:szCs w:val="21"/>
                <w:highlight w:val="none"/>
                <w:lang w:val="en-US" w:eastAsia="zh-CN"/>
              </w:rPr>
              <w:t>（三）显示</w:t>
            </w:r>
            <w:bookmarkEnd w:id="5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▲1.可同时集中监护64个病人。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2.提供全床位最近24h的报警事件浏览功能。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bookmarkStart w:id="51" w:name="_Toc446926734"/>
            <w:r>
              <w:rPr>
                <w:rFonts w:hint="eastAsia" w:ascii="宋体" w:hAnsi="宋体" w:eastAsia="宋体" w:cs="宋体"/>
                <w:color w:val="auto"/>
                <w:sz w:val="21"/>
                <w:szCs w:val="21"/>
                <w:highlight w:val="none"/>
                <w:lang w:val="en-US" w:eastAsia="zh-CN"/>
              </w:rPr>
              <w:t>（四）数据回顾</w:t>
            </w:r>
            <w:bookmarkEnd w:id="5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▲1.支持至少240小时长趋势回顾和4小时短趋势回顾，至少240小时全息波形回顾，至少720条报警事件回顾，至少720条12导分析报告回顾，至少240小时的ST片段回顾，至少720条C.O. 测量结果回顾，至少100条呼吸氧合事件回顾。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2.支持至少75条药物计算结果回顾，至少100条血液动力学计算结果回顾，至少100条氧合计算结果回顾，至少100条通气计算结果回顾，至少100条肾功能计算结果回顾。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bookmarkStart w:id="52" w:name="_Toc446926736"/>
            <w:bookmarkStart w:id="53" w:name="_Toc446926735"/>
            <w:r>
              <w:rPr>
                <w:rFonts w:hint="eastAsia" w:ascii="宋体" w:hAnsi="宋体" w:eastAsia="宋体" w:cs="宋体"/>
                <w:color w:val="auto"/>
                <w:sz w:val="21"/>
                <w:szCs w:val="21"/>
                <w:highlight w:val="none"/>
                <w:lang w:val="en-US" w:eastAsia="zh-CN"/>
              </w:rPr>
              <w:t>（五）打印</w:t>
            </w:r>
            <w:bookmarkEnd w:id="5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1.支持热敏记录仪及激光打印机输出病人报告；支持报警报告、波形报告、趋势报告、ARR统计报告、24h动态血压报告等。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（六）双向控制</w:t>
            </w:r>
            <w:bookmarkEnd w:id="5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1.可远程控制对床旁监护仪进行病人信息设置，解除病人，进行standby</w:t>
            </w:r>
            <w:r>
              <w:rPr>
                <w:rStyle w:val="267"/>
                <w:rFonts w:hint="eastAsia" w:ascii="宋体" w:hAnsi="宋体" w:eastAsia="宋体" w:cs="宋体"/>
                <w:color w:val="auto"/>
                <w:kern w:val="2"/>
                <w:sz w:val="21"/>
                <w:szCs w:val="21"/>
                <w:highlight w:val="none"/>
                <w:lang w:val="en-US" w:eastAsia="zh-CN" w:bidi="ar-SA"/>
              </w:rPr>
              <w:t xml:space="preserve"> (中文译义：原位待接通状态)</w:t>
            </w:r>
            <w:r>
              <w:rPr>
                <w:rFonts w:hint="eastAsia" w:ascii="宋体" w:hAnsi="宋体" w:eastAsia="宋体" w:cs="宋体"/>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2.支持远程控制床旁监护仪报警暂停、报警复位，设置报警开关、报警级别、报警上下限等。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3.支持远程控制床旁监护仪启动NIBP测量，设置NIBP（</w:t>
            </w:r>
            <w:r>
              <w:rPr>
                <w:rStyle w:val="267"/>
                <w:rFonts w:hint="eastAsia" w:ascii="宋体" w:hAnsi="宋体" w:eastAsia="宋体" w:cs="宋体"/>
                <w:color w:val="auto"/>
                <w:kern w:val="2"/>
                <w:sz w:val="21"/>
                <w:szCs w:val="21"/>
                <w:highlight w:val="none"/>
                <w:lang w:val="en-US" w:eastAsia="zh-CN" w:bidi="ar-SA"/>
              </w:rPr>
              <w:t>中文译义：</w:t>
            </w:r>
            <w:r>
              <w:rPr>
                <w:rFonts w:hint="eastAsia" w:ascii="宋体" w:hAnsi="宋体" w:eastAsia="宋体" w:cs="宋体"/>
                <w:color w:val="auto"/>
                <w:sz w:val="21"/>
                <w:szCs w:val="21"/>
                <w:highlight w:val="none"/>
                <w:lang w:val="en-US" w:eastAsia="zh-CN"/>
              </w:rPr>
              <w:t>非侵入性血压测量）测量模式和时间间隔。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4.支持远程控制床旁监护仪进入隐私、夜间模式。</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二、常规监护仪参数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（一）整机要求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1.≥10英寸彩色液晶触摸屏，分辨率高达1280</w:t>
            </w:r>
            <w:r>
              <w:rPr>
                <w:rStyle w:val="267"/>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800像素或更高，≥8通道波形显示。屏幕采用最新电容屏非电阻屏。显示屏可支持亮度自动调节功能。屏幕倾斜10-15度设计，符合人机工程学，便于临床团队观察和操作。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2.可支持遥控器无线远程操作监护仪。</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3.监护仪设计使用年限≥8年。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4.安全规格：ECG（</w:t>
            </w:r>
            <w:r>
              <w:rPr>
                <w:rStyle w:val="267"/>
                <w:rFonts w:hint="eastAsia" w:ascii="宋体" w:hAnsi="宋体" w:eastAsia="宋体" w:cs="宋体"/>
                <w:color w:val="auto"/>
                <w:kern w:val="2"/>
                <w:sz w:val="21"/>
                <w:szCs w:val="21"/>
                <w:highlight w:val="none"/>
                <w:lang w:val="en-US" w:eastAsia="zh-CN" w:bidi="ar-SA"/>
              </w:rPr>
              <w:t>中文译义：</w:t>
            </w:r>
            <w:r>
              <w:rPr>
                <w:rFonts w:hint="eastAsia" w:ascii="宋体" w:hAnsi="宋体" w:eastAsia="宋体" w:cs="宋体"/>
                <w:color w:val="auto"/>
                <w:sz w:val="21"/>
                <w:szCs w:val="21"/>
                <w:highlight w:val="none"/>
                <w:lang w:val="en-US" w:eastAsia="zh-CN"/>
              </w:rPr>
              <w:t>心电图）, TEMP（</w:t>
            </w:r>
            <w:r>
              <w:rPr>
                <w:rStyle w:val="267"/>
                <w:rFonts w:hint="eastAsia" w:ascii="宋体" w:hAnsi="宋体" w:eastAsia="宋体" w:cs="宋体"/>
                <w:color w:val="auto"/>
                <w:kern w:val="2"/>
                <w:sz w:val="21"/>
                <w:szCs w:val="21"/>
                <w:highlight w:val="none"/>
                <w:lang w:val="en-US" w:eastAsia="zh-CN" w:bidi="ar-SA"/>
              </w:rPr>
              <w:t>中文译义：</w:t>
            </w:r>
            <w:r>
              <w:rPr>
                <w:rFonts w:hint="eastAsia" w:ascii="宋体" w:hAnsi="宋体" w:eastAsia="宋体" w:cs="宋体"/>
                <w:color w:val="auto"/>
                <w:sz w:val="21"/>
                <w:szCs w:val="21"/>
                <w:highlight w:val="none"/>
                <w:lang w:val="en-US" w:eastAsia="zh-CN"/>
              </w:rPr>
              <w:t>体温）, IBP（</w:t>
            </w:r>
            <w:r>
              <w:rPr>
                <w:rStyle w:val="267"/>
                <w:rFonts w:hint="eastAsia" w:ascii="宋体" w:hAnsi="宋体" w:eastAsia="宋体" w:cs="宋体"/>
                <w:color w:val="auto"/>
                <w:kern w:val="2"/>
                <w:sz w:val="21"/>
                <w:szCs w:val="21"/>
                <w:highlight w:val="none"/>
                <w:lang w:val="en-US" w:eastAsia="zh-CN" w:bidi="ar-SA"/>
              </w:rPr>
              <w:t>中文译义：</w:t>
            </w:r>
            <w:r>
              <w:rPr>
                <w:rFonts w:hint="eastAsia" w:ascii="宋体" w:hAnsi="宋体" w:eastAsia="宋体" w:cs="宋体"/>
                <w:color w:val="auto"/>
                <w:sz w:val="21"/>
                <w:szCs w:val="21"/>
                <w:highlight w:val="none"/>
                <w:lang w:val="en-US" w:eastAsia="zh-CN"/>
              </w:rPr>
              <w:t>有创动脉血压）, SpO2（</w:t>
            </w:r>
            <w:r>
              <w:rPr>
                <w:rStyle w:val="267"/>
                <w:rFonts w:hint="eastAsia" w:ascii="宋体" w:hAnsi="宋体" w:eastAsia="宋体" w:cs="宋体"/>
                <w:color w:val="auto"/>
                <w:kern w:val="2"/>
                <w:sz w:val="21"/>
                <w:szCs w:val="21"/>
                <w:highlight w:val="none"/>
                <w:lang w:val="en-US" w:eastAsia="zh-CN" w:bidi="ar-SA"/>
              </w:rPr>
              <w:t>中文译义：</w:t>
            </w:r>
            <w:r>
              <w:rPr>
                <w:rFonts w:hint="eastAsia" w:ascii="宋体" w:hAnsi="宋体" w:eastAsia="宋体" w:cs="宋体"/>
                <w:color w:val="auto"/>
                <w:sz w:val="21"/>
                <w:szCs w:val="21"/>
                <w:highlight w:val="none"/>
                <w:lang w:val="en-US" w:eastAsia="zh-CN"/>
              </w:rPr>
              <w:t>血氧饱和度）, NIBP（</w:t>
            </w:r>
            <w:r>
              <w:rPr>
                <w:rStyle w:val="267"/>
                <w:rFonts w:hint="eastAsia" w:ascii="宋体" w:hAnsi="宋体" w:eastAsia="宋体" w:cs="宋体"/>
                <w:color w:val="auto"/>
                <w:kern w:val="2"/>
                <w:sz w:val="21"/>
                <w:szCs w:val="21"/>
                <w:highlight w:val="none"/>
                <w:lang w:val="en-US" w:eastAsia="zh-CN" w:bidi="ar-SA"/>
              </w:rPr>
              <w:t>中文译义：</w:t>
            </w:r>
            <w:r>
              <w:rPr>
                <w:rFonts w:hint="eastAsia" w:ascii="宋体" w:hAnsi="宋体" w:eastAsia="宋体" w:cs="宋体"/>
                <w:color w:val="auto"/>
                <w:sz w:val="21"/>
                <w:szCs w:val="21"/>
                <w:highlight w:val="none"/>
                <w:lang w:val="en-US" w:eastAsia="zh-CN"/>
              </w:rPr>
              <w:t>非侵入性血压测量）监测参数抗电击程度为防除颤CF型。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5.内置锂电池，插槽式设计，无需螺丝刀工具支持快速拆卸和安装。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6.监护仪清洁维护支持的清洁剂≥40种，要求在厂家手册或产品使用手册中清晰列举清洁剂的种类。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7.防水等级≥IPX2，提供机器标贴。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（二）监测参数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1.心电监护支持心率，ST段测量，心律失常分析，QT/QTc连续实时测量和对应报警功能。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2.心电算法通过AHA/MIT-BIH数据库验证。心电波形扫描速度支持6.25mm/s、12.5 mm/s、25 mm/s和50 mm/s。提供窗口支持心脏下壁，侧壁和前壁对应多个ST片段的同屏实时显示，提供参考片段和实时片段的对比查看。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3.支持≥20种心律失常分析,包括房颤分析。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4.QT和QTc实时监测参数测量范围：200ms～800ms。支持升级提供过去24小时心电概览报告查看与打印，包括心率统计结果，心律失常统计结果，ST统计和QT/QTc统计结果。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5.提供SpO2,PR和PI参数的实时监测，适用于成人，小儿和新生儿。支持指套式血氧探头，探头的防水等级≥IPX7，支持液体浸泡消毒和清洁。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6.配置无创血压测量，适用于成人，小儿和新生儿。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▲7.提供手动、自动、连续和序列4种测量模式，并提供24小时血压统计结果，满足临床应用。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8.提供辅助静脉穿刺功能。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（三）系统功能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1.支持所有监测参数报警限一键自动设置功能，满足医护团队快速管理患者报警需求，产品用户手册提供报警限自动设置规则。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2.支持肾功能计算功能。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3.具有图形化技术报警指示功能，帮助医护团队快速识别报警来源。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支持≥120小时趋势图和趋势表回顾，支持选择不同趋势组回顾、≥1000条事件回顾。每条报警事件至少能够存储32秒三道相关波形，以及报警触发时所有测量参数值、≥1000组NIBP测量结果、≥120小时（分辨率1分钟）ST模板存储与回顾、支持48小时全息波形的存储与回顾功能、支持监护仪历史病人数据的存储和回顾，并支持通过USB接口将历史病人数据导出到U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5.支持监护仪进入夜间模式，隐私模式，演示模式和待机模式。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6.可升级配置临床评分系统，如MEWS（改良早期预警评分）、NEWS（英国早期预警评分），可支持定时自动EWS评分功能。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7.提供心肌缺血评估工具，可以快速查看ST值的变化。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8.提供计时器功能，界面区提供设置≥4个计时器，每个计时器支持独立设置和计时功能，计时方向包括正计时和倒计时两种选择。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9.支持格拉斯哥昏迷评分（GCS）功能。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10.动态趋势界面可支持统计1-24小时心律失常报警、参数超限报警信息，并对超限报警区间的波形进行高亮显示，帮助医护人员快速识别异常趋势信息。</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三、多功能监护仪参数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▲1.模块化插件式床边监护仪，主机、显示屏和插件槽一体化设计，主机插槽位数≥4个。</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2.主机显示屏≥12英寸彩色电容触摸屏、多点触摸，高分辨率≥1280×800像素，≥8通道显示，监护仪会根据环境光强度自动调节屏幕亮度。整机无风扇设计，标配内置高能锂离子电池，供电时间≥2小时。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3.配置≥4个USB接口，支持连接存储介质、鼠标、键盘、条码扫描枪等USB设备。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4.支持心电，呼吸，心率，无创血压，血氧饱和度，脉搏，双通道体温和双通道有创血压的同时监测。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支持3/5导心电监测,支持升级≥12导心电测量，并在监护仪上完成≥12导静息分析。支持≥3通道心电波形同步分析算法。支持双通道有创压IBP监测，适用于成人，小儿和新生儿，支持升级≥8通道有创压监测支持房颤心律失常分析功能，支持≥27种实时心律失常分析。提供ST段分析功能，支持在专门的窗口中分组显示心脏前壁，下壁和侧壁的ST实时片段和参考片段。具有QT/QTc测量功能，提供QT，QTc和ΔQTc参数值，并提供QTc和ΔQTc报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6.支持RR呼吸率测量，测量范围：1～200rpm。</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7.无创血压，适用于成人，小儿和新生儿，提供手动、自动间隔、连续、序列和整点≥5种测量模式。无创血压成人测量范围：25-290mmHg（收缩压），10-250mmHg（舒张压），15-260mmHg（平均压）。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8.血氧监测提供灌注指数（PI）的监测，支持升级CQI心肺复苏质量指数显示配置指套式血氧探头，支持浸泡清洁与消毒，探头的防水等级≥IPX7,提供肺动脉锲压（PAWP）的监测和PPV参数监测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9.支持≥4道IBP波形叠加显示，满足临床对比查看和节约显示空间的需求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10.支持升级 EtCO</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lang w:val="en-US" w:eastAsia="zh-CN"/>
              </w:rPr>
              <w:t>+（EtCO</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vertAlign w:val="baseline"/>
                <w:lang w:val="en-US" w:eastAsia="zh-CN"/>
              </w:rPr>
              <w:t>是指</w:t>
            </w:r>
            <w:r>
              <w:rPr>
                <w:rFonts w:hint="eastAsia" w:ascii="宋体" w:hAnsi="宋体" w:eastAsia="宋体" w:cs="宋体"/>
                <w:color w:val="auto"/>
                <w:sz w:val="21"/>
                <w:szCs w:val="21"/>
                <w:highlight w:val="none"/>
                <w:lang w:val="en-US" w:eastAsia="zh-CN"/>
              </w:rPr>
              <w:t>呼气末二氧化碳）顺磁氧集成监测模块，单槽位设计；支持升级BISx4监测模块或者单机、支持升级NMT监测参数，采用三轴加速度方向识别技术，支持升级rSO2组织氧饱和度的监测、支持升级FloTrac监测功能模块。</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11.配置PiCCO监测模块，采用PiCCO技术股动脉和中心静脉常规穿刺实现微创CCO等血液动力学监测参数，并提供蛛网图，观察病人的变化情况。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12.具备血液动力学，药物计算，氧合计算，通气计算和肾功能计算功能。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120小时趋势表和趋势图回顾。≥1000条事件回顾，事件回顾时能够提供报警事件列表。能够根据时间、报警优先级、报警类型和参数组对事件进行筛选。具备≥48小时全息波形的存储与回顾功能。≥120小时ST片段回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14.工作模式提供：监护模式、待机模式、体外循环模式、插管模式，夜间模式、隐私模式、演示模式。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15.支持升级具有血流动力学辅助应用，能够图形化显示监测参数，体现参数之间的关系，提供目标治疗决策建议，提供抬腿试验辅助工具，提供心功能图指示，提供蛛网图参数跟踪。</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16.支持升级脓毒症筛查工具，以及满足最新SSC指南和Sepsis3.0的治疗建议检查清单，并提供治疗建议。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17.支持升级输注泵用药信息回顾工具，可同时间轴显示病人生命体征参数及用药信息回顾，呈现病人生命体征变化趋势与药物输注流速变化之间的关系。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18.具备趋势共存界面、呼吸氧合图界面，大字体显示界面，及标准显示界面等多种显示界面。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19.支持与除颤监护仪，遥测，生命体征监测仪、呼吸机、输注泵、超声混合联通至中心监护系统，实现护士站的集中管理。</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baseline"/>
              <w:rPr>
                <w:rStyle w:val="267"/>
                <w:rFonts w:hint="eastAsia" w:ascii="宋体" w:hAnsi="宋体" w:eastAsia="宋体" w:cs="宋体"/>
                <w:b/>
                <w:bCs/>
                <w:color w:val="auto"/>
                <w:kern w:val="2"/>
                <w:sz w:val="21"/>
                <w:szCs w:val="21"/>
                <w:highlight w:val="none"/>
                <w:lang w:val="en-US" w:eastAsia="zh-CN" w:bidi="ar-SA"/>
              </w:rPr>
            </w:pPr>
            <w:r>
              <w:rPr>
                <w:rStyle w:val="267"/>
                <w:rFonts w:hint="eastAsia" w:ascii="宋体" w:hAnsi="宋体" w:eastAsia="宋体" w:cs="宋体"/>
                <w:b/>
                <w:bCs/>
                <w:color w:val="auto"/>
                <w:kern w:val="2"/>
                <w:sz w:val="21"/>
                <w:szCs w:val="21"/>
                <w:highlight w:val="none"/>
                <w:lang w:val="en-US" w:eastAsia="zh-CN" w:bidi="ar-SA"/>
              </w:rPr>
              <w:t>四、配置清单</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732"/>
              <w:gridCol w:w="2713"/>
              <w:gridCol w:w="1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5488" w:type="dxa"/>
                  <w:gridSpan w:val="2"/>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5488" w:type="dxa"/>
                  <w:gridSpan w:val="2"/>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中央监护系统</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006" w:type="dxa"/>
                  <w:vMerge w:val="restar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常规监护仪</w:t>
                  </w: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主机</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006" w:type="dxa"/>
                  <w:vMerge w:val="continue"/>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3导/5导除颤型心电导联线</w:t>
                  </w:r>
                </w:p>
              </w:tc>
              <w:tc>
                <w:tcPr>
                  <w:tcW w:w="27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006" w:type="dxa"/>
                  <w:vMerge w:val="continue"/>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心电电极5片装</w:t>
                  </w:r>
                </w:p>
              </w:tc>
              <w:tc>
                <w:tcPr>
                  <w:tcW w:w="27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血氧探头</w:t>
                  </w:r>
                </w:p>
              </w:tc>
              <w:tc>
                <w:tcPr>
                  <w:tcW w:w="27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无创血压导气管（直插式插头）</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成人血压袖套</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锂电池</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1006" w:type="dxa"/>
                  <w:vMerge w:val="restar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多功能监护仪</w:t>
                  </w: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主机</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多参数模块</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分体式心电主电缆组件</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5导分体式导联线组件AHA按扣式</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无内胆成人袖套</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无创血压导气管</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成人软指套血氧探头</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血氧探头主电缆</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心电电极</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有创血压监测功能</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PICCO模块（指脉搏指示连续心排血量监测模块）</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PICCO附件包</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电缆</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1根</w:t>
                  </w: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▲五、售后服务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1.主机质保期不低于5年；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bCs/>
                <w:color w:val="auto"/>
                <w:sz w:val="21"/>
                <w:szCs w:val="21"/>
                <w:highlight w:val="none"/>
                <w:lang w:bidi="ar"/>
              </w:rPr>
            </w:pPr>
            <w:r>
              <w:rPr>
                <w:rFonts w:hint="eastAsia" w:ascii="宋体" w:hAnsi="宋体" w:eastAsia="宋体" w:cs="宋体"/>
                <w:color w:val="auto"/>
                <w:sz w:val="21"/>
                <w:szCs w:val="21"/>
                <w:highlight w:val="none"/>
                <w:lang w:val="en-US" w:eastAsia="zh-CN"/>
              </w:rPr>
              <w:t>2.质保期内，一般故障2小时内响应。</w:t>
            </w:r>
          </w:p>
        </w:tc>
        <w:tc>
          <w:tcPr>
            <w:tcW w:w="158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358000.00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427" w:type="dxa"/>
            <w:tcBorders>
              <w:left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rPr>
            </w:pPr>
          </w:p>
        </w:tc>
        <w:tc>
          <w:tcPr>
            <w:tcW w:w="3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多功能心电监护仪</w:t>
            </w:r>
          </w:p>
        </w:tc>
        <w:tc>
          <w:tcPr>
            <w:tcW w:w="5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8台</w:t>
            </w:r>
          </w:p>
        </w:tc>
        <w:tc>
          <w:tcPr>
            <w:tcW w:w="6051"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一、中央监护系统参数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（一）产品形态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1.中心监护系统支持中央站, 工作站, 浏览站, 远程查询系统等多种产品形态互连，中央站提供其他产品形态访问中央站的权限设置，且提供单个床位是否允许外部进行访问的设置，工作站支持远程集中监护中央站上接收的病人，并提供不同控制权限的设置，满足不同临床场景下的部署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2.中心监护系统支持有线、无线、遥测多元化的组网方式，中心监护网络中支持≥1000台床旁设备互连。</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（二）系统功能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1.中心监护系统可支持参数监测ECG， ST, QT/QTc， RESP，SPO2， PR， TEMP，NIBP， IBP， C.O.，CCO， ScvO2，ICG，BIS，RM，CO</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lang w:val="en-US" w:eastAsia="zh-CN"/>
              </w:rPr>
              <w:t>，AG，EEG，NMT，rSO2，TcGas等。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2.支持设备集成参数的监测。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（三）显示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▲1.可同时集中监护64个病人。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2.提供全床位最近24h的报警事件浏览功能。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（四）数据回顾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▲1.支持至少240小时长趋势回顾和4小时短趋势回顾，至少240小时全息波形回顾，至少720条报警事件回顾，至少720条12导分析报告回顾，至少240小时的ST片段回顾，至少720条C.O. 测量结果回顾，至少100条呼吸氧合事件回顾。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2.支持至少75条药物计算结果回顾，至少100条血液动力学计算结果回顾，至少100条氧合计算结果回顾，至少100条通气计算结果回顾，至少100条肾功能计算结果回顾。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（五）打印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1.支持热敏记录仪及激光打印机输出病人报告；支持报警报告、波形报告、趋势报告、ARR统计报告、24h动态血压报告等。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（六）双向控制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1.可远程控制对床旁监护仪进行病人信息设置，解除病人，进行standby。</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2.支持远程控制床旁监护仪报警暂停、报警复位，设置报警开关、报警级别、报警上下限等。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3.支持远程控制床旁监护仪启动NIBP测量，设置NIBP测量模式和时间间隔。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4.支持远程控制床旁监护仪进入隐私、夜间模式。</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二、多功能监护仪参数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▲1.模块化插件式床边监护仪，主机、显示屏和插件槽一体化设计，主机插槽位数≥4个。</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2.主机显示屏≥12英寸彩色电容触摸屏、多点触摸，高分辨率≥1280×800像素，≥8通道显示，监护仪会根据环境光强度自动调节屏幕亮度。整机无风扇设计，标配内置高能锂离子电池，供电时间≥2小时。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3.配置≥4个USB接口，支持连接存储介质、鼠标、键盘、条码扫描枪等USB设备。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4.支持心电，呼吸，心率，无创血压，血氧饱和度，脉搏，双通道体温和双通道有创血压的同时监测。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支持3/5导心电监测,支持升级≥12导心电测量，并在监护仪上完成≥12导静息分析。支持≥3通道心电波形同步分析算法。支持双通道有创压IBP监测，适用于成人，小儿和新生儿，支持升级≥8通道有创压监测支持房颤心律失常分析功能，支持≥27种实时心律失常分析。提供ST段分析功能，支持在专门的窗口中分组显示心脏前壁，下壁和侧壁的ST实时片段和参考片段。具有QT/QTc测量功能，提供QT，QTc和ΔQTc参数值，并提供QTc和ΔQTc报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6.支持RR呼吸率测量，测量范围：1rpm～200rpm。</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7.无创血压，适用于成人，小儿和新生儿，提供手动、自动间隔、连续、序列和整点≥5种测量模式。无创血压成人测量范围：25mmHg-290mmHg（收缩压），10mmHg-250mmHg（舒张压），15mmHg-260mmHg（平均压）。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8.血氧监测提供灌注指数（PI）的监测，支持升级CQI心肺复苏质量指数显示配置指套式血氧探头，支持浸泡清洁与消毒，探头的防水等级≥IPX7提供肺动脉锲压（PAWP）的监测和PPV参数监测。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9.支持≥4道IBP波形叠加显示，满足临床对比查看和节约显示空间的需求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10.支持升级 EtCO</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lang w:val="en-US" w:eastAsia="zh-CN"/>
              </w:rPr>
              <w:t>+顺磁氧集成监测模块，单槽位设计；支持升级BISx4监测模块或者单机、支持升级NMT监测参数，采用三轴加速度方向识别技术，支持升级rSO2组织氧饱和度的监测、支持升级FloTrac监测功能模块。</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11.配置PiCCO监测模块，采用PiCCO技术股动脉和中心静脉常规穿刺实现微创CCO等血液动力学监测参数，并提供蛛网图，观察病人的变化情况。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12.具备血液动力学，药物计算，氧合计算，通气计算和肾功能计算功能。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120小时趋势表和趋势图回顾。≥1000条事件回顾，事件回顾时能够提供报警事件列表。能够根据时间、报警优先级、报警类型和参数组对事件进行筛选。具备≥48小时全息波形的存储与回顾功能。≥120小时ST片段回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14.工作模式提供：监护模式、待机模式、体外循环模式、插管模式，夜间模式、隐私模式、演示模式。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15.支持升级具有血流动力学辅助应用，能够图形化显示监测参数，体现参数之间的关系，提供目标治疗决策建议，提供抬腿试验辅助工具，提供心功能图指示，提供蛛网图参数跟踪。</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16.支持升级脓毒症筛查工具，以及满足最新SSC指南和Sepsis3.0的治疗建议检查清单，并提供治疗建议。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17.支持升级输注泵用药信息回顾工具，可同时间轴显示病人生命体征参数及用药信息回顾，呈现病人生命体征变化趋势与药物输注流速变化之间的关系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18.具备趋势共存界面、呼吸氧合图界面，大字体显示界面，及标准显示界面等多种显示界面。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19.支持与除颤监护仪，遥测，生命体征监测仪、呼吸机、输注泵、超声混合联通至中心监护系统，实现护士站的集中管理。</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baseline"/>
              <w:rPr>
                <w:rStyle w:val="267"/>
                <w:rFonts w:hint="eastAsia" w:ascii="宋体" w:hAnsi="宋体" w:eastAsia="宋体" w:cs="宋体"/>
                <w:b/>
                <w:bCs/>
                <w:color w:val="auto"/>
                <w:kern w:val="2"/>
                <w:sz w:val="21"/>
                <w:szCs w:val="21"/>
                <w:highlight w:val="none"/>
                <w:lang w:val="en-US" w:eastAsia="zh-CN" w:bidi="ar-SA"/>
              </w:rPr>
            </w:pPr>
            <w:r>
              <w:rPr>
                <w:rStyle w:val="267"/>
                <w:rFonts w:hint="eastAsia" w:ascii="宋体" w:hAnsi="宋体" w:eastAsia="宋体" w:cs="宋体"/>
                <w:b/>
                <w:bCs/>
                <w:color w:val="auto"/>
                <w:kern w:val="2"/>
                <w:sz w:val="21"/>
                <w:szCs w:val="21"/>
                <w:highlight w:val="none"/>
                <w:lang w:val="en-US" w:eastAsia="zh-CN" w:bidi="ar-SA"/>
              </w:rPr>
              <w:t>三、配置清单</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3951"/>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中央监护系统</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主机</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48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多参数模块</w:t>
                  </w:r>
                </w:p>
              </w:tc>
              <w:tc>
                <w:tcPr>
                  <w:tcW w:w="125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48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分体式心电主电缆组件</w:t>
                  </w:r>
                </w:p>
              </w:tc>
              <w:tc>
                <w:tcPr>
                  <w:tcW w:w="125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48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5导分体式导联线组件AHA按扣式</w:t>
                  </w:r>
                </w:p>
              </w:tc>
              <w:tc>
                <w:tcPr>
                  <w:tcW w:w="125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8根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无内胆成人袖套</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无创血压导气管</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成人软指套血氧探头</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血氧探头主电缆</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心电电极</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有创血压监测功能</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PICCO模块（指脉搏指示连续心排血量监测模块）</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PICCO附件</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电缆</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1根</w:t>
                  </w: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▲四、售后服务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1.主机质保期不低于5年。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bCs/>
                <w:color w:val="auto"/>
                <w:sz w:val="21"/>
                <w:szCs w:val="21"/>
                <w:highlight w:val="none"/>
                <w:lang w:bidi="ar"/>
              </w:rPr>
            </w:pPr>
            <w:r>
              <w:rPr>
                <w:rFonts w:hint="eastAsia" w:ascii="宋体" w:hAnsi="宋体" w:eastAsia="宋体" w:cs="宋体"/>
                <w:color w:val="auto"/>
                <w:sz w:val="21"/>
                <w:szCs w:val="21"/>
                <w:highlight w:val="none"/>
                <w:lang w:val="en-US" w:eastAsia="zh-CN"/>
              </w:rPr>
              <w:t>2.质保期内，一般故障2小时内响应。</w:t>
            </w:r>
          </w:p>
        </w:tc>
        <w:tc>
          <w:tcPr>
            <w:tcW w:w="158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427000.00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427" w:type="dxa"/>
            <w:tcBorders>
              <w:left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rPr>
            </w:pPr>
          </w:p>
        </w:tc>
        <w:tc>
          <w:tcPr>
            <w:tcW w:w="3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8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有创呼吸机</w:t>
            </w:r>
          </w:p>
        </w:tc>
        <w:tc>
          <w:tcPr>
            <w:tcW w:w="5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1台</w:t>
            </w:r>
          </w:p>
        </w:tc>
        <w:tc>
          <w:tcPr>
            <w:tcW w:w="6051"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一、基本要求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1.适用于儿童和成人呼吸支持和治疗的呼吸机，中文操作界面，中文报警显示。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2.时间常数阀门控制技术，将病人呼气开始时做功减到最低，伺服反馈控制系统跟踪病人细微的变化。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▲3.呼出端采用远端流量传感器，非耗材，非压差式传感器。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▲4.呼出气体模块可整体浸泡消毒或高温高压灭菌。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de-DE" w:eastAsia="zh-CN"/>
              </w:rPr>
            </w:pPr>
            <w:r>
              <w:rPr>
                <w:rFonts w:hint="eastAsia" w:ascii="宋体" w:hAnsi="宋体" w:eastAsia="宋体" w:cs="宋体"/>
                <w:color w:val="auto"/>
                <w:sz w:val="21"/>
                <w:szCs w:val="21"/>
                <w:highlight w:val="none"/>
                <w:lang w:val="en-US" w:eastAsia="zh-CN"/>
              </w:rPr>
              <w:t>5.彩色触摸控制屏幕，并能根据操作者需要进行屏幕视角上下调整，全触摸屏操作，可</w:t>
            </w:r>
            <w:r>
              <w:rPr>
                <w:rFonts w:hint="eastAsia" w:ascii="宋体" w:hAnsi="宋体" w:eastAsia="宋体" w:cs="宋体"/>
                <w:color w:val="auto"/>
                <w:sz w:val="21"/>
                <w:szCs w:val="21"/>
                <w:highlight w:val="none"/>
                <w:lang w:val="de-DE" w:eastAsia="zh-CN"/>
              </w:rPr>
              <w:t>同屏显示多道呼吸环，多道波形。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6.要求具有开机自检功能，可进行系统顺应性补偿，可跳过自检进行紧急通气。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7.120分钟内置后备可充电电池，电池总剩余电量能显示在屏幕上。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8.操作屏具有吸气屏气和呼气屏气快捷按钮，能迅速获得全面的肺功能监测参数。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9.供气方式：采用一体化高性能涡轮供气，无需空压机或其他空气组件。</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二、通气模式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1.控制模式：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流量自适应容量控制（VC）；</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压力控制（PC）；</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压力调节容量控制（PRVC）。</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持续气道正压（CPAP）；</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压力支持模式（PS/SPONT）。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3．混合模式：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同步间歇指令通气（SIMV），该模式应能叠加VC、PC、PRVC 、PS，如：SIMV(VC+PS)、SIMV(PC+PS)、SIMV（PRVC+PS）等。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智能吸痰模式和窒息后备通气（Back-up Ventilation）。</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5.高流量氧疗。</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三、呼吸机参数要求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1.潮气量：范围达到20ml-2000ml。</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2.氧浓度：21%—100%可调。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3.压力支持：0—99㎝H</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lang w:val="en-US" w:eastAsia="zh-CN"/>
              </w:rPr>
              <w:t>O。</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4.PEEP：1㎝ H</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lang w:val="en-US" w:eastAsia="zh-CN"/>
              </w:rPr>
              <w:t>O～50㎝H</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lang w:val="en-US" w:eastAsia="zh-CN"/>
              </w:rPr>
              <w:t>O。</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5.呼吸频率：4次/分～150次/分。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6.吸气时间 ：0.1秒-10秒。</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7.窒息通气报警：2秒-45秒。</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8.吸气终止切换时间：1%～70%（压力支持时峰值流量）。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▲9.峰值流量：0—240升/分。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10.吸呼比：1：10～4：1。</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▲11.具备压力触发/流量触发双触发方式：流量触发灵敏度：0-2L/min偏流，压力触发灵敏度：-20～-1㎝H</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lang w:val="en-US" w:eastAsia="zh-CN"/>
              </w:rPr>
              <w:t>O。</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12.平台时间：0-1.5秒可调。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 压力控制：0-99㎝H</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lang w:val="en-US" w:eastAsia="zh-CN"/>
              </w:rPr>
              <w:t>O。</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四、监测和显示的参数及功能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1.监测参数：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1.1吸入和呼出潮气量。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1.2分钟通气量。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1.3自主呼吸潮气量。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1.4自主呼吸分钟通气量。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1.5峰压。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1.6平台压。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1.7呼气末正压。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1.8平均压。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1.9峰值流速。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1.10平均流速。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1.11呼吸频率。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1.12自主呼吸频率。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1.13呼吸比。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1.14吸气时间。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1.15氧浓度监测。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1.16 潮气量/ 理想体重。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2.肺功能参数：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2.1肺顺应性（包含动态和静态）。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2.2肺弹性。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2.3吸气及呼气阻力。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2.4呼吸功。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2.5总PEEP/内源性PEEP。</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2.6浅快呼吸指数。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2.7呼吸时间常数。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 P0.1口腔闭合压。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 VT／PBW监测及设置指导。</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3.其他监测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 屏幕布局视图提供显示的波形，环形和呈现的数值的特定组合，至少5种界面可选。呼吸环具备参考环。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3.2可提供≥72小时内的所有监测参数。</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五、报警功能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1．具有供气压力。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2．气道压力。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3．分钟通气量。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4．氧浓度。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5．呼吸频率。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6．窒息报警时间。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7．供电、硬件故障等参数报警。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8.智能化分级报警，文字提示等，并能记录报警事件和回顾。</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六、其他要求</w:t>
            </w:r>
            <w:r>
              <w:rPr>
                <w:rFonts w:hint="eastAsia" w:ascii="宋体" w:hAnsi="宋体" w:eastAsia="宋体" w:cs="宋体"/>
                <w:color w:val="auto"/>
                <w:sz w:val="21"/>
                <w:szCs w:val="21"/>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1.具备USB接口。</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2.可储存波形记录和屏幕截图共不少于40条，可导出。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3.两个RS-232C端口。用于通过伺服通信接口进行数据通信。</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baseline"/>
              <w:rPr>
                <w:rStyle w:val="267"/>
                <w:rFonts w:hint="eastAsia" w:ascii="宋体" w:hAnsi="宋体" w:eastAsia="宋体" w:cs="宋体"/>
                <w:b/>
                <w:bCs/>
                <w:color w:val="auto"/>
                <w:kern w:val="2"/>
                <w:sz w:val="21"/>
                <w:szCs w:val="21"/>
                <w:highlight w:val="none"/>
                <w:lang w:val="en-US" w:eastAsia="zh-CN" w:bidi="ar-SA"/>
              </w:rPr>
            </w:pPr>
            <w:r>
              <w:rPr>
                <w:rStyle w:val="267"/>
                <w:rFonts w:hint="eastAsia" w:ascii="宋体" w:hAnsi="宋体" w:eastAsia="宋体" w:cs="宋体"/>
                <w:b/>
                <w:bCs/>
                <w:color w:val="auto"/>
                <w:kern w:val="2"/>
                <w:sz w:val="21"/>
                <w:szCs w:val="21"/>
                <w:highlight w:val="none"/>
                <w:lang w:val="en-US" w:eastAsia="zh-CN" w:bidi="ar-SA"/>
              </w:rPr>
              <w:t>七、配置清单</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3104"/>
              <w:gridCol w:w="1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有创呼吸机</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专用移动台车（不带抽屉）</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463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湿化器固定架</w:t>
                  </w:r>
                </w:p>
              </w:tc>
              <w:tc>
                <w:tcPr>
                  <w:tcW w:w="284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463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支撑臂</w:t>
                  </w:r>
                </w:p>
              </w:tc>
              <w:tc>
                <w:tcPr>
                  <w:tcW w:w="284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463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高压氧气管</w:t>
                  </w:r>
                </w:p>
              </w:tc>
              <w:tc>
                <w:tcPr>
                  <w:tcW w:w="284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线缆固定装置</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Y接口固定装置</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重复用成人呼吸管路</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湿化器</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成人湿化水罐</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水罐出气口拐弯接头</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水罐进气口接头</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温度探头/计接头</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温度计</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可复消雾化药杯</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1个</w:t>
                  </w:r>
                </w:p>
              </w:tc>
            </w:tr>
          </w:tbl>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▲八、售后服务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1.主机质保期不低于5年。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bCs/>
                <w:color w:val="auto"/>
                <w:sz w:val="21"/>
                <w:szCs w:val="21"/>
                <w:highlight w:val="none"/>
                <w:lang w:bidi="ar"/>
              </w:rPr>
            </w:pPr>
            <w:r>
              <w:rPr>
                <w:rFonts w:hint="eastAsia" w:ascii="宋体" w:hAnsi="宋体" w:eastAsia="宋体" w:cs="宋体"/>
                <w:color w:val="auto"/>
                <w:sz w:val="21"/>
                <w:szCs w:val="21"/>
                <w:highlight w:val="none"/>
                <w:lang w:val="en-US" w:eastAsia="zh-CN"/>
              </w:rPr>
              <w:t>2.质保期内，一般故障2小时内响应。</w:t>
            </w:r>
          </w:p>
        </w:tc>
        <w:tc>
          <w:tcPr>
            <w:tcW w:w="158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250000.00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427" w:type="dxa"/>
            <w:tcBorders>
              <w:left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rPr>
            </w:pPr>
          </w:p>
        </w:tc>
        <w:tc>
          <w:tcPr>
            <w:tcW w:w="9428"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u w:val="single"/>
                <w:lang w:val="en-US" w:eastAsia="zh-CN"/>
              </w:rPr>
              <w:t>▲供应商须在首次响应文件中提供本项目采购的第二、三类医疗器械产品的有效的医疗器械注册证复印件。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9"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1"/>
                <w:szCs w:val="21"/>
                <w:highlight w:val="none"/>
              </w:rPr>
            </w:pPr>
          </w:p>
          <w:p>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w:t>
            </w:r>
          </w:p>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商务条款</w:t>
            </w:r>
          </w:p>
        </w:tc>
        <w:tc>
          <w:tcPr>
            <w:tcW w:w="9428" w:type="dxa"/>
            <w:gridSpan w:val="5"/>
            <w:tcBorders>
              <w:top w:val="single" w:color="auto" w:sz="4" w:space="0"/>
              <w:left w:val="single" w:color="auto" w:sz="4" w:space="0"/>
              <w:bottom w:val="single" w:color="auto" w:sz="4" w:space="0"/>
              <w:right w:val="single" w:color="auto" w:sz="4" w:space="0"/>
            </w:tcBorders>
          </w:tcPr>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一、合同签订期：自成交通知书发出之日起</w:t>
            </w:r>
            <w:r>
              <w:rPr>
                <w:rFonts w:hint="eastAsia" w:ascii="宋体" w:hAnsi="宋体" w:eastAsia="宋体" w:cs="宋体"/>
                <w:color w:val="auto"/>
                <w:sz w:val="21"/>
                <w:szCs w:val="21"/>
                <w:highlight w:val="none"/>
                <w:u w:val="single"/>
              </w:rPr>
              <w:t xml:space="preserve"> 25 </w:t>
            </w:r>
            <w:r>
              <w:rPr>
                <w:rFonts w:hint="eastAsia" w:ascii="宋体" w:hAnsi="宋体" w:eastAsia="宋体" w:cs="宋体"/>
                <w:color w:val="auto"/>
                <w:sz w:val="21"/>
                <w:szCs w:val="21"/>
                <w:highlight w:val="none"/>
              </w:rPr>
              <w:t>日内。</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二、交付</w:t>
            </w:r>
            <w:r>
              <w:rPr>
                <w:rFonts w:hint="eastAsia" w:ascii="宋体" w:hAnsi="宋体" w:eastAsia="宋体" w:cs="宋体"/>
                <w:bCs/>
                <w:color w:val="auto"/>
                <w:sz w:val="21"/>
                <w:szCs w:val="21"/>
                <w:highlight w:val="none"/>
              </w:rPr>
              <w:t>时间：</w:t>
            </w:r>
            <w:r>
              <w:rPr>
                <w:rFonts w:hint="eastAsia" w:ascii="宋体" w:hAnsi="宋体" w:eastAsia="宋体" w:cs="宋体"/>
                <w:color w:val="auto"/>
                <w:sz w:val="21"/>
                <w:szCs w:val="21"/>
                <w:highlight w:val="none"/>
              </w:rPr>
              <w:t>自签订合同之日起</w:t>
            </w: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日历日内安装调试完毕并交付使用</w:t>
            </w:r>
            <w:r>
              <w:rPr>
                <w:rFonts w:hint="eastAsia" w:ascii="宋体" w:hAnsi="宋体" w:eastAsia="宋体" w:cs="宋体"/>
                <w:color w:val="auto"/>
                <w:sz w:val="21"/>
                <w:szCs w:val="21"/>
                <w:highlight w:val="none"/>
                <w:lang w:eastAsia="zh-CN"/>
              </w:rPr>
              <w:t>。</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三、交付地点：广西医科大学附属武鸣医院</w:t>
            </w:r>
            <w:r>
              <w:rPr>
                <w:rFonts w:hint="eastAsia" w:ascii="宋体" w:hAnsi="宋体" w:eastAsia="宋体" w:cs="宋体"/>
                <w:color w:val="auto"/>
                <w:sz w:val="21"/>
                <w:szCs w:val="21"/>
                <w:highlight w:val="none"/>
                <w:lang w:val="en-US" w:eastAsia="zh-CN"/>
              </w:rPr>
              <w:t>内采购人指定地点</w:t>
            </w:r>
            <w:r>
              <w:rPr>
                <w:rFonts w:hint="eastAsia" w:ascii="宋体" w:hAnsi="宋体" w:eastAsia="宋体" w:cs="宋体"/>
                <w:color w:val="auto"/>
                <w:sz w:val="21"/>
                <w:szCs w:val="21"/>
                <w:highlight w:val="none"/>
              </w:rPr>
              <w:t>。</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四、</w:t>
            </w:r>
            <w:r>
              <w:rPr>
                <w:rFonts w:hint="eastAsia" w:ascii="宋体" w:hAnsi="宋体" w:eastAsia="宋体" w:cs="宋体"/>
                <w:color w:val="auto"/>
                <w:sz w:val="21"/>
                <w:szCs w:val="21"/>
                <w:highlight w:val="none"/>
              </w:rPr>
              <w:t>验收标准、规范：</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1.项目验收按以下流程进行：</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（1）成交供应商按采购人要求送货至指定地点，双方一起开箱验货并签字确认。</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（2）成交供应商按采购人指定的设备安装地点，完成设备的安装与调试。</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（3）成交供应商提出验收申请，经采购人同意后共同组织验收，签写相应验收意见并签名确认。如对验收存在异议的，可聘请第三方按合同约定组织验收。</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（4）项目验收合格，项目约定产品或服务才正式交接。交接完毕，才作为项目的最终验收。</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检查供货范围。成交供应商提供的产品到达采购人指定现场后，成交供应商应在采购人项目负责人在场情况下，对照供货清单，当面开箱，共同清点、检查外观，作出开箱记录，并对相关产品的型号、规格、数量、性能参数等进行初步核对，双方签字确认。成交供应商应保证货物到达采购人所在地时完好无损，与合同约定一致，如有缺漏、损坏，由成交供应商负责调换、补齐或赔偿，否则采购方可拒绝签字确认。</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成交供应商在项目（含货物）验收时由采购人对照采购文件的技术参数及配置全面核对检验，如不符合采购文件要求以及提供虚假承诺的，按相关规定作退货处理及违约处理，成交供应商承担所有责任和费用，采购人保留进一步追究责任的权利。</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4.如成交供应商非制造商的，采购人需要制造商对成交供应商交付的产品或服务（包括质量、参数等）进行确认的，制造商应予以配合并出具书面意见，相关配合事项由成交供应商与制造商协调。</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5.产品包装材料归采购人所有。</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6.未尽事宜按照《关于印发广西壮族自治区政府采购项目履约验收管理办法的通知》[桂财采〔2015〕22号]以及《财政部关于进一步加强政府采购需求和履约验收管理的指导意见》[财库〔2016〕205号]规定执行。</w:t>
            </w:r>
          </w:p>
          <w:p>
            <w:pPr>
              <w:pStyle w:val="16"/>
              <w:spacing w:line="360" w:lineRule="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7.验收过程中所产生的一切费用均由成交供应商承担。报价时应考虑相关费用。</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五、售后服务要求：</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1.质量保证期：</w:t>
            </w:r>
            <w:r>
              <w:rPr>
                <w:rFonts w:hint="eastAsia" w:ascii="宋体" w:hAnsi="宋体" w:eastAsia="宋体" w:cs="宋体"/>
                <w:color w:val="auto"/>
                <w:sz w:val="21"/>
                <w:szCs w:val="21"/>
                <w:highlight w:val="none"/>
                <w:lang w:eastAsia="zh-CN"/>
              </w:rPr>
              <w:t>主机质保期不低于5年</w:t>
            </w:r>
            <w:r>
              <w:rPr>
                <w:rFonts w:hint="eastAsia" w:ascii="宋体" w:hAnsi="宋体" w:eastAsia="宋体" w:cs="宋体"/>
                <w:color w:val="auto"/>
                <w:sz w:val="21"/>
                <w:szCs w:val="21"/>
                <w:highlight w:val="none"/>
              </w:rPr>
              <w:t>（自本项目验收合格之日起计）；质保期内负责上门服务、维修、更换配件，不得收取任何费用。</w:t>
            </w:r>
            <w:r>
              <w:rPr>
                <w:rFonts w:hint="eastAsia" w:ascii="宋体" w:hAnsi="宋体" w:eastAsia="宋体" w:cs="宋体"/>
                <w:color w:val="auto"/>
                <w:sz w:val="21"/>
                <w:szCs w:val="21"/>
                <w:highlight w:val="none"/>
                <w:lang w:eastAsia="zh-CN"/>
              </w:rPr>
              <w:t>若在使用的前3个月内，出现非人为操作失误的重大故障，应予以换货。</w:t>
            </w:r>
            <w:r>
              <w:rPr>
                <w:rFonts w:hint="eastAsia" w:ascii="宋体" w:hAnsi="宋体" w:eastAsia="宋体" w:cs="宋体"/>
                <w:color w:val="auto"/>
                <w:sz w:val="21"/>
                <w:szCs w:val="21"/>
                <w:highlight w:val="none"/>
                <w:lang w:val="en-US" w:eastAsia="zh-CN"/>
              </w:rPr>
              <w:t>质保期</w:t>
            </w:r>
            <w:r>
              <w:rPr>
                <w:rFonts w:hint="eastAsia" w:ascii="宋体" w:hAnsi="宋体" w:eastAsia="宋体" w:cs="宋体"/>
                <w:color w:val="auto"/>
                <w:sz w:val="21"/>
                <w:szCs w:val="21"/>
                <w:highlight w:val="none"/>
                <w:lang w:eastAsia="zh-CN"/>
              </w:rPr>
              <w:t>满前1个月内成交</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eastAsia="zh-CN"/>
              </w:rPr>
              <w:t>负责一次全面检查；质保期满后，终身维护，以优惠价格提供维修和备件更换。</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提供全部设备必须是具备厂家合法销售渠道的全新合格正品，产品符合国家有关认证标准及安全规定。所有设备必须满足采购文件所述性能配置要求，若产品在运输过程中损坏或擦伤须无偿调换相同产品。 </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lang w:val="en-US" w:eastAsia="zh-CN"/>
              </w:rPr>
              <w:t>负责</w:t>
            </w:r>
            <w:r>
              <w:rPr>
                <w:rFonts w:hint="eastAsia" w:ascii="宋体" w:hAnsi="宋体" w:eastAsia="宋体" w:cs="宋体"/>
                <w:color w:val="auto"/>
                <w:sz w:val="21"/>
                <w:szCs w:val="21"/>
                <w:highlight w:val="none"/>
              </w:rPr>
              <w:t>送货上门、现场安装、调试；提供技术培训和硬件的测试和调整服务。</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相关人员培训</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包含医护人员及工程人员的培训计划费用，设备装机验收后，现场提供对院方的1次或多次基本培训，使院方使用人员及工程人员，熟练掌握全部功能及基本维修。</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为保证服务质量，一般故障2小时内电话响应，24小时内抵达故障设备现场解决问题，24小时内不能解决故障问题的，成交供应商隔天将提供备用机（与原设备技术参数要求相同或高于原设备技术参数要求的备用产品）以保证采购人的正常工作，所产生的费用，均由成交供应商承担，采购人不再承担任何费用。</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设备质保期均属于</w:t>
            </w:r>
            <w:r>
              <w:rPr>
                <w:rFonts w:hint="eastAsia" w:ascii="宋体" w:hAnsi="宋体" w:eastAsia="宋体" w:cs="宋体"/>
                <w:color w:val="auto"/>
                <w:sz w:val="21"/>
                <w:szCs w:val="21"/>
                <w:highlight w:val="none"/>
                <w:lang w:eastAsia="zh-CN"/>
              </w:rPr>
              <w:t>无条件</w:t>
            </w:r>
            <w:r>
              <w:rPr>
                <w:rFonts w:hint="eastAsia" w:ascii="宋体" w:hAnsi="宋体" w:eastAsia="宋体" w:cs="宋体"/>
                <w:color w:val="auto"/>
                <w:sz w:val="21"/>
                <w:szCs w:val="21"/>
                <w:highlight w:val="none"/>
              </w:rPr>
              <w:t>服务期，该期限内的所有售后服务，包括原厂商服务和非原厂商服务，其中硬件的售后服务包括但不限于，硬件维护维修、配件更换、整机更换、硬件升级、提供替代品；应用软件的售后服务包括但不限于应用软件维护升级以及非结构性修改；服务期内售后服务所产生的费用均由</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供应商承担。</w:t>
            </w:r>
          </w:p>
          <w:p>
            <w:pPr>
              <w:pStyle w:val="16"/>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.质保期外的售后服务：设备保修期过后，收到采购人通知后</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小时内响应，24小时内派人到达现场解决，承担终身维修服务。维修过程只收取配件费，且以最优惠价格提供。</w:t>
            </w:r>
          </w:p>
          <w:p>
            <w:pPr>
              <w:pStyle w:val="16"/>
              <w:spacing w:line="36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六、其他要求：</w:t>
            </w:r>
          </w:p>
          <w:p>
            <w:pPr>
              <w:pStyle w:val="16"/>
              <w:spacing w:line="360" w:lineRule="auto"/>
              <w:rPr>
                <w:rFonts w:hint="eastAsia" w:ascii="宋体" w:hAnsi="宋体" w:eastAsia="宋体" w:cs="宋体"/>
                <w:bCs/>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为有效防止虚假应标，</w:t>
            </w:r>
            <w:r>
              <w:rPr>
                <w:rFonts w:hint="eastAsia" w:ascii="宋体" w:hAnsi="宋体" w:eastAsia="宋体" w:cs="宋体"/>
                <w:color w:val="auto"/>
                <w:spacing w:val="0"/>
                <w:sz w:val="21"/>
                <w:szCs w:val="21"/>
                <w:highlight w:val="none"/>
                <w:shd w:val="clear" w:color="auto" w:fill="auto"/>
              </w:rPr>
              <w:t>签订合同后，</w:t>
            </w:r>
            <w:r>
              <w:rPr>
                <w:rFonts w:hint="eastAsia" w:ascii="宋体" w:hAnsi="宋体" w:eastAsia="宋体" w:cs="宋体"/>
                <w:color w:val="auto"/>
                <w:spacing w:val="0"/>
                <w:sz w:val="21"/>
                <w:szCs w:val="21"/>
                <w:highlight w:val="none"/>
                <w:shd w:val="clear" w:color="auto" w:fill="auto"/>
                <w:lang w:val="en-US" w:eastAsia="zh-CN"/>
              </w:rPr>
              <w:t>采购人在</w:t>
            </w:r>
            <w:r>
              <w:rPr>
                <w:rFonts w:hint="eastAsia" w:ascii="宋体" w:hAnsi="宋体" w:eastAsia="宋体" w:cs="宋体"/>
                <w:color w:val="auto"/>
                <w:spacing w:val="0"/>
                <w:sz w:val="21"/>
                <w:szCs w:val="21"/>
                <w:highlight w:val="none"/>
                <w:shd w:val="clear" w:color="auto" w:fill="auto"/>
              </w:rPr>
              <w:t>验收</w:t>
            </w:r>
            <w:r>
              <w:rPr>
                <w:rFonts w:hint="eastAsia" w:ascii="宋体" w:hAnsi="宋体" w:eastAsia="宋体" w:cs="宋体"/>
                <w:color w:val="auto"/>
                <w:spacing w:val="0"/>
                <w:sz w:val="21"/>
                <w:szCs w:val="21"/>
                <w:highlight w:val="none"/>
                <w:shd w:val="clear" w:color="auto" w:fill="auto"/>
                <w:lang w:val="en-US" w:eastAsia="zh-CN"/>
              </w:rPr>
              <w:t>过程中</w:t>
            </w:r>
            <w:r>
              <w:rPr>
                <w:rFonts w:hint="eastAsia" w:ascii="宋体" w:hAnsi="宋体" w:eastAsia="宋体" w:cs="宋体"/>
                <w:color w:val="auto"/>
                <w:spacing w:val="0"/>
                <w:sz w:val="21"/>
                <w:szCs w:val="21"/>
                <w:highlight w:val="none"/>
                <w:shd w:val="clear" w:color="auto" w:fill="auto"/>
              </w:rPr>
              <w:t>，</w:t>
            </w:r>
            <w:r>
              <w:rPr>
                <w:rFonts w:hint="eastAsia" w:ascii="宋体" w:hAnsi="宋体" w:eastAsia="宋体" w:cs="宋体"/>
                <w:color w:val="auto"/>
                <w:spacing w:val="0"/>
                <w:sz w:val="21"/>
                <w:szCs w:val="21"/>
                <w:highlight w:val="none"/>
                <w:shd w:val="clear" w:color="auto" w:fill="auto"/>
                <w:lang w:val="en-US" w:eastAsia="zh-CN"/>
              </w:rPr>
              <w:t>可进行</w:t>
            </w:r>
            <w:r>
              <w:rPr>
                <w:rFonts w:hint="eastAsia" w:ascii="宋体" w:hAnsi="宋体" w:eastAsia="宋体" w:cs="宋体"/>
                <w:color w:val="auto"/>
                <w:spacing w:val="0"/>
                <w:sz w:val="21"/>
                <w:szCs w:val="21"/>
                <w:highlight w:val="none"/>
                <w:shd w:val="clear" w:color="auto" w:fill="auto"/>
              </w:rPr>
              <w:t>测试，</w:t>
            </w:r>
            <w:r>
              <w:rPr>
                <w:rFonts w:hint="eastAsia" w:ascii="宋体" w:hAnsi="宋体" w:eastAsia="宋体" w:cs="宋体"/>
                <w:color w:val="auto"/>
                <w:sz w:val="21"/>
                <w:szCs w:val="21"/>
                <w:highlight w:val="none"/>
              </w:rPr>
              <w:t>若测试达不到响应指标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pacing w:val="0"/>
                <w:sz w:val="21"/>
                <w:szCs w:val="21"/>
                <w:highlight w:val="none"/>
                <w:shd w:val="clear" w:color="auto" w:fill="auto"/>
                <w:lang w:val="en-US" w:eastAsia="zh-CN"/>
              </w:rPr>
              <w:t>成交供应商应按要求整改</w:t>
            </w:r>
            <w:r>
              <w:rPr>
                <w:rFonts w:hint="eastAsia" w:ascii="宋体" w:hAnsi="宋体" w:eastAsia="宋体" w:cs="宋体"/>
                <w:color w:val="auto"/>
                <w:spacing w:val="0"/>
                <w:sz w:val="21"/>
                <w:szCs w:val="21"/>
                <w:highlight w:val="none"/>
                <w:shd w:val="clear" w:color="auto" w:fill="auto"/>
              </w:rPr>
              <w:t>，成交供应商整改</w:t>
            </w:r>
            <w:r>
              <w:rPr>
                <w:rFonts w:hint="eastAsia" w:ascii="宋体" w:hAnsi="宋体" w:eastAsia="宋体" w:cs="宋体"/>
                <w:color w:val="auto"/>
                <w:spacing w:val="0"/>
                <w:sz w:val="21"/>
                <w:szCs w:val="21"/>
                <w:highlight w:val="none"/>
                <w:shd w:val="clear" w:color="auto" w:fill="auto"/>
                <w:lang w:val="en-US" w:eastAsia="zh-CN"/>
              </w:rPr>
              <w:t>后仍未达要求</w:t>
            </w:r>
            <w:r>
              <w:rPr>
                <w:rFonts w:hint="eastAsia" w:ascii="宋体" w:hAnsi="宋体" w:eastAsia="宋体" w:cs="宋体"/>
                <w:color w:val="auto"/>
                <w:spacing w:val="0"/>
                <w:sz w:val="21"/>
                <w:szCs w:val="21"/>
                <w:highlight w:val="none"/>
                <w:shd w:val="clear" w:color="auto" w:fill="auto"/>
              </w:rPr>
              <w:t>的，经国家认可的第三方检测机构后存在虚假参数的，按</w:t>
            </w:r>
            <w:r>
              <w:rPr>
                <w:rFonts w:hint="eastAsia" w:ascii="宋体" w:hAnsi="宋体" w:eastAsia="宋体" w:cs="宋体"/>
                <w:color w:val="auto"/>
                <w:sz w:val="21"/>
                <w:szCs w:val="21"/>
                <w:highlight w:val="none"/>
              </w:rPr>
              <w:t>虚假应标进行处理，采购人有权</w:t>
            </w:r>
            <w:r>
              <w:rPr>
                <w:rFonts w:hint="eastAsia" w:ascii="宋体" w:hAnsi="宋体" w:eastAsia="宋体" w:cs="宋体"/>
                <w:color w:val="auto"/>
                <w:spacing w:val="0"/>
                <w:sz w:val="21"/>
                <w:szCs w:val="21"/>
                <w:highlight w:val="none"/>
                <w:shd w:val="clear" w:color="auto" w:fill="auto"/>
              </w:rPr>
              <w:t>解</w:t>
            </w:r>
            <w:r>
              <w:rPr>
                <w:rFonts w:hint="eastAsia" w:ascii="宋体" w:hAnsi="宋体" w:eastAsia="宋体" w:cs="宋体"/>
                <w:color w:val="auto"/>
                <w:spacing w:val="0"/>
                <w:sz w:val="21"/>
                <w:szCs w:val="21"/>
                <w:highlight w:val="none"/>
                <w:shd w:val="clear" w:color="auto" w:fill="auto"/>
                <w:lang w:val="en-US" w:eastAsia="zh-CN"/>
              </w:rPr>
              <w:t>除</w:t>
            </w:r>
            <w:r>
              <w:rPr>
                <w:rFonts w:hint="eastAsia" w:ascii="宋体" w:hAnsi="宋体" w:eastAsia="宋体" w:cs="宋体"/>
                <w:color w:val="auto"/>
                <w:spacing w:val="0"/>
                <w:sz w:val="21"/>
                <w:szCs w:val="21"/>
                <w:highlight w:val="none"/>
                <w:shd w:val="clear" w:color="auto" w:fill="auto"/>
              </w:rPr>
              <w:t>合同及上报监督管理部门</w:t>
            </w:r>
            <w:r>
              <w:rPr>
                <w:rFonts w:hint="eastAsia" w:ascii="宋体" w:hAnsi="宋体" w:eastAsia="宋体" w:cs="宋体"/>
                <w:color w:val="auto"/>
                <w:spacing w:val="0"/>
                <w:sz w:val="21"/>
                <w:szCs w:val="21"/>
                <w:highlight w:val="none"/>
                <w:shd w:val="clear" w:color="auto" w:fill="auto"/>
                <w:lang w:eastAsia="zh-CN"/>
              </w:rPr>
              <w:t>。</w:t>
            </w:r>
          </w:p>
          <w:p>
            <w:pPr>
              <w:pStyle w:val="16"/>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eastAsia="zh-CN"/>
              </w:rPr>
              <w:t>.</w:t>
            </w:r>
            <w:r>
              <w:rPr>
                <w:rFonts w:hint="eastAsia" w:ascii="宋体" w:hAnsi="宋体" w:eastAsia="宋体" w:cs="宋体"/>
                <w:color w:val="auto"/>
                <w:sz w:val="21"/>
                <w:szCs w:val="21"/>
                <w:highlight w:val="none"/>
              </w:rPr>
              <w:t>验收时</w:t>
            </w:r>
            <w:r>
              <w:rPr>
                <w:rFonts w:hint="eastAsia" w:ascii="宋体" w:hAnsi="宋体" w:cs="宋体"/>
                <w:color w:val="auto"/>
                <w:sz w:val="21"/>
                <w:szCs w:val="21"/>
                <w:highlight w:val="none"/>
                <w:lang w:val="en-US" w:eastAsia="zh-CN"/>
              </w:rPr>
              <w:t>成交供应商须</w:t>
            </w:r>
            <w:r>
              <w:rPr>
                <w:rFonts w:hint="eastAsia" w:ascii="宋体" w:hAnsi="宋体" w:eastAsia="宋体" w:cs="宋体"/>
                <w:color w:val="auto"/>
                <w:sz w:val="21"/>
                <w:szCs w:val="21"/>
                <w:highlight w:val="none"/>
              </w:rPr>
              <w:t>提供证明资料，</w:t>
            </w:r>
            <w:r>
              <w:rPr>
                <w:rFonts w:hint="eastAsia" w:ascii="宋体" w:hAnsi="宋体" w:cs="宋体"/>
                <w:color w:val="auto"/>
                <w:sz w:val="21"/>
                <w:szCs w:val="21"/>
                <w:highlight w:val="none"/>
                <w:lang w:val="en-US" w:eastAsia="zh-CN"/>
              </w:rPr>
              <w:t>采购人将</w:t>
            </w:r>
            <w:r>
              <w:rPr>
                <w:rFonts w:hint="eastAsia" w:ascii="宋体" w:hAnsi="宋体" w:eastAsia="宋体" w:cs="宋体"/>
                <w:color w:val="auto"/>
                <w:sz w:val="21"/>
                <w:szCs w:val="21"/>
                <w:highlight w:val="none"/>
              </w:rPr>
              <w:t>查看设备机身铭牌标注的生产日期或其他证明产品生产日期的资料，从</w:t>
            </w:r>
            <w:r>
              <w:rPr>
                <w:rFonts w:hint="eastAsia" w:ascii="宋体" w:hAnsi="宋体" w:cs="宋体"/>
                <w:color w:val="auto"/>
                <w:sz w:val="21"/>
                <w:szCs w:val="21"/>
                <w:highlight w:val="none"/>
                <w:lang w:val="en-US" w:eastAsia="zh-CN"/>
              </w:rPr>
              <w:t>设备</w:t>
            </w:r>
            <w:r>
              <w:rPr>
                <w:rFonts w:hint="eastAsia" w:ascii="宋体" w:hAnsi="宋体" w:eastAsia="宋体" w:cs="宋体"/>
                <w:color w:val="auto"/>
                <w:sz w:val="21"/>
                <w:szCs w:val="21"/>
                <w:highlight w:val="none"/>
              </w:rPr>
              <w:t>出厂日期至采购</w:t>
            </w:r>
            <w:r>
              <w:rPr>
                <w:rFonts w:hint="eastAsia" w:ascii="宋体" w:hAnsi="宋体" w:eastAsia="宋体" w:cs="宋体"/>
                <w:color w:val="auto"/>
                <w:sz w:val="21"/>
                <w:szCs w:val="21"/>
                <w:highlight w:val="none"/>
                <w:lang w:val="en-US" w:eastAsia="zh-CN"/>
              </w:rPr>
              <w:t>人</w:t>
            </w:r>
            <w:r>
              <w:rPr>
                <w:rFonts w:hint="eastAsia" w:ascii="宋体" w:hAnsi="宋体" w:eastAsia="宋体" w:cs="宋体"/>
                <w:color w:val="auto"/>
                <w:sz w:val="21"/>
                <w:szCs w:val="21"/>
                <w:highlight w:val="none"/>
              </w:rPr>
              <w:t>收货时间，国产产品（含进口品牌国内制造）不超过6个月</w:t>
            </w:r>
            <w:r>
              <w:rPr>
                <w:rFonts w:hint="eastAsia" w:ascii="宋体" w:hAnsi="宋体" w:eastAsia="宋体" w:cs="宋体"/>
                <w:color w:val="auto"/>
                <w:sz w:val="21"/>
                <w:szCs w:val="21"/>
                <w:highlight w:val="none"/>
                <w:lang w:eastAsia="zh-CN"/>
              </w:rPr>
              <w:t>。</w:t>
            </w:r>
          </w:p>
          <w:p>
            <w:pPr>
              <w:pStyle w:val="16"/>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成交供应商须</w:t>
            </w:r>
            <w:r>
              <w:rPr>
                <w:rFonts w:hint="eastAsia" w:ascii="宋体" w:hAnsi="宋体" w:eastAsia="宋体" w:cs="宋体"/>
                <w:color w:val="auto"/>
                <w:sz w:val="21"/>
                <w:szCs w:val="21"/>
                <w:highlight w:val="none"/>
              </w:rPr>
              <w:t>免费开放设备所有数据接口供其他系统同步数据，安装时如有需要，需配合</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接入院内网络信息平台，并承担相应接口费用。</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七、付款方式：</w:t>
            </w:r>
          </w:p>
          <w:p>
            <w:pPr>
              <w:pStyle w:val="16"/>
              <w:spacing w:line="360" w:lineRule="auto"/>
              <w:rPr>
                <w:rFonts w:hint="eastAsia" w:ascii="宋体" w:hAnsi="宋体" w:eastAsia="宋体"/>
                <w:color w:val="auto"/>
                <w:sz w:val="21"/>
                <w:szCs w:val="21"/>
                <w:highlight w:val="none"/>
                <w:u w:val="single"/>
              </w:rPr>
            </w:pPr>
            <w:r>
              <w:rPr>
                <w:rFonts w:hint="eastAsia" w:ascii="宋体" w:hAnsi="宋体"/>
                <w:color w:val="auto"/>
                <w:sz w:val="21"/>
                <w:szCs w:val="21"/>
                <w:highlight w:val="none"/>
                <w:u w:val="single"/>
                <w:lang w:val="en-US" w:eastAsia="zh-CN"/>
              </w:rPr>
              <w:t>1.</w:t>
            </w:r>
            <w:r>
              <w:rPr>
                <w:rFonts w:hint="eastAsia" w:ascii="宋体" w:hAnsi="宋体" w:eastAsia="宋体"/>
                <w:color w:val="auto"/>
                <w:sz w:val="21"/>
                <w:szCs w:val="21"/>
                <w:highlight w:val="none"/>
                <w:u w:val="single"/>
              </w:rPr>
              <w:t>本项目采用分期付款方式支付货款，全部货物到达指定地点、安装调试并验收合格，</w:t>
            </w:r>
            <w:r>
              <w:rPr>
                <w:rFonts w:hint="eastAsia" w:ascii="宋体" w:hAnsi="宋体"/>
                <w:color w:val="auto"/>
                <w:sz w:val="21"/>
                <w:szCs w:val="21"/>
                <w:highlight w:val="none"/>
                <w:u w:val="single"/>
                <w:lang w:val="en-US" w:eastAsia="zh-CN"/>
              </w:rPr>
              <w:t>成交供应商</w:t>
            </w:r>
            <w:r>
              <w:rPr>
                <w:rFonts w:hint="eastAsia" w:ascii="宋体" w:hAnsi="宋体" w:eastAsia="宋体"/>
                <w:color w:val="auto"/>
                <w:sz w:val="21"/>
                <w:szCs w:val="21"/>
                <w:highlight w:val="none"/>
                <w:u w:val="single"/>
              </w:rPr>
              <w:t>凭双方签署验收合格文件，开具合法有效的全额增值税发票给</w:t>
            </w:r>
            <w:r>
              <w:rPr>
                <w:rFonts w:hint="eastAsia" w:ascii="宋体" w:hAnsi="宋体"/>
                <w:color w:val="auto"/>
                <w:sz w:val="21"/>
                <w:szCs w:val="21"/>
                <w:highlight w:val="none"/>
                <w:u w:val="single"/>
                <w:lang w:val="en-US" w:eastAsia="zh-CN"/>
              </w:rPr>
              <w:t>采购人</w:t>
            </w:r>
            <w:r>
              <w:rPr>
                <w:rFonts w:hint="eastAsia" w:ascii="宋体" w:hAnsi="宋体" w:eastAsia="宋体"/>
                <w:color w:val="auto"/>
                <w:sz w:val="21"/>
                <w:szCs w:val="21"/>
                <w:highlight w:val="none"/>
                <w:u w:val="single"/>
              </w:rPr>
              <w:t>，</w:t>
            </w:r>
            <w:r>
              <w:rPr>
                <w:rFonts w:hint="eastAsia" w:ascii="宋体" w:hAnsi="宋体"/>
                <w:color w:val="auto"/>
                <w:sz w:val="21"/>
                <w:szCs w:val="21"/>
                <w:highlight w:val="none"/>
                <w:u w:val="single"/>
                <w:lang w:val="en-US" w:eastAsia="zh-CN"/>
              </w:rPr>
              <w:t>采购人</w:t>
            </w:r>
            <w:r>
              <w:rPr>
                <w:rFonts w:hint="eastAsia" w:ascii="宋体" w:hAnsi="宋体" w:eastAsia="宋体"/>
                <w:color w:val="auto"/>
                <w:sz w:val="21"/>
                <w:szCs w:val="21"/>
                <w:highlight w:val="none"/>
                <w:u w:val="single"/>
              </w:rPr>
              <w:t>收到完整、有效请款材料后3个月内一次性支付总合同金额的50%；验收合格满12个月内支付至总合同金额100%。（不计利息）</w:t>
            </w:r>
          </w:p>
          <w:p>
            <w:pPr>
              <w:pStyle w:val="16"/>
              <w:spacing w:line="360" w:lineRule="auto"/>
              <w:rPr>
                <w:rFonts w:hint="eastAsia" w:ascii="宋体" w:hAnsi="宋体" w:eastAsia="宋体" w:cs="宋体"/>
                <w:color w:val="auto"/>
                <w:sz w:val="21"/>
                <w:szCs w:val="21"/>
                <w:highlight w:val="none"/>
                <w:u w:val="single"/>
              </w:rPr>
            </w:pPr>
            <w:r>
              <w:rPr>
                <w:rFonts w:hint="eastAsia" w:ascii="宋体" w:hAnsi="宋体"/>
                <w:color w:val="auto"/>
                <w:sz w:val="21"/>
                <w:szCs w:val="21"/>
                <w:highlight w:val="none"/>
                <w:u w:val="single"/>
                <w:lang w:val="en-US" w:eastAsia="zh-CN"/>
              </w:rPr>
              <w:t>2.</w:t>
            </w:r>
            <w:r>
              <w:rPr>
                <w:rFonts w:hint="eastAsia" w:ascii="宋体" w:hAnsi="宋体"/>
                <w:color w:val="auto"/>
                <w:sz w:val="21"/>
                <w:szCs w:val="21"/>
                <w:highlight w:val="none"/>
                <w:u w:val="single"/>
              </w:rPr>
              <w:t>若因</w:t>
            </w:r>
            <w:r>
              <w:rPr>
                <w:rFonts w:hint="eastAsia" w:ascii="宋体" w:hAnsi="宋体"/>
                <w:color w:val="auto"/>
                <w:sz w:val="21"/>
                <w:szCs w:val="21"/>
                <w:highlight w:val="none"/>
                <w:u w:val="single"/>
                <w:lang w:val="en-US" w:eastAsia="zh-CN"/>
              </w:rPr>
              <w:t>成交供应商</w:t>
            </w:r>
            <w:r>
              <w:rPr>
                <w:rFonts w:hint="eastAsia" w:ascii="宋体" w:hAnsi="宋体"/>
                <w:color w:val="auto"/>
                <w:sz w:val="21"/>
                <w:szCs w:val="21"/>
                <w:highlight w:val="none"/>
                <w:u w:val="single"/>
              </w:rPr>
              <w:t>不能提供</w:t>
            </w:r>
            <w:r>
              <w:rPr>
                <w:rFonts w:hint="eastAsia" w:ascii="宋体" w:hAnsi="宋体"/>
                <w:color w:val="auto"/>
                <w:sz w:val="21"/>
                <w:szCs w:val="21"/>
                <w:highlight w:val="none"/>
                <w:u w:val="single"/>
                <w:lang w:val="en-US" w:eastAsia="zh-CN"/>
              </w:rPr>
              <w:t>全</w:t>
            </w:r>
            <w:r>
              <w:rPr>
                <w:rFonts w:hint="eastAsia" w:ascii="宋体" w:hAnsi="宋体"/>
                <w:color w:val="auto"/>
                <w:sz w:val="21"/>
                <w:szCs w:val="21"/>
                <w:highlight w:val="none"/>
                <w:u w:val="single"/>
              </w:rPr>
              <w:t>额的增值税发票或提供的增值税发票不符合合同约定，导致</w:t>
            </w:r>
            <w:r>
              <w:rPr>
                <w:rFonts w:hint="eastAsia" w:ascii="宋体" w:hAnsi="宋体"/>
                <w:color w:val="auto"/>
                <w:sz w:val="21"/>
                <w:szCs w:val="21"/>
                <w:highlight w:val="none"/>
                <w:u w:val="single"/>
                <w:lang w:val="en-US" w:eastAsia="zh-CN"/>
              </w:rPr>
              <w:t>采购人</w:t>
            </w:r>
            <w:r>
              <w:rPr>
                <w:rFonts w:hint="eastAsia" w:ascii="宋体" w:hAnsi="宋体"/>
                <w:color w:val="auto"/>
                <w:sz w:val="21"/>
                <w:szCs w:val="21"/>
                <w:highlight w:val="none"/>
                <w:u w:val="single"/>
              </w:rPr>
              <w:t>无法付款，</w:t>
            </w:r>
            <w:r>
              <w:rPr>
                <w:rFonts w:hint="eastAsia" w:ascii="宋体" w:hAnsi="宋体"/>
                <w:color w:val="auto"/>
                <w:sz w:val="21"/>
                <w:szCs w:val="21"/>
                <w:highlight w:val="none"/>
                <w:u w:val="single"/>
                <w:lang w:val="en-US" w:eastAsia="zh-CN"/>
              </w:rPr>
              <w:t>成交供应商</w:t>
            </w:r>
            <w:r>
              <w:rPr>
                <w:rFonts w:hint="eastAsia" w:ascii="宋体" w:hAnsi="宋体"/>
                <w:color w:val="auto"/>
                <w:sz w:val="21"/>
                <w:szCs w:val="21"/>
                <w:highlight w:val="none"/>
                <w:u w:val="single"/>
              </w:rPr>
              <w:t>自行承担责任，</w:t>
            </w:r>
            <w:r>
              <w:rPr>
                <w:rFonts w:hint="eastAsia" w:ascii="宋体" w:hAnsi="宋体"/>
                <w:color w:val="auto"/>
                <w:sz w:val="21"/>
                <w:szCs w:val="21"/>
                <w:highlight w:val="none"/>
                <w:u w:val="single"/>
                <w:lang w:val="en-US" w:eastAsia="zh-CN"/>
              </w:rPr>
              <w:t>采购人</w:t>
            </w:r>
            <w:r>
              <w:rPr>
                <w:rFonts w:hint="eastAsia" w:ascii="宋体" w:hAnsi="宋体"/>
                <w:color w:val="auto"/>
                <w:sz w:val="21"/>
                <w:szCs w:val="21"/>
                <w:highlight w:val="none"/>
                <w:u w:val="single"/>
              </w:rPr>
              <w:t>有权拒绝付款，并不视为违约</w:t>
            </w:r>
            <w:r>
              <w:rPr>
                <w:rFonts w:hint="eastAsia" w:ascii="宋体" w:hAnsi="宋体"/>
                <w:color w:val="auto"/>
                <w:sz w:val="21"/>
                <w:szCs w:val="21"/>
                <w:highlight w:val="none"/>
                <w:u w:val="single"/>
                <w:lang w:eastAsia="zh-CN"/>
              </w:rPr>
              <w:t>。</w:t>
            </w:r>
          </w:p>
          <w:p>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报价要求：</w:t>
            </w:r>
          </w:p>
          <w:p>
            <w:pPr>
              <w:keepNext w:val="0"/>
              <w:keepLines w:val="0"/>
              <w:pageBreakBefore w:val="0"/>
              <w:tabs>
                <w:tab w:val="left" w:pos="3490"/>
                <w:tab w:val="left" w:pos="3670"/>
                <w:tab w:val="left" w:pos="3895"/>
              </w:tabs>
              <w:kinsoku/>
              <w:wordWrap/>
              <w:overflowPunct/>
              <w:topLinePunct w:val="0"/>
              <w:autoSpaceDE/>
              <w:autoSpaceDN/>
              <w:bidi w:val="0"/>
              <w:adjustRightInd/>
              <w:snapToGrid/>
              <w:spacing w:line="360" w:lineRule="auto"/>
              <w:textAlignment w:val="auto"/>
              <w:rPr>
                <w:rFonts w:hint="eastAsia"/>
                <w:color w:val="auto"/>
                <w:highlight w:val="none"/>
              </w:rPr>
            </w:pPr>
            <w:r>
              <w:rPr>
                <w:rFonts w:hint="eastAsia" w:ascii="宋体" w:hAnsi="宋体" w:eastAsia="宋体" w:cs="宋体"/>
                <w:color w:val="auto"/>
                <w:highlight w:val="none"/>
              </w:rPr>
              <w:t>响应报价必须包含满足本次竞标全部采购需求所应提供的货物、货物标准附件、备品备件、专用工具、设备安装辅材、包装、运输、装卸、保险、货到就位的各种费用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明示或暗示的所有责任、义务和一般风险等费用。</w:t>
            </w:r>
            <w:r>
              <w:rPr>
                <w:rFonts w:hint="eastAsia"/>
                <w:color w:val="auto"/>
                <w:highlight w:val="none"/>
              </w:rPr>
              <w:br w:type="textWrapping"/>
            </w:r>
            <w:r>
              <w:rPr>
                <w:rFonts w:hint="eastAsia" w:ascii="宋体" w:hAnsi="宋体" w:eastAsia="宋体" w:cs="宋体"/>
                <w:color w:val="auto"/>
                <w:sz w:val="21"/>
                <w:szCs w:val="21"/>
                <w:highlight w:val="none"/>
                <w:u w:val="single"/>
                <w:lang w:val="en-US" w:eastAsia="zh-CN"/>
              </w:rPr>
              <w:t>九、</w:t>
            </w:r>
            <w:r>
              <w:rPr>
                <w:rFonts w:hint="eastAsia" w:ascii="宋体" w:hAnsi="宋体" w:cs="宋体"/>
                <w:b w:val="0"/>
                <w:bCs w:val="0"/>
                <w:color w:val="auto"/>
                <w:sz w:val="21"/>
                <w:szCs w:val="21"/>
                <w:highlight w:val="none"/>
                <w:u w:val="single"/>
                <w:lang w:val="en-US" w:eastAsia="zh-CN"/>
              </w:rPr>
              <w:t>除国家药监局公布《免于经营备案的第二类医疗器械产品目录》内的第二类医疗器械产品外，在第二类医疗器械产品供货时，成交供应商必须提供有效的第二类医疗器械经营备案证明复印件，否则采购人不予以验收通过。（注：如成交供应商为符合国家现行《医疗器械监督管理条例》第四十三条规定的备案人的，则不需要提供经营备案证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2"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其他说明</w:t>
            </w:r>
          </w:p>
        </w:tc>
        <w:tc>
          <w:tcPr>
            <w:tcW w:w="9428" w:type="dxa"/>
            <w:gridSpan w:val="5"/>
            <w:tcBorders>
              <w:top w:val="single" w:color="auto" w:sz="4" w:space="0"/>
              <w:left w:val="single" w:color="auto" w:sz="4" w:space="0"/>
              <w:bottom w:val="single" w:color="auto" w:sz="4" w:space="0"/>
              <w:right w:val="single" w:color="auto" w:sz="4" w:space="0"/>
            </w:tcBorders>
          </w:tcPr>
          <w:p>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一、进口产品说明：</w:t>
            </w:r>
          </w:p>
          <w:p>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本项目货物所涉及的货物不接受进口产品（即通过中国海关报关验放进入中国境内且产自关境外的产品）参与竞标，</w:t>
            </w:r>
            <w:r>
              <w:rPr>
                <w:rFonts w:hint="eastAsia" w:ascii="宋体" w:hAnsi="宋体" w:eastAsia="宋体" w:cs="宋体"/>
                <w:b/>
                <w:color w:val="auto"/>
                <w:sz w:val="21"/>
                <w:szCs w:val="21"/>
                <w:highlight w:val="none"/>
              </w:rPr>
              <w:t>如有进口产品参与竞标的作无效竞标处理</w:t>
            </w:r>
            <w:r>
              <w:rPr>
                <w:rFonts w:hint="eastAsia" w:ascii="宋体" w:hAnsi="宋体" w:eastAsia="宋体" w:cs="宋体"/>
                <w:color w:val="auto"/>
                <w:sz w:val="21"/>
                <w:szCs w:val="21"/>
                <w:highlight w:val="none"/>
              </w:rPr>
              <w:t>。</w:t>
            </w:r>
          </w:p>
          <w:p>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二、根据 《国务院办公厅关于在政府采购中实施本国产品标准及相关政策的通知》（国办发〔2025〕34号）的规定，</w:t>
            </w:r>
            <w:r>
              <w:rPr>
                <w:rFonts w:hint="eastAsia" w:ascii="宋体" w:hAnsi="宋体" w:eastAsia="宋体" w:cs="宋体"/>
                <w:color w:val="auto"/>
                <w:sz w:val="21"/>
                <w:szCs w:val="21"/>
                <w:highlight w:val="none"/>
                <w:shd w:val="clear" w:color="auto" w:fill="FFFFFF"/>
              </w:rPr>
              <w:t>政府采购活动中既有本国产品又有非本国产品参与竞争的，依法对符合政策要求的本国产品给予价格评审优惠，</w:t>
            </w:r>
            <w:r>
              <w:rPr>
                <w:rFonts w:hint="eastAsia" w:ascii="宋体" w:hAnsi="宋体" w:eastAsia="宋体" w:cs="宋体"/>
                <w:b/>
                <w:bCs/>
                <w:color w:val="auto"/>
                <w:sz w:val="21"/>
                <w:szCs w:val="21"/>
                <w:highlight w:val="none"/>
              </w:rPr>
              <w:t>具体详见“第四章 评审程序、评审方法和成交标准”</w:t>
            </w:r>
            <w:r>
              <w:rPr>
                <w:rFonts w:hint="eastAsia" w:ascii="宋体" w:hAnsi="宋体" w:eastAsia="宋体" w:cs="宋体"/>
                <w:color w:val="auto"/>
                <w:sz w:val="21"/>
                <w:szCs w:val="21"/>
                <w:highlight w:val="none"/>
              </w:rPr>
              <w:t>。产品在中国境内生产的组件成本，按照《中国境内生产的组件成本核算基本规则》（见附件3）计算。</w:t>
            </w:r>
            <w:bookmarkEnd w:id="48"/>
          </w:p>
        </w:tc>
      </w:tr>
    </w:tbl>
    <w:p>
      <w:pPr>
        <w:rPr>
          <w:rFonts w:ascii="宋体" w:hAnsi="宋体" w:eastAsia="宋体" w:cs="宋体"/>
          <w:color w:val="auto"/>
          <w:sz w:val="32"/>
          <w:szCs w:val="32"/>
          <w:highlight w:val="none"/>
        </w:rPr>
      </w:pPr>
    </w:p>
    <w:p>
      <w:pPr>
        <w:spacing w:line="528" w:lineRule="exact"/>
        <w:jc w:val="left"/>
        <w:rPr>
          <w:rFonts w:hint="eastAsia" w:ascii="宋体" w:hAnsi="宋体" w:eastAsia="宋体" w:cs="宋体"/>
          <w:color w:val="auto"/>
          <w:sz w:val="32"/>
          <w:szCs w:val="32"/>
          <w:highlight w:val="none"/>
        </w:rPr>
      </w:pPr>
    </w:p>
    <w:p>
      <w:pPr>
        <w:spacing w:line="528" w:lineRule="exact"/>
        <w:jc w:val="left"/>
        <w:rPr>
          <w:rFonts w:ascii="宋体" w:hAnsi="宋体" w:eastAsia="宋体" w:cs="宋体"/>
          <w:color w:val="auto"/>
          <w:highlight w:val="none"/>
        </w:rPr>
      </w:pPr>
      <w:r>
        <w:rPr>
          <w:rFonts w:hint="eastAsia" w:ascii="宋体" w:hAnsi="宋体" w:eastAsia="宋体" w:cs="宋体"/>
          <w:color w:val="auto"/>
          <w:sz w:val="32"/>
          <w:szCs w:val="32"/>
          <w:highlight w:val="none"/>
        </w:rPr>
        <w:t>附件1</w:t>
      </w:r>
    </w:p>
    <w:p>
      <w:pPr>
        <w:spacing w:line="528" w:lineRule="exact"/>
        <w:jc w:val="center"/>
        <w:rPr>
          <w:rFonts w:ascii="宋体" w:hAnsi="宋体" w:eastAsia="宋体" w:cs="宋体"/>
          <w:color w:val="auto"/>
          <w:sz w:val="40"/>
          <w:szCs w:val="40"/>
          <w:highlight w:val="none"/>
        </w:rPr>
      </w:pPr>
      <w:r>
        <w:rPr>
          <w:rFonts w:hint="eastAsia" w:ascii="宋体" w:hAnsi="宋体" w:eastAsia="宋体" w:cs="宋体"/>
          <w:color w:val="auto"/>
          <w:sz w:val="40"/>
          <w:szCs w:val="40"/>
          <w:highlight w:val="none"/>
        </w:rPr>
        <w:t>节能产品政府采购品目清单</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116"/>
        <w:gridCol w:w="1516"/>
        <w:gridCol w:w="1612"/>
        <w:gridCol w:w="4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41" w:type="dxa"/>
          </w:tcPr>
          <w:p>
            <w:pPr>
              <w:widowControl/>
              <w:jc w:val="center"/>
              <w:rPr>
                <w:rFonts w:ascii="宋体" w:hAnsi="宋体" w:eastAsia="宋体" w:cs="宋体"/>
                <w:b/>
                <w:bCs/>
                <w:color w:val="auto"/>
                <w:sz w:val="22"/>
                <w:highlight w:val="none"/>
              </w:rPr>
            </w:pPr>
            <w:r>
              <w:rPr>
                <w:rFonts w:hint="eastAsia" w:ascii="宋体" w:hAnsi="宋体" w:eastAsia="宋体" w:cs="宋体"/>
                <w:b/>
                <w:bCs/>
                <w:color w:val="auto"/>
                <w:sz w:val="22"/>
                <w:highlight w:val="none"/>
              </w:rPr>
              <w:t>品目序号</w:t>
            </w:r>
          </w:p>
        </w:tc>
        <w:tc>
          <w:tcPr>
            <w:tcW w:w="4244" w:type="dxa"/>
            <w:gridSpan w:val="3"/>
            <w:vAlign w:val="center"/>
          </w:tcPr>
          <w:p>
            <w:pPr>
              <w:widowControl/>
              <w:jc w:val="center"/>
              <w:rPr>
                <w:rFonts w:ascii="宋体" w:hAnsi="宋体" w:eastAsia="宋体" w:cs="宋体"/>
                <w:b/>
                <w:bCs/>
                <w:color w:val="auto"/>
                <w:sz w:val="22"/>
                <w:highlight w:val="none"/>
              </w:rPr>
            </w:pPr>
            <w:r>
              <w:rPr>
                <w:rFonts w:hint="eastAsia" w:ascii="宋体" w:hAnsi="宋体" w:eastAsia="宋体" w:cs="宋体"/>
                <w:b/>
                <w:bCs/>
                <w:color w:val="auto"/>
                <w:sz w:val="22"/>
                <w:highlight w:val="none"/>
              </w:rPr>
              <w:t>名称</w:t>
            </w:r>
          </w:p>
        </w:tc>
        <w:tc>
          <w:tcPr>
            <w:tcW w:w="4335" w:type="dxa"/>
            <w:vAlign w:val="center"/>
          </w:tcPr>
          <w:p>
            <w:pPr>
              <w:widowControl/>
              <w:jc w:val="center"/>
              <w:rPr>
                <w:rFonts w:ascii="宋体" w:hAnsi="宋体" w:eastAsia="宋体" w:cs="宋体"/>
                <w:b/>
                <w:bCs/>
                <w:color w:val="auto"/>
                <w:sz w:val="22"/>
                <w:highlight w:val="none"/>
              </w:rPr>
            </w:pPr>
            <w:r>
              <w:rPr>
                <w:rFonts w:hint="eastAsia" w:ascii="宋体" w:hAnsi="宋体" w:eastAsia="宋体" w:cs="宋体"/>
                <w:b/>
                <w:bCs/>
                <w:color w:val="auto"/>
                <w:sz w:val="22"/>
                <w:highlight w:val="none"/>
              </w:rPr>
              <w:t>依据的标准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1116" w:type="dxa"/>
            <w:vMerge w:val="restart"/>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A020101计算机设备</w:t>
            </w: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★A02010104台式计算机</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★A02010105便携式计算机</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★A02010107平板式微型计算机</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1116" w:type="dxa"/>
            <w:vMerge w:val="restart"/>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A020106输入输出设备</w:t>
            </w:r>
          </w:p>
        </w:tc>
        <w:tc>
          <w:tcPr>
            <w:tcW w:w="1516" w:type="dxa"/>
            <w:vMerge w:val="restart"/>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A02010601打印设备</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A0201060101喷墨打印机</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Merge w:val="continue"/>
            <w:vAlign w:val="center"/>
          </w:tcPr>
          <w:p>
            <w:pPr>
              <w:widowControl/>
              <w:jc w:val="left"/>
              <w:rPr>
                <w:rFonts w:ascii="宋体" w:hAnsi="宋体" w:eastAsia="宋体" w:cs="宋体"/>
                <w:color w:val="auto"/>
                <w:sz w:val="20"/>
                <w:szCs w:val="20"/>
                <w:highlight w:val="none"/>
              </w:rPr>
            </w:pP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★A0201060102激光打印机</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Merge w:val="continue"/>
            <w:vAlign w:val="center"/>
          </w:tcPr>
          <w:p>
            <w:pPr>
              <w:widowControl/>
              <w:jc w:val="left"/>
              <w:rPr>
                <w:rFonts w:ascii="宋体" w:hAnsi="宋体" w:eastAsia="宋体" w:cs="宋体"/>
                <w:color w:val="auto"/>
                <w:sz w:val="20"/>
                <w:szCs w:val="20"/>
                <w:highlight w:val="none"/>
              </w:rPr>
            </w:pP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★A0201060104针式打印机</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A02010604显示设备</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★A0201060401液晶显示器</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A02010609图形图像输入设备</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A0201060901扫描仪</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参照《复印机、打印机和传真机能效限定值及能效等级》（GB21521）中打印速度为15页/分的针式打印机相关要求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c>
          <w:tcPr>
            <w:tcW w:w="11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A020202投影仪</w:t>
            </w: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《投影机能效限定值及能效等级》（GB32028）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c>
          <w:tcPr>
            <w:tcW w:w="11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A020204多功能一体机</w:t>
            </w: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11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A020519泵</w:t>
            </w: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A02051901离心泵</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《清水离心泵能效限定值及节能评价值》（GB19762）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restart"/>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c>
          <w:tcPr>
            <w:tcW w:w="1116" w:type="dxa"/>
            <w:vMerge w:val="restart"/>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A020523制冷空调设备</w:t>
            </w:r>
          </w:p>
        </w:tc>
        <w:tc>
          <w:tcPr>
            <w:tcW w:w="1516" w:type="dxa"/>
            <w:vMerge w:val="restart"/>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★A02052301制冷压缩机</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冷水机组</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《冷水机组能效限定值及能效等级》（GB19577），《低环境温度空气源热泵（冷水）机组能效限定值及能效等级》（GB37480）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Merge w:val="continue"/>
            <w:vAlign w:val="center"/>
          </w:tcPr>
          <w:p>
            <w:pPr>
              <w:widowControl/>
              <w:jc w:val="left"/>
              <w:rPr>
                <w:rFonts w:ascii="宋体" w:hAnsi="宋体" w:eastAsia="宋体" w:cs="宋体"/>
                <w:color w:val="auto"/>
                <w:sz w:val="20"/>
                <w:szCs w:val="20"/>
                <w:highlight w:val="none"/>
              </w:rPr>
            </w:pP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水源热泵机组</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《水（地）源热泵机组能效限定值及能效等级》（GB30721）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Merge w:val="continue"/>
            <w:vAlign w:val="center"/>
          </w:tcPr>
          <w:p>
            <w:pPr>
              <w:widowControl/>
              <w:jc w:val="left"/>
              <w:rPr>
                <w:rFonts w:ascii="宋体" w:hAnsi="宋体" w:eastAsia="宋体" w:cs="宋体"/>
                <w:color w:val="auto"/>
                <w:sz w:val="20"/>
                <w:szCs w:val="20"/>
                <w:highlight w:val="none"/>
              </w:rPr>
            </w:pP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溴化锂吸收式冷水机组</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《溴化锂吸收式冷水机组能效限定值及能效等级》（GB29540）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Merge w:val="restart"/>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★A02052305空调机组</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多联式空调（热泵）机组(制冷量&gt;14000W)</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Merge w:val="continue"/>
            <w:vAlign w:val="center"/>
          </w:tcPr>
          <w:p>
            <w:pPr>
              <w:widowControl/>
              <w:jc w:val="left"/>
              <w:rPr>
                <w:rFonts w:ascii="宋体" w:hAnsi="宋体" w:eastAsia="宋体" w:cs="宋体"/>
                <w:color w:val="auto"/>
                <w:sz w:val="20"/>
                <w:szCs w:val="20"/>
                <w:highlight w:val="none"/>
              </w:rPr>
            </w:pP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单元式空气调节机(制冷量&gt;14000W</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《单元式空气调节机能效限定值及能效等级》（GB19576）《风管送风式空调机组能效限定值及能效等级》（GB37479）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★A02052309专用制冷、空调设备</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机房空调</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《单元式空气调节机能效限定值及能效等级》（GB19576）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A02052399其他制冷空调设备</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冷却塔</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《机械通风冷却塔第1部分：中小型开式冷却塔》（GB/T7190.1）；《机械通风冷却塔第2部分：大型开式冷却塔》（GB/T7190.2）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p>
        </w:tc>
        <w:tc>
          <w:tcPr>
            <w:tcW w:w="11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A020601电机</w:t>
            </w: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《中小型三相异步电动机能效限定值及能效等级》（GB18613）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c>
          <w:tcPr>
            <w:tcW w:w="11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A020602变压器</w:t>
            </w: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配电变压器</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《三相配电变压器能效限定值及能效等级》（GB20052）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c>
          <w:tcPr>
            <w:tcW w:w="11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★A020609镇流器</w:t>
            </w: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管型荧光灯镇流器</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《管形荧光灯镇流器能效限定值及能效等级》（GB17896）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1116" w:type="dxa"/>
            <w:vMerge w:val="restart"/>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A020618生活用电器</w:t>
            </w: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A0206180101电冰箱</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《家用电冰箱耗电量限定值及能效等级》（GB 12021.2）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Merge w:val="restart"/>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★A0206180203空调机</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房间空气调节器</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《转速可控型房间空气调节器能效限定值及能效等级》（GB21455-2013），待2019年修订发布后，按《房间空气调节器能效限定值及能效等级》（GB21455-2019实施。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Merge w:val="continue"/>
            <w:vAlign w:val="center"/>
          </w:tcPr>
          <w:p>
            <w:pPr>
              <w:widowControl/>
              <w:jc w:val="left"/>
              <w:rPr>
                <w:rFonts w:ascii="宋体" w:hAnsi="宋体" w:eastAsia="宋体" w:cs="宋体"/>
                <w:color w:val="auto"/>
                <w:sz w:val="20"/>
                <w:szCs w:val="20"/>
                <w:highlight w:val="none"/>
              </w:rPr>
            </w:pP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多联式空调（热泵）机组（制冷量≤ 14000W）</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Merge w:val="continue"/>
            <w:vAlign w:val="center"/>
          </w:tcPr>
          <w:p>
            <w:pPr>
              <w:widowControl/>
              <w:jc w:val="left"/>
              <w:rPr>
                <w:rFonts w:ascii="宋体" w:hAnsi="宋体" w:eastAsia="宋体" w:cs="宋体"/>
                <w:color w:val="auto"/>
                <w:sz w:val="20"/>
                <w:szCs w:val="20"/>
                <w:highlight w:val="none"/>
              </w:rPr>
            </w:pP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单元式空气调节机(制冷量≤14000W)</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《单元式空气调节机能效限定值及能源效率等级》（GB19576）《风管送风式空调机组能效限定值及能效等级》（GB37479）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A0206180301洗衣机</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《电动洗衣机能效水效限定值及等级》（GB12021.4）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Merge w:val="restart"/>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A02061808热水器</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★电热水器</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《储水式电热水器能效限定值及能效等级》（GB21519）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Merge w:val="continue"/>
            <w:vAlign w:val="center"/>
          </w:tcPr>
          <w:p>
            <w:pPr>
              <w:widowControl/>
              <w:jc w:val="left"/>
              <w:rPr>
                <w:rFonts w:ascii="宋体" w:hAnsi="宋体" w:eastAsia="宋体" w:cs="宋体"/>
                <w:color w:val="auto"/>
                <w:sz w:val="20"/>
                <w:szCs w:val="20"/>
                <w:highlight w:val="none"/>
              </w:rPr>
            </w:pP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燃气热水器</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《家用燃气快速热水器和燃气采暖热水炉能效限定值及能效等级》（GB20665）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Merge w:val="continue"/>
            <w:vAlign w:val="center"/>
          </w:tcPr>
          <w:p>
            <w:pPr>
              <w:widowControl/>
              <w:jc w:val="left"/>
              <w:rPr>
                <w:rFonts w:ascii="宋体" w:hAnsi="宋体" w:eastAsia="宋体" w:cs="宋体"/>
                <w:color w:val="auto"/>
                <w:sz w:val="20"/>
                <w:szCs w:val="20"/>
                <w:highlight w:val="none"/>
              </w:rPr>
            </w:pP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热泵热水器</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《热泵热水机（器）能效限定值及能效等级》（GB29541）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Merge w:val="continue"/>
            <w:vAlign w:val="center"/>
          </w:tcPr>
          <w:p>
            <w:pPr>
              <w:widowControl/>
              <w:jc w:val="left"/>
              <w:rPr>
                <w:rFonts w:ascii="宋体" w:hAnsi="宋体" w:eastAsia="宋体" w:cs="宋体"/>
                <w:color w:val="auto"/>
                <w:sz w:val="20"/>
                <w:szCs w:val="20"/>
                <w:highlight w:val="none"/>
              </w:rPr>
            </w:pP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太阳能热水系统</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《家用太阳能热水系统能效限定值及能效等级》（GB26969）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c>
          <w:tcPr>
            <w:tcW w:w="1116" w:type="dxa"/>
            <w:vMerge w:val="restart"/>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A020619照明设备</w:t>
            </w: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★普通照明用双端荧光灯</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《普通照明用双端荧光灯能效限定值及能效等级》（GB19043）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LED道路/隧道照明产品</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《道路和隧道照明用LED灯具能效限定值及能效等级》（GB37478）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LED筒灯</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普通照明用非定向自镇流LED灯</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p>
        </w:tc>
        <w:tc>
          <w:tcPr>
            <w:tcW w:w="11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★A020910电视设备</w:t>
            </w: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A02091001普通电视设备（电视机）</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《平板电视能效限定值及能效等级》（GB24850）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13</w:t>
            </w:r>
          </w:p>
        </w:tc>
        <w:tc>
          <w:tcPr>
            <w:tcW w:w="11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★A020911视频设备</w:t>
            </w: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A02091107视频监控设备</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监视器</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14</w:t>
            </w:r>
          </w:p>
        </w:tc>
        <w:tc>
          <w:tcPr>
            <w:tcW w:w="11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A031210饮食炊事机械</w:t>
            </w: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商用燃气灶具</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《商用燃气灶具能效限定值及能效等级》（GB30531）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41" w:type="dxa"/>
            <w:vMerge w:val="restart"/>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p>
        </w:tc>
        <w:tc>
          <w:tcPr>
            <w:tcW w:w="1116" w:type="dxa"/>
            <w:vMerge w:val="restart"/>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★A060805便器</w:t>
            </w: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坐便器</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《坐便器水效限定值及水效等级》（GB25502）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蹲便器</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《蹲便器用水效率限定值及用水效率等级》（GB30717）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highlight w:val="none"/>
              </w:rPr>
            </w:pPr>
          </w:p>
        </w:tc>
        <w:tc>
          <w:tcPr>
            <w:tcW w:w="1116" w:type="dxa"/>
            <w:vMerge w:val="continue"/>
            <w:vAlign w:val="center"/>
          </w:tcPr>
          <w:p>
            <w:pPr>
              <w:widowControl/>
              <w:jc w:val="left"/>
              <w:rPr>
                <w:rFonts w:ascii="宋体" w:hAnsi="宋体" w:eastAsia="宋体" w:cs="宋体"/>
                <w:color w:val="auto"/>
                <w:sz w:val="20"/>
                <w:szCs w:val="20"/>
                <w:highlight w:val="none"/>
              </w:rPr>
            </w:pP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小便器</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《小便器用水效率限定值及用水效率等级》（GB28377）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16</w:t>
            </w:r>
          </w:p>
        </w:tc>
        <w:tc>
          <w:tcPr>
            <w:tcW w:w="11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★A060806水嘴</w:t>
            </w: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《水嘴用水效率限定值及用水效率等级》（GB 25501）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17</w:t>
            </w:r>
          </w:p>
        </w:tc>
        <w:tc>
          <w:tcPr>
            <w:tcW w:w="11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A060807便器冲洗阀</w:t>
            </w: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《便器冲洗阀用水效率限定值及用水效率等级》（GB28379）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18</w:t>
            </w:r>
          </w:p>
        </w:tc>
        <w:tc>
          <w:tcPr>
            <w:tcW w:w="11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A060810淋浴器</w:t>
            </w:r>
          </w:p>
        </w:tc>
        <w:tc>
          <w:tcPr>
            <w:tcW w:w="1516"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1612" w:type="dxa"/>
            <w:vAlign w:val="center"/>
          </w:tcPr>
          <w:p>
            <w:pPr>
              <w:widowControl/>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vAlign w:val="center"/>
          </w:tcPr>
          <w:p>
            <w:pPr>
              <w:widowControl/>
              <w:jc w:val="left"/>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《淋浴器用水效率限定值及用水效率等级》（GB28378）</w:t>
            </w:r>
          </w:p>
        </w:tc>
      </w:tr>
    </w:tbl>
    <w:p>
      <w:pPr>
        <w:spacing w:after="120" w:line="360" w:lineRule="auto"/>
        <w:rPr>
          <w:rFonts w:ascii="宋体" w:hAnsi="宋体" w:eastAsia="宋体" w:cs="宋体"/>
          <w:color w:val="auto"/>
          <w:spacing w:val="-3"/>
          <w:szCs w:val="21"/>
          <w:highlight w:val="none"/>
        </w:rPr>
      </w:pPr>
    </w:p>
    <w:p>
      <w:pPr>
        <w:spacing w:after="120" w:line="360" w:lineRule="auto"/>
        <w:rPr>
          <w:rFonts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pPr>
        <w:spacing w:after="120" w:line="360" w:lineRule="auto"/>
        <w:rPr>
          <w:rFonts w:ascii="宋体" w:hAnsi="宋体" w:eastAsia="宋体" w:cs="宋体"/>
          <w:b/>
          <w:bCs/>
          <w:color w:val="auto"/>
          <w:szCs w:val="21"/>
          <w:highlight w:val="none"/>
        </w:rPr>
      </w:pPr>
      <w:r>
        <w:rPr>
          <w:rFonts w:hint="eastAsia" w:ascii="宋体" w:hAnsi="宋体" w:eastAsia="宋体" w:cs="宋体"/>
          <w:color w:val="auto"/>
          <w:szCs w:val="21"/>
          <w:highlight w:val="none"/>
        </w:rPr>
        <w:t xml:space="preserve">    2</w:t>
      </w:r>
      <w:r>
        <w:rPr>
          <w:rFonts w:hint="eastAsia" w:ascii="宋体" w:hAnsi="宋体" w:eastAsia="宋体" w:cs="宋体"/>
          <w:b/>
          <w:bCs/>
          <w:color w:val="auto"/>
          <w:szCs w:val="21"/>
          <w:highlight w:val="none"/>
        </w:rPr>
        <w:t>.以“★”标注的为政府强制采购产品。</w:t>
      </w: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spacing w:line="428" w:lineRule="exact"/>
        <w:rPr>
          <w:rFonts w:ascii="宋体" w:hAnsi="宋体" w:eastAsia="宋体" w:cs="宋体"/>
          <w:color w:val="auto"/>
          <w:sz w:val="32"/>
          <w:szCs w:val="32"/>
          <w:highlight w:val="none"/>
        </w:rPr>
      </w:pPr>
    </w:p>
    <w:p>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pPr>
        <w:spacing w:line="428" w:lineRule="exact"/>
        <w:rPr>
          <w:rFonts w:ascii="宋体" w:hAnsi="宋体" w:eastAsia="宋体" w:cs="宋体"/>
          <w:color w:val="auto"/>
          <w:sz w:val="17"/>
          <w:szCs w:val="17"/>
          <w:highlight w:val="none"/>
        </w:rPr>
      </w:pPr>
      <w:r>
        <w:rPr>
          <w:rFonts w:hint="eastAsia" w:ascii="宋体" w:hAnsi="宋体" w:eastAsia="宋体" w:cs="宋体"/>
          <w:color w:val="auto"/>
          <w:sz w:val="32"/>
          <w:szCs w:val="32"/>
          <w:highlight w:val="none"/>
        </w:rPr>
        <w:t>附件2</w:t>
      </w:r>
    </w:p>
    <w:p>
      <w:pPr>
        <w:widowControl/>
        <w:spacing w:before="156" w:after="156" w:line="280" w:lineRule="exact"/>
        <w:jc w:val="center"/>
        <w:rPr>
          <w:rFonts w:ascii="宋体" w:hAnsi="宋体" w:eastAsia="宋体" w:cs="宋体"/>
          <w:b/>
          <w:bCs/>
          <w:color w:val="auto"/>
          <w:sz w:val="30"/>
          <w:szCs w:val="30"/>
          <w:highlight w:val="none"/>
        </w:rPr>
      </w:pPr>
      <w:bookmarkStart w:id="54" w:name="_Toc28361_WPSOffice_Level2"/>
      <w:bookmarkStart w:id="55" w:name="_Toc80205922"/>
      <w:bookmarkStart w:id="56" w:name="_Toc20724"/>
      <w:r>
        <w:rPr>
          <w:rFonts w:hint="eastAsia" w:ascii="宋体" w:hAnsi="宋体" w:eastAsia="宋体" w:cs="宋体"/>
          <w:b/>
          <w:bCs/>
          <w:color w:val="auto"/>
          <w:sz w:val="30"/>
          <w:szCs w:val="30"/>
          <w:highlight w:val="none"/>
        </w:rPr>
        <w:t>统计上大中小微型企业划分标准</w:t>
      </w:r>
      <w:bookmarkEnd w:id="54"/>
    </w:p>
    <w:tbl>
      <w:tblPr>
        <w:tblStyle w:val="44"/>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vAlign w:val="center"/>
          </w:tcPr>
          <w:p>
            <w:pPr>
              <w:widowControl/>
              <w:spacing w:line="280" w:lineRule="exact"/>
              <w:jc w:val="center"/>
              <w:rPr>
                <w:rFonts w:ascii="宋体" w:hAnsi="宋体" w:eastAsia="宋体" w:cs="宋体"/>
                <w:b/>
                <w:bCs/>
                <w:color w:val="auto"/>
                <w:sz w:val="18"/>
                <w:szCs w:val="21"/>
                <w:highlight w:val="none"/>
              </w:rPr>
            </w:pPr>
            <w:r>
              <w:rPr>
                <w:rFonts w:hint="eastAsia" w:ascii="宋体" w:hAnsi="宋体" w:eastAsia="宋体" w:cs="宋体"/>
                <w:b/>
                <w:bCs/>
                <w:color w:val="auto"/>
                <w:sz w:val="18"/>
                <w:szCs w:val="21"/>
                <w:highlight w:val="none"/>
              </w:rPr>
              <w:t>行业名称</w:t>
            </w:r>
          </w:p>
        </w:tc>
        <w:tc>
          <w:tcPr>
            <w:tcW w:w="1369" w:type="dxa"/>
            <w:shd w:val="clear" w:color="auto" w:fill="8DB3E2"/>
            <w:vAlign w:val="center"/>
          </w:tcPr>
          <w:p>
            <w:pPr>
              <w:widowControl/>
              <w:spacing w:line="280" w:lineRule="exact"/>
              <w:jc w:val="center"/>
              <w:rPr>
                <w:rFonts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指标名称</w:t>
            </w:r>
          </w:p>
        </w:tc>
        <w:tc>
          <w:tcPr>
            <w:tcW w:w="709" w:type="dxa"/>
            <w:shd w:val="clear" w:color="auto" w:fill="8DB3E2"/>
            <w:vAlign w:val="center"/>
          </w:tcPr>
          <w:p>
            <w:pPr>
              <w:widowControl/>
              <w:spacing w:line="280" w:lineRule="exact"/>
              <w:jc w:val="center"/>
              <w:rPr>
                <w:rFonts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计量</w:t>
            </w:r>
          </w:p>
          <w:p>
            <w:pPr>
              <w:widowControl/>
              <w:spacing w:line="280" w:lineRule="exact"/>
              <w:jc w:val="center"/>
              <w:rPr>
                <w:rFonts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单位</w:t>
            </w:r>
          </w:p>
        </w:tc>
        <w:tc>
          <w:tcPr>
            <w:tcW w:w="1125" w:type="dxa"/>
            <w:shd w:val="clear" w:color="auto" w:fill="8DB3E2"/>
            <w:vAlign w:val="center"/>
          </w:tcPr>
          <w:p>
            <w:pPr>
              <w:widowControl/>
              <w:spacing w:line="280" w:lineRule="exact"/>
              <w:jc w:val="center"/>
              <w:rPr>
                <w:rFonts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大型</w:t>
            </w:r>
          </w:p>
        </w:tc>
        <w:tc>
          <w:tcPr>
            <w:tcW w:w="1701" w:type="dxa"/>
            <w:shd w:val="clear" w:color="auto" w:fill="8DB3E2"/>
            <w:vAlign w:val="center"/>
          </w:tcPr>
          <w:p>
            <w:pPr>
              <w:widowControl/>
              <w:spacing w:line="280" w:lineRule="exact"/>
              <w:jc w:val="center"/>
              <w:rPr>
                <w:rFonts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中型</w:t>
            </w:r>
          </w:p>
        </w:tc>
        <w:tc>
          <w:tcPr>
            <w:tcW w:w="1426" w:type="dxa"/>
            <w:shd w:val="clear" w:color="auto" w:fill="8DB3E2"/>
            <w:vAlign w:val="center"/>
          </w:tcPr>
          <w:p>
            <w:pPr>
              <w:widowControl/>
              <w:spacing w:line="280" w:lineRule="exact"/>
              <w:jc w:val="center"/>
              <w:rPr>
                <w:rFonts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小型</w:t>
            </w:r>
          </w:p>
        </w:tc>
        <w:tc>
          <w:tcPr>
            <w:tcW w:w="992" w:type="dxa"/>
            <w:shd w:val="clear" w:color="auto" w:fill="8DB3E2"/>
            <w:vAlign w:val="center"/>
          </w:tcPr>
          <w:p>
            <w:pPr>
              <w:widowControl/>
              <w:spacing w:line="280" w:lineRule="exact"/>
              <w:jc w:val="center"/>
              <w:rPr>
                <w:rFonts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pPr>
              <w:widowControl/>
              <w:spacing w:line="280" w:lineRule="exact"/>
              <w:jc w:val="left"/>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农、林、牧、渔业</w:t>
            </w: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Y≥20000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500≤Y＜20000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50≤Y＜500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工业 *</w:t>
            </w: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X≥1000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20≤X＜300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highlight w:val="none"/>
              </w:rPr>
            </w:pP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Y≥40000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2000≤Y＜40000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300≤Y＜2000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建筑业</w:t>
            </w: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Y≥80000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6000≤Y＜80000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300≤Y＜6000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highlight w:val="none"/>
              </w:rPr>
            </w:pP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资产总额(Z)</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Z≥80000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5000≤Z＜80000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300≤Z＜5000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批发业</w:t>
            </w: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X≥200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20≤X＜200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5≤X＜20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highlight w:val="none"/>
              </w:rPr>
            </w:pP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Y≥40000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5000≤Y＜40000</w:t>
            </w:r>
          </w:p>
        </w:tc>
        <w:tc>
          <w:tcPr>
            <w:tcW w:w="1426" w:type="dxa"/>
            <w:vAlign w:val="center"/>
          </w:tcPr>
          <w:p>
            <w:pPr>
              <w:widowControl/>
              <w:spacing w:line="280" w:lineRule="exact"/>
              <w:ind w:left="-1" w:hanging="1"/>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1000≤Y＜5000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零售业</w:t>
            </w: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50≤X＜300</w:t>
            </w:r>
          </w:p>
        </w:tc>
        <w:tc>
          <w:tcPr>
            <w:tcW w:w="1426" w:type="dxa"/>
            <w:vAlign w:val="center"/>
          </w:tcPr>
          <w:p>
            <w:pPr>
              <w:widowControl/>
              <w:spacing w:line="280" w:lineRule="exact"/>
              <w:ind w:left="-1" w:hanging="1"/>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10≤X＜50 </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highlight w:val="none"/>
              </w:rPr>
            </w:pP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Y≥20000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500≤Y＜20000</w:t>
            </w:r>
          </w:p>
        </w:tc>
        <w:tc>
          <w:tcPr>
            <w:tcW w:w="1426" w:type="dxa"/>
            <w:vAlign w:val="center"/>
          </w:tcPr>
          <w:p>
            <w:pPr>
              <w:widowControl/>
              <w:spacing w:line="280" w:lineRule="exact"/>
              <w:ind w:left="-1" w:hanging="1"/>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100≤Y＜500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交通运输业 *</w:t>
            </w: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X≥1000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20≤X＜300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highlight w:val="none"/>
              </w:rPr>
            </w:pP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Y≥30000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3000≤Y＜30000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200≤Y＜3000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仓储业*</w:t>
            </w: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X≥200</w:t>
            </w:r>
          </w:p>
        </w:tc>
        <w:tc>
          <w:tcPr>
            <w:tcW w:w="1701" w:type="dxa"/>
            <w:vAlign w:val="center"/>
          </w:tcPr>
          <w:p>
            <w:pPr>
              <w:widowControl/>
              <w:spacing w:line="280" w:lineRule="exact"/>
              <w:ind w:left="1" w:hanging="108"/>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100≤X＜200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20≤X＜100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highlight w:val="none"/>
              </w:rPr>
            </w:pP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Y≥30000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1000≤Y＜30000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100≤Y＜1000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邮政业</w:t>
            </w: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X≥1000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20≤X＜300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highlight w:val="none"/>
              </w:rPr>
            </w:pP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Y≥30000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2000≤Y＜30000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100≤Y＜2000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住宿业</w:t>
            </w: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vAlign w:val="center"/>
          </w:tcPr>
          <w:p>
            <w:pPr>
              <w:widowControl/>
              <w:spacing w:line="280" w:lineRule="exact"/>
              <w:ind w:left="1" w:hanging="108"/>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highlight w:val="none"/>
              </w:rPr>
            </w:pP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Y≥10000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2000≤Y＜10000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100≤Y＜2000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餐饮业</w:t>
            </w: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vAlign w:val="center"/>
          </w:tcPr>
          <w:p>
            <w:pPr>
              <w:widowControl/>
              <w:spacing w:line="280" w:lineRule="exact"/>
              <w:ind w:left="1" w:hanging="108"/>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100≤X＜300 </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highlight w:val="none"/>
              </w:rPr>
            </w:pP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Y≥10000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2000≤Y＜10000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100≤Y＜2000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信息传输业 *</w:t>
            </w: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X≥2000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100≤X＜2000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highlight w:val="none"/>
              </w:rPr>
            </w:pP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Y≥100000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1000≤Y＜100000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100≤Y＜1000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ascii="宋体" w:hAnsi="宋体" w:eastAsia="宋体" w:cs="宋体"/>
                <w:color w:val="auto"/>
                <w:spacing w:val="-12"/>
                <w:sz w:val="18"/>
                <w:szCs w:val="18"/>
                <w:highlight w:val="none"/>
              </w:rPr>
            </w:pPr>
            <w:r>
              <w:rPr>
                <w:rFonts w:hint="eastAsia" w:ascii="宋体" w:hAnsi="宋体" w:eastAsia="宋体" w:cs="宋体"/>
                <w:color w:val="auto"/>
                <w:spacing w:val="-12"/>
                <w:sz w:val="18"/>
                <w:szCs w:val="18"/>
                <w:highlight w:val="none"/>
              </w:rPr>
              <w:t>软件和信息技术服</w:t>
            </w:r>
            <w:r>
              <w:rPr>
                <w:rFonts w:hint="eastAsia" w:ascii="宋体" w:hAnsi="宋体" w:eastAsia="宋体" w:cs="宋体"/>
                <w:color w:val="auto"/>
                <w:sz w:val="18"/>
                <w:szCs w:val="18"/>
                <w:highlight w:val="none"/>
              </w:rPr>
              <w:t>务业</w:t>
            </w: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vAlign w:val="center"/>
          </w:tcPr>
          <w:p>
            <w:pPr>
              <w:widowControl/>
              <w:spacing w:line="280" w:lineRule="exact"/>
              <w:ind w:left="1" w:hanging="108"/>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100≤X＜300 </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ascii="宋体" w:hAnsi="宋体" w:eastAsia="宋体" w:cs="宋体"/>
                <w:color w:val="auto"/>
                <w:spacing w:val="-12"/>
                <w:sz w:val="18"/>
                <w:szCs w:val="18"/>
                <w:highlight w:val="none"/>
              </w:rPr>
            </w:pP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Y≥10000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1000≤Y＜10000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50≤Y＜1000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房地产开发经营</w:t>
            </w: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Y≥200000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1000≤Y＜200000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100≤Y＜1000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highlight w:val="none"/>
              </w:rPr>
            </w:pP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资产总额(Z)</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Z≥10000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5000≤Z＜10000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2000≤Z＜5000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物业管理</w:t>
            </w: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X≥1000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highlight w:val="none"/>
              </w:rPr>
            </w:pP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Y≥5000</w:t>
            </w:r>
          </w:p>
        </w:tc>
        <w:tc>
          <w:tcPr>
            <w:tcW w:w="1701" w:type="dxa"/>
            <w:vAlign w:val="center"/>
          </w:tcPr>
          <w:p>
            <w:pPr>
              <w:widowControl/>
              <w:spacing w:line="280" w:lineRule="exact"/>
              <w:ind w:left="1" w:hanging="108"/>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1000≤Y＜5000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500≤Y＜1000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租赁和商务服务业</w:t>
            </w: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vAlign w:val="center"/>
          </w:tcPr>
          <w:p>
            <w:pPr>
              <w:widowControl/>
              <w:spacing w:line="280" w:lineRule="exact"/>
              <w:ind w:left="1" w:hanging="108"/>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highlight w:val="none"/>
              </w:rPr>
            </w:pP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资产总额(Z)</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Z≥120000</w:t>
            </w:r>
          </w:p>
        </w:tc>
        <w:tc>
          <w:tcPr>
            <w:tcW w:w="1701"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8000≤Z＜120000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100≤Z＜8000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pPr>
              <w:widowControl/>
              <w:spacing w:line="280" w:lineRule="exact"/>
              <w:jc w:val="left"/>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其他未列明行业 *</w:t>
            </w:r>
          </w:p>
        </w:tc>
        <w:tc>
          <w:tcPr>
            <w:tcW w:w="136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vAlign w:val="center"/>
          </w:tcPr>
          <w:p>
            <w:pPr>
              <w:widowControl/>
              <w:spacing w:line="280" w:lineRule="exact"/>
              <w:ind w:left="1" w:hanging="108"/>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1426"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vAlign w:val="center"/>
          </w:tcPr>
          <w:p>
            <w:pPr>
              <w:widowControl/>
              <w:spacing w:line="280" w:lineRule="exact"/>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bl>
    <w:p>
      <w:pPr>
        <w:widowControl/>
        <w:spacing w:line="280" w:lineRule="exact"/>
        <w:rPr>
          <w:rFonts w:ascii="宋体" w:hAnsi="宋体" w:eastAsia="宋体" w:cs="宋体"/>
          <w:color w:val="auto"/>
          <w:spacing w:val="8"/>
          <w:sz w:val="24"/>
          <w:highlight w:val="none"/>
        </w:rPr>
      </w:pPr>
    </w:p>
    <w:p>
      <w:pPr>
        <w:widowControl/>
        <w:spacing w:line="360" w:lineRule="auto"/>
        <w:rPr>
          <w:rFonts w:ascii="宋体" w:hAnsi="宋体" w:eastAsia="宋体" w:cs="宋体"/>
          <w:color w:val="auto"/>
          <w:spacing w:val="8"/>
          <w:szCs w:val="21"/>
          <w:highlight w:val="none"/>
        </w:rPr>
      </w:pPr>
      <w:r>
        <w:rPr>
          <w:rFonts w:hint="eastAsia" w:ascii="宋体" w:hAnsi="宋体" w:eastAsia="宋体" w:cs="宋体"/>
          <w:color w:val="auto"/>
          <w:spacing w:val="8"/>
          <w:szCs w:val="21"/>
          <w:highlight w:val="none"/>
        </w:rPr>
        <w:t>说明：</w:t>
      </w:r>
    </w:p>
    <w:p>
      <w:pPr>
        <w:pStyle w:val="23"/>
        <w:spacing w:line="360" w:lineRule="auto"/>
        <w:ind w:firstLine="452"/>
        <w:contextualSpacing/>
        <w:rPr>
          <w:rFonts w:hAnsi="宋体" w:cs="宋体"/>
          <w:color w:val="auto"/>
          <w:spacing w:val="8"/>
          <w:sz w:val="21"/>
          <w:highlight w:val="none"/>
        </w:rPr>
      </w:pPr>
      <w:r>
        <w:rPr>
          <w:rFonts w:hint="eastAsia" w:hAnsi="宋体" w:cs="宋体"/>
          <w:color w:val="auto"/>
          <w:spacing w:val="8"/>
          <w:sz w:val="21"/>
          <w:highlight w:val="none"/>
        </w:rPr>
        <w:t>1.大型、中型和小型企业须同时满足所列指标的下限，否则下划一档；微型企业只须满足所列指标中的一项即可。</w:t>
      </w:r>
    </w:p>
    <w:p>
      <w:pPr>
        <w:pStyle w:val="23"/>
        <w:spacing w:line="360" w:lineRule="auto"/>
        <w:ind w:firstLine="452"/>
        <w:contextualSpacing/>
        <w:rPr>
          <w:rFonts w:hAnsi="宋体" w:cs="宋体"/>
          <w:color w:val="auto"/>
          <w:spacing w:val="8"/>
          <w:sz w:val="21"/>
          <w:highlight w:val="none"/>
        </w:rPr>
      </w:pPr>
      <w:r>
        <w:rPr>
          <w:rFonts w:hint="eastAsia" w:hAnsi="宋体" w:cs="宋体"/>
          <w:color w:val="auto"/>
          <w:spacing w:val="8"/>
          <w:sz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23"/>
        <w:spacing w:line="360" w:lineRule="auto"/>
        <w:ind w:firstLine="452"/>
        <w:rPr>
          <w:rFonts w:hAnsi="宋体" w:cs="宋体"/>
          <w:color w:val="auto"/>
          <w:spacing w:val="8"/>
          <w:sz w:val="21"/>
          <w:highlight w:val="none"/>
        </w:rPr>
      </w:pPr>
      <w:r>
        <w:rPr>
          <w:rFonts w:hint="eastAsia" w:hAnsi="宋体" w:cs="宋体"/>
          <w:color w:val="auto"/>
          <w:spacing w:val="8"/>
          <w:sz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hint="eastAsia" w:ascii="宋体" w:hAnsi="宋体" w:cs="宋体"/>
          <w:color w:val="auto"/>
          <w:sz w:val="32"/>
          <w:szCs w:val="32"/>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highlight w:val="none"/>
        </w:rPr>
      </w:pPr>
      <w:r>
        <w:rPr>
          <w:rFonts w:hint="eastAsia" w:ascii="宋体" w:hAnsi="宋体" w:cs="宋体"/>
          <w:color w:val="auto"/>
          <w:sz w:val="32"/>
          <w:szCs w:val="32"/>
          <w:highlight w:val="none"/>
        </w:rPr>
        <w:t>附件3</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jc w:val="center"/>
        <w:rPr>
          <w:rFonts w:ascii="宋体" w:hAnsi="宋体" w:cs="宋体"/>
          <w:b/>
          <w:color w:val="auto"/>
          <w:sz w:val="30"/>
          <w:szCs w:val="30"/>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jc w:val="center"/>
        <w:rPr>
          <w:rFonts w:ascii="宋体" w:hAnsi="宋体" w:cs="宋体"/>
          <w:color w:val="auto"/>
          <w:highlight w:val="none"/>
        </w:rPr>
      </w:pPr>
      <w:r>
        <w:rPr>
          <w:rFonts w:hint="eastAsia" w:ascii="宋体" w:hAnsi="宋体" w:cs="宋体"/>
          <w:b/>
          <w:color w:val="auto"/>
          <w:sz w:val="30"/>
          <w:szCs w:val="30"/>
          <w:highlight w:val="none"/>
        </w:rPr>
        <w:t>中国境内生产的组件成本核算基本规则</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一、产品的一级组件是指直接组成产品的组件。产品的二级组件是指直接组成产品一级组件的组件。一级组件不可分解的，视同二级组件。</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二、二级组件在中国境内生产的，其全部成本计入中国境内生产的组件成本；二级组件不在中国境内生产的，其成本不计入中国境内生产的组件成本。</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三、产品总成本和组件成本以相关会计核算数据、采购合同、进货记录等为基础进行计算。</w:t>
      </w:r>
    </w:p>
    <w:p>
      <w:pPr>
        <w:keepNext/>
        <w:keepLines/>
        <w:spacing w:before="340" w:after="330" w:line="360" w:lineRule="auto"/>
        <w:ind w:firstLine="420"/>
        <w:jc w:val="center"/>
        <w:outlineLvl w:val="0"/>
        <w:rPr>
          <w:rFonts w:ascii="宋体" w:hAnsi="宋体" w:eastAsia="宋体" w:cs="宋体"/>
          <w:b/>
          <w:bCs/>
          <w:color w:val="auto"/>
          <w:sz w:val="44"/>
          <w:szCs w:val="44"/>
          <w:highlight w:val="none"/>
          <w:lang w:val="zh-CN"/>
        </w:rPr>
      </w:pPr>
      <w:r>
        <w:rPr>
          <w:rFonts w:hint="eastAsia" w:ascii="宋体" w:hAnsi="宋体" w:eastAsia="宋体" w:cs="宋体"/>
          <w:color w:val="auto"/>
          <w:szCs w:val="21"/>
          <w:highlight w:val="none"/>
        </w:rPr>
        <w:t>四、需要对成本核算规则予以进一步明确的其他有关事项，由财政部会同有关部门另行规定。</w:t>
      </w:r>
      <w:r>
        <w:rPr>
          <w:rFonts w:hint="eastAsia" w:ascii="宋体" w:hAnsi="宋体" w:eastAsia="宋体" w:cs="宋体"/>
          <w:color w:val="auto"/>
          <w:szCs w:val="21"/>
          <w:highlight w:val="none"/>
        </w:rPr>
        <w:br w:type="page" w:clear="all"/>
      </w:r>
      <w:bookmarkStart w:id="57" w:name="_Toc25569"/>
      <w:bookmarkStart w:id="58" w:name="_Toc9409"/>
      <w:bookmarkStart w:id="59" w:name="_Toc10873"/>
      <w:bookmarkStart w:id="60" w:name="_Toc16363"/>
      <w:bookmarkStart w:id="61" w:name="_Toc2044"/>
      <w:bookmarkStart w:id="62" w:name="_Toc382"/>
      <w:bookmarkStart w:id="63" w:name="_Toc1222"/>
      <w:r>
        <w:rPr>
          <w:rFonts w:hint="eastAsia" w:ascii="宋体" w:hAnsi="宋体" w:eastAsia="宋体" w:cs="宋体"/>
          <w:b/>
          <w:color w:val="auto"/>
          <w:sz w:val="32"/>
          <w:szCs w:val="32"/>
          <w:highlight w:val="none"/>
          <w:lang w:val="zh-CN"/>
        </w:rPr>
        <w:t>第三章 供应商须知</w:t>
      </w:r>
      <w:bookmarkEnd w:id="55"/>
      <w:bookmarkEnd w:id="56"/>
      <w:bookmarkEnd w:id="57"/>
      <w:bookmarkEnd w:id="58"/>
      <w:bookmarkEnd w:id="59"/>
      <w:bookmarkEnd w:id="60"/>
      <w:bookmarkEnd w:id="61"/>
      <w:bookmarkEnd w:id="62"/>
      <w:bookmarkEnd w:id="63"/>
    </w:p>
    <w:p>
      <w:pPr>
        <w:keepNext/>
        <w:keepLines/>
        <w:spacing w:before="260" w:after="260" w:line="416" w:lineRule="auto"/>
        <w:jc w:val="center"/>
        <w:outlineLvl w:val="1"/>
        <w:rPr>
          <w:rFonts w:ascii="宋体" w:hAnsi="宋体" w:eastAsia="宋体" w:cs="宋体"/>
          <w:b/>
          <w:color w:val="auto"/>
          <w:sz w:val="32"/>
          <w:szCs w:val="32"/>
          <w:highlight w:val="none"/>
        </w:rPr>
      </w:pPr>
      <w:bookmarkStart w:id="64" w:name="_Toc80205923"/>
      <w:bookmarkStart w:id="65" w:name="_Toc10590"/>
      <w:bookmarkStart w:id="66" w:name="_Toc28658"/>
      <w:r>
        <w:rPr>
          <w:rFonts w:hint="eastAsia" w:ascii="宋体" w:hAnsi="宋体" w:eastAsia="宋体" w:cs="宋体"/>
          <w:bCs/>
          <w:color w:val="auto"/>
          <w:sz w:val="32"/>
          <w:szCs w:val="32"/>
          <w:highlight w:val="none"/>
          <w:lang w:val="zh-CN"/>
        </w:rPr>
        <w:t>第一节 供应商须知前附表</w:t>
      </w:r>
      <w:bookmarkEnd w:id="64"/>
      <w:bookmarkEnd w:id="65"/>
      <w:bookmarkEnd w:id="66"/>
    </w:p>
    <w:tbl>
      <w:tblPr>
        <w:tblStyle w:val="44"/>
        <w:tblW w:w="99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2382"/>
        <w:gridCol w:w="65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382" w:type="dxa"/>
            <w:vAlign w:val="center"/>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586" w:type="dxa"/>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tcPr>
          <w:p>
            <w:pPr>
              <w:spacing w:line="360" w:lineRule="auto"/>
              <w:jc w:val="center"/>
              <w:rPr>
                <w:rFonts w:ascii="宋体" w:hAnsi="宋体" w:eastAsia="宋体" w:cs="宋体"/>
                <w:color w:val="auto"/>
                <w:szCs w:val="21"/>
                <w:highlight w:val="none"/>
              </w:rPr>
            </w:pPr>
          </w:p>
          <w:p>
            <w:pPr>
              <w:spacing w:line="360" w:lineRule="auto"/>
              <w:jc w:val="center"/>
              <w:rPr>
                <w:rFonts w:ascii="宋体" w:hAnsi="宋体" w:eastAsia="宋体" w:cs="宋体"/>
                <w:b/>
                <w:color w:val="auto"/>
                <w:szCs w:val="21"/>
                <w:highlight w:val="none"/>
              </w:rPr>
            </w:pPr>
            <w:r>
              <w:rPr>
                <w:rFonts w:hint="eastAsia" w:ascii="宋体" w:hAnsi="宋体" w:eastAsia="宋体" w:cs="宋体"/>
                <w:color w:val="auto"/>
                <w:szCs w:val="21"/>
                <w:highlight w:val="none"/>
              </w:rPr>
              <w:t>2.9</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实质性要求</w:t>
            </w:r>
          </w:p>
        </w:tc>
        <w:tc>
          <w:tcPr>
            <w:tcW w:w="6586" w:type="dxa"/>
          </w:tcPr>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指竞争性谈判文件中已经指明不提供或不满足则响应文件作无效响应处理的条款，或者采购需求及响应文件格式中带“▲”的条款。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586" w:type="dxa"/>
          </w:tcPr>
          <w:p>
            <w:pPr>
              <w:spacing w:line="360" w:lineRule="auto"/>
              <w:rPr>
                <w:rFonts w:ascii="宋体" w:hAnsi="宋体" w:eastAsia="宋体" w:cs="宋体"/>
                <w:b/>
                <w:color w:val="auto"/>
                <w:szCs w:val="21"/>
                <w:highlight w:val="none"/>
              </w:rPr>
            </w:pPr>
            <w:r>
              <w:rPr>
                <w:rFonts w:hint="eastAsia" w:ascii="宋体" w:hAnsi="宋体" w:eastAsia="宋体" w:cs="宋体"/>
                <w:color w:val="auto"/>
                <w:szCs w:val="21"/>
                <w:highlight w:val="none"/>
              </w:rPr>
              <w:t xml:space="preserve">供应商资格条件要求详见竞争性谈判公告。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586" w:type="dxa"/>
            <w:vAlign w:val="center"/>
          </w:tcPr>
          <w:p>
            <w:pPr>
              <w:spacing w:line="360" w:lineRule="auto"/>
              <w:rPr>
                <w:rFonts w:ascii="宋体" w:hAnsi="宋体" w:eastAsia="宋体" w:cs="宋体"/>
                <w:color w:val="auto"/>
                <w:szCs w:val="21"/>
                <w:highlight w:val="none"/>
              </w:rPr>
            </w:pPr>
            <w:bookmarkStart w:id="67" w:name="PO_3000001871_PM007_1"/>
            <w:r>
              <w:rPr>
                <w:rFonts w:hint="eastAsia" w:ascii="宋体" w:hAnsi="宋体" w:eastAsia="宋体" w:cs="宋体"/>
                <w:color w:val="auto"/>
                <w:szCs w:val="21"/>
                <w:highlight w:val="none"/>
              </w:rPr>
              <w:t>详见竞争性谈判公告</w:t>
            </w:r>
            <w:bookmarkEnd w:id="67"/>
            <w:r>
              <w:rPr>
                <w:rFonts w:hint="eastAsia" w:ascii="宋体" w:hAnsi="宋体" w:eastAsia="宋体" w:cs="宋体"/>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586" w:type="dxa"/>
            <w:vAlign w:val="center"/>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不接受联合体。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6.2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586" w:type="dxa"/>
            <w:vAlign w:val="center"/>
          </w:tcPr>
          <w:p>
            <w:pPr>
              <w:spacing w:line="360" w:lineRule="auto"/>
              <w:jc w:val="left"/>
              <w:rPr>
                <w:rFonts w:ascii="宋体" w:hAnsi="宋体" w:eastAsia="宋体" w:cs="宋体"/>
                <w:color w:val="auto"/>
                <w:szCs w:val="21"/>
                <w:highlight w:val="none"/>
              </w:rPr>
            </w:pPr>
            <w:bookmarkStart w:id="68" w:name="PO_3000001871_PM044"/>
            <w:r>
              <w:rPr>
                <w:rFonts w:hint="eastAsia" w:ascii="宋体" w:hAnsi="宋体" w:eastAsia="宋体" w:cs="宋体"/>
                <w:color w:val="auto"/>
                <w:highlight w:val="none"/>
              </w:rPr>
              <w:t>☑</w:t>
            </w:r>
            <w:r>
              <w:rPr>
                <w:rFonts w:hint="eastAsia" w:ascii="宋体" w:hAnsi="宋体" w:eastAsia="宋体" w:cs="宋体"/>
                <w:color w:val="auto"/>
                <w:szCs w:val="21"/>
                <w:highlight w:val="none"/>
              </w:rPr>
              <w:t>不允许分包</w:t>
            </w:r>
            <w:bookmarkEnd w:id="68"/>
          </w:p>
          <w:p>
            <w:pPr>
              <w:pStyle w:val="16"/>
              <w:spacing w:line="360" w:lineRule="auto"/>
              <w:rPr>
                <w:rFonts w:ascii="宋体" w:hAnsi="宋体" w:cs="宋体"/>
                <w:color w:val="auto"/>
                <w:highlight w:val="none"/>
                <w:lang w:val="en-US"/>
              </w:rPr>
            </w:pPr>
            <w:r>
              <w:rPr>
                <w:rFonts w:hint="eastAsia" w:ascii="宋体" w:hAnsi="宋体" w:cs="宋体"/>
                <w:color w:val="auto"/>
                <w:highlight w:val="none"/>
                <w:lang w:val="en-US"/>
              </w:rPr>
              <w:t>□允许分包</w:t>
            </w:r>
          </w:p>
          <w:p>
            <w:pPr>
              <w:spacing w:line="360" w:lineRule="auto"/>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分包内容：</w:t>
            </w:r>
            <w:r>
              <w:rPr>
                <w:rFonts w:hint="eastAsia" w:ascii="宋体" w:hAnsi="宋体" w:eastAsia="宋体" w:cs="宋体"/>
                <w:color w:val="auto"/>
                <w:szCs w:val="21"/>
                <w:highlight w:val="none"/>
                <w:u w:val="single"/>
              </w:rPr>
              <w:t xml:space="preserve">                                     。</w:t>
            </w:r>
          </w:p>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分包金额或者比例：</w:t>
            </w:r>
            <w:r>
              <w:rPr>
                <w:rFonts w:hint="eastAsia" w:ascii="宋体" w:hAnsi="宋体" w:eastAsia="宋体" w:cs="宋体"/>
                <w:color w:val="auto"/>
                <w:szCs w:val="21"/>
                <w:highlight w:val="none"/>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382" w:type="dxa"/>
            <w:vAlign w:val="center"/>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资格文件组成</w:t>
            </w:r>
          </w:p>
          <w:p>
            <w:pPr>
              <w:spacing w:line="360" w:lineRule="auto"/>
              <w:jc w:val="center"/>
              <w:rPr>
                <w:rFonts w:ascii="宋体" w:hAnsi="宋体" w:eastAsia="宋体" w:cs="宋体"/>
                <w:color w:val="auto"/>
                <w:szCs w:val="21"/>
                <w:highlight w:val="none"/>
              </w:rPr>
            </w:pPr>
          </w:p>
        </w:tc>
        <w:tc>
          <w:tcPr>
            <w:tcW w:w="6586" w:type="dxa"/>
            <w:vAlign w:val="center"/>
          </w:tcPr>
          <w:p>
            <w:pPr>
              <w:spacing w:line="360" w:lineRule="auto"/>
              <w:jc w:val="left"/>
              <w:rPr>
                <w:rFonts w:ascii="宋体" w:hAnsi="宋体" w:eastAsia="宋体" w:cs="宋体"/>
                <w:color w:val="auto"/>
                <w:szCs w:val="21"/>
                <w:highlight w:val="none"/>
              </w:rPr>
            </w:pPr>
            <w:r>
              <w:rPr>
                <w:rFonts w:hint="eastAsia" w:ascii="宋体" w:hAnsi="宋体" w:eastAsia="宋体" w:cs="宋体"/>
                <w:color w:val="auto"/>
                <w:highlight w:val="none"/>
              </w:rPr>
              <w:t>1.供应商为法人或者其他组织的，提供营业执照等证明文件复印件（如营业执照或者事业单位法人证书或者执业许可证等），供应商为自然人的，提供有效身份证正反面复印件；银行、保险、石油石化、电力、电信等有行业特殊情况的，法人的分支机构经法人授权后可以分支机构的身份参加政府采购。如供应商为分支机构的，必须在响应文件中同时提供经法人授权供应商以分支机构名义参加竞标的</w:t>
            </w:r>
            <w:r>
              <w:rPr>
                <w:rFonts w:hint="eastAsia" w:ascii="宋体" w:hAnsi="宋体" w:eastAsia="宋体" w:cs="宋体"/>
                <w:color w:val="auto"/>
                <w:szCs w:val="21"/>
                <w:highlight w:val="none"/>
              </w:rPr>
              <w:t>授权委托书、法人营业执照及分支机构营业执照的复印件</w:t>
            </w:r>
            <w:r>
              <w:rPr>
                <w:rFonts w:hint="eastAsia" w:ascii="宋体" w:hAnsi="宋体" w:eastAsia="宋体" w:cs="宋体"/>
                <w:color w:val="auto"/>
                <w:highlight w:val="none"/>
              </w:rPr>
              <w:t>。</w:t>
            </w:r>
            <w:r>
              <w:rPr>
                <w:rFonts w:hint="eastAsia" w:ascii="宋体" w:hAnsi="宋体" w:eastAsia="宋体" w:cs="宋体"/>
                <w:b/>
                <w:bCs/>
                <w:color w:val="auto"/>
                <w:highlight w:val="none"/>
              </w:rPr>
              <w:t>（必须提供，否则作无效响应处理）</w:t>
            </w:r>
          </w:p>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2.供应商依法缴纳税收的相关材料（提供税款所属时期为</w:t>
            </w:r>
            <w:r>
              <w:rPr>
                <w:rFonts w:hint="eastAsia" w:ascii="宋体" w:hAnsi="宋体" w:eastAsia="宋体" w:cs="宋体"/>
                <w:color w:val="auto"/>
                <w:szCs w:val="21"/>
                <w:highlight w:val="none"/>
                <w:u w:val="single"/>
              </w:rPr>
              <w:t xml:space="preserve"> 2025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12 </w:t>
            </w:r>
            <w:r>
              <w:rPr>
                <w:rFonts w:hint="eastAsia" w:ascii="宋体" w:hAnsi="宋体" w:eastAsia="宋体" w:cs="宋体"/>
                <w:color w:val="auto"/>
                <w:szCs w:val="21"/>
                <w:highlight w:val="none"/>
              </w:rPr>
              <w:t>月至首次响应文件提交截止时间止的任意</w:t>
            </w:r>
            <w:r>
              <w:rPr>
                <w:rFonts w:hint="eastAsia" w:ascii="宋体" w:hAnsi="宋体" w:eastAsia="宋体" w:cs="宋体"/>
                <w:color w:val="auto"/>
                <w:szCs w:val="21"/>
                <w:highlight w:val="none"/>
                <w:u w:val="single"/>
              </w:rPr>
              <w:t xml:space="preserve"> 3 </w:t>
            </w:r>
            <w:r>
              <w:rPr>
                <w:rFonts w:hint="eastAsia" w:ascii="宋体" w:hAnsi="宋体" w:eastAsia="宋体" w:cs="宋体"/>
                <w:color w:val="auto"/>
                <w:szCs w:val="21"/>
                <w:highlight w:val="none"/>
              </w:rPr>
              <w:t>个月的依法缴纳税收的凭据复印件；</w:t>
            </w:r>
            <w:r>
              <w:rPr>
                <w:rFonts w:hint="eastAsia" w:ascii="宋体" w:hAnsi="宋体" w:eastAsia="宋体" w:cs="宋体"/>
                <w:color w:val="auto"/>
                <w:highlight w:val="none"/>
              </w:rPr>
              <w:t>依法免税的</w:t>
            </w:r>
            <w:r>
              <w:rPr>
                <w:rFonts w:hint="eastAsia" w:ascii="宋体" w:hAnsi="宋体" w:eastAsia="宋体" w:cs="宋体"/>
                <w:color w:val="auto"/>
                <w:szCs w:val="21"/>
                <w:highlight w:val="none"/>
              </w:rPr>
              <w:t>供应商</w:t>
            </w:r>
            <w:r>
              <w:rPr>
                <w:rFonts w:hint="eastAsia" w:ascii="宋体" w:hAnsi="宋体" w:eastAsia="宋体" w:cs="宋体"/>
                <w:color w:val="auto"/>
                <w:highlight w:val="none"/>
              </w:rPr>
              <w:t>，必须提供相应文件证明其依法免税。</w:t>
            </w:r>
            <w:r>
              <w:rPr>
                <w:rFonts w:hint="eastAsia" w:ascii="宋体" w:hAnsi="宋体" w:eastAsia="宋体" w:cs="宋体"/>
                <w:color w:val="auto"/>
                <w:szCs w:val="21"/>
                <w:highlight w:val="none"/>
              </w:rPr>
              <w:t>从取得营业执照时间起到首次响应文件提交截止时间为止不足要求月数的，只需提供从取得营业执照起的依法缴纳税收</w:t>
            </w:r>
            <w:r>
              <w:rPr>
                <w:rFonts w:hint="eastAsia" w:ascii="宋体" w:hAnsi="宋体" w:eastAsia="宋体" w:cs="宋体"/>
                <w:color w:val="auto"/>
                <w:highlight w:val="none"/>
              </w:rPr>
              <w:t>相应证明文件</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3.供应商依法缴纳社会保障资金的相关材料（提供税款所属时期或缴费起始时间为</w:t>
            </w:r>
            <w:r>
              <w:rPr>
                <w:rFonts w:hint="eastAsia" w:ascii="宋体" w:hAnsi="宋体" w:eastAsia="宋体" w:cs="宋体"/>
                <w:color w:val="auto"/>
                <w:szCs w:val="21"/>
                <w:highlight w:val="none"/>
                <w:u w:val="single"/>
              </w:rPr>
              <w:t xml:space="preserve"> 2025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12 </w:t>
            </w:r>
            <w:r>
              <w:rPr>
                <w:rFonts w:hint="eastAsia" w:ascii="宋体" w:hAnsi="宋体" w:eastAsia="宋体" w:cs="宋体"/>
                <w:color w:val="auto"/>
                <w:szCs w:val="21"/>
                <w:highlight w:val="none"/>
              </w:rPr>
              <w:t>月至首次响应文件提交截止时间止的任意</w:t>
            </w:r>
            <w:r>
              <w:rPr>
                <w:rFonts w:hint="eastAsia" w:ascii="宋体" w:hAnsi="宋体" w:eastAsia="宋体" w:cs="宋体"/>
                <w:color w:val="auto"/>
                <w:szCs w:val="21"/>
                <w:highlight w:val="none"/>
                <w:u w:val="single"/>
              </w:rPr>
              <w:t xml:space="preserve">3 </w:t>
            </w:r>
            <w:r>
              <w:rPr>
                <w:rFonts w:hint="eastAsia" w:ascii="宋体" w:hAnsi="宋体" w:eastAsia="宋体" w:cs="宋体"/>
                <w:color w:val="auto"/>
                <w:szCs w:val="21"/>
                <w:highlight w:val="none"/>
              </w:rPr>
              <w:t>个月的依法缴纳社会保障资金的缴费凭证复印件；</w:t>
            </w:r>
            <w:r>
              <w:rPr>
                <w:rFonts w:hint="eastAsia" w:ascii="宋体" w:hAnsi="宋体" w:eastAsia="宋体" w:cs="宋体"/>
                <w:color w:val="auto"/>
                <w:highlight w:val="none"/>
              </w:rPr>
              <w:t>依法不需要缴纳社会保障资金的</w:t>
            </w:r>
            <w:r>
              <w:rPr>
                <w:rFonts w:hint="eastAsia" w:ascii="宋体" w:hAnsi="宋体" w:eastAsia="宋体" w:cs="宋体"/>
                <w:color w:val="auto"/>
                <w:szCs w:val="21"/>
                <w:highlight w:val="none"/>
              </w:rPr>
              <w:t>供应商</w:t>
            </w:r>
            <w:r>
              <w:rPr>
                <w:rFonts w:hint="eastAsia" w:ascii="宋体" w:hAnsi="宋体" w:eastAsia="宋体" w:cs="宋体"/>
                <w:color w:val="auto"/>
                <w:highlight w:val="none"/>
              </w:rPr>
              <w:t>，必须提供相应文件证明不需要缴纳社会保障资金。</w:t>
            </w:r>
            <w:r>
              <w:rPr>
                <w:rFonts w:hint="eastAsia" w:ascii="宋体" w:hAnsi="宋体" w:eastAsia="宋体" w:cs="宋体"/>
                <w:color w:val="auto"/>
                <w:szCs w:val="21"/>
                <w:highlight w:val="none"/>
              </w:rPr>
              <w:t>从取得营业执照时间起到首次响应文件提交截止时间为止不足要求月数的只需提供从取得营业执照起的依法缴纳社会保障资金的</w:t>
            </w:r>
            <w:r>
              <w:rPr>
                <w:rFonts w:hint="eastAsia" w:ascii="宋体" w:hAnsi="宋体" w:eastAsia="宋体" w:cs="宋体"/>
                <w:color w:val="auto"/>
                <w:highlight w:val="none"/>
              </w:rPr>
              <w:t>相应证明文件</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pacing w:line="360" w:lineRule="auto"/>
              <w:jc w:val="left"/>
              <w:rPr>
                <w:rFonts w:ascii="宋体" w:hAnsi="宋体" w:eastAsia="宋体" w:cs="宋体"/>
                <w:bCs/>
                <w:color w:val="auto"/>
                <w:szCs w:val="21"/>
                <w:highlight w:val="none"/>
              </w:rPr>
            </w:pPr>
            <w:r>
              <w:rPr>
                <w:rFonts w:hint="eastAsia" w:ascii="宋体" w:hAnsi="宋体" w:eastAsia="宋体" w:cs="宋体"/>
                <w:color w:val="auto"/>
                <w:szCs w:val="21"/>
                <w:highlight w:val="none"/>
              </w:rPr>
              <w:t>4.供应商财务状况报告（提供</w:t>
            </w:r>
            <w:r>
              <w:rPr>
                <w:rFonts w:hint="eastAsia" w:ascii="宋体" w:hAnsi="宋体" w:eastAsia="宋体" w:cs="宋体"/>
                <w:color w:val="auto"/>
                <w:szCs w:val="21"/>
                <w:highlight w:val="none"/>
                <w:u w:val="single"/>
              </w:rPr>
              <w:t xml:space="preserve"> 2025 </w:t>
            </w:r>
            <w:r>
              <w:rPr>
                <w:rFonts w:hint="eastAsia" w:ascii="宋体" w:hAnsi="宋体" w:eastAsia="宋体" w:cs="宋体"/>
                <w:color w:val="auto"/>
                <w:szCs w:val="21"/>
                <w:highlight w:val="none"/>
              </w:rPr>
              <w:t>年度经审计的财务报告复印件或者首次响应文件提交截止时间前半年内至少一个月能反映财务状况的报表或者供应商自拟的首次响应文件提交截止前半年内至少一个月的财务情况说明）；</w:t>
            </w:r>
            <w:r>
              <w:rPr>
                <w:rFonts w:hint="eastAsia" w:ascii="宋体" w:hAnsi="宋体" w:eastAsia="宋体" w:cs="宋体"/>
                <w:bCs/>
                <w:color w:val="auto"/>
                <w:szCs w:val="21"/>
                <w:highlight w:val="none"/>
              </w:rPr>
              <w:t>（</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bCs/>
                <w:color w:val="auto"/>
                <w:szCs w:val="21"/>
                <w:highlight w:val="none"/>
              </w:rPr>
              <w:t>）</w:t>
            </w:r>
          </w:p>
          <w:p>
            <w:pPr>
              <w:pStyle w:val="16"/>
              <w:spacing w:line="360" w:lineRule="auto"/>
              <w:rPr>
                <w:rFonts w:ascii="宋体" w:hAnsi="宋体" w:cs="宋体"/>
                <w:color w:val="auto"/>
                <w:szCs w:val="21"/>
                <w:highlight w:val="none"/>
              </w:rPr>
            </w:pPr>
            <w:r>
              <w:rPr>
                <w:rFonts w:hint="eastAsia" w:ascii="宋体" w:hAnsi="宋体" w:cs="宋体"/>
                <w:color w:val="auto"/>
                <w:szCs w:val="21"/>
                <w:highlight w:val="none"/>
                <w:lang w:val="en-US"/>
              </w:rPr>
              <w:t>5.</w:t>
            </w:r>
            <w:r>
              <w:rPr>
                <w:rFonts w:hint="eastAsia" w:ascii="宋体" w:hAnsi="宋体" w:cs="宋体"/>
                <w:color w:val="auto"/>
                <w:szCs w:val="21"/>
                <w:highlight w:val="none"/>
              </w:rPr>
              <w:t>本项目的特定资格要求：</w:t>
            </w:r>
            <w:r>
              <w:rPr>
                <w:rFonts w:hint="eastAsia" w:ascii="宋体" w:hAnsi="宋体" w:cs="宋体"/>
                <w:color w:val="auto"/>
                <w:szCs w:val="21"/>
                <w:highlight w:val="none"/>
                <w:lang w:val="en-US" w:eastAsia="zh-CN"/>
              </w:rPr>
              <w:t>供应商</w:t>
            </w:r>
            <w:r>
              <w:rPr>
                <w:rFonts w:hint="eastAsia" w:ascii="宋体" w:hAnsi="宋体" w:eastAsia="宋体" w:cs="宋体"/>
                <w:color w:val="auto"/>
                <w:szCs w:val="21"/>
                <w:highlight w:val="none"/>
              </w:rPr>
              <w:t>须具备有效的第三类医疗器械经营许可证（必须在首次</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文件中提供相应有效的证书复印件），且其经营范围必须包含本项目采购的第三类医疗器械产品；或</w:t>
            </w:r>
            <w:r>
              <w:rPr>
                <w:rFonts w:hint="eastAsia" w:ascii="宋体" w:hAnsi="宋体" w:cs="宋体"/>
                <w:color w:val="auto"/>
                <w:szCs w:val="21"/>
                <w:highlight w:val="none"/>
                <w:lang w:val="en-US" w:eastAsia="zh-CN"/>
              </w:rPr>
              <w:t>供应商</w:t>
            </w:r>
            <w:r>
              <w:rPr>
                <w:rFonts w:hint="eastAsia" w:ascii="宋体" w:hAnsi="宋体" w:eastAsia="宋体" w:cs="宋体"/>
                <w:color w:val="auto"/>
                <w:szCs w:val="21"/>
                <w:highlight w:val="none"/>
              </w:rPr>
              <w:t>为符合国家现行《医疗器械监督管理条例》第四十三条规定的注册人的，则必须在首次</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文件中提供本项目采购的第三类医疗器械产品有效的医疗器械注册证复印件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必须提供，否则响应文件作无效响应处理</w:t>
            </w:r>
            <w:r>
              <w:rPr>
                <w:rFonts w:hint="eastAsia" w:ascii="宋体" w:hAnsi="宋体" w:cs="宋体"/>
                <w:color w:val="auto"/>
                <w:szCs w:val="21"/>
                <w:highlight w:val="none"/>
              </w:rPr>
              <w:t>）</w:t>
            </w:r>
          </w:p>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6.供应商直接控股股东信息表（格式后附）。（</w:t>
            </w:r>
            <w:r>
              <w:rPr>
                <w:rFonts w:hint="eastAsia" w:ascii="宋体" w:hAnsi="宋体" w:eastAsia="宋体" w:cs="宋体"/>
                <w:b/>
                <w:color w:val="auto"/>
                <w:szCs w:val="21"/>
                <w:highlight w:val="none"/>
              </w:rPr>
              <w:t>必须提供，否则作无效响应处理</w:t>
            </w:r>
            <w:r>
              <w:rPr>
                <w:rFonts w:hint="eastAsia" w:ascii="宋体" w:hAnsi="宋体" w:eastAsia="宋体" w:cs="宋体"/>
                <w:color w:val="auto"/>
                <w:szCs w:val="21"/>
                <w:highlight w:val="none"/>
              </w:rPr>
              <w:t>）</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7.供应商直接管理关系信息表（格式后附）。（</w:t>
            </w:r>
            <w:r>
              <w:rPr>
                <w:rFonts w:hint="eastAsia" w:ascii="宋体" w:hAnsi="宋体" w:eastAsia="宋体" w:cs="宋体"/>
                <w:b/>
                <w:color w:val="auto"/>
                <w:szCs w:val="21"/>
                <w:highlight w:val="none"/>
              </w:rPr>
              <w:t>必须提供，否则作无效响应处理</w:t>
            </w:r>
            <w:r>
              <w:rPr>
                <w:rFonts w:hint="eastAsia" w:ascii="宋体" w:hAnsi="宋体" w:eastAsia="宋体" w:cs="宋体"/>
                <w:color w:val="auto"/>
                <w:szCs w:val="21"/>
                <w:highlight w:val="none"/>
              </w:rPr>
              <w:t>）</w:t>
            </w:r>
          </w:p>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8.声明函（格式后附）；（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9.联合体竞标协议书（格式后附）；（</w:t>
            </w:r>
            <w:r>
              <w:rPr>
                <w:rFonts w:hint="eastAsia" w:ascii="宋体" w:hAnsi="宋体" w:eastAsia="宋体" w:cs="宋体"/>
                <w:b/>
                <w:color w:val="auto"/>
                <w:szCs w:val="21"/>
                <w:highlight w:val="none"/>
              </w:rPr>
              <w:t>联合体竞标时必须提供，否则响应文件作无效响应处理</w:t>
            </w:r>
            <w:r>
              <w:rPr>
                <w:rFonts w:hint="eastAsia" w:ascii="宋体" w:hAnsi="宋体" w:eastAsia="宋体" w:cs="宋体"/>
                <w:color w:val="auto"/>
                <w:szCs w:val="21"/>
                <w:highlight w:val="none"/>
              </w:rPr>
              <w:t>）</w:t>
            </w:r>
          </w:p>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10.除谈判文件规定必须提供以外，供应商认为需要提供的其他证明材料（格式自拟）。</w:t>
            </w:r>
          </w:p>
          <w:p>
            <w:pPr>
              <w:spacing w:line="360" w:lineRule="auto"/>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注：</w:t>
            </w:r>
          </w:p>
          <w:p>
            <w:pPr>
              <w:spacing w:line="360" w:lineRule="auto"/>
              <w:ind w:firstLine="413"/>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1.以上标明“必须提供”的材料属于复印件的扫描件的，必须加盖供应商公章，否则响应文件作无效响应处理。</w:t>
            </w:r>
          </w:p>
          <w:p>
            <w:pPr>
              <w:spacing w:line="360" w:lineRule="auto"/>
              <w:ind w:firstLine="422"/>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2.联合体竞标时，第1-7项资格文件联合体各方均必须分别提供，联合体各方分别盖章，否则响应文件作无效响应处理。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382" w:type="dxa"/>
            <w:vAlign w:val="center"/>
          </w:tcPr>
          <w:p>
            <w:pPr>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586" w:type="dxa"/>
            <w:vAlign w:val="center"/>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2.法定代表人身份证明及法定代表人有效身份证正反面复印件（格式后附）；（</w:t>
            </w:r>
            <w:r>
              <w:rPr>
                <w:rFonts w:hint="eastAsia" w:ascii="宋体" w:hAnsi="宋体" w:eastAsia="宋体" w:cs="宋体"/>
                <w:b/>
                <w:bCs/>
                <w:color w:val="auto"/>
                <w:szCs w:val="21"/>
                <w:highlight w:val="none"/>
              </w:rPr>
              <w:t>除自然人竞标外</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3.法定代表人授权委托书及委托代理人有效身份证正反面复印件（格式后附）；（</w:t>
            </w:r>
            <w:r>
              <w:rPr>
                <w:rFonts w:hint="eastAsia" w:ascii="宋体" w:hAnsi="宋体" w:eastAsia="宋体" w:cs="宋体"/>
                <w:b/>
                <w:color w:val="auto"/>
                <w:szCs w:val="21"/>
                <w:highlight w:val="none"/>
              </w:rPr>
              <w:t>委托时必须提供，否则响应文件作无效响应处理</w:t>
            </w:r>
            <w:r>
              <w:rPr>
                <w:rFonts w:hint="eastAsia" w:ascii="宋体" w:hAnsi="宋体" w:eastAsia="宋体" w:cs="宋体"/>
                <w:color w:val="auto"/>
                <w:szCs w:val="21"/>
                <w:highlight w:val="none"/>
              </w:rPr>
              <w:t>）</w:t>
            </w:r>
          </w:p>
          <w:p>
            <w:pPr>
              <w:spacing w:line="360" w:lineRule="auto"/>
              <w:rPr>
                <w:rFonts w:ascii="宋体" w:hAnsi="宋体" w:eastAsia="宋体" w:cs="宋体"/>
                <w:color w:val="auto"/>
                <w:highlight w:val="none"/>
              </w:rPr>
            </w:pPr>
            <w:r>
              <w:rPr>
                <w:rFonts w:hint="eastAsia" w:ascii="宋体" w:hAnsi="宋体" w:eastAsia="宋体" w:cs="宋体"/>
                <w:color w:val="auto"/>
                <w:szCs w:val="21"/>
                <w:highlight w:val="none"/>
              </w:rPr>
              <w:t>4.谈判保证金提交凭证；（如有要求，则</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5.商务条款偏离表（格式后附）；（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6.供应商情况介绍（格式自拟）；</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7.对应采购需求的商务条款提供的其他文件资料（格式自拟）；</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8.供应商认为需要提供的其他有关资料（格式自拟）。</w:t>
            </w:r>
          </w:p>
          <w:p>
            <w:pPr>
              <w:spacing w:line="360" w:lineRule="auto"/>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 xml:space="preserve">注： </w:t>
            </w:r>
          </w:p>
          <w:p>
            <w:pPr>
              <w:spacing w:line="360" w:lineRule="auto"/>
              <w:ind w:firstLine="413"/>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1.法定代表人授权委托书必须由法定代表人及委托代理人签字，并加盖供应商公章，否则响应文件作无效响应处理。</w:t>
            </w:r>
          </w:p>
          <w:p>
            <w:pPr>
              <w:spacing w:line="360" w:lineRule="auto"/>
              <w:ind w:firstLine="413"/>
              <w:rPr>
                <w:rFonts w:ascii="宋体" w:hAnsi="宋体" w:eastAsia="宋体" w:cs="宋体"/>
                <w:b/>
                <w:color w:val="auto"/>
                <w:szCs w:val="21"/>
                <w:highlight w:val="none"/>
              </w:rPr>
            </w:pPr>
            <w:r>
              <w:rPr>
                <w:rFonts w:hint="eastAsia" w:ascii="宋体" w:hAnsi="宋体" w:eastAsia="宋体" w:cs="宋体"/>
                <w:b/>
                <w:color w:val="auto"/>
                <w:szCs w:val="21"/>
                <w:highlight w:val="none"/>
              </w:rPr>
              <w:t>2.以上标明“必须提供”的材料属于复印件的扫描件的，必须加盖供应商公章，否则响应文件作无效响应处理。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pPr>
              <w:spacing w:line="360" w:lineRule="auto"/>
              <w:jc w:val="center"/>
              <w:rPr>
                <w:rFonts w:ascii="宋体" w:hAnsi="宋体" w:eastAsia="宋体" w:cs="宋体"/>
                <w:color w:val="auto"/>
                <w:szCs w:val="21"/>
                <w:highlight w:val="none"/>
              </w:rPr>
            </w:pPr>
          </w:p>
        </w:tc>
        <w:tc>
          <w:tcPr>
            <w:tcW w:w="2382" w:type="dxa"/>
            <w:vAlign w:val="center"/>
          </w:tcPr>
          <w:p>
            <w:pPr>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586" w:type="dxa"/>
            <w:vAlign w:val="center"/>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1.技术需求偏离表（格式后附）；（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pacing w:line="360" w:lineRule="auto"/>
              <w:jc w:val="left"/>
              <w:rPr>
                <w:rFonts w:ascii="宋体" w:hAnsi="宋体" w:eastAsia="宋体" w:cs="宋体"/>
                <w:b/>
                <w:i/>
                <w:iCs/>
                <w:color w:val="auto"/>
                <w:szCs w:val="21"/>
                <w:highlight w:val="none"/>
              </w:rPr>
            </w:pPr>
            <w:r>
              <w:rPr>
                <w:rFonts w:hint="eastAsia" w:ascii="宋体" w:hAnsi="宋体" w:eastAsia="宋体" w:cs="宋体"/>
                <w:color w:val="auto"/>
                <w:szCs w:val="21"/>
                <w:highlight w:val="none"/>
              </w:rPr>
              <w:t>2.项目实施方案（包括但不限于拟投入实施人员、售后服务承诺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技术培训</w:t>
            </w:r>
            <w:r>
              <w:rPr>
                <w:rFonts w:hint="eastAsia" w:ascii="宋体" w:hAnsi="宋体" w:eastAsia="宋体" w:cs="宋体"/>
                <w:color w:val="auto"/>
                <w:szCs w:val="21"/>
                <w:highlight w:val="none"/>
              </w:rPr>
              <w:t>等）（格式自拟）；（</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3.竞标产品技术证明资料（包括但不限于竞标产品说明书、出厂标准、质量检测报告等）（格式自拟）；</w:t>
            </w:r>
          </w:p>
          <w:p>
            <w:pPr>
              <w:tabs>
                <w:tab w:val="center" w:pos="4153"/>
                <w:tab w:val="right" w:pos="8306"/>
              </w:tabs>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4.竞标产品销售业绩或使用情况及证明资料（格式自拟）；</w:t>
            </w:r>
          </w:p>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5.供应商对本项目的合理化建议（格式自拟）；</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6.除</w:t>
            </w:r>
            <w:r>
              <w:rPr>
                <w:rFonts w:hint="eastAsia" w:ascii="宋体" w:hAnsi="宋体" w:eastAsia="宋体" w:cs="宋体"/>
                <w:b w:val="0"/>
                <w:bCs/>
                <w:color w:val="auto"/>
                <w:szCs w:val="21"/>
                <w:highlight w:val="none"/>
              </w:rPr>
              <w:t>竞争性谈判文件</w:t>
            </w:r>
            <w:r>
              <w:rPr>
                <w:rFonts w:hint="eastAsia" w:ascii="宋体" w:hAnsi="宋体" w:eastAsia="宋体" w:cs="宋体"/>
                <w:color w:val="auto"/>
                <w:szCs w:val="21"/>
                <w:highlight w:val="none"/>
              </w:rPr>
              <w:t>规定必须提供以外，供应商需要说明的其他文件和说明（格式自拟）。</w:t>
            </w:r>
          </w:p>
          <w:p>
            <w:pPr>
              <w:spacing w:line="360" w:lineRule="auto"/>
              <w:rPr>
                <w:rFonts w:ascii="宋体" w:hAnsi="宋体" w:eastAsia="宋体" w:cs="宋体"/>
                <w:color w:val="auto"/>
                <w:szCs w:val="21"/>
                <w:highlight w:val="none"/>
              </w:rPr>
            </w:pPr>
            <w:r>
              <w:rPr>
                <w:rFonts w:hint="eastAsia" w:ascii="宋体" w:hAnsi="宋体" w:eastAsia="宋体" w:cs="宋体"/>
                <w:b/>
                <w:color w:val="auto"/>
                <w:szCs w:val="21"/>
                <w:highlight w:val="none"/>
              </w:rPr>
              <w:t>注：以上标明“必须提供”的材料属于复印件的扫描件的，必须加盖供应商公章，否则响应文件作无效响应处理。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12.1.3</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586" w:type="dxa"/>
            <w:vAlign w:val="center"/>
          </w:tcPr>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1.</w:t>
            </w:r>
            <w:bookmarkStart w:id="69" w:name="OLE_LINK2"/>
            <w:r>
              <w:rPr>
                <w:rFonts w:hint="eastAsia" w:ascii="宋体" w:hAnsi="宋体" w:eastAsia="宋体" w:cs="宋体"/>
                <w:color w:val="auto"/>
                <w:szCs w:val="21"/>
                <w:highlight w:val="none"/>
              </w:rPr>
              <w:t>响应函</w:t>
            </w:r>
            <w:bookmarkEnd w:id="69"/>
            <w:r>
              <w:rPr>
                <w:rFonts w:hint="eastAsia" w:ascii="宋体" w:hAnsi="宋体" w:eastAsia="宋体" w:cs="宋体"/>
                <w:color w:val="auto"/>
                <w:szCs w:val="21"/>
                <w:highlight w:val="none"/>
              </w:rPr>
              <w:t>（格式后附）；</w:t>
            </w:r>
            <w:r>
              <w:rPr>
                <w:rFonts w:hint="eastAsia" w:ascii="宋体" w:hAnsi="宋体" w:eastAsia="宋体" w:cs="宋体"/>
                <w:b/>
                <w:color w:val="auto"/>
                <w:szCs w:val="21"/>
                <w:highlight w:val="none"/>
              </w:rPr>
              <w:t>（必须提供，否则响应文件作无效响应处理）</w:t>
            </w:r>
          </w:p>
          <w:p>
            <w:pPr>
              <w:spacing w:line="360" w:lineRule="auto"/>
              <w:jc w:val="left"/>
              <w:rPr>
                <w:rFonts w:ascii="宋体" w:hAnsi="宋体" w:eastAsia="宋体" w:cs="宋体"/>
                <w:color w:val="auto"/>
                <w:szCs w:val="21"/>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Cs w:val="21"/>
                <w:highlight w:val="none"/>
              </w:rPr>
              <w:t>响应报价表（格式后附）；（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pStyle w:val="28"/>
              <w:spacing w:line="360" w:lineRule="auto"/>
              <w:rPr>
                <w:rFonts w:hint="eastAsia" w:ascii="宋体" w:hAnsi="宋体" w:cs="宋体"/>
                <w:b/>
                <w:bCs/>
                <w:color w:val="auto"/>
                <w:sz w:val="21"/>
                <w:szCs w:val="21"/>
                <w:highlight w:val="none"/>
              </w:rPr>
            </w:pPr>
            <w:r>
              <w:rPr>
                <w:rFonts w:hint="eastAsia" w:ascii="宋体" w:hAnsi="宋体" w:cs="宋体"/>
                <w:color w:val="auto"/>
                <w:sz w:val="21"/>
                <w:szCs w:val="21"/>
                <w:highlight w:val="none"/>
                <w:lang w:val="en-US"/>
              </w:rPr>
              <w:t>3.</w:t>
            </w:r>
            <w:r>
              <w:rPr>
                <w:rFonts w:hint="eastAsia" w:ascii="宋体" w:hAnsi="宋体" w:cs="宋体"/>
                <w:color w:val="auto"/>
                <w:sz w:val="21"/>
                <w:szCs w:val="21"/>
                <w:highlight w:val="none"/>
              </w:rPr>
              <w:t>中小企业声明函或者残疾人福利性单位声明函（格式后附）或者</w:t>
            </w:r>
            <w:r>
              <w:rPr>
                <w:rFonts w:hint="eastAsia" w:ascii="宋体" w:hAnsi="宋体" w:eastAsia="宋体" w:cs="宋体"/>
                <w:i w:val="0"/>
                <w:iCs w:val="0"/>
                <w:color w:val="auto"/>
                <w:sz w:val="21"/>
                <w:szCs w:val="21"/>
                <w:highlight w:val="none"/>
                <w:lang w:eastAsia="zh-CN"/>
              </w:rPr>
              <w:t>供应商</w:t>
            </w:r>
            <w:r>
              <w:rPr>
                <w:rFonts w:hint="eastAsia" w:ascii="宋体" w:hAnsi="宋体" w:cs="宋体"/>
                <w:color w:val="auto"/>
                <w:sz w:val="21"/>
                <w:szCs w:val="21"/>
                <w:highlight w:val="none"/>
              </w:rPr>
              <w:t>属于监狱企业的</w:t>
            </w:r>
            <w:r>
              <w:rPr>
                <w:rFonts w:hint="eastAsia" w:ascii="宋体" w:hAnsi="宋体" w:cs="宋体"/>
                <w:color w:val="auto"/>
                <w:sz w:val="21"/>
                <w:szCs w:val="21"/>
                <w:highlight w:val="none"/>
                <w:lang w:eastAsia="zh-CN"/>
              </w:rPr>
              <w:t>，</w:t>
            </w:r>
            <w:r>
              <w:rPr>
                <w:rFonts w:hint="eastAsia" w:ascii="宋体" w:hAnsi="宋体" w:eastAsia="宋体" w:cs="宋体"/>
                <w:i w:val="0"/>
                <w:iCs w:val="0"/>
                <w:color w:val="auto"/>
                <w:sz w:val="21"/>
                <w:szCs w:val="21"/>
                <w:highlight w:val="none"/>
                <w:lang w:eastAsia="zh-CN"/>
              </w:rPr>
              <w:t>提供由省级以上监狱管理局、戒毒管理局（含新疆生产建设兵团）出具的属于监狱企业的证明文件</w:t>
            </w:r>
            <w:r>
              <w:rPr>
                <w:rFonts w:hint="eastAsia" w:ascii="宋体" w:hAnsi="宋体" w:cs="宋体"/>
                <w:color w:val="auto"/>
                <w:sz w:val="21"/>
                <w:szCs w:val="21"/>
                <w:highlight w:val="none"/>
              </w:rPr>
              <w:t>；</w:t>
            </w:r>
            <w:r>
              <w:rPr>
                <w:rFonts w:hint="eastAsia" w:ascii="宋体" w:hAnsi="宋体" w:cs="宋体"/>
                <w:b/>
                <w:bCs/>
                <w:color w:val="auto"/>
                <w:sz w:val="21"/>
                <w:szCs w:val="21"/>
                <w:highlight w:val="none"/>
              </w:rPr>
              <w:t>（如有请提供）</w:t>
            </w:r>
          </w:p>
          <w:p>
            <w:pPr>
              <w:pStyle w:val="28"/>
              <w:spacing w:line="360" w:lineRule="auto"/>
              <w:rPr>
                <w:rFonts w:ascii="宋体" w:hAnsi="宋体" w:cs="宋体"/>
                <w:color w:val="auto"/>
                <w:sz w:val="21"/>
                <w:szCs w:val="21"/>
                <w:highlight w:val="none"/>
                <w:lang w:val="en-US"/>
              </w:rPr>
            </w:pPr>
            <w:r>
              <w:rPr>
                <w:rFonts w:hint="eastAsia" w:ascii="宋体" w:hAnsi="宋体" w:cs="宋体"/>
                <w:b w:val="0"/>
                <w:bCs w:val="0"/>
                <w:color w:val="auto"/>
                <w:sz w:val="21"/>
                <w:szCs w:val="21"/>
                <w:highlight w:val="none"/>
                <w:lang w:val="en-US" w:eastAsia="zh-CN"/>
              </w:rPr>
              <w:t>4.</w:t>
            </w:r>
            <w:r>
              <w:rPr>
                <w:rFonts w:hint="eastAsia" w:ascii="宋体" w:hAnsi="宋体" w:cs="宋体"/>
                <w:b w:val="0"/>
                <w:bCs w:val="0"/>
                <w:color w:val="auto"/>
                <w:sz w:val="21"/>
                <w:szCs w:val="21"/>
                <w:highlight w:val="none"/>
                <w:lang w:val="en-US"/>
              </w:rPr>
              <w:t>关于</w:t>
            </w:r>
            <w:r>
              <w:rPr>
                <w:rFonts w:hint="eastAsia" w:ascii="宋体" w:hAnsi="宋体" w:cs="宋体"/>
                <w:color w:val="auto"/>
                <w:sz w:val="21"/>
                <w:szCs w:val="21"/>
                <w:highlight w:val="none"/>
                <w:lang w:val="en-US"/>
              </w:rPr>
              <w:t>符合本国产品标准的声明函（格式后附）或财政部会同有关部门规定的有关证明文件；（如有请提供）</w:t>
            </w:r>
          </w:p>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.供应商针对报价需要说明的其他文件和说明（格式自拟）。</w:t>
            </w:r>
          </w:p>
          <w:p>
            <w:pPr>
              <w:pStyle w:val="56"/>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注：以上标明“必须提供”的材料属于复印件的扫描件的，必须加盖</w:t>
            </w:r>
          </w:p>
          <w:p>
            <w:pPr>
              <w:pStyle w:val="56"/>
              <w:spacing w:line="360" w:lineRule="auto"/>
              <w:jc w:val="both"/>
              <w:rPr>
                <w:color w:val="auto"/>
                <w:highlight w:val="none"/>
              </w:rPr>
            </w:pPr>
            <w:r>
              <w:rPr>
                <w:rFonts w:hint="eastAsia" w:ascii="宋体" w:hAnsi="宋体" w:cs="宋体"/>
                <w:color w:val="auto"/>
                <w:sz w:val="21"/>
                <w:szCs w:val="21"/>
                <w:highlight w:val="none"/>
              </w:rPr>
              <w:t>供应商公章，否则响应文件作无效响应处理。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586" w:type="dxa"/>
            <w:vAlign w:val="center"/>
          </w:tcPr>
          <w:p>
            <w:pPr>
              <w:pStyle w:val="16"/>
              <w:spacing w:line="360" w:lineRule="auto"/>
              <w:rPr>
                <w:rFonts w:ascii="宋体" w:hAnsi="宋体" w:cs="宋体"/>
                <w:color w:val="auto"/>
                <w:szCs w:val="21"/>
                <w:highlight w:val="none"/>
              </w:rPr>
            </w:pPr>
            <w:r>
              <w:rPr>
                <w:rFonts w:hint="eastAsia" w:ascii="宋体" w:hAnsi="宋体" w:cs="宋体"/>
                <w:color w:val="auto"/>
                <w:szCs w:val="21"/>
                <w:highlight w:val="none"/>
              </w:rPr>
              <w:t>1.响应文件电子版要求：按照本</w:t>
            </w:r>
            <w:r>
              <w:rPr>
                <w:rFonts w:hint="eastAsia" w:ascii="宋体" w:hAnsi="宋体" w:cs="宋体"/>
                <w:color w:val="auto"/>
                <w:szCs w:val="21"/>
                <w:highlight w:val="none"/>
                <w:lang w:val="en-US"/>
              </w:rPr>
              <w:t>竞争性谈判</w:t>
            </w:r>
            <w:r>
              <w:rPr>
                <w:rFonts w:hint="eastAsia" w:ascii="宋体" w:hAnsi="宋体" w:cs="宋体"/>
                <w:color w:val="auto"/>
                <w:szCs w:val="21"/>
                <w:highlight w:val="none"/>
              </w:rPr>
              <w:t>文件“第五章 响应文件格式”编写，第五章未附格式的，由供应商自行拟定。</w:t>
            </w:r>
          </w:p>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2.响应文件电子版加密提交方式：电子版响应文件通过平台有效CA加密后在广西政府采购云平台上传。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586" w:type="dxa"/>
            <w:vAlign w:val="center"/>
          </w:tcPr>
          <w:p>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响应报价必须包含满足本次竞标全部采购需求所应提供的货物、货物标准附件、备品备件、专用工具、设备安装辅材、包装、运输、装卸、保险、货到就位的各种费用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明示或暗示的所有责任、义务和一般风险等费用。</w:t>
            </w:r>
          </w:p>
          <w:p>
            <w:pPr>
              <w:pStyle w:val="18"/>
              <w:spacing w:line="360" w:lineRule="auto"/>
              <w:rPr>
                <w:rFonts w:ascii="宋体" w:hAnsi="宋体" w:cs="宋体"/>
                <w:b/>
                <w:bCs/>
                <w:color w:val="auto"/>
                <w:highlight w:val="none"/>
              </w:rPr>
            </w:pPr>
            <w:r>
              <w:rPr>
                <w:rFonts w:hint="eastAsia" w:ascii="宋体" w:hAnsi="宋体" w:cs="宋体"/>
                <w:b/>
                <w:bCs/>
                <w:color w:val="auto"/>
                <w:highlight w:val="none"/>
              </w:rPr>
              <w:t>☑响应报价包含验收费用</w:t>
            </w:r>
          </w:p>
          <w:p>
            <w:pPr>
              <w:pStyle w:val="18"/>
              <w:spacing w:line="360" w:lineRule="auto"/>
              <w:rPr>
                <w:rFonts w:ascii="宋体" w:hAnsi="宋体" w:cs="宋体"/>
                <w:color w:val="auto"/>
                <w:highlight w:val="none"/>
              </w:rPr>
            </w:pPr>
            <w:r>
              <w:rPr>
                <w:rFonts w:hint="eastAsia" w:ascii="宋体" w:hAnsi="宋体" w:cs="宋体"/>
                <w:b/>
                <w:bCs/>
                <w:color w:val="auto"/>
                <w:highlight w:val="none"/>
              </w:rPr>
              <w:t>□响应报价不包含验收费用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586" w:type="dxa"/>
            <w:vAlign w:val="center"/>
          </w:tcPr>
          <w:p>
            <w:pPr>
              <w:tabs>
                <w:tab w:val="left" w:pos="720"/>
                <w:tab w:val="left" w:pos="840"/>
              </w:tabs>
              <w:spacing w:after="50" w:line="360" w:lineRule="auto"/>
              <w:ind w:left="283" w:hanging="283"/>
              <w:jc w:val="left"/>
              <w:rPr>
                <w:rFonts w:ascii="宋体" w:hAnsi="宋体" w:eastAsia="宋体" w:cs="宋体"/>
                <w:color w:val="auto"/>
                <w:szCs w:val="21"/>
                <w:highlight w:val="none"/>
              </w:rPr>
            </w:pPr>
            <w:r>
              <w:rPr>
                <w:rFonts w:hint="eastAsia" w:ascii="宋体" w:hAnsi="宋体" w:eastAsia="宋体" w:cs="宋体"/>
                <w:color w:val="auto"/>
                <w:szCs w:val="21"/>
                <w:highlight w:val="none"/>
              </w:rPr>
              <w:t>自首次响应文件提交截止之日起</w:t>
            </w:r>
            <w:bookmarkStart w:id="70" w:name="PO_3000001871_PM046"/>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60</w:t>
            </w:r>
            <w:r>
              <w:rPr>
                <w:rFonts w:hint="eastAsia" w:ascii="宋体" w:hAnsi="宋体" w:eastAsia="宋体" w:cs="宋体"/>
                <w:color w:val="auto"/>
                <w:szCs w:val="21"/>
                <w:highlight w:val="none"/>
                <w:u w:val="single"/>
              </w:rPr>
              <w:t xml:space="preserve"> </w:t>
            </w:r>
            <w:bookmarkEnd w:id="70"/>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谈判保证金</w:t>
            </w:r>
          </w:p>
        </w:tc>
        <w:tc>
          <w:tcPr>
            <w:tcW w:w="6586" w:type="dxa"/>
            <w:vAlign w:val="center"/>
          </w:tcPr>
          <w:p>
            <w:pPr>
              <w:spacing w:line="360" w:lineRule="auto"/>
              <w:rPr>
                <w:rFonts w:ascii="宋体" w:hAnsi="宋体" w:eastAsia="宋体" w:cs="宋体"/>
                <w:b/>
                <w:bCs/>
                <w:color w:val="auto"/>
                <w:szCs w:val="21"/>
                <w:highlight w:val="none"/>
              </w:rPr>
            </w:pPr>
            <w:r>
              <w:rPr>
                <w:rFonts w:hint="eastAsia" w:ascii="宋体" w:hAnsi="宋体" w:eastAsia="宋体" w:cs="宋体"/>
                <w:b/>
                <w:bCs/>
                <w:color w:val="auto"/>
                <w:highlight w:val="none"/>
              </w:rPr>
              <w:t>□</w:t>
            </w:r>
            <w:r>
              <w:rPr>
                <w:rFonts w:hint="eastAsia" w:ascii="宋体" w:hAnsi="宋体" w:eastAsia="宋体" w:cs="宋体"/>
                <w:b/>
                <w:bCs/>
                <w:color w:val="auto"/>
                <w:szCs w:val="21"/>
                <w:highlight w:val="none"/>
              </w:rPr>
              <w:t>本项目不需要缴纳谈判保证金。</w:t>
            </w:r>
          </w:p>
          <w:p>
            <w:pPr>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 本项目需要缴纳谈判保证金，相关要求如下：</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1.谈判保证金的缴纳方式：详见竞争性谈判公告。</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2.谈判保证金的金额：详见竞争性谈判公告。</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谈判保证金采用银行转账缴纳方式的，在首次响应文件提交截止时间前交至采购代理机构指定账户并且到账，供应商应将银行转账底单的复印件或者金融机构、担保机构出具的电子保函作为谈判保证金提交凭证，放置于商务文件中，</w:t>
            </w:r>
            <w:r>
              <w:rPr>
                <w:rFonts w:hint="eastAsia" w:ascii="宋体" w:hAnsi="宋体" w:eastAsia="宋体" w:cs="宋体"/>
                <w:b/>
                <w:color w:val="auto"/>
                <w:szCs w:val="21"/>
                <w:highlight w:val="none"/>
              </w:rPr>
              <w:t>否则响应文件作无效响应处理</w:t>
            </w:r>
            <w:r>
              <w:rPr>
                <w:rFonts w:hint="eastAsia" w:ascii="宋体" w:hAnsi="宋体" w:eastAsia="宋体" w:cs="宋体"/>
                <w:color w:val="auto"/>
                <w:szCs w:val="21"/>
                <w:highlight w:val="none"/>
              </w:rPr>
              <w:t>。</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4.谈判保证金采用支票、汇票、本票或者金融机构、担保机构出具的保函等缴纳方式的，供应商应将支票、汇票、本票或者金融机构、担保机构出具的保函等的复印件作为谈判保证金提交凭证，放置于商务文件中，</w:t>
            </w:r>
            <w:r>
              <w:rPr>
                <w:rFonts w:hint="eastAsia" w:ascii="宋体" w:hAnsi="宋体" w:eastAsia="宋体" w:cs="宋体"/>
                <w:b/>
                <w:color w:val="auto"/>
                <w:szCs w:val="21"/>
                <w:highlight w:val="none"/>
              </w:rPr>
              <w:t>否则响应文件作无效响应处理</w:t>
            </w:r>
            <w:r>
              <w:rPr>
                <w:rFonts w:hint="eastAsia" w:ascii="宋体" w:hAnsi="宋体" w:eastAsia="宋体" w:cs="宋体"/>
                <w:color w:val="auto"/>
                <w:szCs w:val="21"/>
                <w:highlight w:val="none"/>
              </w:rPr>
              <w:t>。供应商必须在首次响应文件提交截止时间前将支票、汇票、本票或者金融机构、担保机构出具的保函（电子保函除外）等原件提交给采购代理机构，由采购代理机构向供应商出具回执，并妥善保管。</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5.谈判保证金指定账户：详见竞争性谈判公告。</w:t>
            </w:r>
          </w:p>
          <w:p>
            <w:pPr>
              <w:pStyle w:val="16"/>
              <w:spacing w:line="360" w:lineRule="auto"/>
              <w:rPr>
                <w:rFonts w:ascii="宋体" w:hAnsi="宋体" w:cs="宋体"/>
                <w:b/>
                <w:color w:val="auto"/>
                <w:szCs w:val="21"/>
                <w:highlight w:val="none"/>
              </w:rPr>
            </w:pPr>
            <w:r>
              <w:rPr>
                <w:rFonts w:hint="eastAsia" w:ascii="宋体" w:hAnsi="宋体" w:cs="宋体"/>
                <w:color w:val="auto"/>
                <w:szCs w:val="21"/>
                <w:highlight w:val="none"/>
                <w:lang w:val="en-US"/>
              </w:rPr>
              <w:t>6</w:t>
            </w:r>
            <w:r>
              <w:rPr>
                <w:rFonts w:hint="eastAsia" w:ascii="宋体" w:hAnsi="宋体" w:cs="宋体"/>
                <w:color w:val="auto"/>
                <w:szCs w:val="21"/>
                <w:highlight w:val="none"/>
              </w:rPr>
              <w:t>.供应商为联合体的，可以由联合体中的一方或者多方共同缴纳</w:t>
            </w:r>
            <w:r>
              <w:rPr>
                <w:rFonts w:hint="eastAsia" w:ascii="宋体" w:hAnsi="宋体" w:cs="宋体"/>
                <w:color w:val="auto"/>
                <w:highlight w:val="none"/>
              </w:rPr>
              <w:t>谈判保证金</w:t>
            </w:r>
            <w:r>
              <w:rPr>
                <w:rFonts w:hint="eastAsia" w:ascii="宋体" w:hAnsi="宋体" w:cs="宋体"/>
                <w:color w:val="auto"/>
                <w:szCs w:val="21"/>
                <w:highlight w:val="none"/>
              </w:rPr>
              <w:t>，其缴纳的谈判保证金对联合体各方均具有约束力。</w:t>
            </w:r>
          </w:p>
          <w:p>
            <w:pPr>
              <w:spacing w:line="360" w:lineRule="auto"/>
              <w:rPr>
                <w:rFonts w:ascii="宋体" w:hAnsi="宋体" w:eastAsia="宋体" w:cs="宋体"/>
                <w:b/>
                <w:color w:val="auto"/>
                <w:szCs w:val="21"/>
                <w:highlight w:val="none"/>
              </w:rPr>
            </w:pPr>
            <w:r>
              <w:rPr>
                <w:rFonts w:hint="eastAsia" w:ascii="宋体" w:hAnsi="宋体" w:eastAsia="宋体" w:cs="宋体"/>
                <w:b/>
                <w:color w:val="auto"/>
                <w:szCs w:val="21"/>
                <w:highlight w:val="none"/>
              </w:rPr>
              <w:t xml:space="preserve">备注： </w:t>
            </w:r>
          </w:p>
          <w:p>
            <w:pPr>
              <w:spacing w:line="360" w:lineRule="auto"/>
              <w:rPr>
                <w:rFonts w:ascii="宋体" w:hAnsi="宋体" w:eastAsia="宋体" w:cs="宋体"/>
                <w:b/>
                <w:color w:val="auto"/>
                <w:szCs w:val="21"/>
                <w:highlight w:val="none"/>
              </w:rPr>
            </w:pPr>
            <w:r>
              <w:rPr>
                <w:rFonts w:hint="eastAsia" w:ascii="宋体" w:hAnsi="宋体" w:eastAsia="宋体" w:cs="宋体"/>
                <w:b/>
                <w:color w:val="auto"/>
                <w:szCs w:val="21"/>
                <w:highlight w:val="none"/>
              </w:rPr>
              <w:t>1. 首次响应文件提交截止时间后提交的，或者未足额缴纳的，或者保函额度不足的，视为无效谈判保证金。</w:t>
            </w:r>
          </w:p>
          <w:p>
            <w:pPr>
              <w:spacing w:line="360" w:lineRule="auto"/>
              <w:rPr>
                <w:rFonts w:ascii="宋体" w:hAnsi="宋体" w:eastAsia="宋体" w:cs="宋体"/>
                <w:b/>
                <w:color w:val="auto"/>
                <w:szCs w:val="21"/>
                <w:highlight w:val="none"/>
              </w:rPr>
            </w:pPr>
            <w:r>
              <w:rPr>
                <w:rFonts w:hint="eastAsia" w:ascii="宋体" w:hAnsi="宋体" w:eastAsia="宋体" w:cs="宋体"/>
                <w:b/>
                <w:color w:val="auto"/>
                <w:szCs w:val="21"/>
                <w:highlight w:val="none"/>
              </w:rPr>
              <w:t>2.供应商采用现金方式或者从个人账户（自然人竞标除外）转出的谈判保证金，视为无效谈判保证金。</w:t>
            </w:r>
          </w:p>
          <w:p>
            <w:pPr>
              <w:spacing w:line="360" w:lineRule="auto"/>
              <w:rPr>
                <w:rFonts w:ascii="宋体" w:hAnsi="宋体" w:eastAsia="宋体" w:cs="宋体"/>
                <w:b/>
                <w:color w:val="auto"/>
                <w:szCs w:val="21"/>
                <w:highlight w:val="none"/>
              </w:rPr>
            </w:pPr>
            <w:r>
              <w:rPr>
                <w:rFonts w:hint="eastAsia" w:ascii="宋体" w:hAnsi="宋体" w:eastAsia="宋体" w:cs="宋体"/>
                <w:b/>
                <w:color w:val="auto"/>
                <w:szCs w:val="21"/>
                <w:highlight w:val="none"/>
              </w:rPr>
              <w:t>3.支票、汇票或者本票出现无效或者背书情形的，视为无效谈判保证金。</w:t>
            </w:r>
          </w:p>
          <w:p>
            <w:pPr>
              <w:spacing w:line="360" w:lineRule="auto"/>
              <w:rPr>
                <w:rFonts w:ascii="宋体" w:hAnsi="宋体" w:eastAsia="宋体" w:cs="宋体"/>
                <w:b/>
                <w:color w:val="auto"/>
                <w:szCs w:val="21"/>
                <w:highlight w:val="none"/>
              </w:rPr>
            </w:pPr>
            <w:r>
              <w:rPr>
                <w:rFonts w:hint="eastAsia" w:ascii="宋体" w:hAnsi="宋体" w:eastAsia="宋体" w:cs="宋体"/>
                <w:b/>
                <w:color w:val="auto"/>
                <w:szCs w:val="21"/>
                <w:highlight w:val="none"/>
              </w:rPr>
              <w:t>4.保函有效期低于竞标有效期的，视为无效谈判保证金。</w:t>
            </w:r>
          </w:p>
          <w:p>
            <w:pPr>
              <w:spacing w:line="360" w:lineRule="auto"/>
              <w:rPr>
                <w:rFonts w:ascii="宋体" w:hAnsi="宋体" w:eastAsia="宋体" w:cs="宋体"/>
                <w:color w:val="auto"/>
                <w:szCs w:val="21"/>
                <w:highlight w:val="none"/>
              </w:rPr>
            </w:pPr>
            <w:r>
              <w:rPr>
                <w:rFonts w:hint="eastAsia" w:ascii="宋体" w:hAnsi="宋体" w:eastAsia="宋体" w:cs="宋体"/>
                <w:b/>
                <w:color w:val="auto"/>
                <w:szCs w:val="21"/>
                <w:highlight w:val="none"/>
              </w:rPr>
              <w:t>5.谈判保证金采用金融、担保机构出具的保函为有条件保函的，视为无效谈判保证金</w:t>
            </w:r>
            <w:r>
              <w:rPr>
                <w:rFonts w:hint="eastAsia" w:ascii="宋体" w:hAnsi="宋体" w:eastAsia="宋体" w:cs="宋体"/>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restart"/>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首次响应文件提交截止时间</w:t>
            </w:r>
          </w:p>
        </w:tc>
        <w:tc>
          <w:tcPr>
            <w:tcW w:w="6586" w:type="dxa"/>
            <w:vAlign w:val="center"/>
          </w:tcPr>
          <w:p>
            <w:pPr>
              <w:spacing w:line="360" w:lineRule="auto"/>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详见竞争性谈判公告。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continue"/>
            <w:vAlign w:val="center"/>
          </w:tcPr>
          <w:p>
            <w:pPr>
              <w:spacing w:line="360" w:lineRule="auto"/>
              <w:jc w:val="center"/>
              <w:rPr>
                <w:rFonts w:ascii="宋体" w:hAnsi="宋体" w:eastAsia="宋体" w:cs="宋体"/>
                <w:color w:val="auto"/>
                <w:szCs w:val="21"/>
                <w:highlight w:val="none"/>
              </w:rPr>
            </w:pP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首次响应文件开启时间</w:t>
            </w:r>
          </w:p>
        </w:tc>
        <w:tc>
          <w:tcPr>
            <w:tcW w:w="6586" w:type="dxa"/>
            <w:vAlign w:val="center"/>
          </w:tcPr>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详见竞争性谈判公告。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Merge w:val="continue"/>
            <w:vAlign w:val="center"/>
          </w:tcPr>
          <w:p>
            <w:pPr>
              <w:spacing w:line="360" w:lineRule="auto"/>
              <w:jc w:val="center"/>
              <w:rPr>
                <w:rFonts w:ascii="宋体" w:hAnsi="宋体" w:eastAsia="宋体" w:cs="宋体"/>
                <w:color w:val="auto"/>
                <w:szCs w:val="21"/>
                <w:highlight w:val="none"/>
              </w:rPr>
            </w:pP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586" w:type="dxa"/>
            <w:vAlign w:val="center"/>
          </w:tcPr>
          <w:p>
            <w:pPr>
              <w:spacing w:line="360" w:lineRule="auto"/>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详见竞争性谈判公告。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586" w:type="dxa"/>
            <w:vAlign w:val="center"/>
          </w:tcPr>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ascii="宋体" w:hAnsi="宋体" w:eastAsia="宋体" w:cs="宋体"/>
                <w:color w:val="auto"/>
                <w:szCs w:val="21"/>
                <w:highlight w:val="none"/>
              </w:rPr>
              <w:t>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首次响应文件的补充、修改与撤回</w:t>
            </w:r>
          </w:p>
        </w:tc>
        <w:tc>
          <w:tcPr>
            <w:tcW w:w="6586" w:type="dxa"/>
            <w:vAlign w:val="center"/>
          </w:tcPr>
          <w:p>
            <w:pPr>
              <w:snapToGrid w:val="0"/>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bCs/>
                <w:color w:val="auto"/>
                <w:highlight w:val="none"/>
              </w:rPr>
              <w:t>供应商须知正文</w:t>
            </w:r>
            <w:r>
              <w:rPr>
                <w:rFonts w:hint="eastAsia" w:ascii="宋体" w:hAnsi="宋体" w:eastAsia="宋体" w:cs="宋体"/>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25.1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评审方法</w:t>
            </w:r>
          </w:p>
        </w:tc>
        <w:tc>
          <w:tcPr>
            <w:tcW w:w="6586" w:type="dxa"/>
            <w:vAlign w:val="center"/>
          </w:tcPr>
          <w:p>
            <w:pPr>
              <w:spacing w:line="360" w:lineRule="auto"/>
              <w:rPr>
                <w:rFonts w:ascii="宋体" w:hAnsi="宋体" w:eastAsia="宋体" w:cs="宋体"/>
                <w:color w:val="auto"/>
                <w:szCs w:val="21"/>
                <w:highlight w:val="none"/>
              </w:rPr>
            </w:pPr>
            <w:r>
              <w:rPr>
                <w:rFonts w:hint="eastAsia" w:ascii="宋体" w:hAnsi="宋体" w:eastAsia="宋体" w:cs="宋体"/>
                <w:color w:val="auto"/>
                <w:highlight w:val="none"/>
              </w:rPr>
              <w:t>本项目采用最低评标价法。最低评标价法是指响应文件满足竞争性谈判文件全部实质性要求且评</w:t>
            </w:r>
            <w:r>
              <w:rPr>
                <w:rFonts w:hint="eastAsia" w:ascii="宋体" w:hAnsi="宋体" w:eastAsia="宋体" w:cs="宋体"/>
                <w:color w:val="auto"/>
                <w:szCs w:val="21"/>
                <w:highlight w:val="none"/>
              </w:rPr>
              <w:t>审价</w:t>
            </w:r>
            <w:r>
              <w:rPr>
                <w:rFonts w:hint="eastAsia" w:ascii="宋体" w:hAnsi="宋体" w:eastAsia="宋体" w:cs="宋体"/>
                <w:color w:val="auto"/>
                <w:highlight w:val="none"/>
              </w:rPr>
              <w:t>最低的供应商为成交候选人的评审方法。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pPr>
              <w:spacing w:line="360" w:lineRule="auto"/>
              <w:jc w:val="center"/>
              <w:rPr>
                <w:rFonts w:ascii="宋体" w:hAnsi="宋体" w:eastAsia="宋体" w:cs="宋体"/>
                <w:color w:val="auto"/>
                <w:szCs w:val="21"/>
                <w:highlight w:val="none"/>
              </w:rPr>
            </w:pP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评审价相同时成交原则</w:t>
            </w:r>
          </w:p>
        </w:tc>
        <w:tc>
          <w:tcPr>
            <w:tcW w:w="6586" w:type="dxa"/>
            <w:vAlign w:val="center"/>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评审价相同时，按照最后报价由低到高顺序依次推荐；最后报价相同时，按以下原则确定成交候选人的顺序：</w:t>
            </w:r>
          </w:p>
          <w:p>
            <w:pPr>
              <w:spacing w:line="360" w:lineRule="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u w:val="none"/>
                <w:lang w:eastAsia="zh-CN"/>
              </w:rPr>
              <w:t>☑</w:t>
            </w:r>
            <w:r>
              <w:rPr>
                <w:rFonts w:hint="eastAsia" w:ascii="宋体" w:hAnsi="宋体" w:eastAsia="宋体" w:cs="宋体"/>
                <w:color w:val="000000"/>
                <w:szCs w:val="21"/>
                <w:highlight w:val="none"/>
              </w:rPr>
              <w:t>依次按节能、环保产品累计</w:t>
            </w:r>
            <w:r>
              <w:rPr>
                <w:rFonts w:hint="eastAsia" w:ascii="宋体" w:hAnsi="宋体" w:eastAsia="宋体" w:cs="宋体"/>
                <w:color w:val="000000"/>
                <w:szCs w:val="21"/>
                <w:highlight w:val="none"/>
                <w:lang w:eastAsia="zh-CN"/>
              </w:rPr>
              <w:t>项数</w:t>
            </w:r>
            <w:r>
              <w:rPr>
                <w:rFonts w:hint="eastAsia" w:ascii="宋体" w:hAnsi="宋体" w:eastAsia="宋体" w:cs="宋体"/>
                <w:color w:val="000000"/>
                <w:szCs w:val="21"/>
                <w:highlight w:val="none"/>
              </w:rPr>
              <w:t>多的优先、带“▲”的实质性要求正偏离项数多的优先、均无正偏离或者正偏离项数一致时负偏离项数少的优先、质量保证期长优先、</w:t>
            </w:r>
            <w:r>
              <w:rPr>
                <w:rFonts w:hint="eastAsia" w:ascii="宋体" w:hAnsi="宋体" w:eastAsia="宋体" w:cs="宋体"/>
                <w:color w:val="000000"/>
                <w:szCs w:val="21"/>
                <w:highlight w:val="none"/>
                <w:lang w:eastAsia="zh-CN"/>
              </w:rPr>
              <w:t>交付时间</w:t>
            </w:r>
            <w:r>
              <w:rPr>
                <w:rFonts w:hint="eastAsia" w:ascii="宋体" w:hAnsi="宋体" w:eastAsia="宋体" w:cs="宋体"/>
                <w:color w:val="000000"/>
                <w:szCs w:val="21"/>
                <w:highlight w:val="none"/>
              </w:rPr>
              <w:t>短优先、故障响应时间短优先的顺序排列。</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□由谈判小组推荐代表随机抽取。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25.2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谈判的顺序</w:t>
            </w:r>
          </w:p>
        </w:tc>
        <w:tc>
          <w:tcPr>
            <w:tcW w:w="6586" w:type="dxa"/>
            <w:vAlign w:val="center"/>
          </w:tcPr>
          <w:p>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系统自动提取的顺序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27.1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586" w:type="dxa"/>
            <w:vAlign w:val="center"/>
          </w:tcPr>
          <w:p>
            <w:pPr>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 xml:space="preserve"> 本项目不需要缴纳履约保证金。</w:t>
            </w:r>
          </w:p>
          <w:p>
            <w:pPr>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 xml:space="preserve"> 本项目需要缴纳履约保证金，相关要求如下：</w:t>
            </w:r>
          </w:p>
          <w:p>
            <w:pPr>
              <w:spacing w:line="360" w:lineRule="auto"/>
              <w:rPr>
                <w:rFonts w:ascii="宋体" w:hAnsi="宋体" w:eastAsia="宋体" w:cs="宋体"/>
                <w:i/>
                <w:iCs/>
                <w:color w:val="auto"/>
                <w:szCs w:val="21"/>
                <w:highlight w:val="none"/>
              </w:rPr>
            </w:pPr>
            <w:r>
              <w:rPr>
                <w:rFonts w:hint="eastAsia" w:ascii="宋体" w:hAnsi="宋体" w:eastAsia="宋体" w:cs="宋体"/>
                <w:color w:val="auto"/>
                <w:szCs w:val="21"/>
                <w:highlight w:val="none"/>
              </w:rPr>
              <w:t>1.履约保证金金额：按项目成交总金额的</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u w:val="single"/>
              </w:rPr>
              <w:t>%</w:t>
            </w:r>
            <w:r>
              <w:rPr>
                <w:rFonts w:hint="eastAsia" w:ascii="宋体" w:hAnsi="宋体" w:eastAsia="宋体" w:cs="宋体"/>
                <w:color w:val="auto"/>
                <w:szCs w:val="21"/>
                <w:highlight w:val="none"/>
              </w:rPr>
              <w:t>。</w:t>
            </w:r>
            <w:r>
              <w:rPr>
                <w:rFonts w:hint="eastAsia" w:ascii="宋体" w:hAnsi="宋体" w:eastAsia="宋体" w:cs="宋体"/>
                <w:b w:val="0"/>
                <w:bCs w:val="0"/>
                <w:i/>
                <w:iCs/>
                <w:color w:val="auto"/>
                <w:szCs w:val="21"/>
                <w:highlight w:val="none"/>
              </w:rPr>
              <w:t>（注：履约保证金数额不得超过政府采购合同金额的5%，对中小企业收取的履约保证金数额不得超过政府采购合同金额的2%</w:t>
            </w:r>
            <w:r>
              <w:rPr>
                <w:rFonts w:hint="eastAsia" w:ascii="宋体" w:hAnsi="宋体" w:cs="宋体"/>
                <w:b w:val="0"/>
                <w:bCs w:val="0"/>
                <w:i/>
                <w:iCs/>
                <w:color w:val="auto"/>
                <w:szCs w:val="21"/>
                <w:highlight w:val="none"/>
                <w:lang w:val="en-US" w:eastAsia="zh-CN"/>
              </w:rPr>
              <w:t>或</w:t>
            </w:r>
            <w:r>
              <w:rPr>
                <w:rFonts w:hint="eastAsia" w:ascii="宋体" w:hAnsi="宋体" w:eastAsia="宋体" w:cs="宋体"/>
                <w:b w:val="0"/>
                <w:bCs w:val="0"/>
                <w:i/>
                <w:iCs/>
                <w:color w:val="auto"/>
                <w:szCs w:val="21"/>
                <w:highlight w:val="none"/>
              </w:rPr>
              <w:t>不需要缴纳履约保证金</w:t>
            </w:r>
            <w:r>
              <w:rPr>
                <w:rFonts w:hint="eastAsia" w:ascii="宋体" w:hAnsi="宋体" w:cs="宋体"/>
                <w:b w:val="0"/>
                <w:bCs w:val="0"/>
                <w:i/>
                <w:iCs/>
                <w:color w:val="auto"/>
                <w:szCs w:val="21"/>
                <w:highlight w:val="none"/>
                <w:lang w:eastAsia="zh-CN"/>
              </w:rPr>
              <w:t>。）</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2.履约保证金提交方式：成交供应商在</w:t>
            </w:r>
            <w:r>
              <w:rPr>
                <w:rFonts w:hint="eastAsia" w:ascii="宋体" w:hAnsi="宋体" w:eastAsia="宋体" w:cs="宋体"/>
                <w:color w:val="auto"/>
                <w:szCs w:val="21"/>
                <w:highlight w:val="none"/>
                <w:u w:val="single"/>
              </w:rPr>
              <w:t>签订合同前</w:t>
            </w:r>
            <w:r>
              <w:rPr>
                <w:rFonts w:hint="eastAsia" w:ascii="宋体" w:hAnsi="宋体" w:eastAsia="宋体" w:cs="宋体"/>
                <w:color w:val="auto"/>
                <w:szCs w:val="21"/>
                <w:highlight w:val="none"/>
              </w:rPr>
              <w:t xml:space="preserve">以银行转账、支票、汇票、本票或者金融机构、担保机构出具的保函等非现金方式向     </w:t>
            </w:r>
            <w:r>
              <w:rPr>
                <w:rFonts w:hint="eastAsia" w:ascii="宋体" w:hAnsi="宋体" w:eastAsia="宋体" w:cs="宋体"/>
                <w:color w:val="auto"/>
                <w:szCs w:val="21"/>
                <w:highlight w:val="none"/>
                <w:u w:val="single"/>
              </w:rPr>
              <w:t>采购人</w:t>
            </w:r>
            <w:r>
              <w:rPr>
                <w:rFonts w:hint="eastAsia" w:ascii="宋体" w:hAnsi="宋体" w:eastAsia="宋体" w:cs="宋体"/>
                <w:color w:val="auto"/>
                <w:szCs w:val="21"/>
                <w:highlight w:val="none"/>
              </w:rPr>
              <w:t>提交。</w:t>
            </w:r>
          </w:p>
          <w:p>
            <w:pPr>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3.履约保证金退付方式、时间及条件：</w:t>
            </w:r>
            <w:r>
              <w:rPr>
                <w:color w:val="auto"/>
                <w:szCs w:val="21"/>
                <w:highlight w:val="none"/>
                <w:u w:val="single"/>
              </w:rPr>
              <w:t>项目验收合格</w:t>
            </w:r>
            <w:r>
              <w:rPr>
                <w:rFonts w:hint="eastAsia"/>
                <w:color w:val="auto"/>
                <w:szCs w:val="21"/>
                <w:highlight w:val="none"/>
                <w:u w:val="single"/>
              </w:rPr>
              <w:t>后</w:t>
            </w:r>
            <w:r>
              <w:rPr>
                <w:rFonts w:hint="eastAsia" w:ascii="宋体" w:hAnsi="宋体" w:cs="宋体"/>
                <w:color w:val="auto"/>
                <w:szCs w:val="21"/>
                <w:highlight w:val="none"/>
                <w:u w:val="single"/>
              </w:rPr>
              <w:t>由成交供应商向履约保证金收取单位提供《履约保证金退付意见书》，如成交供应商无违约行为的，采购人在收到合格材料后</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个工作日内办理退还手续（不计利息）。</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4.缴纳履约保证金指定账户的信息：</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开户名称：</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开户银行：</w:t>
            </w:r>
          </w:p>
          <w:p>
            <w:pPr>
              <w:spacing w:line="360" w:lineRule="auto"/>
              <w:rPr>
                <w:rFonts w:ascii="宋体" w:hAnsi="宋体" w:cs="宋体"/>
                <w:color w:val="auto"/>
                <w:szCs w:val="21"/>
                <w:highlight w:val="none"/>
              </w:rPr>
            </w:pPr>
            <w:r>
              <w:rPr>
                <w:rFonts w:hint="eastAsia" w:ascii="宋体" w:hAnsi="宋体" w:cs="宋体"/>
                <w:color w:val="auto"/>
                <w:szCs w:val="21"/>
                <w:highlight w:val="none"/>
              </w:rPr>
              <w:t>银行账号：</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备注：</w:t>
            </w:r>
          </w:p>
          <w:p>
            <w:pPr>
              <w:spacing w:line="360" w:lineRule="auto"/>
              <w:rPr>
                <w:rFonts w:ascii="宋体" w:hAnsi="宋体" w:eastAsia="宋体" w:cs="宋体"/>
                <w:b/>
                <w:color w:val="auto"/>
                <w:szCs w:val="21"/>
                <w:highlight w:val="none"/>
              </w:rPr>
            </w:pPr>
            <w:r>
              <w:rPr>
                <w:rFonts w:hint="eastAsia" w:ascii="宋体" w:hAnsi="宋体" w:eastAsia="宋体" w:cs="宋体"/>
                <w:b/>
                <w:color w:val="auto"/>
                <w:szCs w:val="21"/>
                <w:highlight w:val="none"/>
              </w:rPr>
              <w:t>1.履约保证金不足额缴纳的（包含保函额度不足的），或者不按规定提交方式提交的，或者保函有效期低于合同履行期限的（即合同中规定的当事人履行自己的义务，如交付标的物、价款或者报酬，履行劳务、完成工作的时间界限）的，视为未按规定提交履约保证金。</w:t>
            </w:r>
          </w:p>
          <w:p>
            <w:pPr>
              <w:spacing w:line="360" w:lineRule="auto"/>
              <w:rPr>
                <w:rFonts w:ascii="宋体" w:hAnsi="宋体" w:eastAsia="宋体" w:cs="宋体"/>
                <w:b/>
                <w:color w:val="auto"/>
                <w:szCs w:val="21"/>
                <w:highlight w:val="none"/>
              </w:rPr>
            </w:pPr>
            <w:r>
              <w:rPr>
                <w:rFonts w:hint="eastAsia" w:ascii="宋体" w:hAnsi="宋体" w:eastAsia="宋体" w:cs="宋体"/>
                <w:b/>
                <w:color w:val="auto"/>
                <w:szCs w:val="21"/>
                <w:highlight w:val="none"/>
              </w:rPr>
              <w:t>2.采用金融、担保机构出具保函的，必须为无条件保函，否则视为未按规定提交履约保证金。</w:t>
            </w:r>
          </w:p>
          <w:p>
            <w:pPr>
              <w:spacing w:line="360" w:lineRule="auto"/>
              <w:rPr>
                <w:rFonts w:ascii="宋体" w:hAnsi="宋体" w:eastAsia="宋体" w:cs="宋体"/>
                <w:color w:val="auto"/>
                <w:szCs w:val="21"/>
                <w:highlight w:val="none"/>
              </w:rPr>
            </w:pPr>
            <w:r>
              <w:rPr>
                <w:rFonts w:hint="eastAsia" w:ascii="宋体" w:hAnsi="宋体" w:eastAsia="宋体" w:cs="宋体"/>
                <w:b/>
                <w:color w:val="auto"/>
                <w:szCs w:val="21"/>
                <w:highlight w:val="none"/>
              </w:rPr>
              <w:t>3.供应商为联合体的，可由联合体任意一方或者联合体各方共同提交的履约保证金，视为有效履约保证金。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28.5</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586" w:type="dxa"/>
            <w:vAlign w:val="center"/>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委托代理人负责签订合同的，须携带有效的法定代表人授权委托书及其委托代理人身份证原件等其他资格证件。</w:t>
            </w:r>
          </w:p>
          <w:p>
            <w:pPr>
              <w:spacing w:line="360" w:lineRule="auto"/>
              <w:rPr>
                <w:rFonts w:ascii="宋体" w:hAnsi="宋体" w:eastAsia="宋体" w:cs="宋体"/>
                <w:color w:val="auto"/>
                <w:highlight w:val="none"/>
              </w:rPr>
            </w:pPr>
            <w:r>
              <w:rPr>
                <w:rFonts w:hint="eastAsia" w:ascii="宋体" w:hAnsi="宋体" w:eastAsia="宋体" w:cs="宋体"/>
                <w:color w:val="auto"/>
                <w:szCs w:val="21"/>
                <w:highlight w:val="none"/>
              </w:rPr>
              <w:t>法定代表人负责签订合同的，须携带法定代表人身份证明原件及身份证原件等其他证明材料。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30.2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586" w:type="dxa"/>
            <w:vAlign w:val="center"/>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pPr>
              <w:spacing w:line="360" w:lineRule="auto"/>
              <w:jc w:val="center"/>
              <w:rPr>
                <w:rFonts w:ascii="宋体" w:hAnsi="宋体" w:eastAsia="宋体" w:cs="宋体"/>
                <w:color w:val="auto"/>
                <w:szCs w:val="21"/>
                <w:highlight w:val="none"/>
              </w:rPr>
            </w:pP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586" w:type="dxa"/>
            <w:vAlign w:val="center"/>
          </w:tcPr>
          <w:p>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（1）名称：</w:t>
            </w:r>
            <w:r>
              <w:rPr>
                <w:rFonts w:hint="eastAsia" w:ascii="宋体" w:hAnsi="宋体" w:eastAsia="宋体" w:cs="宋体"/>
                <w:color w:val="auto"/>
                <w:szCs w:val="21"/>
                <w:highlight w:val="none"/>
                <w:lang w:eastAsia="zh-CN"/>
              </w:rPr>
              <w:t>广西医科大学附属武鸣医院</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lang w:val="en-US" w:eastAsia="zh-CN"/>
              </w:rPr>
              <w:t>丘工</w:t>
            </w:r>
            <w:r>
              <w:rPr>
                <w:rFonts w:hint="eastAsia" w:ascii="宋体" w:hAnsi="宋体" w:eastAsia="宋体" w:cs="宋体"/>
                <w:color w:val="auto"/>
                <w:szCs w:val="21"/>
                <w:highlight w:val="none"/>
              </w:rPr>
              <w:t>，</w:t>
            </w:r>
            <w:r>
              <w:rPr>
                <w:rFonts w:hint="eastAsia" w:ascii="宋体" w:hAnsi="宋体" w:cs="宋体"/>
                <w:color w:val="auto"/>
                <w:highlight w:val="none"/>
              </w:rPr>
              <w:t>0771-</w:t>
            </w:r>
            <w:r>
              <w:rPr>
                <w:rFonts w:hint="eastAsia" w:ascii="宋体" w:hAnsi="宋体" w:cs="宋体"/>
                <w:color w:val="auto"/>
                <w:highlight w:val="none"/>
                <w:lang w:val="en-US" w:eastAsia="zh-CN"/>
              </w:rPr>
              <w:t>6200039</w:t>
            </w:r>
            <w:r>
              <w:rPr>
                <w:rFonts w:hint="eastAsia" w:ascii="宋体" w:hAnsi="宋体" w:eastAsia="宋体" w:cs="宋体"/>
                <w:color w:val="auto"/>
                <w:szCs w:val="21"/>
                <w:highlight w:val="none"/>
              </w:rPr>
              <w:t xml:space="preserve"> </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通讯地址： </w:t>
            </w:r>
            <w:r>
              <w:rPr>
                <w:rFonts w:hint="eastAsia" w:ascii="宋体" w:hAnsi="宋体" w:cs="宋体"/>
                <w:color w:val="auto"/>
                <w:highlight w:val="none"/>
                <w:lang w:val="en-US" w:eastAsia="zh-CN"/>
              </w:rPr>
              <w:fldChar w:fldCharType="begin"/>
            </w:r>
            <w:r>
              <w:rPr>
                <w:rFonts w:hint="eastAsia" w:ascii="宋体" w:hAnsi="宋体" w:cs="宋体"/>
                <w:color w:val="auto"/>
                <w:highlight w:val="none"/>
                <w:lang w:val="en-US" w:eastAsia="zh-CN"/>
              </w:rPr>
              <w:instrText xml:space="preserve"> HYPERLINK "https://j.map.baidu.com/df/HTXi" \t "https://www.gxmuwmfy.com/_blank" </w:instrText>
            </w:r>
            <w:r>
              <w:rPr>
                <w:rFonts w:hint="eastAsia" w:ascii="宋体" w:hAnsi="宋体" w:cs="宋体"/>
                <w:color w:val="auto"/>
                <w:highlight w:val="none"/>
                <w:lang w:val="en-US" w:eastAsia="zh-CN"/>
              </w:rPr>
              <w:fldChar w:fldCharType="separate"/>
            </w:r>
            <w:r>
              <w:rPr>
                <w:rFonts w:hint="default" w:ascii="宋体" w:hAnsi="宋体" w:cs="宋体"/>
                <w:color w:val="auto"/>
                <w:highlight w:val="none"/>
                <w:lang w:val="en-US" w:eastAsia="zh-CN"/>
              </w:rPr>
              <w:t>广西南宁市武鸣区永宁路26号</w:t>
            </w:r>
            <w:r>
              <w:rPr>
                <w:rFonts w:hint="default" w:ascii="宋体" w:hAnsi="宋体" w:cs="宋体"/>
                <w:color w:val="auto"/>
                <w:highlight w:val="none"/>
                <w:lang w:val="en-US" w:eastAsia="zh-CN"/>
              </w:rPr>
              <w:fldChar w:fldCharType="end"/>
            </w:r>
            <w:r>
              <w:rPr>
                <w:rFonts w:hint="eastAsia" w:ascii="宋体" w:hAnsi="宋体" w:cs="宋体"/>
                <w:color w:val="auto"/>
                <w:highlight w:val="none"/>
                <w:lang w:val="en-US" w:eastAsia="zh-CN"/>
              </w:rPr>
              <w:t xml:space="preserve">  </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（2）名称：广西科联招标中心有限公司</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联系电话：0771-3486228 </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通讯地址：广西南宁市大学东路170号（广西农业机械研究院内）广西科联招标中心有限公司</w:t>
            </w:r>
            <w:r>
              <w:rPr>
                <w:rFonts w:hint="eastAsia" w:ascii="宋体" w:hAnsi="宋体" w:eastAsia="宋体" w:cs="宋体"/>
                <w:b/>
                <w:bCs/>
                <w:color w:val="auto"/>
                <w:szCs w:val="21"/>
                <w:highlight w:val="none"/>
              </w:rPr>
              <w:t>一楼102室</w:t>
            </w:r>
            <w:r>
              <w:rPr>
                <w:rFonts w:hint="eastAsia" w:ascii="宋体" w:hAnsi="宋体" w:eastAsia="宋体" w:cs="宋体"/>
                <w:color w:val="auto"/>
                <w:szCs w:val="21"/>
                <w:highlight w:val="non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pPr>
              <w:spacing w:line="360" w:lineRule="auto"/>
              <w:jc w:val="center"/>
              <w:rPr>
                <w:rFonts w:ascii="宋体" w:hAnsi="宋体" w:eastAsia="宋体" w:cs="宋体"/>
                <w:color w:val="auto"/>
                <w:szCs w:val="21"/>
                <w:highlight w:val="none"/>
              </w:rPr>
            </w:pP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4"/>
                <w:highlight w:val="none"/>
              </w:rPr>
              <w:t>现场提交质疑办理业务时间</w:t>
            </w:r>
          </w:p>
        </w:tc>
        <w:tc>
          <w:tcPr>
            <w:tcW w:w="6586" w:type="dxa"/>
            <w:vAlign w:val="center"/>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4"/>
                <w:highlight w:val="none"/>
              </w:rPr>
              <w:t>质疑期内每个工作日</w:t>
            </w:r>
            <w:r>
              <w:rPr>
                <w:rFonts w:hint="eastAsia" w:ascii="宋体" w:hAnsi="宋体" w:eastAsia="宋体" w:cs="宋体"/>
                <w:color w:val="auto"/>
                <w:highlight w:val="none"/>
              </w:rPr>
              <w:t>（北京时间）上午</w:t>
            </w:r>
            <w:r>
              <w:rPr>
                <w:rFonts w:hint="eastAsia" w:ascii="宋体" w:hAnsi="宋体" w:eastAsia="宋体" w:cs="宋体"/>
                <w:color w:val="auto"/>
                <w:highlight w:val="none"/>
                <w:u w:val="single"/>
              </w:rPr>
              <w:t>8</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分，下午</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18</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30.6</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586" w:type="dxa"/>
            <w:vAlign w:val="center"/>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1、受理方式：纸质方式受理，投诉书正、副本（经过质疑的事项才可投诉）。</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2、通讯方式</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名称：广西壮族自治区财政厅政府采购监督管理处  </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地址：</w:t>
            </w:r>
            <w:bookmarkStart w:id="71" w:name="PO_3000001871_PM039"/>
            <w:r>
              <w:rPr>
                <w:rFonts w:hint="eastAsia" w:ascii="宋体" w:hAnsi="宋体" w:eastAsia="宋体" w:cs="宋体"/>
                <w:color w:val="auto"/>
                <w:szCs w:val="21"/>
                <w:highlight w:val="none"/>
              </w:rPr>
              <w:t xml:space="preserve">南宁市桃源路69号广西财政大厦7楼 </w:t>
            </w:r>
            <w:bookmarkEnd w:id="71"/>
            <w:r>
              <w:rPr>
                <w:rFonts w:hint="eastAsia" w:ascii="宋体" w:hAnsi="宋体" w:eastAsia="宋体" w:cs="宋体"/>
                <w:color w:val="auto"/>
                <w:szCs w:val="21"/>
                <w:highlight w:val="none"/>
              </w:rPr>
              <w:t xml:space="preserve"> </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联系电话：0771-5331544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采购代理服务费</w:t>
            </w:r>
          </w:p>
        </w:tc>
        <w:tc>
          <w:tcPr>
            <w:tcW w:w="6586" w:type="dxa"/>
            <w:vAlign w:val="center"/>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 是否收取采购代理服务费：</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☑是    □ 否</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2.采购代理服务费支付方式：</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☑本项目采购代理服务费由</w:t>
            </w:r>
            <w:r>
              <w:rPr>
                <w:rFonts w:hint="eastAsia" w:ascii="宋体" w:hAnsi="宋体" w:eastAsia="宋体" w:cs="宋体"/>
                <w:color w:val="auto"/>
                <w:szCs w:val="21"/>
                <w:highlight w:val="none"/>
                <w:u w:val="single"/>
              </w:rPr>
              <w:t>成交供应商</w:t>
            </w:r>
            <w:r>
              <w:rPr>
                <w:rFonts w:hint="eastAsia" w:ascii="宋体" w:hAnsi="宋体" w:eastAsia="宋体" w:cs="宋体"/>
                <w:color w:val="auto"/>
                <w:szCs w:val="21"/>
                <w:highlight w:val="none"/>
              </w:rPr>
              <w:t>在签订合同前，</w:t>
            </w:r>
            <w:r>
              <w:rPr>
                <w:rFonts w:hint="eastAsia" w:ascii="宋体" w:hAnsi="宋体" w:eastAsia="宋体" w:cs="宋体"/>
                <w:color w:val="auto"/>
                <w:highlight w:val="none"/>
              </w:rPr>
              <w:t>以银行转账、电汇等方式</w:t>
            </w:r>
            <w:r>
              <w:rPr>
                <w:rFonts w:hint="eastAsia" w:ascii="宋体" w:hAnsi="宋体" w:eastAsia="宋体" w:cs="宋体"/>
                <w:color w:val="auto"/>
                <w:szCs w:val="21"/>
                <w:highlight w:val="none"/>
              </w:rPr>
              <w:t>一次性向采购代理机构支付。</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□采购人支付：</w:t>
            </w:r>
            <w:r>
              <w:rPr>
                <w:rFonts w:hint="eastAsia" w:ascii="宋体" w:hAnsi="宋体" w:eastAsia="宋体" w:cs="宋体"/>
                <w:color w:val="auto"/>
                <w:szCs w:val="21"/>
                <w:highlight w:val="none"/>
                <w:u w:val="single"/>
              </w:rPr>
              <w:t xml:space="preserve">           </w:t>
            </w:r>
            <w:r>
              <w:rPr>
                <w:rFonts w:hint="eastAsia" w:ascii="宋体" w:hAnsi="宋体" w:eastAsia="宋体" w:cs="宋体"/>
                <w:i/>
                <w:iCs/>
                <w:color w:val="auto"/>
                <w:highlight w:val="none"/>
                <w:u w:val="single"/>
              </w:rPr>
              <w:t>。</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3.采购代理费收取标准：</w:t>
            </w:r>
          </w:p>
          <w:p>
            <w:pPr>
              <w:spacing w:line="360" w:lineRule="auto"/>
              <w:rPr>
                <w:rFonts w:hint="eastAsia" w:ascii="宋体" w:hAnsi="宋体" w:eastAsia="宋体" w:cs="宋体"/>
                <w:color w:val="auto"/>
                <w:szCs w:val="21"/>
                <w:highlight w:val="none"/>
              </w:rPr>
            </w:pPr>
            <w:bookmarkStart w:id="72" w:name="PO_3000001871_PM025"/>
            <w:r>
              <w:rPr>
                <w:rFonts w:hint="eastAsia" w:ascii="宋体" w:hAnsi="宋体" w:eastAsia="宋体" w:cs="宋体"/>
                <w:color w:val="auto"/>
                <w:szCs w:val="21"/>
                <w:highlight w:val="none"/>
              </w:rPr>
              <w:t>☑以项目（☑成交总金额/□采购预算/□暂定成交金额/□其他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）为计费额，按</w:t>
            </w:r>
            <w:r>
              <w:rPr>
                <w:rFonts w:hint="eastAsia" w:ascii="宋体" w:hAnsi="宋体" w:eastAsia="宋体" w:cs="宋体"/>
                <w:color w:val="auto"/>
                <w:highlight w:val="none"/>
              </w:rPr>
              <w:t>本须知正文第32.2条规定的收费计算标准（</w:t>
            </w:r>
            <w:r>
              <w:rPr>
                <w:rFonts w:hint="eastAsia" w:ascii="宋体" w:hAnsi="宋体" w:eastAsia="宋体" w:cs="宋体"/>
                <w:b/>
                <w:bCs/>
                <w:color w:val="auto"/>
                <w:szCs w:val="21"/>
                <w:highlight w:val="none"/>
                <w:u w:val="single"/>
              </w:rPr>
              <w:t>货物类</w:t>
            </w:r>
            <w:r>
              <w:rPr>
                <w:rFonts w:hint="eastAsia" w:ascii="宋体" w:hAnsi="宋体" w:eastAsia="宋体" w:cs="宋体"/>
                <w:color w:val="auto"/>
                <w:highlight w:val="none"/>
              </w:rPr>
              <w:t>）</w:t>
            </w:r>
            <w:r>
              <w:rPr>
                <w:rFonts w:hint="eastAsia" w:ascii="宋体" w:hAnsi="宋体" w:eastAsia="宋体" w:cs="宋体"/>
                <w:color w:val="auto"/>
                <w:szCs w:val="21"/>
                <w:highlight w:val="none"/>
              </w:rPr>
              <w:t>采用差额定率累进法计算出收费基准价格，采购代理机构收费以（</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收费基准价格/</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收费基准价格下浮</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10%</w:t>
            </w:r>
            <w:r>
              <w:rPr>
                <w:rFonts w:hint="eastAsia" w:ascii="宋体" w:hAnsi="宋体" w:eastAsia="宋体" w:cs="宋体"/>
                <w:color w:val="auto"/>
                <w:szCs w:val="21"/>
                <w:highlight w:val="none"/>
              </w:rPr>
              <w:t>/□收费基准价格上浮</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）收取。</w:t>
            </w:r>
            <w:bookmarkEnd w:id="72"/>
          </w:p>
          <w:p>
            <w:pPr>
              <w:spacing w:line="360" w:lineRule="auto"/>
              <w:rPr>
                <w:rFonts w:ascii="宋体" w:hAnsi="宋体" w:eastAsia="宋体" w:cs="宋体"/>
                <w:color w:val="auto"/>
                <w:highlight w:val="none"/>
              </w:rPr>
            </w:pPr>
            <w:r>
              <w:rPr>
                <w:rFonts w:hint="eastAsia" w:ascii="宋体" w:hAnsi="宋体" w:eastAsia="宋体" w:cs="宋体"/>
                <w:color w:val="auto"/>
                <w:szCs w:val="21"/>
                <w:highlight w:val="none"/>
              </w:rPr>
              <w:t>□固定采购代理收费：</w:t>
            </w:r>
            <w:r>
              <w:rPr>
                <w:rFonts w:hint="eastAsia" w:ascii="宋体" w:hAnsi="宋体" w:eastAsia="宋体" w:cs="宋体"/>
                <w:color w:val="auto"/>
                <w:szCs w:val="21"/>
                <w:highlight w:val="none"/>
                <w:u w:val="single"/>
              </w:rPr>
              <w:t xml:space="preserve">           。</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4. 采购代理服务费收取银行账户的信息</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开户名称：广西科联招标中心有限公司</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开户银行：中国工商银行南宁市高新科技支行</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银行账号：2102111229300032105</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开户行行号：102611011101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33.1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4"/>
                <w:highlight w:val="none"/>
              </w:rPr>
              <w:t>解释</w:t>
            </w:r>
          </w:p>
        </w:tc>
        <w:tc>
          <w:tcPr>
            <w:tcW w:w="6586" w:type="dxa"/>
            <w:vAlign w:val="center"/>
          </w:tcPr>
          <w:p>
            <w:pPr>
              <w:tabs>
                <w:tab w:val="left" w:pos="1080"/>
              </w:tabs>
              <w:spacing w:line="360" w:lineRule="auto"/>
              <w:rPr>
                <w:rFonts w:ascii="宋体" w:hAnsi="宋体" w:eastAsia="宋体" w:cs="宋体"/>
                <w:b/>
                <w:color w:val="auto"/>
                <w:szCs w:val="21"/>
                <w:highlight w:val="none"/>
              </w:rPr>
            </w:pPr>
            <w:r>
              <w:rPr>
                <w:rFonts w:hint="eastAsia" w:ascii="宋体" w:hAnsi="宋体" w:eastAsia="宋体" w:cs="宋体"/>
                <w:b/>
                <w:color w:val="auto"/>
                <w:szCs w:val="21"/>
                <w:highlight w:val="none"/>
              </w:rPr>
              <w:t>解释：</w:t>
            </w:r>
            <w:r>
              <w:rPr>
                <w:rFonts w:hint="eastAsia" w:ascii="宋体" w:hAnsi="宋体" w:eastAsia="宋体" w:cs="宋体"/>
                <w:color w:val="auto"/>
                <w:szCs w:val="21"/>
                <w:highlight w:val="none"/>
              </w:rPr>
              <w:t>构成本谈判文件的各个组成文件应互为解释，互为说明；除谈判文件中有特别规定外，仅适用于竞标阶段的规定，按更正公告（澄清公告）、竞争性谈判公告、采购需求、供应商须知、</w:t>
            </w:r>
            <w:r>
              <w:rPr>
                <w:rFonts w:hint="eastAsia" w:ascii="宋体" w:hAnsi="宋体" w:eastAsia="宋体" w:cs="宋体"/>
                <w:bCs/>
                <w:color w:val="auto"/>
                <w:szCs w:val="44"/>
                <w:highlight w:val="none"/>
                <w:lang w:val="zh-CN"/>
              </w:rPr>
              <w:t>评审程序、评审方法和成交标准</w:t>
            </w:r>
            <w:r>
              <w:rPr>
                <w:rFonts w:hint="eastAsia" w:ascii="宋体" w:hAnsi="宋体" w:eastAsia="宋体" w:cs="宋体"/>
                <w:color w:val="auto"/>
                <w:szCs w:val="21"/>
                <w:highlight w:val="none"/>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eastAsia="宋体" w:cs="宋体"/>
                <w:b/>
                <w:color w:val="auto"/>
                <w:szCs w:val="21"/>
                <w:highlight w:val="none"/>
              </w:rPr>
              <w:t>由采购人或者采购代理机构负责解释。</w:t>
            </w:r>
          </w:p>
          <w:p>
            <w:pPr>
              <w:tabs>
                <w:tab w:val="left" w:pos="1080"/>
              </w:tabs>
              <w:spacing w:line="360" w:lineRule="auto"/>
              <w:rPr>
                <w:rFonts w:ascii="宋体" w:hAnsi="宋体" w:eastAsia="宋体" w:cs="宋体"/>
                <w:color w:val="auto"/>
                <w:szCs w:val="21"/>
                <w:highlight w:val="none"/>
              </w:rPr>
            </w:pPr>
            <w:r>
              <w:rPr>
                <w:rFonts w:hint="eastAsia" w:ascii="宋体" w:hAnsi="宋体" w:eastAsia="宋体" w:cs="宋体"/>
                <w:b/>
                <w:color w:val="auto"/>
                <w:szCs w:val="21"/>
                <w:highlight w:val="none"/>
              </w:rPr>
              <w:t>法律责任：</w:t>
            </w:r>
          </w:p>
          <w:p>
            <w:pPr>
              <w:tabs>
                <w:tab w:val="left" w:pos="1080"/>
              </w:tabs>
              <w:spacing w:line="360" w:lineRule="auto"/>
              <w:rPr>
                <w:rFonts w:ascii="宋体" w:hAnsi="宋体" w:eastAsia="宋体" w:cs="宋体"/>
                <w:color w:val="auto"/>
                <w:szCs w:val="24"/>
                <w:highlight w:val="none"/>
              </w:rPr>
            </w:pPr>
            <w:r>
              <w:rPr>
                <w:rFonts w:hint="eastAsia" w:ascii="宋体" w:hAnsi="宋体" w:eastAsia="宋体" w:cs="宋体"/>
                <w:color w:val="auto"/>
                <w:szCs w:val="21"/>
                <w:highlight w:val="none"/>
              </w:rPr>
              <w:t>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33.2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586" w:type="dxa"/>
            <w:vAlign w:val="center"/>
          </w:tcPr>
          <w:p>
            <w:pPr>
              <w:pStyle w:val="16"/>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本竞争性谈判文件中描述供应商的“公章”是指根据我国对公章的管理规定，用供应商法定主体行为名称制作的实物印章或供应商通过指定电子化政府采购平台办理数字证书（CA认证）获得的以法定主体行为名称制作的电子印章。除本竞争性谈判文件有特殊规定外，供应商的财务章、部门章、分公司章、工会章、合同章、竞标专用章、业务专用章及银行的转账章、现金收讫章、现金付讫章等其他形式印章均不能代替公章。</w:t>
            </w:r>
          </w:p>
          <w:p>
            <w:pPr>
              <w:pStyle w:val="16"/>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2.本竞争性谈判文件中描述供应商的“签字”是指供应商通过指定电子化政府采购平台办理数字证书（CA认证）获得的以供应商法定代表人或者委托代理人姓名制作的电子印章或手写签字。</w:t>
            </w:r>
          </w:p>
          <w:p>
            <w:pPr>
              <w:pStyle w:val="16"/>
              <w:tabs>
                <w:tab w:val="center" w:pos="4153"/>
                <w:tab w:val="right" w:pos="8306"/>
              </w:tabs>
              <w:spacing w:line="360" w:lineRule="auto"/>
              <w:ind w:firstLine="420"/>
              <w:rPr>
                <w:rFonts w:ascii="宋体" w:hAnsi="宋体" w:cs="宋体"/>
                <w:color w:val="auto"/>
                <w:szCs w:val="21"/>
                <w:highlight w:val="none"/>
                <w:lang w:val="en-US"/>
              </w:rPr>
            </w:pPr>
            <w:r>
              <w:rPr>
                <w:rFonts w:hint="eastAsia" w:ascii="宋体" w:hAnsi="宋体" w:cs="宋体"/>
                <w:color w:val="auto"/>
                <w:szCs w:val="21"/>
                <w:highlight w:val="none"/>
                <w:lang w:val="en-US"/>
              </w:rPr>
              <w:t>3.本竞争性谈判文件所称的“电子签章”“电子签名”，是指经广西政府采购云平台认可的CA认证的电子签名数据为表现形式的印章，可用于签署电子版响应文件，电子印章与实物印章具有同等法律效力，不因其采用电子化表现形式而否定其法律效力。</w:t>
            </w:r>
          </w:p>
          <w:p>
            <w:pPr>
              <w:pStyle w:val="16"/>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rPr>
              <w:t>4</w:t>
            </w:r>
            <w:r>
              <w:rPr>
                <w:rFonts w:hint="eastAsia" w:ascii="宋体" w:hAnsi="宋体" w:cs="宋体"/>
                <w:color w:val="auto"/>
                <w:szCs w:val="21"/>
                <w:highlight w:val="none"/>
              </w:rPr>
              <w:t>.供应商为其他组织或者自然人时，本竞争性谈判文件规定的法定代表人指负责人或者自然人。本竞争性谈判文件所称负责人是指参加竞标的其他组织营业执照上的负责人，本竞争性谈判文件所称自然人指参与竞标的自然人本人。</w:t>
            </w:r>
          </w:p>
          <w:p>
            <w:pPr>
              <w:pStyle w:val="16"/>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rPr>
              <w:t>5</w:t>
            </w:r>
            <w:r>
              <w:rPr>
                <w:rFonts w:hint="eastAsia" w:ascii="宋体" w:hAnsi="宋体" w:cs="宋体"/>
                <w:color w:val="auto"/>
                <w:szCs w:val="21"/>
                <w:highlight w:val="none"/>
              </w:rPr>
              <w:t>.自然人竞标的，竞争性谈判文件规定盖公章处由自然人摁手指指印。</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6.本竞争性谈判文件所称的“以上”“以下”“以内”“届满”，包括本数；所称的“不满”“超过”“以外”，不包括本数。</w:t>
            </w:r>
          </w:p>
        </w:tc>
      </w:tr>
    </w:tbl>
    <w:p>
      <w:pPr>
        <w:keepNext/>
        <w:keepLines/>
        <w:spacing w:before="260" w:after="260" w:line="420" w:lineRule="exact"/>
        <w:jc w:val="center"/>
        <w:outlineLvl w:val="1"/>
        <w:rPr>
          <w:rFonts w:ascii="宋体" w:hAnsi="宋体" w:eastAsia="宋体" w:cs="宋体"/>
          <w:bCs/>
          <w:color w:val="auto"/>
          <w:sz w:val="32"/>
          <w:szCs w:val="32"/>
          <w:highlight w:val="none"/>
          <w:lang w:val="zh-CN"/>
        </w:rPr>
      </w:pPr>
      <w:r>
        <w:rPr>
          <w:rFonts w:hint="eastAsia" w:ascii="宋体" w:hAnsi="宋体" w:eastAsia="宋体" w:cs="宋体"/>
          <w:bCs/>
          <w:color w:val="auto"/>
          <w:sz w:val="32"/>
          <w:szCs w:val="32"/>
          <w:highlight w:val="none"/>
          <w:lang w:val="zh-CN"/>
        </w:rPr>
        <w:br w:type="page" w:clear="all"/>
      </w:r>
      <w:bookmarkStart w:id="73" w:name="_Toc29286"/>
      <w:bookmarkStart w:id="74" w:name="_Toc20165"/>
      <w:bookmarkStart w:id="75" w:name="_Toc80205924"/>
      <w:r>
        <w:rPr>
          <w:rFonts w:hint="eastAsia" w:ascii="宋体" w:hAnsi="宋体" w:eastAsia="宋体" w:cs="宋体"/>
          <w:bCs/>
          <w:color w:val="auto"/>
          <w:sz w:val="32"/>
          <w:szCs w:val="32"/>
          <w:highlight w:val="none"/>
          <w:lang w:val="zh-CN"/>
        </w:rPr>
        <w:t>第二节 供应商须知正文</w:t>
      </w:r>
      <w:bookmarkEnd w:id="73"/>
      <w:bookmarkEnd w:id="74"/>
      <w:bookmarkEnd w:id="75"/>
    </w:p>
    <w:p>
      <w:pPr>
        <w:keepNext/>
        <w:keepLines/>
        <w:spacing w:line="360" w:lineRule="auto"/>
        <w:ind w:firstLine="640"/>
        <w:outlineLvl w:val="2"/>
        <w:rPr>
          <w:rFonts w:ascii="宋体" w:hAnsi="宋体" w:eastAsia="宋体" w:cs="宋体"/>
          <w:bCs/>
          <w:color w:val="auto"/>
          <w:sz w:val="32"/>
          <w:szCs w:val="32"/>
          <w:highlight w:val="none"/>
          <w:lang w:val="zh-CN"/>
        </w:rPr>
      </w:pPr>
      <w:bookmarkStart w:id="76" w:name="_Toc18711"/>
      <w:bookmarkStart w:id="77" w:name="_Toc27704"/>
      <w:bookmarkStart w:id="78" w:name="_Toc80205925"/>
      <w:r>
        <w:rPr>
          <w:rFonts w:hint="eastAsia" w:ascii="宋体" w:hAnsi="宋体" w:eastAsia="宋体" w:cs="宋体"/>
          <w:bCs/>
          <w:color w:val="auto"/>
          <w:sz w:val="32"/>
          <w:szCs w:val="32"/>
          <w:highlight w:val="none"/>
          <w:lang w:val="zh-CN"/>
        </w:rPr>
        <w:t>一、总则</w:t>
      </w:r>
      <w:bookmarkEnd w:id="76"/>
      <w:bookmarkEnd w:id="77"/>
      <w:bookmarkEnd w:id="78"/>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1.适用范围</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本竞争性谈判文件（以下简称谈判文件）适用于本项目的所有采购程序和环节（法律、法规另有规定的，从其规定）。</w:t>
      </w:r>
    </w:p>
    <w:p>
      <w:pPr>
        <w:spacing w:line="360" w:lineRule="auto"/>
        <w:ind w:firstLine="482"/>
        <w:rPr>
          <w:rFonts w:ascii="宋体" w:hAnsi="宋体" w:eastAsia="宋体" w:cs="宋体"/>
          <w:color w:val="auto"/>
          <w:szCs w:val="21"/>
          <w:highlight w:val="none"/>
        </w:rPr>
      </w:pPr>
      <w:r>
        <w:rPr>
          <w:rFonts w:hint="eastAsia" w:ascii="宋体" w:hAnsi="宋体" w:eastAsia="宋体" w:cs="宋体"/>
          <w:b/>
          <w:bCs/>
          <w:color w:val="auto"/>
          <w:sz w:val="24"/>
          <w:szCs w:val="24"/>
          <w:highlight w:val="none"/>
        </w:rPr>
        <w:t>2.定义</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2.1“采购人”是指依法进行采购的国家机关、事业单位、团体组织。</w:t>
      </w:r>
    </w:p>
    <w:p>
      <w:pPr>
        <w:spacing w:line="360" w:lineRule="auto"/>
        <w:ind w:firstLine="420"/>
        <w:rPr>
          <w:rFonts w:ascii="宋体" w:hAnsi="宋体" w:eastAsia="宋体" w:cs="宋体"/>
          <w:b/>
          <w:color w:val="auto"/>
          <w:szCs w:val="21"/>
          <w:highlight w:val="none"/>
        </w:rPr>
      </w:pPr>
      <w:r>
        <w:rPr>
          <w:rFonts w:hint="eastAsia" w:ascii="宋体" w:hAnsi="宋体" w:eastAsia="宋体" w:cs="宋体"/>
          <w:color w:val="auto"/>
          <w:szCs w:val="21"/>
          <w:highlight w:val="none"/>
        </w:rPr>
        <w:t>2.2“采购代理机构”是指政府采购集中采购机构和集中采购机构以外的采购代理机构。</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2.4“货物”是指各种形态和种类的物品，包括原材料、燃料、设备、产品等。</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2.5“竞标”是指按照本项目竞争性谈判公告规定的方式供应商获取谈判文件、提交响应文件并希望获得标的的行为。</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2.6“售后服务” 是指包含但不限于供应商须承担的备品备件、包装、运输、装卸、保险、货到就位以及安装、调试、培训、保修和其他类似的义务。</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2.7“书面形式”是指合同书、信件和数据电文（包括电报、电传、传真、电子数据交换和电子邮件）等可以有形地表现所载内容的形式。</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2.8“响应文件”</w:t>
      </w:r>
      <w:r>
        <w:rPr>
          <w:rFonts w:hint="eastAsia" w:ascii="宋体" w:hAnsi="宋体" w:eastAsia="宋体" w:cs="宋体"/>
          <w:color w:val="auto"/>
          <w:spacing w:val="-6"/>
          <w:szCs w:val="21"/>
          <w:highlight w:val="none"/>
        </w:rPr>
        <w:t>是指供应商根据本文件要求，编制包含报价、技术和货物等所有内容的文件。</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2.9 “实质性要求”：详见供应商须知前附表。</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2.10“正偏离”是指响应文件对谈判文件“采购需求”中有关条款作出优于条款要求并有利于采购人的响应情形；</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2.11“负偏离”是指响应文件对谈判文件“采购需求”中有关条款作出的响应不满足条款要求，导致采购人要求不能得到满足的情形。</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2.12“首次报价”是指供应商提交的首次响应文件中的响应报价。</w:t>
      </w:r>
    </w:p>
    <w:p>
      <w:pPr>
        <w:spacing w:line="360" w:lineRule="auto"/>
        <w:ind w:firstLine="420"/>
        <w:rPr>
          <w:rFonts w:ascii="宋体" w:hAnsi="宋体" w:eastAsia="宋体" w:cs="宋体"/>
          <w:color w:val="auto"/>
          <w:highlight w:val="none"/>
        </w:rPr>
      </w:pPr>
      <w:r>
        <w:rPr>
          <w:rFonts w:hint="eastAsia" w:ascii="宋体" w:hAnsi="宋体" w:eastAsia="宋体" w:cs="宋体"/>
          <w:color w:val="auto"/>
          <w:szCs w:val="21"/>
          <w:highlight w:val="none"/>
        </w:rPr>
        <w:t>2.13“评审价”是指供应商提交的最后报价并经修正和政策功能价格扣除后的价格。</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3.供应商的资格条件</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4.谈判费用</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供应商应承担参与本次采购活动有关的所有费用，包括但不限于勘查现场、编制和提交响应文件、参加谈判与应答、签订合同等，不论竞标结果如何，均应自行承担。</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5.联合体竞标</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szCs w:val="24"/>
          <w:highlight w:val="none"/>
        </w:rPr>
        <w:t>如接受联合体竞标，</w:t>
      </w:r>
      <w:r>
        <w:rPr>
          <w:rFonts w:hint="eastAsia" w:ascii="宋体" w:hAnsi="宋体" w:eastAsia="宋体" w:cs="宋体"/>
          <w:color w:val="auto"/>
          <w:szCs w:val="21"/>
          <w:highlight w:val="none"/>
        </w:rPr>
        <w:t>联合体竞标要求详见“供应商须知前附表”。</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6.转包与分包             </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6.1本项目不允许转包。</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6.2本项目是否允许分包详见“供应商须知前附表”，本项目不允许违法分包。</w:t>
      </w:r>
    </w:p>
    <w:p>
      <w:pPr>
        <w:spacing w:line="360" w:lineRule="auto"/>
        <w:ind w:firstLine="482"/>
        <w:rPr>
          <w:rFonts w:ascii="宋体" w:hAnsi="宋体" w:eastAsia="宋体" w:cs="宋体"/>
          <w:b/>
          <w:bCs/>
          <w:color w:val="auto"/>
          <w:sz w:val="24"/>
          <w:szCs w:val="24"/>
          <w:highlight w:val="none"/>
        </w:rPr>
      </w:pPr>
      <w:bookmarkStart w:id="79" w:name="_Toc254970532"/>
      <w:bookmarkStart w:id="80" w:name="_Toc254970673"/>
      <w:r>
        <w:rPr>
          <w:rFonts w:hint="eastAsia" w:ascii="宋体" w:hAnsi="宋体" w:eastAsia="宋体" w:cs="宋体"/>
          <w:b/>
          <w:bCs/>
          <w:color w:val="auto"/>
          <w:sz w:val="24"/>
          <w:szCs w:val="24"/>
          <w:highlight w:val="none"/>
        </w:rPr>
        <w:t>7.特别说明</w:t>
      </w:r>
      <w:bookmarkEnd w:id="79"/>
      <w:bookmarkEnd w:id="80"/>
    </w:p>
    <w:p>
      <w:pPr>
        <w:spacing w:line="360" w:lineRule="auto"/>
        <w:ind w:firstLine="420"/>
        <w:rPr>
          <w:rFonts w:ascii="宋体" w:hAnsi="宋体" w:eastAsia="宋体" w:cs="宋体"/>
          <w:color w:val="auto"/>
          <w:szCs w:val="21"/>
          <w:highlight w:val="none"/>
        </w:rPr>
      </w:pPr>
      <w:bookmarkStart w:id="81" w:name="_8.1提供相同品牌产品且通过资格审查、符合性审查的不同投标人参加同一合"/>
      <w:bookmarkEnd w:id="81"/>
      <w:r>
        <w:rPr>
          <w:rFonts w:hint="eastAsia" w:ascii="宋体" w:hAnsi="宋体" w:eastAsia="宋体" w:cs="宋体"/>
          <w:color w:val="auto"/>
          <w:szCs w:val="21"/>
          <w:highlight w:val="none"/>
        </w:rPr>
        <w:t>7.1如果本谈判文件要求提供供应商或制造商的资格、信誉、荣誉、业绩与企业认证等材料的，资格、信誉、荣誉、业绩与企业认证等必须为供应商或者制造商所拥有或自身获得 。</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7.2供应商应仔细阅读谈判文件的所有内容，按照谈判文件的要求提交响应文件，并对所提供的全部资料的真实性承担法律责任。</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虚假材料,其响应文件作无效处理，并报监管部门查处；签订合同后发现的,成交供应商须依照《中华人民共和国民法典》规定赔偿采购人，且民事赔偿并不免除违法供应商的行政与刑事责任。</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7.4在政府采购活动中，采购人员及相关人员与供应商有下列利害关系之一的，应当回避：</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（1）参加采购活动前3年内与供应商存在劳动关系；</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（2）参加采购活动前3年内担任供应商的董事、监事；</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（3）参加采购活动前3年内是供应商的控股股东或者实际控制人；</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（4）与供应商的法定代表人或者负责人有夫妻、直系血亲、三代以内旁系血亲或者近姻亲关系；</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（5）与供应商有其他可能影响政府采购活动公平、公正进行的关系。</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7.5有下列情形之一的视为供应商相互串通竞标，响应文件将被视为无效：</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（1）不同供应商的响应文件由同一单位或者个人编制；或不同供应商报名的IP地址一致的；</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（2）不同供应商委托同一单位或者个人办理竞标事宜；</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（3）不同的供应商的响应文件载明的项目管理员为同一个人；</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（4）不同供应商的响应文件异常一致或者报价呈规律性差异；</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（5）不同供应商的响应文件相互混装；</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（6）不同供应商的谈判保证金从同一单位或者个人账户转出。</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7.6供应商有下列情形之一的，属于恶意串通行为</w:t>
      </w:r>
      <w:bookmarkStart w:id="82" w:name="_Hlk54682620"/>
      <w:r>
        <w:rPr>
          <w:rFonts w:hint="eastAsia" w:ascii="宋体" w:hAnsi="宋体" w:eastAsia="宋体" w:cs="宋体"/>
          <w:b/>
          <w:bCs/>
          <w:color w:val="auto"/>
          <w:szCs w:val="21"/>
          <w:highlight w:val="none"/>
        </w:rPr>
        <w:t>，将报同级监督管理部门</w:t>
      </w:r>
      <w:bookmarkEnd w:id="82"/>
      <w:r>
        <w:rPr>
          <w:rFonts w:hint="eastAsia" w:ascii="宋体" w:hAnsi="宋体" w:eastAsia="宋体" w:cs="宋体"/>
          <w:b/>
          <w:bCs/>
          <w:color w:val="auto"/>
          <w:szCs w:val="21"/>
          <w:highlight w:val="none"/>
        </w:rPr>
        <w:t>：</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（1）供应商直接或者间接从采购人或者采购代理机构处获得其他供应商的相关信息并修改其响应文件；</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（2）供应商按照采购人或者采购代理机构的授意撤换、修改响应文件；</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（3）供应商之间协商报价、技术方案等响应文件的实质性内容；</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（4）属于同一集团、协会、商会等组织成员的供应商按照该组织要求协同参加政府采购活动；</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（5）供应商之间事先约定一致抬高或者压低报价,或者在政府采购活动中事先约定轮流以高价位或者低价位成交,或者事先约定由某一特定供应商成交,然后再参加竞标；</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（6）供应商之间商定部分供应商放弃参加政府采购活动或者放弃成交；</w:t>
      </w:r>
    </w:p>
    <w:p>
      <w:pPr>
        <w:spacing w:line="360" w:lineRule="auto"/>
        <w:ind w:firstLine="422"/>
        <w:rPr>
          <w:rFonts w:ascii="宋体" w:hAnsi="宋体" w:eastAsia="宋体" w:cs="宋体"/>
          <w:b/>
          <w:bCs/>
          <w:color w:val="auto"/>
          <w:szCs w:val="24"/>
          <w:highlight w:val="none"/>
        </w:rPr>
      </w:pPr>
      <w:r>
        <w:rPr>
          <w:rFonts w:hint="eastAsia" w:ascii="宋体" w:hAnsi="宋体" w:eastAsia="宋体" w:cs="宋体"/>
          <w:b/>
          <w:bCs/>
          <w:color w:val="auto"/>
          <w:szCs w:val="24"/>
          <w:highlight w:val="none"/>
        </w:rPr>
        <w:t>（7）供应商与采购人或者采购代理机构之间、供应商相互之间，为谋求特定供应商成交或者排斥其他供应商的其他串通行为。</w:t>
      </w:r>
      <w:bookmarkStart w:id="83" w:name="_Toc254970534"/>
      <w:bookmarkStart w:id="84" w:name="_Toc254970675"/>
    </w:p>
    <w:p>
      <w:pPr>
        <w:keepNext/>
        <w:keepLines/>
        <w:spacing w:line="360" w:lineRule="auto"/>
        <w:ind w:firstLine="640"/>
        <w:outlineLvl w:val="2"/>
        <w:rPr>
          <w:rFonts w:ascii="宋体" w:hAnsi="宋体" w:eastAsia="宋体" w:cs="宋体"/>
          <w:color w:val="auto"/>
          <w:sz w:val="32"/>
          <w:szCs w:val="32"/>
          <w:highlight w:val="none"/>
          <w:lang w:val="zh-CN"/>
        </w:rPr>
      </w:pPr>
      <w:bookmarkStart w:id="85" w:name="_Toc80205926"/>
      <w:bookmarkStart w:id="86" w:name="_Toc10931"/>
      <w:bookmarkStart w:id="87" w:name="_Toc30516"/>
      <w:r>
        <w:rPr>
          <w:rFonts w:hint="eastAsia" w:ascii="宋体" w:hAnsi="宋体" w:eastAsia="宋体" w:cs="宋体"/>
          <w:color w:val="auto"/>
          <w:sz w:val="32"/>
          <w:szCs w:val="32"/>
          <w:highlight w:val="none"/>
          <w:lang w:val="zh-CN"/>
        </w:rPr>
        <w:t>二、谈判文件</w:t>
      </w:r>
      <w:bookmarkEnd w:id="83"/>
      <w:bookmarkEnd w:id="84"/>
      <w:bookmarkEnd w:id="85"/>
      <w:bookmarkEnd w:id="86"/>
      <w:bookmarkEnd w:id="87"/>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8.谈判文件的构成</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第一章 竞争性谈判公告；</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评审程序、评审方法和成交标准；</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第七章 质疑、投诉材料格式。</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9.供应商的询问</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供应商应认真阅读谈判文件的采购需求，如供应商对谈判文件有疑问的，如要求采购人作出澄清或者修改的，供应商尽应在提交首次响应文件截止之日前，以书面形式向采购人、采购代理机构提出。</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10.谈判文件的澄清和修改</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pPr>
        <w:spacing w:line="360" w:lineRule="auto"/>
        <w:ind w:firstLine="422"/>
        <w:rPr>
          <w:rFonts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接收谈判文件的供应商，不足3个工作日的，应当顺延提交首次响应文件截止之日。澄清或者更正公告在竞争性谈判公告发布媒体上发布，一经发布，视作已以书面形式通知所有接收谈判文件的潜在供应商，不再另行通知，所有潜在供应商应密切关注竞争性谈判公告发布媒体，因未能及时获知，由此产生的后果均应自行承担。</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szCs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10.5  采购人和采购代理机构可以视采购具体情况，变更提交首次响应文件截止时间和竞谈时间，将变更时间将在“竞争性谈判公告”中“七、其他补充事宜</w:t>
      </w:r>
      <w:r>
        <w:rPr>
          <w:rFonts w:hint="eastAsia" w:ascii="宋体" w:hAnsi="宋体" w:eastAsia="宋体" w:cs="宋体"/>
          <w:color w:val="auto"/>
          <w:szCs w:val="21"/>
          <w:highlight w:val="none"/>
        </w:rPr>
        <w:t>（二）</w:t>
      </w:r>
      <w:r>
        <w:rPr>
          <w:rFonts w:hint="eastAsia" w:ascii="宋体" w:hAnsi="宋体" w:eastAsia="宋体" w:cs="宋体"/>
          <w:color w:val="auto"/>
          <w:szCs w:val="24"/>
          <w:highlight w:val="none"/>
        </w:rPr>
        <w:t>网上查询地址”规定的政府采购信息发布媒体上发布更正公告。</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响应文件未按谈判文件的澄清、修改的内容编制，又不符合实质性要求的，其响应文件作无效处理。</w:t>
      </w:r>
    </w:p>
    <w:p>
      <w:pPr>
        <w:keepNext/>
        <w:keepLines/>
        <w:spacing w:line="360" w:lineRule="auto"/>
        <w:ind w:firstLine="640"/>
        <w:outlineLvl w:val="2"/>
        <w:rPr>
          <w:rFonts w:ascii="宋体" w:hAnsi="宋体" w:eastAsia="宋体" w:cs="宋体"/>
          <w:color w:val="auto"/>
          <w:sz w:val="32"/>
          <w:szCs w:val="32"/>
          <w:highlight w:val="none"/>
          <w:lang w:val="zh-CN"/>
        </w:rPr>
      </w:pPr>
      <w:r>
        <w:rPr>
          <w:rFonts w:hint="eastAsia" w:ascii="宋体" w:hAnsi="宋体" w:eastAsia="宋体" w:cs="宋体"/>
          <w:color w:val="auto"/>
          <w:sz w:val="32"/>
          <w:szCs w:val="32"/>
          <w:highlight w:val="none"/>
          <w:lang w:val="zh-CN"/>
        </w:rPr>
        <w:t xml:space="preserve">  </w:t>
      </w:r>
      <w:bookmarkStart w:id="88" w:name="_Toc12627"/>
      <w:bookmarkStart w:id="89" w:name="_Toc11107"/>
      <w:bookmarkStart w:id="90" w:name="_Toc80205927"/>
      <w:r>
        <w:rPr>
          <w:rFonts w:hint="eastAsia" w:ascii="宋体" w:hAnsi="宋体" w:eastAsia="宋体" w:cs="宋体"/>
          <w:color w:val="auto"/>
          <w:sz w:val="32"/>
          <w:szCs w:val="32"/>
          <w:highlight w:val="none"/>
          <w:lang w:val="zh-CN"/>
        </w:rPr>
        <w:t>三、响应文件的编制</w:t>
      </w:r>
      <w:bookmarkEnd w:id="88"/>
      <w:bookmarkEnd w:id="89"/>
      <w:bookmarkEnd w:id="90"/>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11.响应文件的编制原则</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供应商必须按照谈判文件的要求编制响应文件，并对其提交的响应文件的真实性、合法性承担法律责任。响应文件必须对谈判文件作出实质性响应。</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12.响应文件的组成</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12.1响应文件由资格文件、报价文件、商务技术文件三部分组成。</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12.1.1资格文件：详见供应商须知前附表</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12.1.2商务技术文件：详见供应商须知前附表</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12.1.3报价文件：详见供应商须知前附表</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12.2响应文件电子版：详见供应商须知前附表</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13.计量单位</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谈判文件已有明确规定的，使用谈判文件规定的计量单位；谈判文件没有规定的，应采用中华人民共和国法定计量单位，货币种类为人民币，否则视同未响应。</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14.竞标的风险</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供应商没有按照谈判文件要求提供全部资料，或者供应商没有对谈判文件在各方面作出实质性响应可能导致其响应无效，是供应商应当考虑的风险。</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15.响应报价要求和构成</w:t>
      </w:r>
    </w:p>
    <w:p>
      <w:pPr>
        <w:tabs>
          <w:tab w:val="left" w:pos="2492"/>
        </w:tabs>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pPr>
        <w:tabs>
          <w:tab w:val="left" w:pos="2492"/>
        </w:tabs>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15.3.1供应商的响应报价应符合以下要求，否则响应文件作无效响应处理：</w:t>
      </w:r>
    </w:p>
    <w:p>
      <w:pPr>
        <w:spacing w:line="360" w:lineRule="auto"/>
        <w:ind w:left="420"/>
        <w:rPr>
          <w:rFonts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（1）供应商必须就“采购需求”中所竞标的项目/每个分标的全部内容分别作完整唯一总价报价，不得存在漏项报价；</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（2）供应商必须就所竞标的项目/分标的单项内容作唯一报价。</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15.3.2响应报价（包含首次报价、最后报价）超过所竞标项目/分标规定的采购预算金额或者最高限价的（如本项目公布了最高限价），其响应文件将作无效处理。</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15.3.3</w:t>
      </w:r>
      <w:bookmarkStart w:id="91" w:name="_Hlk42592874"/>
      <w:r>
        <w:rPr>
          <w:rFonts w:hint="eastAsia" w:ascii="宋体" w:hAnsi="宋体" w:eastAsia="宋体" w:cs="宋体"/>
          <w:color w:val="auto"/>
          <w:szCs w:val="21"/>
          <w:highlight w:val="none"/>
        </w:rPr>
        <w:t>响应报价（包含首次报价、最后报价）超过分项采购预算金额或者最高限价的（如本项目公布了最高限价），其响应文件将作无效处理。</w:t>
      </w:r>
      <w:bookmarkEnd w:id="91"/>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16.竞标有效期</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17.谈判保证金</w:t>
      </w:r>
    </w:p>
    <w:p>
      <w:pPr>
        <w:spacing w:line="360" w:lineRule="auto"/>
        <w:ind w:left="420"/>
        <w:rPr>
          <w:rFonts w:ascii="宋体" w:hAnsi="宋体" w:eastAsia="宋体" w:cs="宋体"/>
          <w:color w:val="auto"/>
          <w:szCs w:val="21"/>
          <w:highlight w:val="none"/>
        </w:rPr>
      </w:pPr>
      <w:r>
        <w:rPr>
          <w:rFonts w:hint="eastAsia" w:ascii="宋体" w:hAnsi="宋体" w:eastAsia="宋体" w:cs="宋体"/>
          <w:color w:val="auto"/>
          <w:szCs w:val="21"/>
          <w:highlight w:val="none"/>
        </w:rPr>
        <w:t>17.1供应商须按“供应商须知前附表”的规定提交谈判保证金。</w:t>
      </w:r>
    </w:p>
    <w:p>
      <w:pPr>
        <w:spacing w:line="360" w:lineRule="auto"/>
        <w:ind w:left="420"/>
        <w:rPr>
          <w:rFonts w:ascii="宋体" w:hAnsi="宋体" w:eastAsia="宋体" w:cs="宋体"/>
          <w:color w:val="auto"/>
          <w:szCs w:val="21"/>
          <w:highlight w:val="none"/>
        </w:rPr>
      </w:pPr>
      <w:r>
        <w:rPr>
          <w:rFonts w:hint="eastAsia" w:ascii="宋体" w:hAnsi="宋体" w:eastAsia="宋体" w:cs="宋体"/>
          <w:color w:val="auto"/>
          <w:szCs w:val="21"/>
          <w:highlight w:val="none"/>
        </w:rPr>
        <w:t>17.2谈判保证金的退还</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17.2.1未</w:t>
      </w:r>
      <w:r>
        <w:rPr>
          <w:rFonts w:hint="eastAsia" w:ascii="宋体" w:hAnsi="宋体" w:eastAsia="宋体" w:cs="宋体"/>
          <w:color w:val="auto"/>
          <w:spacing w:val="-6"/>
          <w:szCs w:val="21"/>
          <w:highlight w:val="none"/>
        </w:rPr>
        <w:t>成交供应商的谈判保证金自成交通知书发出之日起5个工作日内退还，退还方式如下：</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（1）采用银行转账方式的，以转账方式退回到供应商银行账户。</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（2）采用支票、汇票、本票或者金融机构、担保机构出具的保函等方式的，由供应商代表持相关授权证明材料至采购代理机构办理支票、汇票、本票或者金融机构、担保机构出具的保函等原件退还手续。</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17.2.2成交供应商的谈判保证金自签订合同之日起5个工作日内退还，退还方式同未成交供应商的谈判保证金的退还方式。 </w:t>
      </w:r>
    </w:p>
    <w:p>
      <w:pPr>
        <w:spacing w:line="360" w:lineRule="auto"/>
        <w:ind w:left="420"/>
        <w:rPr>
          <w:rFonts w:ascii="宋体" w:hAnsi="宋体" w:eastAsia="宋体" w:cs="宋体"/>
          <w:color w:val="auto"/>
          <w:szCs w:val="21"/>
          <w:highlight w:val="none"/>
        </w:rPr>
      </w:pPr>
      <w:r>
        <w:rPr>
          <w:rFonts w:hint="eastAsia" w:ascii="宋体" w:hAnsi="宋体" w:eastAsia="宋体" w:cs="宋体"/>
          <w:color w:val="auto"/>
          <w:szCs w:val="21"/>
          <w:highlight w:val="none"/>
        </w:rPr>
        <w:t>17.3谈判保证金不计息。</w:t>
      </w:r>
    </w:p>
    <w:p>
      <w:pPr>
        <w:spacing w:line="360" w:lineRule="auto"/>
        <w:ind w:left="42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17.4供应商有下列情形之一的，谈判保证金将不予退还： </w:t>
      </w:r>
    </w:p>
    <w:p>
      <w:pPr>
        <w:spacing w:line="360" w:lineRule="auto"/>
        <w:ind w:left="420"/>
        <w:rPr>
          <w:rFonts w:ascii="宋体" w:hAnsi="宋体" w:eastAsia="宋体" w:cs="宋体"/>
          <w:color w:val="auto"/>
          <w:szCs w:val="21"/>
          <w:highlight w:val="none"/>
        </w:rPr>
      </w:pPr>
      <w:r>
        <w:rPr>
          <w:rFonts w:hint="eastAsia" w:ascii="宋体" w:hAnsi="宋体" w:eastAsia="宋体" w:cs="宋体"/>
          <w:color w:val="auto"/>
          <w:szCs w:val="21"/>
          <w:highlight w:val="none"/>
        </w:rPr>
        <w:t>（1）供应商在提交响应文件截止时间后撤回响应文件的；</w:t>
      </w:r>
    </w:p>
    <w:p>
      <w:pPr>
        <w:spacing w:line="360" w:lineRule="auto"/>
        <w:ind w:left="420"/>
        <w:rPr>
          <w:rFonts w:ascii="宋体" w:hAnsi="宋体" w:eastAsia="宋体" w:cs="宋体"/>
          <w:color w:val="auto"/>
          <w:szCs w:val="21"/>
          <w:highlight w:val="none"/>
        </w:rPr>
      </w:pPr>
      <w:r>
        <w:rPr>
          <w:rFonts w:hint="eastAsia" w:ascii="宋体" w:hAnsi="宋体" w:eastAsia="宋体" w:cs="宋体"/>
          <w:color w:val="auto"/>
          <w:szCs w:val="21"/>
          <w:highlight w:val="none"/>
        </w:rPr>
        <w:t>（2）供应商在响应文件中提供虚假材料的；</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（3）除因不可抗力或者竞争性谈判文件认可的情形以外，成交供应商不与采购人签订合同的；</w:t>
      </w:r>
    </w:p>
    <w:p>
      <w:pPr>
        <w:spacing w:line="360" w:lineRule="auto"/>
        <w:ind w:left="420"/>
        <w:rPr>
          <w:rFonts w:ascii="宋体" w:hAnsi="宋体" w:eastAsia="宋体" w:cs="宋体"/>
          <w:color w:val="auto"/>
          <w:szCs w:val="21"/>
          <w:highlight w:val="none"/>
        </w:rPr>
      </w:pPr>
      <w:r>
        <w:rPr>
          <w:rFonts w:hint="eastAsia" w:ascii="宋体" w:hAnsi="宋体" w:eastAsia="宋体" w:cs="宋体"/>
          <w:color w:val="auto"/>
          <w:szCs w:val="21"/>
          <w:highlight w:val="none"/>
        </w:rPr>
        <w:t>（4）供应商与采购人、其他供应商或者采购代理机构恶意串通的；</w:t>
      </w:r>
    </w:p>
    <w:p>
      <w:pPr>
        <w:spacing w:line="360" w:lineRule="auto"/>
        <w:ind w:left="420"/>
        <w:rPr>
          <w:rFonts w:ascii="宋体" w:hAnsi="宋体" w:eastAsia="宋体" w:cs="宋体"/>
          <w:color w:val="auto"/>
          <w:szCs w:val="21"/>
          <w:highlight w:val="none"/>
        </w:rPr>
      </w:pPr>
      <w:r>
        <w:rPr>
          <w:rFonts w:hint="eastAsia" w:ascii="宋体" w:hAnsi="宋体" w:eastAsia="宋体" w:cs="宋体"/>
          <w:color w:val="auto"/>
          <w:szCs w:val="21"/>
          <w:highlight w:val="none"/>
        </w:rPr>
        <w:t>（5）竞争性谈判文件规定的其他情形。</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18.响应文件编制的要求</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eastAsia="宋体" w:cs="宋体"/>
          <w:color w:val="auto"/>
          <w:szCs w:val="24"/>
          <w:highlight w:val="none"/>
        </w:rPr>
        <w:t>由此引发的</w:t>
      </w:r>
      <w:r>
        <w:rPr>
          <w:rFonts w:hint="eastAsia" w:ascii="宋体" w:hAnsi="宋体" w:eastAsia="宋体" w:cs="宋体"/>
          <w:color w:val="auto"/>
          <w:szCs w:val="21"/>
          <w:highlight w:val="none"/>
        </w:rPr>
        <w:t>后果由供应商承担。</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18.2响应文件应按资格证明、报价分别编制，商务文件与技术文件合并编制，本谈判只接收电子版响应文件，要求见本章“12.2响应文件电子版要求”。</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18.</w:t>
      </w:r>
      <w:bookmarkStart w:id="92" w:name="_Hlk65832699"/>
      <w:r>
        <w:rPr>
          <w:rFonts w:hint="eastAsia" w:ascii="宋体" w:hAnsi="宋体" w:eastAsia="宋体" w:cs="宋体"/>
          <w:color w:val="auto"/>
          <w:szCs w:val="21"/>
          <w:highlight w:val="none"/>
        </w:rPr>
        <w:t>3响应文件须由供应商按</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要求进行签署、盖章</w:t>
      </w:r>
      <w:bookmarkEnd w:id="92"/>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否则其响应文件作无效响应处理。</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18.4响应文件中标注的供应商名称应与营业执照（事业单位法人证书、执业许可证、自然人身份证）及公章一致，</w:t>
      </w:r>
      <w:r>
        <w:rPr>
          <w:rFonts w:hint="eastAsia" w:ascii="宋体" w:hAnsi="宋体" w:eastAsia="宋体" w:cs="宋体"/>
          <w:b/>
          <w:bCs/>
          <w:color w:val="auto"/>
          <w:szCs w:val="21"/>
          <w:highlight w:val="none"/>
        </w:rPr>
        <w:t>否则其响应文件作无效响应处理</w:t>
      </w:r>
      <w:r>
        <w:rPr>
          <w:rFonts w:hint="eastAsia" w:ascii="宋体" w:hAnsi="宋体" w:eastAsia="宋体" w:cs="宋体"/>
          <w:color w:val="auto"/>
          <w:szCs w:val="21"/>
          <w:highlight w:val="none"/>
        </w:rPr>
        <w:t>。</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19.响应文件的加密</w:t>
      </w:r>
    </w:p>
    <w:p>
      <w:pPr>
        <w:spacing w:line="360" w:lineRule="auto"/>
        <w:ind w:firstLine="42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19.1供应商进行电子交易应安装客户端软件—“</w:t>
      </w:r>
      <w:r>
        <w:rPr>
          <w:rFonts w:hint="eastAsia" w:ascii="宋体" w:hAnsi="宋体" w:eastAsia="宋体" w:cs="宋体"/>
          <w:color w:val="auto"/>
          <w:szCs w:val="21"/>
          <w:highlight w:val="none"/>
        </w:rPr>
        <w:t>广西政府采购云平台新版客户端</w:t>
      </w:r>
      <w:r>
        <w:rPr>
          <w:rFonts w:hint="eastAsia" w:ascii="宋体" w:hAnsi="宋体" w:eastAsia="宋体" w:cs="宋体"/>
          <w:color w:val="auto"/>
          <w:szCs w:val="21"/>
          <w:highlight w:val="none"/>
          <w:lang w:val="zh-CN"/>
        </w:rPr>
        <w:t>”，并按照谈判文件和电子交易平台的要求编制并加密响应文件。供应商未按规定加密的响应文件，电子交易平台将拒收并提示。</w:t>
      </w:r>
    </w:p>
    <w:p>
      <w:pPr>
        <w:spacing w:line="360" w:lineRule="auto"/>
        <w:ind w:firstLine="42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19.2使用“</w:t>
      </w:r>
      <w:r>
        <w:rPr>
          <w:rFonts w:hint="eastAsia" w:ascii="宋体" w:hAnsi="宋体" w:eastAsia="宋体" w:cs="宋体"/>
          <w:color w:val="auto"/>
          <w:szCs w:val="21"/>
          <w:highlight w:val="none"/>
        </w:rPr>
        <w:t>广西政府采购云平台</w:t>
      </w:r>
      <w:r>
        <w:rPr>
          <w:rFonts w:hint="eastAsia" w:ascii="宋体" w:hAnsi="宋体" w:eastAsia="宋体" w:cs="宋体"/>
          <w:color w:val="auto"/>
          <w:szCs w:val="21"/>
          <w:highlight w:val="none"/>
          <w:lang w:val="zh-CN"/>
        </w:rPr>
        <w:t>电子交易客户端”需要提前申领CA数字证书。</w:t>
      </w:r>
    </w:p>
    <w:p>
      <w:pPr>
        <w:spacing w:line="360" w:lineRule="auto"/>
        <w:ind w:firstLine="42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19.3为确保网上操作合法、有效和安全，供应商应当在响应文件提交截止时间前完成在“</w:t>
      </w:r>
      <w:r>
        <w:rPr>
          <w:rFonts w:hint="eastAsia" w:ascii="宋体" w:hAnsi="宋体" w:eastAsia="宋体" w:cs="宋体"/>
          <w:color w:val="auto"/>
          <w:szCs w:val="21"/>
          <w:highlight w:val="none"/>
        </w:rPr>
        <w:t>广西政府采购云平台</w:t>
      </w:r>
      <w:r>
        <w:rPr>
          <w:rFonts w:hint="eastAsia" w:ascii="宋体" w:hAnsi="宋体" w:eastAsia="宋体" w:cs="宋体"/>
          <w:color w:val="auto"/>
          <w:szCs w:val="21"/>
          <w:highlight w:val="none"/>
          <w:lang w:val="zh-CN"/>
        </w:rPr>
        <w:t>”的身份认证，确保在电子交易过程中能够对相关数据电文进行加密和使用电子签名。</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20.响应文件的提交</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在提交“最后报价”后，供应商不能退出谈判。</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pPr>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Cs w:val="21"/>
          <w:highlight w:val="none"/>
        </w:rPr>
        <w:t>20.6备份响应文件。</w:t>
      </w:r>
      <w:r>
        <w:rPr>
          <w:rFonts w:hint="eastAsia" w:ascii="宋体" w:hAnsi="宋体" w:eastAsia="宋体" w:cs="宋体"/>
          <w:bCs/>
          <w:color w:val="auto"/>
          <w:szCs w:val="21"/>
          <w:highlight w:val="none"/>
        </w:rPr>
        <w:t>详见“供应商须知前附表”。</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21.首次响应文件的补充、修改与撤回</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pPr>
        <w:spacing w:line="360" w:lineRule="auto"/>
        <w:ind w:firstLine="482"/>
        <w:rPr>
          <w:rFonts w:ascii="宋体" w:hAnsi="宋体" w:eastAsia="宋体" w:cs="宋体"/>
          <w:b/>
          <w:bCs/>
          <w:color w:val="auto"/>
          <w:sz w:val="24"/>
          <w:szCs w:val="24"/>
          <w:highlight w:val="none"/>
        </w:rPr>
      </w:pPr>
      <w:bookmarkStart w:id="93" w:name="_Hlk45702405"/>
      <w:r>
        <w:rPr>
          <w:rFonts w:hint="eastAsia" w:ascii="宋体" w:hAnsi="宋体" w:eastAsia="宋体" w:cs="宋体"/>
          <w:b/>
          <w:bCs/>
          <w:color w:val="auto"/>
          <w:sz w:val="24"/>
          <w:szCs w:val="24"/>
          <w:highlight w:val="none"/>
        </w:rPr>
        <w:t>22. 截止时间后的撤回</w:t>
      </w:r>
      <w:bookmarkEnd w:id="93"/>
    </w:p>
    <w:p>
      <w:pPr>
        <w:pStyle w:val="18"/>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供应商在首次响应文件提交截止时间后向采购人、采购代理机构书面申请撤回响应文件的，将根据本须知正文第17.4条的规定不予退还其谈判保证金（</w:t>
      </w:r>
      <w:r>
        <w:rPr>
          <w:rFonts w:hint="eastAsia" w:ascii="宋体" w:hAnsi="宋体" w:cs="宋体"/>
          <w:color w:val="auto"/>
          <w:szCs w:val="21"/>
          <w:highlight w:val="none"/>
          <w:lang w:val="en-US"/>
        </w:rPr>
        <w:t>如有</w:t>
      </w:r>
      <w:r>
        <w:rPr>
          <w:rFonts w:hint="eastAsia" w:ascii="宋体" w:hAnsi="宋体" w:cs="宋体"/>
          <w:color w:val="auto"/>
          <w:szCs w:val="21"/>
          <w:highlight w:val="none"/>
        </w:rPr>
        <w:t>）。</w:t>
      </w:r>
    </w:p>
    <w:p>
      <w:pPr>
        <w:keepNext/>
        <w:keepLines/>
        <w:spacing w:line="360" w:lineRule="auto"/>
        <w:ind w:firstLine="640"/>
        <w:outlineLvl w:val="2"/>
        <w:rPr>
          <w:rFonts w:ascii="宋体" w:hAnsi="宋体" w:eastAsia="宋体" w:cs="宋体"/>
          <w:color w:val="auto"/>
          <w:sz w:val="32"/>
          <w:szCs w:val="32"/>
          <w:highlight w:val="none"/>
          <w:lang w:val="zh-CN"/>
        </w:rPr>
      </w:pPr>
      <w:r>
        <w:rPr>
          <w:rFonts w:hint="eastAsia" w:ascii="宋体" w:hAnsi="宋体" w:eastAsia="宋体" w:cs="宋体"/>
          <w:color w:val="auto"/>
          <w:sz w:val="32"/>
          <w:szCs w:val="32"/>
          <w:highlight w:val="none"/>
          <w:lang w:val="zh-CN"/>
        </w:rPr>
        <w:t xml:space="preserve">  </w:t>
      </w:r>
      <w:bookmarkStart w:id="94" w:name="_Toc29978"/>
      <w:bookmarkStart w:id="95" w:name="_Toc80205928"/>
      <w:bookmarkStart w:id="96" w:name="_Toc8836"/>
      <w:r>
        <w:rPr>
          <w:rFonts w:hint="eastAsia" w:ascii="宋体" w:hAnsi="宋体" w:eastAsia="宋体" w:cs="宋体"/>
          <w:color w:val="auto"/>
          <w:sz w:val="32"/>
          <w:szCs w:val="32"/>
          <w:highlight w:val="none"/>
          <w:lang w:val="zh-CN"/>
        </w:rPr>
        <w:t>四、评审及谈判</w:t>
      </w:r>
      <w:bookmarkEnd w:id="94"/>
      <w:bookmarkEnd w:id="95"/>
      <w:bookmarkEnd w:id="96"/>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23.谈判小组成立</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23.1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23.2评审专家应当从政府采购评审专家库内相关专业的专家名单中随机抽取。</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24.首次响应文件的开启</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24.1首次响应文件由谈判小组或者采购代理机构在“供应商须知前附表”规定的时间开启。</w:t>
      </w:r>
    </w:p>
    <w:p>
      <w:pPr>
        <w:spacing w:line="360" w:lineRule="auto"/>
        <w:ind w:firstLine="400"/>
        <w:rPr>
          <w:rFonts w:ascii="宋体" w:hAnsi="宋体" w:eastAsia="宋体" w:cs="宋体"/>
          <w:bCs/>
          <w:color w:val="auto"/>
          <w:sz w:val="20"/>
          <w:szCs w:val="21"/>
          <w:highlight w:val="none"/>
          <w:lang w:val="zh-CN"/>
        </w:rPr>
      </w:pPr>
      <w:r>
        <w:rPr>
          <w:rFonts w:hint="eastAsia" w:ascii="宋体" w:hAnsi="宋体" w:eastAsia="宋体" w:cs="宋体"/>
          <w:color w:val="auto"/>
          <w:sz w:val="20"/>
          <w:szCs w:val="21"/>
          <w:highlight w:val="none"/>
          <w:lang w:val="zh-CN"/>
        </w:rPr>
        <w:t>2</w:t>
      </w:r>
      <w:r>
        <w:rPr>
          <w:rFonts w:hint="eastAsia" w:ascii="宋体" w:hAnsi="宋体" w:eastAsia="宋体" w:cs="宋体"/>
          <w:color w:val="auto"/>
          <w:sz w:val="20"/>
          <w:szCs w:val="21"/>
          <w:highlight w:val="none"/>
        </w:rPr>
        <w:t>4</w:t>
      </w:r>
      <w:r>
        <w:rPr>
          <w:rFonts w:hint="eastAsia" w:ascii="宋体" w:hAnsi="宋体" w:eastAsia="宋体" w:cs="宋体"/>
          <w:color w:val="auto"/>
          <w:sz w:val="20"/>
          <w:szCs w:val="21"/>
          <w:highlight w:val="none"/>
          <w:lang w:val="zh-CN"/>
        </w:rPr>
        <w:t xml:space="preserve">.2 </w:t>
      </w:r>
      <w:r>
        <w:rPr>
          <w:rFonts w:hint="eastAsia" w:ascii="宋体" w:hAnsi="宋体" w:eastAsia="宋体" w:cs="宋体"/>
          <w:bCs/>
          <w:color w:val="auto"/>
          <w:sz w:val="20"/>
          <w:szCs w:val="21"/>
          <w:highlight w:val="none"/>
          <w:lang w:val="zh-CN"/>
        </w:rPr>
        <w:t>响应文件解密</w:t>
      </w:r>
    </w:p>
    <w:p>
      <w:pPr>
        <w:spacing w:line="360" w:lineRule="auto"/>
        <w:ind w:firstLine="420"/>
        <w:rPr>
          <w:rFonts w:ascii="宋体" w:hAnsi="宋体" w:eastAsia="宋体" w:cs="宋体"/>
          <w:color w:val="auto"/>
          <w:szCs w:val="21"/>
          <w:highlight w:val="none"/>
          <w:lang w:val="zh-CN"/>
        </w:rPr>
      </w:pPr>
      <w:r>
        <w:rPr>
          <w:rFonts w:hint="eastAsia" w:ascii="宋体" w:hAnsi="宋体" w:eastAsia="宋体" w:cs="宋体"/>
          <w:bCs/>
          <w:color w:val="auto"/>
          <w:szCs w:val="21"/>
          <w:highlight w:val="none"/>
          <w:lang w:val="zh-CN"/>
        </w:rPr>
        <w:t>采购代理机构将在“供应商须知前附表”规定的时</w:t>
      </w:r>
      <w:r>
        <w:rPr>
          <w:rFonts w:hint="eastAsia" w:ascii="宋体" w:hAnsi="宋体" w:eastAsia="宋体" w:cs="宋体"/>
          <w:color w:val="auto"/>
          <w:szCs w:val="21"/>
          <w:highlight w:val="none"/>
          <w:lang w:val="zh-CN"/>
        </w:rPr>
        <w:t>间通过电子交易平台组织响应文件开启，采购机构依托电子交易平台发起开始解密指令，供应商的法定代表人或其委托代理人</w:t>
      </w:r>
      <w:r>
        <w:rPr>
          <w:rFonts w:hint="eastAsia" w:ascii="宋体" w:hAnsi="宋体" w:eastAsia="宋体" w:cs="宋体"/>
          <w:b/>
          <w:color w:val="auto"/>
          <w:szCs w:val="21"/>
          <w:highlight w:val="none"/>
          <w:lang w:val="zh-CN"/>
        </w:rPr>
        <w:t>须携带加密时所用的CA锁按平台提示和采购文件的规定登录到广西政府采购云平台电子开标大厅签到并在发起解密指令之时起在</w:t>
      </w:r>
      <w:r>
        <w:rPr>
          <w:rFonts w:hint="eastAsia" w:ascii="宋体" w:hAnsi="宋体" w:eastAsia="宋体" w:cs="宋体"/>
          <w:b/>
          <w:color w:val="auto"/>
          <w:szCs w:val="21"/>
          <w:highlight w:val="none"/>
        </w:rPr>
        <w:t>规定的时间内</w:t>
      </w:r>
      <w:r>
        <w:rPr>
          <w:rFonts w:hint="eastAsia" w:ascii="宋体" w:hAnsi="宋体" w:eastAsia="宋体" w:cs="宋体"/>
          <w:b/>
          <w:color w:val="auto"/>
          <w:szCs w:val="21"/>
          <w:highlight w:val="none"/>
          <w:lang w:val="zh-CN"/>
        </w:rPr>
        <w:t>完成对电子版响应文件在线解密</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响应文件未按时</w:t>
      </w:r>
      <w:r>
        <w:rPr>
          <w:rFonts w:hint="eastAsia" w:ascii="宋体" w:hAnsi="宋体" w:eastAsia="宋体" w:cs="宋体"/>
          <w:color w:val="auto"/>
          <w:szCs w:val="21"/>
          <w:highlight w:val="none"/>
          <w:lang w:val="zh-CN"/>
        </w:rPr>
        <w:t>解密的，</w:t>
      </w:r>
      <w:r>
        <w:rPr>
          <w:rFonts w:hint="eastAsia" w:ascii="宋体" w:hAnsi="宋体" w:eastAsia="宋体" w:cs="宋体"/>
          <w:b/>
          <w:color w:val="auto"/>
          <w:szCs w:val="21"/>
          <w:highlight w:val="none"/>
          <w:lang w:val="zh-CN"/>
        </w:rPr>
        <w:t>视为响应文件无效。</w:t>
      </w:r>
      <w:r>
        <w:rPr>
          <w:rFonts w:hint="eastAsia" w:ascii="宋体" w:hAnsi="宋体" w:eastAsia="宋体" w:cs="宋体"/>
          <w:color w:val="auto"/>
          <w:szCs w:val="21"/>
          <w:highlight w:val="none"/>
          <w:lang w:val="zh-CN"/>
        </w:rPr>
        <w:t>（解密</w:t>
      </w:r>
      <w:r>
        <w:rPr>
          <w:rFonts w:hint="eastAsia" w:ascii="宋体" w:hAnsi="宋体" w:eastAsia="宋体" w:cs="宋体"/>
          <w:bCs/>
          <w:color w:val="auto"/>
          <w:szCs w:val="21"/>
          <w:highlight w:val="none"/>
          <w:lang w:val="zh-CN"/>
        </w:rPr>
        <w:t>异常情况处理：详见本章</w:t>
      </w:r>
      <w:r>
        <w:rPr>
          <w:rFonts w:hint="eastAsia" w:ascii="宋体" w:hAnsi="宋体" w:eastAsia="宋体" w:cs="宋体"/>
          <w:color w:val="auto"/>
          <w:szCs w:val="21"/>
          <w:highlight w:val="none"/>
          <w:lang w:val="zh-CN"/>
        </w:rPr>
        <w:t>2</w:t>
      </w: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zh-CN"/>
        </w:rPr>
        <w:t>.3 电子交易活动的中止。）</w:t>
      </w:r>
    </w:p>
    <w:p>
      <w:pPr>
        <w:spacing w:line="360" w:lineRule="auto"/>
        <w:ind w:firstLine="42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如</w:t>
      </w:r>
      <w:r>
        <w:rPr>
          <w:rFonts w:hint="eastAsia" w:ascii="宋体" w:hAnsi="宋体" w:eastAsia="宋体" w:cs="宋体"/>
          <w:bCs/>
          <w:color w:val="auto"/>
          <w:szCs w:val="21"/>
          <w:highlight w:val="none"/>
          <w:lang w:val="zh-CN"/>
        </w:rPr>
        <w:t>供应商成功解密响应文件，但未在“</w:t>
      </w:r>
      <w:r>
        <w:rPr>
          <w:rFonts w:hint="eastAsia" w:ascii="宋体" w:hAnsi="宋体" w:eastAsia="宋体" w:cs="宋体"/>
          <w:color w:val="auto"/>
          <w:szCs w:val="21"/>
          <w:highlight w:val="none"/>
        </w:rPr>
        <w:t>广西政府采购云平台</w:t>
      </w:r>
      <w:r>
        <w:rPr>
          <w:rFonts w:hint="eastAsia" w:ascii="宋体" w:hAnsi="宋体" w:eastAsia="宋体" w:cs="宋体"/>
          <w:bCs/>
          <w:color w:val="auto"/>
          <w:szCs w:val="21"/>
          <w:highlight w:val="none"/>
          <w:lang w:val="zh-CN"/>
        </w:rPr>
        <w:t>”电子开标大厅参加谈判的，视同认可谈判过程和结果，</w:t>
      </w:r>
      <w:r>
        <w:rPr>
          <w:rFonts w:hint="eastAsia" w:ascii="宋体" w:hAnsi="宋体" w:eastAsia="宋体" w:cs="宋体"/>
          <w:color w:val="auto"/>
          <w:szCs w:val="21"/>
          <w:highlight w:val="none"/>
          <w:lang w:val="zh-CN"/>
        </w:rPr>
        <w:t>由此产生的后果由供应商自行负责。 参与谈判的供应商不足3家的，不得谈判。</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25.评审程序、评审方法和成交标准</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25.1</w:t>
      </w:r>
      <w:r>
        <w:rPr>
          <w:rFonts w:hint="eastAsia" w:ascii="宋体" w:hAnsi="宋体" w:eastAsia="宋体" w:cs="宋体"/>
          <w:color w:val="auto"/>
          <w:highlight w:val="none"/>
        </w:rPr>
        <w:t>本项目的评审方法详见“供应商须知前附表”。</w:t>
      </w:r>
      <w:r>
        <w:rPr>
          <w:rFonts w:hint="eastAsia" w:ascii="宋体" w:hAnsi="宋体" w:eastAsia="宋体" w:cs="宋体"/>
          <w:color w:val="auto"/>
          <w:szCs w:val="21"/>
          <w:highlight w:val="none"/>
        </w:rPr>
        <w:t>谈判小组按照“第四章 评审程序、评审方法和成交标准”规定的方法、评审因素、标准和程序对响应文件进行评审。</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25.2 谈判顺序详见 “供应商须知前附表”。</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25.3电子交易活动的中止。采购过程中出现以下情形，导致电子交易平台无法正常运行，或者无法保证电子交易的公平、公正和安全时，采购机构可中止电子交易活动：</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 xml:space="preserve">（1）电子交易平台发生故障而无法登录访问的； </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（2）电子交易平台应用或数据库出现错误，不能进行正常操作的；</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（3）电子交易平台发现严重安全漏洞，有潜在泄密危险的；</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 xml:space="preserve">（4）病毒发作导致不能进行正常操作的； </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（5）其他无法保证电子交易的公平、公正和安全的情况。</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25.4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pPr>
        <w:keepNext/>
        <w:keepLines/>
        <w:spacing w:line="360" w:lineRule="auto"/>
        <w:ind w:firstLine="640"/>
        <w:outlineLvl w:val="2"/>
        <w:rPr>
          <w:rFonts w:ascii="宋体" w:hAnsi="宋体" w:eastAsia="宋体" w:cs="宋体"/>
          <w:color w:val="auto"/>
          <w:sz w:val="32"/>
          <w:szCs w:val="32"/>
          <w:highlight w:val="none"/>
          <w:lang w:val="zh-CN"/>
        </w:rPr>
      </w:pPr>
      <w:bookmarkStart w:id="97" w:name="_Toc29707"/>
      <w:bookmarkStart w:id="98" w:name="_Toc27003"/>
      <w:bookmarkStart w:id="99" w:name="_Toc80205929"/>
      <w:r>
        <w:rPr>
          <w:rFonts w:hint="eastAsia" w:ascii="宋体" w:hAnsi="宋体" w:eastAsia="宋体" w:cs="宋体"/>
          <w:color w:val="auto"/>
          <w:sz w:val="32"/>
          <w:szCs w:val="32"/>
          <w:highlight w:val="none"/>
          <w:lang w:val="zh-CN"/>
        </w:rPr>
        <w:t>五、成交及合同</w:t>
      </w:r>
      <w:bookmarkEnd w:id="97"/>
      <w:bookmarkEnd w:id="98"/>
      <w:bookmarkEnd w:id="99"/>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26.确定成交供应商及结果公告</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u w:val="single"/>
        </w:rPr>
        <w:t>26.1确定成交供应商。</w:t>
      </w:r>
      <w:r>
        <w:rPr>
          <w:rFonts w:hint="eastAsia" w:ascii="宋体" w:hAnsi="宋体" w:eastAsia="宋体" w:cs="宋体"/>
          <w:color w:val="auto"/>
          <w:szCs w:val="21"/>
          <w:highlight w:val="none"/>
        </w:rPr>
        <w:t>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26.2成交通知及成交结果公告。采购代理机构应当在成交供应商确定后2个工作日内，在省级以上财政部门指定的媒体上公告成交结果，同时向成交供应商发出成交通知书。</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26.3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依法确定排名第二的成交候选人为成交供应商。排名第二的成交候选人因上述规定的同样原因被取消成交资格的，采购人可以依法确定排名第三的成交候选人为成交供应商，以此类推。以上信息查询记录及相关证据与谈判文件一并保存。</w:t>
      </w:r>
      <w:bookmarkStart w:id="100" w:name="_Hlk66782294"/>
      <w:r>
        <w:rPr>
          <w:rFonts w:hint="eastAsia" w:ascii="宋体" w:hAnsi="宋体" w:eastAsia="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100"/>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26.4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360" w:lineRule="auto"/>
        <w:ind w:firstLine="420"/>
        <w:rPr>
          <w:rFonts w:ascii="宋体" w:hAnsi="宋体" w:eastAsia="宋体" w:cs="宋体"/>
          <w:color w:val="auto"/>
          <w:szCs w:val="21"/>
          <w:highlight w:val="none"/>
        </w:rPr>
      </w:pPr>
      <w:r>
        <w:rPr>
          <w:rFonts w:hint="eastAsia" w:ascii="宋体" w:hAnsi="宋体" w:eastAsia="宋体" w:cs="宋体"/>
          <w:bCs/>
          <w:color w:val="auto"/>
          <w:szCs w:val="21"/>
          <w:highlight w:val="none"/>
        </w:rPr>
        <w:t>26.5排名第一的成交候选人放弃成交，采购人可以按照评审报告推荐的成交候选人名单排序，依法确定下一候选人为成交</w:t>
      </w:r>
      <w:r>
        <w:rPr>
          <w:rFonts w:hint="eastAsia" w:ascii="宋体" w:hAnsi="宋体" w:eastAsia="宋体" w:cs="宋体"/>
          <w:color w:val="auto"/>
          <w:szCs w:val="21"/>
          <w:highlight w:val="none"/>
        </w:rPr>
        <w:t>供应商</w:t>
      </w:r>
      <w:r>
        <w:rPr>
          <w:rFonts w:hint="eastAsia" w:ascii="宋体" w:hAnsi="宋体" w:eastAsia="宋体" w:cs="宋体"/>
          <w:bCs/>
          <w:color w:val="auto"/>
          <w:szCs w:val="21"/>
          <w:highlight w:val="none"/>
        </w:rPr>
        <w:t>，也可以重新开展政府采购活动。</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27.履约保证金</w:t>
      </w:r>
    </w:p>
    <w:p>
      <w:pPr>
        <w:pStyle w:val="16"/>
        <w:spacing w:line="360" w:lineRule="auto"/>
        <w:ind w:firstLine="420"/>
        <w:rPr>
          <w:rFonts w:ascii="宋体" w:hAnsi="宋体" w:cs="宋体"/>
          <w:color w:val="auto"/>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rPr>
        <w:t>7</w:t>
      </w:r>
      <w:r>
        <w:rPr>
          <w:rFonts w:hint="eastAsia" w:ascii="宋体" w:hAnsi="宋体" w:cs="宋体"/>
          <w:color w:val="auto"/>
          <w:szCs w:val="21"/>
          <w:highlight w:val="none"/>
        </w:rPr>
        <w:t>.1履约保证金的金额、提交方式、退付的时间和条件详见 “供应商须知前附表”。成交供应商未按规定提交履约保证金的，视为拒绝</w:t>
      </w:r>
      <w:r>
        <w:rPr>
          <w:rFonts w:hint="eastAsia" w:ascii="宋体" w:hAnsi="宋体" w:cs="宋体"/>
          <w:color w:val="auto"/>
          <w:highlight w:val="none"/>
        </w:rPr>
        <w:t>与采购人</w:t>
      </w:r>
      <w:r>
        <w:rPr>
          <w:rFonts w:hint="eastAsia" w:ascii="宋体" w:hAnsi="宋体" w:cs="宋体"/>
          <w:color w:val="auto"/>
          <w:szCs w:val="21"/>
          <w:highlight w:val="none"/>
        </w:rPr>
        <w:t>签订合同，采购人可以按照评审报告推荐的成交候选人名单排序，</w:t>
      </w:r>
      <w:r>
        <w:rPr>
          <w:rFonts w:hint="eastAsia" w:ascii="宋体" w:hAnsi="宋体" w:cs="宋体"/>
          <w:color w:val="auto"/>
          <w:szCs w:val="21"/>
          <w:highlight w:val="none"/>
          <w:lang w:val="en-US"/>
        </w:rPr>
        <w:t>依法</w:t>
      </w:r>
      <w:r>
        <w:rPr>
          <w:rFonts w:hint="eastAsia" w:ascii="宋体" w:hAnsi="宋体" w:cs="宋体"/>
          <w:color w:val="auto"/>
          <w:szCs w:val="21"/>
          <w:highlight w:val="none"/>
        </w:rPr>
        <w:t>确定下一候选人为成交供应商，也可以重新开展政府采购活动。</w:t>
      </w:r>
    </w:p>
    <w:p>
      <w:pPr>
        <w:spacing w:line="360" w:lineRule="auto"/>
        <w:ind w:firstLine="424"/>
        <w:rPr>
          <w:rFonts w:ascii="宋体" w:hAnsi="宋体" w:eastAsia="宋体" w:cs="宋体"/>
          <w:color w:val="auto"/>
          <w:szCs w:val="21"/>
          <w:highlight w:val="none"/>
        </w:rPr>
      </w:pPr>
      <w:r>
        <w:rPr>
          <w:rFonts w:hint="eastAsia" w:ascii="宋体" w:hAnsi="宋体" w:eastAsia="宋体" w:cs="宋体"/>
          <w:color w:val="auto"/>
          <w:szCs w:val="21"/>
          <w:highlight w:val="none"/>
        </w:rPr>
        <w:t>27.2签订合同后，如成交供应商不按双方签订的合同规定履约，则没收其全部履约保证金，履约保证金不足以赔偿损失的，按实际损失赔偿。</w:t>
      </w:r>
    </w:p>
    <w:p>
      <w:pPr>
        <w:spacing w:line="360" w:lineRule="auto"/>
        <w:ind w:firstLine="424"/>
        <w:rPr>
          <w:rFonts w:ascii="宋体" w:hAnsi="宋体" w:eastAsia="宋体" w:cs="宋体"/>
          <w:color w:val="auto"/>
          <w:szCs w:val="21"/>
          <w:highlight w:val="none"/>
        </w:rPr>
      </w:pPr>
      <w:r>
        <w:rPr>
          <w:rFonts w:hint="eastAsia" w:ascii="宋体" w:hAnsi="宋体" w:eastAsia="宋体" w:cs="宋体"/>
          <w:color w:val="auto"/>
          <w:szCs w:val="21"/>
          <w:highlight w:val="none"/>
        </w:rPr>
        <w:t>27.3在履约保证金退还日期前，若成交供应商的开户名称、开户银行、账号有变动的，请以书面形式通知履约保证金收取单位，否则由此产生的后果由成交供应商自负。</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28.签订合同</w:t>
      </w:r>
    </w:p>
    <w:p>
      <w:pPr>
        <w:spacing w:line="360" w:lineRule="auto"/>
        <w:ind w:firstLine="420"/>
        <w:rPr>
          <w:rFonts w:ascii="宋体" w:hAnsi="宋体" w:eastAsia="宋体" w:cs="宋体"/>
          <w:color w:val="auto"/>
          <w:szCs w:val="21"/>
          <w:highlight w:val="none"/>
          <w:lang w:val="zh-CN"/>
        </w:rPr>
      </w:pPr>
      <w:r>
        <w:rPr>
          <w:rFonts w:hint="eastAsia" w:ascii="宋体" w:hAnsi="宋体" w:eastAsia="宋体" w:cs="宋体"/>
          <w:color w:val="auto"/>
          <w:szCs w:val="21"/>
          <w:highlight w:val="none"/>
        </w:rPr>
        <w:t>28.1采购人与成交供应商应当在成交通知书规定的时间内，按照谈判文件确定的合同文本以及采购标的、货物技术、采购金额、采购数量、技术和货物要求等事项签订政府采购合同。</w:t>
      </w:r>
      <w:r>
        <w:rPr>
          <w:rFonts w:hint="eastAsia" w:ascii="宋体" w:hAnsi="宋体" w:eastAsia="宋体" w:cs="宋体"/>
          <w:color w:val="auto"/>
          <w:szCs w:val="21"/>
          <w:highlight w:val="none"/>
          <w:lang w:val="zh-CN"/>
        </w:rPr>
        <w:t>如成交供应商为联合体的，由联合体成员各方法定代表人或其授权代表与采购人代表签订合同。</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28.2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28.3成交供应商拒绝签订政府采购合同的，采购人可以按照评审报告推荐的成交候选人名单排序，依法确定下一候选人为成交供应商，也可以重新开展采购活动。拒绝签订政府采购合同的成交供应商不得参加对该项目重新开展的采购活动。</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28.4如签订合同并生效后，供应商无故拒绝或延期，除按照合同条款处理外，列入不良行为记录，并给予通报。</w:t>
      </w:r>
    </w:p>
    <w:p>
      <w:pPr>
        <w:spacing w:line="360" w:lineRule="auto"/>
        <w:ind w:firstLine="420"/>
        <w:rPr>
          <w:rFonts w:ascii="宋体" w:hAnsi="宋体" w:eastAsia="宋体" w:cs="宋体"/>
          <w:b/>
          <w:bCs/>
          <w:i/>
          <w:iCs/>
          <w:color w:val="auto"/>
          <w:szCs w:val="21"/>
          <w:highlight w:val="none"/>
        </w:rPr>
      </w:pPr>
      <w:r>
        <w:rPr>
          <w:rFonts w:hint="eastAsia" w:ascii="宋体" w:hAnsi="宋体" w:eastAsia="宋体" w:cs="宋体"/>
          <w:color w:val="auto"/>
          <w:szCs w:val="21"/>
          <w:highlight w:val="none"/>
        </w:rPr>
        <w:t>28.5采购合同由采购人与成交供应商根据谈判文件、响应文件等内容签订，成交供应商应当在签订合同时按供应商须知前附表规定向采购人出示相关证明材料，经采购人核验合格后方可签订合同。</w:t>
      </w:r>
      <w:r>
        <w:rPr>
          <w:rFonts w:hint="eastAsia" w:ascii="宋体" w:hAnsi="宋体" w:eastAsia="宋体" w:cs="宋体"/>
          <w:b/>
          <w:bCs/>
          <w:i/>
          <w:iCs/>
          <w:color w:val="auto"/>
          <w:szCs w:val="21"/>
          <w:highlight w:val="none"/>
        </w:rPr>
        <w:t>（适用于签订纸质合同的情形）</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29.政府采购合同公告</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30. 询问、质疑和投诉</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30.1供应商对政府采购活动事项有疑问的，可以向采购人或者采购代理机构提出询问，采购人或者采购代理机构应当在3个工作日内对供应商依法提出的询问作出答复。</w:t>
      </w:r>
    </w:p>
    <w:p>
      <w:pPr>
        <w:spacing w:line="360" w:lineRule="auto"/>
        <w:ind w:firstLine="420"/>
        <w:rPr>
          <w:rFonts w:ascii="宋体" w:hAnsi="宋体" w:eastAsia="宋体" w:cs="宋体"/>
          <w:b/>
          <w:color w:val="auto"/>
          <w:szCs w:val="21"/>
          <w:highlight w:val="none"/>
        </w:rPr>
      </w:pPr>
      <w:r>
        <w:rPr>
          <w:rFonts w:hint="eastAsia" w:ascii="宋体" w:hAnsi="宋体" w:eastAsia="宋体" w:cs="宋体"/>
          <w:color w:val="auto"/>
          <w:szCs w:val="24"/>
          <w:highlight w:val="none"/>
        </w:rPr>
        <w:t>30.2供应商认为谈判文件、采购过程或者成交结果使自己的合法权益受到损害的，应当在知道或者应知其权益受到损害之日起7个工作日内，以书面形式向采购人或者采购代理机构提出质疑，采购人或者采购代理机构应当在7个工作日内对供应商依法提出的质疑作出答复。</w:t>
      </w:r>
      <w:r>
        <w:rPr>
          <w:rFonts w:hint="eastAsia" w:ascii="宋体" w:hAnsi="宋体" w:eastAsia="宋体" w:cs="宋体"/>
          <w:color w:val="auto"/>
          <w:szCs w:val="24"/>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szCs w:val="24"/>
          <w:highlight w:val="none"/>
        </w:rPr>
        <w:t>。</w:t>
      </w:r>
      <w:r>
        <w:rPr>
          <w:rFonts w:hint="eastAsia" w:ascii="宋体" w:hAnsi="宋体" w:eastAsia="宋体" w:cs="宋体"/>
          <w:b/>
          <w:color w:val="auto"/>
          <w:szCs w:val="21"/>
          <w:highlight w:val="none"/>
        </w:rPr>
        <w:t xml:space="preserve">具体质疑起算时间及处理方式如下： </w:t>
      </w:r>
    </w:p>
    <w:p>
      <w:pPr>
        <w:spacing w:line="360" w:lineRule="auto"/>
        <w:ind w:firstLine="420"/>
        <w:rPr>
          <w:rFonts w:ascii="宋体" w:hAnsi="宋体" w:eastAsia="宋体" w:cs="宋体"/>
          <w:bCs/>
          <w:color w:val="auto"/>
          <w:szCs w:val="24"/>
          <w:highlight w:val="none"/>
        </w:rPr>
      </w:pPr>
      <w:r>
        <w:rPr>
          <w:rFonts w:hint="eastAsia" w:ascii="宋体" w:hAnsi="宋体" w:eastAsia="宋体" w:cs="宋体"/>
          <w:bCs/>
          <w:color w:val="auto"/>
          <w:szCs w:val="24"/>
          <w:highlight w:val="none"/>
        </w:rPr>
        <w:t>（1）潜在供应商依法获取采购文件后，认为采购文件使自己的权益受到损害的，应当在竞争性谈判文件公告期限届满之日起7个工作日内提出质疑。</w:t>
      </w:r>
    </w:p>
    <w:p>
      <w:pPr>
        <w:spacing w:line="360" w:lineRule="auto"/>
        <w:ind w:firstLine="420"/>
        <w:rPr>
          <w:rFonts w:ascii="宋体" w:hAnsi="宋体" w:eastAsia="宋体" w:cs="宋体"/>
          <w:bCs/>
          <w:color w:val="auto"/>
          <w:szCs w:val="24"/>
          <w:highlight w:val="none"/>
        </w:rPr>
      </w:pPr>
      <w:r>
        <w:rPr>
          <w:rFonts w:hint="eastAsia" w:ascii="宋体" w:hAnsi="宋体" w:eastAsia="宋体" w:cs="宋体"/>
          <w:bCs/>
          <w:color w:val="auto"/>
          <w:szCs w:val="24"/>
          <w:highlight w:val="none"/>
        </w:rPr>
        <w:t>（2）供应商认为采购过程使自己的权益受到损害的，应当在各采购程序环节结束之日起7个工作日内提出质疑。对采购过程中资格审查、符合性审查等具体评审情况的质疑应向采购人或者采购代理机构提出，由采购人或者采购代理机构受理并负责答复；对采购过程中采购执行程序的质疑由采购代理机构受理并负责答复。</w:t>
      </w:r>
    </w:p>
    <w:p>
      <w:pPr>
        <w:spacing w:line="360" w:lineRule="auto"/>
        <w:ind w:firstLine="420"/>
        <w:rPr>
          <w:rFonts w:ascii="宋体" w:hAnsi="宋体" w:eastAsia="宋体" w:cs="宋体"/>
          <w:bCs/>
          <w:color w:val="auto"/>
          <w:szCs w:val="24"/>
          <w:highlight w:val="none"/>
        </w:rPr>
      </w:pPr>
      <w:r>
        <w:rPr>
          <w:rFonts w:hint="eastAsia" w:ascii="宋体" w:hAnsi="宋体" w:eastAsia="宋体" w:cs="宋体"/>
          <w:bCs/>
          <w:color w:val="auto"/>
          <w:szCs w:val="24"/>
          <w:highlight w:val="none"/>
        </w:rPr>
        <w:t>（3）供应商认为成交结果使自己的权益受到损害的，应当在成交结果公告期限届满之日起7个工作日内提出质疑，由采购人受理并负责答复。</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30.3供应商提出的询问或者质疑超出采购人对采购代理机构委托授权范围的，采购代理机构应当告知供应商向采购人提出。政府采购评审专家应当配合采购人或者采购代理机构答复供应商的询问和质疑。</w:t>
      </w:r>
    </w:p>
    <w:p>
      <w:pPr>
        <w:spacing w:line="360" w:lineRule="auto"/>
        <w:ind w:firstLine="422"/>
        <w:rPr>
          <w:rFonts w:ascii="宋体" w:hAnsi="宋体" w:eastAsia="宋体" w:cs="宋体"/>
          <w:color w:val="auto"/>
          <w:szCs w:val="24"/>
          <w:highlight w:val="none"/>
        </w:rPr>
      </w:pPr>
      <w:r>
        <w:rPr>
          <w:rFonts w:hint="eastAsia" w:ascii="宋体" w:hAnsi="宋体" w:eastAsia="宋体" w:cs="宋体"/>
          <w:b/>
          <w:bCs/>
          <w:color w:val="auto"/>
          <w:szCs w:val="24"/>
          <w:highlight w:val="none"/>
        </w:rPr>
        <w:t>30.4 供应商提出质疑应当提交质疑函和必要的证明材料，针对同一采购程序环节的质疑必须在法定质疑期内一次性提出。质疑函应当包括下列内容（质疑函格式后附）：</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（1）供应商的姓名或者名称、地址、邮编、联系人及联系电话；</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（2）质疑项目的名称、编号；</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（3）具体、明确的质疑事项和与质疑事项相关的请求；</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（4）事实依据；</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（5）必要的法律依据；</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（6）提出质疑的日期。</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供应商为自然人的，应当由本人签字；供应商为法人或者其他组织的，应当由法定代表人、主要负责人，或者其委托代理人签字或者盖章，并加盖公章。</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30.5采购人、采购代理机构认为供应商质疑不成立，或者成立但未对成交结果构成影响的，继续开展采购活动；认为供应商质疑成立且影响或者可能影响成交结果的，按照下列情况处理：</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（一）对采购文件提出的质疑，依法通过澄清或者修改可以继续开展采购活动的，澄清或者修改采购文件后继续开展采购活动；否则应当修改采购文件后重新开展采购活动。</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（二）对采购过程或者成交结果提出的质疑，合格供应商符合法定数量时，可以从合格的成交候选人中另行确定成交供应商的，应当依法另行确定成交供应商；否则应当重新开展采购活动。</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质疑答复导致成交结果改变的，采购人或者采购代理机构应当将有关情况书面报告本级财政部门。</w:t>
      </w:r>
    </w:p>
    <w:p>
      <w:pPr>
        <w:spacing w:line="360" w:lineRule="auto"/>
        <w:ind w:firstLine="422"/>
        <w:rPr>
          <w:rFonts w:ascii="宋体" w:hAnsi="宋体" w:eastAsia="宋体" w:cs="宋体"/>
          <w:b/>
          <w:bCs/>
          <w:color w:val="auto"/>
          <w:szCs w:val="24"/>
          <w:highlight w:val="none"/>
        </w:rPr>
      </w:pPr>
      <w:r>
        <w:rPr>
          <w:rFonts w:hint="eastAsia" w:ascii="宋体" w:hAnsi="宋体" w:eastAsia="宋体" w:cs="宋体"/>
          <w:b/>
          <w:bCs/>
          <w:color w:val="auto"/>
          <w:szCs w:val="24"/>
          <w:highlight w:val="none"/>
        </w:rPr>
        <w:t>30.6投诉的权利。质疑供应商对采购人或采购代理机构的答复不满意，或者采购人或采购代理机构未在规定时间内作出答复的，可以在答复期满后15个工作日内向《政府采购质疑和投诉办法》（财政部令第94号）第六条规定的财政部门提起投诉（投诉书格式后附），受理投诉方式见“供应商须知前附表”。</w:t>
      </w:r>
    </w:p>
    <w:p>
      <w:pPr>
        <w:keepNext/>
        <w:keepLines/>
        <w:spacing w:line="360" w:lineRule="auto"/>
        <w:ind w:firstLine="643"/>
        <w:outlineLvl w:val="2"/>
        <w:rPr>
          <w:rFonts w:ascii="宋体" w:hAnsi="宋体" w:eastAsia="宋体" w:cs="宋体"/>
          <w:bCs/>
          <w:color w:val="auto"/>
          <w:sz w:val="32"/>
          <w:szCs w:val="32"/>
          <w:highlight w:val="none"/>
          <w:lang w:val="zh-CN"/>
        </w:rPr>
      </w:pPr>
      <w:bookmarkStart w:id="101" w:name="_Toc25772"/>
      <w:bookmarkStart w:id="102" w:name="_Toc80205930"/>
      <w:bookmarkStart w:id="103" w:name="_Toc6502"/>
      <w:r>
        <w:rPr>
          <w:rFonts w:hint="eastAsia" w:ascii="宋体" w:hAnsi="宋体" w:eastAsia="宋体" w:cs="宋体"/>
          <w:b/>
          <w:bCs/>
          <w:color w:val="auto"/>
          <w:sz w:val="32"/>
          <w:szCs w:val="32"/>
          <w:highlight w:val="none"/>
          <w:lang w:val="zh-CN"/>
        </w:rPr>
        <w:t>六</w:t>
      </w:r>
      <w:r>
        <w:rPr>
          <w:rFonts w:hint="eastAsia" w:ascii="宋体" w:hAnsi="宋体" w:eastAsia="宋体" w:cs="宋体"/>
          <w:bCs/>
          <w:color w:val="auto"/>
          <w:sz w:val="32"/>
          <w:szCs w:val="32"/>
          <w:highlight w:val="none"/>
          <w:lang w:val="zh-CN"/>
        </w:rPr>
        <w:t>、验收</w:t>
      </w:r>
      <w:bookmarkEnd w:id="101"/>
      <w:bookmarkEnd w:id="102"/>
      <w:bookmarkEnd w:id="103"/>
    </w:p>
    <w:p>
      <w:pPr>
        <w:tabs>
          <w:tab w:val="left" w:pos="0"/>
        </w:tabs>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31.验收</w:t>
      </w:r>
    </w:p>
    <w:p>
      <w:pPr>
        <w:tabs>
          <w:tab w:val="left" w:pos="0"/>
        </w:tabs>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31.1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31.2采购人可以邀请参加本项目的其他供应商或者第三方机构参与验收。参与验收的供应商或者第三方机构的意见作为验收书的参考资料一并存档。</w:t>
      </w:r>
    </w:p>
    <w:p>
      <w:pPr>
        <w:tabs>
          <w:tab w:val="left" w:pos="0"/>
        </w:tabs>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31.3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如有）返还条件挂钩。履约验收的各项资料应当存档备查。</w:t>
      </w:r>
    </w:p>
    <w:p>
      <w:pPr>
        <w:tabs>
          <w:tab w:val="left" w:pos="0"/>
        </w:tabs>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31.4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pPr>
        <w:keepNext/>
        <w:keepLines/>
        <w:spacing w:line="360" w:lineRule="auto"/>
        <w:ind w:firstLine="640"/>
        <w:outlineLvl w:val="2"/>
        <w:rPr>
          <w:rFonts w:ascii="宋体" w:hAnsi="宋体" w:eastAsia="宋体" w:cs="宋体"/>
          <w:color w:val="auto"/>
          <w:sz w:val="32"/>
          <w:szCs w:val="32"/>
          <w:highlight w:val="none"/>
          <w:lang w:val="zh-CN"/>
        </w:rPr>
      </w:pPr>
      <w:bookmarkStart w:id="104" w:name="_Toc15842"/>
      <w:bookmarkStart w:id="105" w:name="_Toc80205931"/>
      <w:bookmarkStart w:id="106" w:name="_Toc1379"/>
      <w:r>
        <w:rPr>
          <w:rFonts w:hint="eastAsia" w:ascii="宋体" w:hAnsi="宋体" w:eastAsia="宋体" w:cs="宋体"/>
          <w:color w:val="auto"/>
          <w:sz w:val="32"/>
          <w:szCs w:val="32"/>
          <w:highlight w:val="none"/>
          <w:lang w:val="zh-CN"/>
        </w:rPr>
        <w:t>七、其他事项</w:t>
      </w:r>
      <w:bookmarkEnd w:id="104"/>
      <w:bookmarkEnd w:id="105"/>
      <w:bookmarkEnd w:id="106"/>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32.采购代理服务费</w:t>
      </w:r>
    </w:p>
    <w:p>
      <w:pPr>
        <w:tabs>
          <w:tab w:val="left" w:pos="2835"/>
        </w:tabs>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32.1采购代理服务费收费标准及缴费账户详见“供应商须知前附表”，供应商为联合体的，可以由联合体中的一方或者多方共同缴纳采购代理服务费。</w:t>
      </w:r>
    </w:p>
    <w:p>
      <w:pPr>
        <w:pStyle w:val="18"/>
        <w:ind w:firstLine="420"/>
        <w:rPr>
          <w:rFonts w:ascii="宋体" w:hAnsi="宋体" w:cs="宋体"/>
          <w:color w:val="auto"/>
          <w:highlight w:val="none"/>
          <w:lang w:val="en-US"/>
        </w:rPr>
      </w:pPr>
      <w:r>
        <w:rPr>
          <w:rFonts w:hint="eastAsia" w:ascii="宋体" w:hAnsi="宋体" w:cs="宋体"/>
          <w:color w:val="auto"/>
          <w:highlight w:val="none"/>
          <w:lang w:val="en-US"/>
        </w:rPr>
        <w:t>32.2采购代理服务费收费计算标准：</w:t>
      </w:r>
    </w:p>
    <w:tbl>
      <w:tblPr>
        <w:tblStyle w:val="44"/>
        <w:tblW w:w="82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金额</w:t>
            </w:r>
          </w:p>
        </w:tc>
        <w:tc>
          <w:tcPr>
            <w:tcW w:w="1659" w:type="dxa"/>
            <w:vAlign w:val="center"/>
          </w:tcPr>
          <w:p>
            <w:pPr>
              <w:spacing w:line="360" w:lineRule="auto"/>
              <w:ind w:firstLine="105"/>
              <w:jc w:val="center"/>
              <w:rPr>
                <w:rFonts w:ascii="宋体" w:hAnsi="宋体" w:eastAsia="宋体" w:cs="宋体"/>
                <w:color w:val="auto"/>
                <w:szCs w:val="21"/>
                <w:highlight w:val="none"/>
              </w:rPr>
            </w:pPr>
            <w:r>
              <w:rPr>
                <w:rFonts w:hint="eastAsia" w:ascii="宋体" w:hAnsi="宋体" w:eastAsia="宋体" w:cs="宋体"/>
                <w:color w:val="auto"/>
                <w:szCs w:val="21"/>
                <w:highlight w:val="none"/>
              </w:rPr>
              <w:t>货物类</w:t>
            </w:r>
          </w:p>
        </w:tc>
        <w:tc>
          <w:tcPr>
            <w:tcW w:w="153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服务类</w:t>
            </w:r>
          </w:p>
        </w:tc>
        <w:tc>
          <w:tcPr>
            <w:tcW w:w="1546"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1.5%                </w:t>
            </w:r>
          </w:p>
        </w:tc>
        <w:tc>
          <w:tcPr>
            <w:tcW w:w="1532" w:type="dxa"/>
          </w:tcPr>
          <w:p>
            <w:pPr>
              <w:spacing w:line="360" w:lineRule="auto"/>
              <w:ind w:firstLine="210"/>
              <w:rPr>
                <w:rFonts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546" w:type="dxa"/>
          </w:tcPr>
          <w:p>
            <w:pPr>
              <w:spacing w:line="360" w:lineRule="auto"/>
              <w:ind w:firstLine="21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tcPr>
          <w:p>
            <w:pPr>
              <w:spacing w:line="360" w:lineRule="auto"/>
              <w:ind w:firstLine="21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1.1%                 </w:t>
            </w:r>
          </w:p>
        </w:tc>
        <w:tc>
          <w:tcPr>
            <w:tcW w:w="1532" w:type="dxa"/>
          </w:tcPr>
          <w:p>
            <w:pPr>
              <w:spacing w:line="360" w:lineRule="auto"/>
              <w:ind w:firstLine="210"/>
              <w:rPr>
                <w:rFonts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1546" w:type="dxa"/>
          </w:tcPr>
          <w:p>
            <w:pPr>
              <w:spacing w:line="360" w:lineRule="auto"/>
              <w:ind w:firstLine="21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0.8%                </w:t>
            </w:r>
          </w:p>
        </w:tc>
        <w:tc>
          <w:tcPr>
            <w:tcW w:w="1532" w:type="dxa"/>
          </w:tcPr>
          <w:p>
            <w:pPr>
              <w:spacing w:line="360" w:lineRule="auto"/>
              <w:ind w:firstLine="210"/>
              <w:rPr>
                <w:rFonts w:ascii="宋体" w:hAnsi="宋体" w:eastAsia="宋体" w:cs="宋体"/>
                <w:color w:val="auto"/>
                <w:szCs w:val="21"/>
                <w:highlight w:val="none"/>
              </w:rPr>
            </w:pPr>
            <w:r>
              <w:rPr>
                <w:rFonts w:hint="eastAsia" w:ascii="宋体" w:hAnsi="宋体" w:eastAsia="宋体" w:cs="宋体"/>
                <w:color w:val="auto"/>
                <w:szCs w:val="21"/>
                <w:highlight w:val="none"/>
              </w:rPr>
              <w:t>0.45%</w:t>
            </w:r>
          </w:p>
        </w:tc>
        <w:tc>
          <w:tcPr>
            <w:tcW w:w="1546" w:type="dxa"/>
          </w:tcPr>
          <w:p>
            <w:pPr>
              <w:spacing w:line="360" w:lineRule="auto"/>
              <w:ind w:firstLine="210"/>
              <w:rPr>
                <w:rFonts w:ascii="宋体" w:hAnsi="宋体" w:eastAsia="宋体" w:cs="宋体"/>
                <w:color w:val="auto"/>
                <w:szCs w:val="21"/>
                <w:highlight w:val="none"/>
              </w:rPr>
            </w:pPr>
            <w:r>
              <w:rPr>
                <w:rFonts w:hint="eastAsia" w:ascii="宋体" w:hAnsi="宋体" w:eastAsia="宋体" w:cs="宋体"/>
                <w:color w:val="auto"/>
                <w:szCs w:val="21"/>
                <w:highlight w:val="none"/>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tcPr>
          <w:p>
            <w:pPr>
              <w:spacing w:line="360" w:lineRule="auto"/>
              <w:ind w:firstLine="21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0.5%                </w:t>
            </w:r>
          </w:p>
        </w:tc>
        <w:tc>
          <w:tcPr>
            <w:tcW w:w="1532" w:type="dxa"/>
          </w:tcPr>
          <w:p>
            <w:pPr>
              <w:spacing w:line="360" w:lineRule="auto"/>
              <w:ind w:firstLine="210"/>
              <w:rPr>
                <w:rFonts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1546" w:type="dxa"/>
          </w:tcPr>
          <w:p>
            <w:pPr>
              <w:spacing w:line="360" w:lineRule="auto"/>
              <w:ind w:firstLine="21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tcPr>
          <w:p>
            <w:pPr>
              <w:spacing w:line="360" w:lineRule="auto"/>
              <w:ind w:firstLine="21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0.25%                 </w:t>
            </w:r>
          </w:p>
        </w:tc>
        <w:tc>
          <w:tcPr>
            <w:tcW w:w="1532" w:type="dxa"/>
          </w:tcPr>
          <w:p>
            <w:pPr>
              <w:spacing w:line="360" w:lineRule="auto"/>
              <w:ind w:firstLine="210"/>
              <w:rPr>
                <w:rFonts w:ascii="宋体" w:hAnsi="宋体" w:eastAsia="宋体" w:cs="宋体"/>
                <w:color w:val="auto"/>
                <w:szCs w:val="21"/>
                <w:highlight w:val="none"/>
              </w:rPr>
            </w:pPr>
            <w:r>
              <w:rPr>
                <w:rFonts w:hint="eastAsia" w:ascii="宋体" w:hAnsi="宋体" w:eastAsia="宋体" w:cs="宋体"/>
                <w:color w:val="auto"/>
                <w:szCs w:val="21"/>
                <w:highlight w:val="none"/>
              </w:rPr>
              <w:t>0.1%</w:t>
            </w:r>
          </w:p>
        </w:tc>
        <w:tc>
          <w:tcPr>
            <w:tcW w:w="1546" w:type="dxa"/>
          </w:tcPr>
          <w:p>
            <w:pPr>
              <w:spacing w:line="360" w:lineRule="auto"/>
              <w:ind w:firstLine="210"/>
              <w:rPr>
                <w:rFonts w:ascii="宋体" w:hAnsi="宋体" w:eastAsia="宋体" w:cs="宋体"/>
                <w:color w:val="auto"/>
                <w:szCs w:val="21"/>
                <w:highlight w:val="none"/>
              </w:rPr>
            </w:pPr>
            <w:r>
              <w:rPr>
                <w:rFonts w:hint="eastAsia" w:ascii="宋体" w:hAnsi="宋体" w:eastAsia="宋体" w:cs="宋体"/>
                <w:color w:val="auto"/>
                <w:szCs w:val="21"/>
                <w:highlight w:val="none"/>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tcPr>
          <w:p>
            <w:pPr>
              <w:spacing w:line="360" w:lineRule="auto"/>
              <w:ind w:firstLine="210"/>
              <w:rPr>
                <w:rFonts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53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546"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tcPr>
          <w:p>
            <w:pPr>
              <w:spacing w:line="360" w:lineRule="auto"/>
              <w:ind w:firstLine="105"/>
              <w:rPr>
                <w:rFonts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53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546" w:type="dxa"/>
          </w:tcPr>
          <w:p>
            <w:pPr>
              <w:spacing w:line="360" w:lineRule="auto"/>
              <w:ind w:firstLine="105"/>
              <w:rPr>
                <w:rFonts w:ascii="宋体" w:hAnsi="宋体" w:eastAsia="宋体" w:cs="宋体"/>
                <w:color w:val="auto"/>
                <w:szCs w:val="21"/>
                <w:highlight w:val="none"/>
              </w:rPr>
            </w:pPr>
            <w:r>
              <w:rPr>
                <w:rFonts w:hint="eastAsia" w:ascii="宋体" w:hAnsi="宋体" w:eastAsia="宋体" w:cs="宋体"/>
                <w:color w:val="auto"/>
                <w:szCs w:val="21"/>
                <w:highlight w:val="none"/>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tcPr>
          <w:p>
            <w:pPr>
              <w:spacing w:line="360" w:lineRule="auto"/>
              <w:ind w:firstLine="105"/>
              <w:rPr>
                <w:rFonts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32" w:type="dxa"/>
          </w:tcPr>
          <w:p>
            <w:pPr>
              <w:spacing w:line="360" w:lineRule="auto"/>
              <w:ind w:firstLine="210"/>
              <w:rPr>
                <w:rFonts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46" w:type="dxa"/>
          </w:tcPr>
          <w:p>
            <w:pPr>
              <w:spacing w:line="360" w:lineRule="auto"/>
              <w:ind w:firstLine="105"/>
              <w:rPr>
                <w:rFonts w:ascii="宋体" w:hAnsi="宋体" w:eastAsia="宋体" w:cs="宋体"/>
                <w:color w:val="auto"/>
                <w:szCs w:val="21"/>
                <w:highlight w:val="none"/>
              </w:rPr>
            </w:pPr>
            <w:r>
              <w:rPr>
                <w:rFonts w:hint="eastAsia" w:ascii="宋体" w:hAnsi="宋体" w:eastAsia="宋体" w:cs="宋体"/>
                <w:color w:val="auto"/>
                <w:szCs w:val="21"/>
                <w:highlight w:val="none"/>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532" w:type="dxa"/>
          </w:tcPr>
          <w:p>
            <w:pPr>
              <w:spacing w:line="360" w:lineRule="auto"/>
              <w:ind w:firstLine="210"/>
              <w:rPr>
                <w:rFonts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546" w:type="dxa"/>
          </w:tcPr>
          <w:p>
            <w:pPr>
              <w:spacing w:line="360" w:lineRule="auto"/>
              <w:ind w:firstLine="105"/>
              <w:rPr>
                <w:rFonts w:ascii="宋体" w:hAnsi="宋体" w:eastAsia="宋体" w:cs="宋体"/>
                <w:color w:val="auto"/>
                <w:szCs w:val="21"/>
                <w:highlight w:val="none"/>
              </w:rPr>
            </w:pPr>
            <w:r>
              <w:rPr>
                <w:rFonts w:hint="eastAsia" w:ascii="宋体" w:hAnsi="宋体" w:eastAsia="宋体" w:cs="宋体"/>
                <w:color w:val="auto"/>
                <w:szCs w:val="21"/>
                <w:highlight w:val="none"/>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100亿元以上</w:t>
            </w:r>
          </w:p>
        </w:tc>
        <w:tc>
          <w:tcPr>
            <w:tcW w:w="1659"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532" w:type="dxa"/>
          </w:tcPr>
          <w:p>
            <w:pPr>
              <w:spacing w:line="360" w:lineRule="auto"/>
              <w:ind w:firstLine="210"/>
              <w:rPr>
                <w:rFonts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546" w:type="dxa"/>
          </w:tcPr>
          <w:p>
            <w:pPr>
              <w:spacing w:line="360" w:lineRule="auto"/>
              <w:ind w:firstLine="105"/>
              <w:rPr>
                <w:rFonts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pPr>
        <w:spacing w:line="360" w:lineRule="auto"/>
        <w:ind w:firstLine="420"/>
        <w:rPr>
          <w:rFonts w:ascii="宋体" w:hAnsi="宋体" w:eastAsia="宋体" w:cs="宋体"/>
          <w:color w:val="auto"/>
          <w:highlight w:val="none"/>
        </w:rPr>
      </w:pPr>
      <w:r>
        <w:rPr>
          <w:rFonts w:hint="eastAsia" w:ascii="宋体" w:hAnsi="宋体" w:eastAsia="宋体" w:cs="宋体"/>
          <w:color w:val="auto"/>
          <w:highlight w:val="none"/>
        </w:rPr>
        <w:t xml:space="preserve">注： </w:t>
      </w:r>
    </w:p>
    <w:p>
      <w:pPr>
        <w:spacing w:line="360" w:lineRule="auto"/>
        <w:ind w:firstLine="420"/>
        <w:rPr>
          <w:rFonts w:ascii="宋体" w:hAnsi="宋体" w:eastAsia="宋体" w:cs="宋体"/>
          <w:color w:val="auto"/>
          <w:highlight w:val="none"/>
        </w:rPr>
      </w:pPr>
      <w:r>
        <w:rPr>
          <w:rFonts w:hint="eastAsia" w:ascii="宋体" w:hAnsi="宋体" w:eastAsia="宋体" w:cs="宋体"/>
          <w:color w:val="auto"/>
          <w:highlight w:val="none"/>
        </w:rPr>
        <w:t>（1）按本表费率计算的收费为采购代理的收费基准价格；</w:t>
      </w:r>
    </w:p>
    <w:p>
      <w:pPr>
        <w:spacing w:line="360" w:lineRule="auto"/>
        <w:ind w:firstLine="420"/>
        <w:rPr>
          <w:rFonts w:ascii="宋体" w:hAnsi="宋体" w:eastAsia="宋体" w:cs="宋体"/>
          <w:color w:val="auto"/>
          <w:highlight w:val="none"/>
        </w:rPr>
      </w:pPr>
      <w:r>
        <w:rPr>
          <w:rFonts w:hint="eastAsia" w:ascii="宋体" w:hAnsi="宋体" w:eastAsia="宋体" w:cs="宋体"/>
          <w:color w:val="auto"/>
          <w:highlight w:val="none"/>
        </w:rPr>
        <w:t>（2）采购代理收费按差额定率累进法计算。</w:t>
      </w:r>
    </w:p>
    <w:p>
      <w:pPr>
        <w:spacing w:line="360" w:lineRule="auto"/>
        <w:ind w:firstLine="420"/>
        <w:rPr>
          <w:rFonts w:ascii="宋体" w:hAnsi="宋体" w:eastAsia="宋体" w:cs="宋体"/>
          <w:color w:val="auto"/>
          <w:highlight w:val="none"/>
        </w:rPr>
      </w:pPr>
      <w:r>
        <w:rPr>
          <w:rFonts w:hint="eastAsia" w:ascii="宋体" w:hAnsi="宋体" w:eastAsia="宋体" w:cs="宋体"/>
          <w:color w:val="auto"/>
          <w:highlight w:val="none"/>
        </w:rPr>
        <w:t>例如：某货物采购代理业务成交金额或者暂定价为150万元，计算采购代理收费额如下：</w:t>
      </w:r>
    </w:p>
    <w:p>
      <w:pPr>
        <w:spacing w:line="360" w:lineRule="auto"/>
        <w:ind w:firstLine="420"/>
        <w:rPr>
          <w:rFonts w:ascii="宋体" w:hAnsi="宋体" w:eastAsia="宋体" w:cs="宋体"/>
          <w:color w:val="auto"/>
          <w:highlight w:val="none"/>
        </w:rPr>
      </w:pPr>
      <w:r>
        <w:rPr>
          <w:rFonts w:hint="eastAsia" w:ascii="宋体" w:hAnsi="宋体" w:eastAsia="宋体" w:cs="宋体"/>
          <w:color w:val="auto"/>
          <w:highlight w:val="none"/>
        </w:rPr>
        <w:t>100 万元 ×l.5 ％＝ 1.5 万元</w:t>
      </w:r>
    </w:p>
    <w:p>
      <w:pPr>
        <w:spacing w:line="360" w:lineRule="auto"/>
        <w:ind w:firstLine="420"/>
        <w:rPr>
          <w:rFonts w:ascii="宋体" w:hAnsi="宋体" w:eastAsia="宋体" w:cs="宋体"/>
          <w:color w:val="auto"/>
          <w:highlight w:val="none"/>
        </w:rPr>
      </w:pPr>
      <w:r>
        <w:rPr>
          <w:rFonts w:hint="eastAsia" w:ascii="宋体" w:hAnsi="宋体" w:eastAsia="宋体" w:cs="宋体"/>
          <w:color w:val="auto"/>
          <w:highlight w:val="none"/>
        </w:rPr>
        <w:t>（ 150 － 100 ）万元 ×1.1％＝ 0.55 万元</w:t>
      </w:r>
    </w:p>
    <w:p>
      <w:pPr>
        <w:spacing w:line="360" w:lineRule="auto"/>
        <w:ind w:firstLine="420"/>
        <w:rPr>
          <w:rFonts w:ascii="宋体" w:hAnsi="宋体" w:eastAsia="宋体" w:cs="宋体"/>
          <w:color w:val="auto"/>
          <w:highlight w:val="none"/>
        </w:rPr>
      </w:pPr>
      <w:r>
        <w:rPr>
          <w:rFonts w:hint="eastAsia" w:ascii="宋体" w:hAnsi="宋体" w:eastAsia="宋体" w:cs="宋体"/>
          <w:color w:val="auto"/>
          <w:highlight w:val="none"/>
        </w:rPr>
        <w:t>合计收费＝ 1.5 ＋ 0.55＝ 2.05 （万元）</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33.需要补充的其他内容</w:t>
      </w:r>
    </w:p>
    <w:p>
      <w:pPr>
        <w:spacing w:line="360" w:lineRule="auto"/>
        <w:ind w:firstLine="42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w:t>
      </w: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zh-CN"/>
        </w:rPr>
        <w:t>.1本谈判文件解释规则详见“供应商须知前附表”。</w:t>
      </w:r>
    </w:p>
    <w:p>
      <w:pPr>
        <w:spacing w:line="360" w:lineRule="auto"/>
        <w:ind w:firstLine="420"/>
        <w:contextualSpacing/>
        <w:rPr>
          <w:rFonts w:ascii="宋体" w:hAnsi="宋体" w:eastAsia="宋体" w:cs="宋体"/>
          <w:color w:val="auto"/>
          <w:szCs w:val="24"/>
          <w:highlight w:val="none"/>
        </w:rPr>
      </w:pPr>
      <w:r>
        <w:rPr>
          <w:rFonts w:hint="eastAsia" w:ascii="宋体" w:hAnsi="宋体" w:eastAsia="宋体" w:cs="宋体"/>
          <w:color w:val="auto"/>
          <w:szCs w:val="21"/>
          <w:highlight w:val="none"/>
        </w:rPr>
        <w:t>33.2 其他事</w:t>
      </w:r>
      <w:r>
        <w:rPr>
          <w:rFonts w:hint="eastAsia" w:ascii="宋体" w:hAnsi="宋体" w:eastAsia="宋体" w:cs="宋体"/>
          <w:color w:val="auto"/>
          <w:szCs w:val="24"/>
          <w:highlight w:val="none"/>
        </w:rPr>
        <w:t>项详见“供应商须知前附表”。</w:t>
      </w:r>
    </w:p>
    <w:p>
      <w:pPr>
        <w:spacing w:line="360" w:lineRule="auto"/>
        <w:ind w:firstLine="420"/>
        <w:contextualSpacing/>
        <w:rPr>
          <w:rFonts w:ascii="宋体" w:hAnsi="宋体" w:eastAsia="宋体" w:cs="宋体"/>
          <w:color w:val="auto"/>
          <w:highlight w:val="none"/>
        </w:rPr>
      </w:pPr>
      <w:r>
        <w:rPr>
          <w:rFonts w:hint="eastAsia" w:ascii="宋体" w:hAnsi="宋体" w:eastAsia="宋体" w:cs="宋体"/>
          <w:color w:val="auto"/>
          <w:szCs w:val="21"/>
          <w:highlight w:val="none"/>
          <w:lang w:val="zh-CN"/>
        </w:rPr>
        <w:t>3</w:t>
      </w: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zh-CN"/>
        </w:rPr>
        <w:t>.3</w:t>
      </w:r>
      <w:bookmarkStart w:id="107" w:name="_Hlk65857140"/>
      <w:r>
        <w:rPr>
          <w:rFonts w:hint="eastAsia" w:ascii="宋体" w:hAnsi="宋体" w:eastAsia="宋体" w:cs="宋体"/>
          <w:color w:val="auto"/>
          <w:szCs w:val="21"/>
          <w:highlight w:val="none"/>
          <w:lang w:val="zh-CN"/>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ascii="宋体" w:hAnsi="宋体" w:eastAsia="宋体" w:cs="宋体"/>
          <w:color w:val="auto"/>
          <w:highlight w:val="none"/>
        </w:rPr>
        <w:t>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pPr>
        <w:pStyle w:val="23"/>
        <w:spacing w:line="360" w:lineRule="auto"/>
        <w:ind w:firstLine="420"/>
        <w:rPr>
          <w:rFonts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pPr>
        <w:spacing w:line="360" w:lineRule="auto"/>
        <w:ind w:firstLine="42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依据本文件规定享受扶持政策获得政府采购合同的，小微企业不得将合同分包给大中型企业，中型企业不得将合同分包给大型企业。</w:t>
      </w:r>
      <w:bookmarkEnd w:id="107"/>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33.4</w:t>
      </w:r>
      <w:r>
        <w:rPr>
          <w:rFonts w:hint="eastAsia" w:ascii="宋体" w:hAnsi="宋体" w:eastAsia="宋体" w:cs="宋体"/>
          <w:color w:val="auto"/>
          <w:szCs w:val="20"/>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pacing w:line="360" w:lineRule="auto"/>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34. </w:t>
      </w:r>
      <w:r>
        <w:rPr>
          <w:rFonts w:hint="eastAsia" w:ascii="宋体" w:hAnsi="宋体" w:eastAsia="宋体" w:cs="宋体"/>
          <w:color w:val="auto"/>
          <w:sz w:val="24"/>
          <w:highlight w:val="none"/>
        </w:rPr>
        <w:t>广西线上“政采贷”</w:t>
      </w:r>
      <w:r>
        <w:rPr>
          <w:rFonts w:hint="eastAsia" w:ascii="宋体" w:hAnsi="宋体" w:eastAsia="宋体" w:cs="宋体"/>
          <w:color w:val="auto"/>
          <w:sz w:val="24"/>
          <w:szCs w:val="24"/>
          <w:highlight w:val="none"/>
        </w:rPr>
        <w:t>政策告知函</w:t>
      </w:r>
    </w:p>
    <w:p>
      <w:pPr>
        <w:spacing w:line="580" w:lineRule="exact"/>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广西线上“政采贷”政策告知函</w:t>
      </w:r>
    </w:p>
    <w:p>
      <w:pPr>
        <w:spacing w:line="580" w:lineRule="exact"/>
        <w:ind w:firstLine="420"/>
        <w:rPr>
          <w:rFonts w:ascii="宋体" w:hAnsi="宋体" w:eastAsia="宋体" w:cs="宋体"/>
          <w:color w:val="auto"/>
          <w:szCs w:val="32"/>
          <w:highlight w:val="none"/>
        </w:rPr>
      </w:pPr>
    </w:p>
    <w:p>
      <w:pPr>
        <w:spacing w:line="58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各供应商：</w:t>
      </w:r>
    </w:p>
    <w:p>
      <w:pPr>
        <w:spacing w:line="58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欢迎贵公司参与广西政府采购活动！</w:t>
      </w:r>
    </w:p>
    <w:p>
      <w:pPr>
        <w:spacing w:line="58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pPr>
        <w:spacing w:line="58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Style w:val="50"/>
          <w:rFonts w:hint="eastAsia" w:ascii="宋体" w:hAnsi="宋体" w:eastAsia="宋体" w:cs="宋体"/>
          <w:color w:val="auto"/>
          <w:szCs w:val="21"/>
          <w:highlight w:val="none"/>
        </w:rPr>
        <w:t>https://www.crcrfsp.com/</w:t>
      </w:r>
      <w:r>
        <w:rPr>
          <w:rStyle w:val="50"/>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，客服电话：400-009-0001）。</w:t>
      </w:r>
    </w:p>
    <w:p>
      <w:pPr>
        <w:spacing w:line="360" w:lineRule="auto"/>
        <w:ind w:firstLine="402"/>
        <w:contextualSpacing/>
        <w:rPr>
          <w:rFonts w:ascii="宋体" w:hAnsi="宋体" w:eastAsia="宋体" w:cs="宋体"/>
          <w:b/>
          <w:color w:val="auto"/>
          <w:sz w:val="20"/>
          <w:szCs w:val="21"/>
          <w:highlight w:val="none"/>
        </w:rPr>
      </w:pPr>
    </w:p>
    <w:p>
      <w:pPr>
        <w:rPr>
          <w:rFonts w:ascii="宋体" w:hAnsi="宋体" w:eastAsia="宋体" w:cs="宋体"/>
          <w:b/>
          <w:color w:val="auto"/>
          <w:sz w:val="20"/>
          <w:szCs w:val="21"/>
          <w:highlight w:val="none"/>
        </w:rPr>
      </w:pPr>
      <w:r>
        <w:rPr>
          <w:rFonts w:hint="eastAsia" w:ascii="宋体" w:hAnsi="宋体" w:eastAsia="宋体" w:cs="宋体"/>
          <w:b/>
          <w:color w:val="auto"/>
          <w:sz w:val="20"/>
          <w:szCs w:val="21"/>
          <w:highlight w:val="none"/>
        </w:rPr>
        <w:br w:type="page" w:clear="all"/>
      </w:r>
    </w:p>
    <w:p>
      <w:pPr>
        <w:pStyle w:val="2"/>
        <w:spacing w:line="360" w:lineRule="auto"/>
        <w:ind w:firstLine="1325"/>
        <w:rPr>
          <w:rFonts w:ascii="宋体" w:hAnsi="宋体" w:cs="宋体"/>
          <w:color w:val="auto"/>
          <w:highlight w:val="none"/>
        </w:rPr>
      </w:pPr>
      <w:bookmarkStart w:id="108" w:name="_Toc23199"/>
      <w:bookmarkStart w:id="109" w:name="_Toc80205932"/>
      <w:bookmarkStart w:id="110" w:name="_Toc17139"/>
      <w:bookmarkStart w:id="111" w:name="_Toc11174"/>
      <w:r>
        <w:rPr>
          <w:rFonts w:hint="eastAsia" w:ascii="宋体" w:hAnsi="宋体" w:cs="宋体"/>
          <w:color w:val="auto"/>
          <w:highlight w:val="none"/>
        </w:rPr>
        <w:t>第四章 评审程序、评审方法和成交标准</w:t>
      </w:r>
      <w:bookmarkEnd w:id="108"/>
      <w:bookmarkEnd w:id="109"/>
      <w:bookmarkEnd w:id="110"/>
      <w:bookmarkEnd w:id="111"/>
    </w:p>
    <w:p>
      <w:pPr>
        <w:keepNext/>
        <w:keepLines/>
        <w:spacing w:line="360" w:lineRule="auto"/>
        <w:ind w:firstLine="640"/>
        <w:jc w:val="center"/>
        <w:outlineLvl w:val="1"/>
        <w:rPr>
          <w:rFonts w:ascii="宋体" w:hAnsi="宋体" w:eastAsia="宋体" w:cs="宋体"/>
          <w:bCs/>
          <w:color w:val="auto"/>
          <w:sz w:val="32"/>
          <w:szCs w:val="32"/>
          <w:highlight w:val="none"/>
          <w:lang w:val="zh-CN"/>
        </w:rPr>
      </w:pPr>
      <w:bookmarkStart w:id="112" w:name="_Toc80205933"/>
      <w:bookmarkStart w:id="113" w:name="_Toc18230"/>
      <w:bookmarkStart w:id="114" w:name="_Toc10464"/>
      <w:r>
        <w:rPr>
          <w:rFonts w:hint="eastAsia" w:ascii="宋体" w:hAnsi="宋体" w:eastAsia="宋体" w:cs="宋体"/>
          <w:bCs/>
          <w:color w:val="auto"/>
          <w:sz w:val="32"/>
          <w:szCs w:val="32"/>
          <w:highlight w:val="none"/>
          <w:lang w:val="zh-CN"/>
        </w:rPr>
        <w:t>第一节 评审程序和评审方法</w:t>
      </w:r>
      <w:bookmarkEnd w:id="112"/>
      <w:bookmarkEnd w:id="113"/>
      <w:bookmarkEnd w:id="114"/>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1.确认谈判文件</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由谈判小组确认谈判文件。</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2.资格审查</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2.1响应文件开启后，谈判小组依法对供应商的资格文件进行审查。</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（1）查询渠道：广西政府采购云平台“信用中国”网站(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hAnsi="宋体" w:eastAsia="宋体" w:cs="宋体"/>
          <w:color w:val="auto"/>
          <w:szCs w:val="21"/>
          <w:highlight w:val="none"/>
          <w:u w:val="single"/>
        </w:rPr>
        <w:t>www.creditchina.gov.cn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eastAsia="宋体" w:cs="宋体"/>
          <w:color w:val="auto"/>
          <w:szCs w:val="21"/>
          <w:highlight w:val="none"/>
          <w:u w:val="single"/>
        </w:rPr>
        <w:t>www.ccgp.gov.cn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)链接入口。</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w:t>
      </w:r>
      <w:r>
        <w:rPr>
          <w:rFonts w:hint="eastAsia" w:ascii="宋体" w:hAnsi="宋体" w:eastAsia="宋体" w:cs="宋体"/>
          <w:color w:val="auto"/>
          <w:sz w:val="22"/>
          <w:highlight w:val="none"/>
        </w:rPr>
        <w:t>在查询网站中直接查询，并将查询结果存为电子文档，作为评审资料保存。</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2.2资格审查标准为本谈判文件中载明对供应商资格要求的条件。资格审查采用合格制，凡符合谈判文件规定的供应商资格要求的响应文件均通过资格审查。</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2.3供应商有下列情形之一的，资格审查不通过，其响应文件作无效响应处理：</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（1）不具备谈判文件中规定的资格要求的；</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（2）响应文件未提供任一项“供应商须知前附表”资格文件规定的“必须提供”的文件资料的；</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（3）响应文件提供的资格文件出现任一项不符合“供应商须知前附表”资格文件规定的“必须提供”的文件资料要求或者无效的。</w:t>
      </w:r>
    </w:p>
    <w:p>
      <w:pPr>
        <w:spacing w:line="360" w:lineRule="auto"/>
        <w:ind w:firstLine="420"/>
        <w:rPr>
          <w:rFonts w:ascii="宋体" w:hAnsi="宋体" w:eastAsia="宋体" w:cs="宋体"/>
          <w:color w:val="auto"/>
          <w:szCs w:val="21"/>
          <w:highlight w:val="none"/>
        </w:rPr>
      </w:pPr>
      <w:bookmarkStart w:id="115"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115"/>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3.符合性审查</w:t>
      </w:r>
    </w:p>
    <w:p>
      <w:pPr>
        <w:spacing w:line="360" w:lineRule="auto"/>
        <w:ind w:firstLine="420"/>
        <w:rPr>
          <w:rFonts w:ascii="宋体" w:hAnsi="宋体" w:eastAsia="宋体" w:cs="宋体"/>
          <w:color w:val="auto"/>
          <w:szCs w:val="21"/>
          <w:highlight w:val="none"/>
        </w:rPr>
      </w:pPr>
      <w:bookmarkStart w:id="116" w:name="_Hlk42528882"/>
      <w:r>
        <w:rPr>
          <w:rFonts w:hint="eastAsia" w:ascii="宋体" w:hAnsi="宋体" w:eastAsia="宋体" w:cs="宋体"/>
          <w:color w:val="auto"/>
          <w:szCs w:val="21"/>
          <w:highlight w:val="none"/>
        </w:rPr>
        <w:t>3.1由谈判小组对通过资格审查的合格供应商的响应文件的响应报价、商务、技术等实质性要求进行符合性审查，以确定其是否满足谈判文件的实质性要求。</w:t>
      </w:r>
      <w:bookmarkEnd w:id="116"/>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20"/>
        <w:rPr>
          <w:rFonts w:ascii="宋体" w:hAnsi="宋体" w:eastAsia="宋体" w:cs="宋体"/>
          <w:color w:val="auto"/>
          <w:spacing w:val="-6"/>
          <w:szCs w:val="21"/>
          <w:highlight w:val="none"/>
        </w:rPr>
      </w:pPr>
      <w:r>
        <w:rPr>
          <w:rFonts w:hint="eastAsia" w:ascii="宋体" w:hAnsi="宋体" w:eastAsia="宋体" w:cs="宋体"/>
          <w:color w:val="auto"/>
          <w:szCs w:val="21"/>
          <w:highlight w:val="none"/>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由法定代表人或其授权代表签字或者加盖公章</w:t>
      </w:r>
      <w:r>
        <w:rPr>
          <w:rFonts w:hint="eastAsia" w:ascii="宋体" w:hAnsi="宋体" w:eastAsia="宋体" w:cs="宋体"/>
          <w:color w:val="auto"/>
          <w:spacing w:val="-6"/>
          <w:szCs w:val="21"/>
          <w:highlight w:val="none"/>
        </w:rPr>
        <w:t>。供应商为自然人的，必须由本人签字并附身份证明。</w:t>
      </w:r>
    </w:p>
    <w:p>
      <w:pPr>
        <w:spacing w:line="360" w:lineRule="auto"/>
        <w:ind w:firstLine="396"/>
        <w:rPr>
          <w:rFonts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响应报价出现前后不一致的，按照下列规定修正： </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（1）响应报价表内容与响应文件中相应内容不一致的，以响应报价表为准；</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（3）单价金额小数点或者百分比有明显错位的，以响应报价表的总价为准，并修改单价；</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同时出现两种以上不一致的，按照以上（1）-（4）规定的顺序逐条进行修正。修正后的报价经供应商确认后产生约束力，供应商不确认的，其响应文件作无效响应处理。</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pPr>
        <w:spacing w:line="360" w:lineRule="auto"/>
        <w:ind w:firstLine="422"/>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在评审时，如发现下列情形之一的，将被视为响应文件无效处理：</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pPr>
        <w:tabs>
          <w:tab w:val="left" w:pos="399"/>
        </w:tabs>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1）响应文件未按谈判文件要求签署、盖章；</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3）未对竞标有效期作出响应或者响应文件承诺的竞标有效期不满足谈判文件要求；</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4）响应文件的实质性内容未使用中文表述、使用计量单位不符合谈判文件要求；</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5）响应文件中的文件资料因填写不齐全或者内容虚假或者出现其他情形而导致被谈判小组认定无效；</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6）响应文件含有采购人不能接受的附加条件；</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7）属于“供应商须知正文”第7.5条情形；</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8）虚假竞标，或者出现其他情形而导致被谈判小组认定无效；</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9）竞标技术方案不明确，谈判文件未允许但响应文件中存在一个或者一个以上备选（替代）竞标方案；</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10）响应文件标注的项目名称或者项目编号与竞争性谈判文件标注的项目名称或者项目编号不一致的；</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11）未响应谈判文件实质性要求的；</w:t>
      </w:r>
    </w:p>
    <w:p>
      <w:pPr>
        <w:pStyle w:val="18"/>
        <w:ind w:firstLine="420"/>
        <w:rPr>
          <w:rFonts w:ascii="宋体" w:hAnsi="宋体" w:cs="宋体"/>
          <w:color w:val="auto"/>
          <w:highlight w:val="none"/>
        </w:rPr>
      </w:pPr>
      <w:r>
        <w:rPr>
          <w:rFonts w:hint="eastAsia" w:ascii="宋体" w:hAnsi="宋体" w:cs="宋体"/>
          <w:color w:val="auto"/>
          <w:szCs w:val="21"/>
          <w:highlight w:val="none"/>
          <w:lang w:val="en-US"/>
        </w:rPr>
        <w:t>12</w:t>
      </w:r>
      <w:r>
        <w:rPr>
          <w:rFonts w:hint="eastAsia" w:ascii="宋体" w:hAnsi="宋体" w:cs="宋体"/>
          <w:color w:val="auto"/>
          <w:szCs w:val="21"/>
          <w:highlight w:val="none"/>
        </w:rPr>
        <w:t>）提交的谈判保证金无效或者未按照竞争性谈判文件规定提交谈判保证金；</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13）法律、法规和谈判文件规定的其他无效情形。</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（2）报价评审</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2）未采用人民币报价或者未按照谈判文件标明的币种报价；</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供应商未就所竞标项目/分标进行报价或者存在漏项报价；供应商未就所竞标项目/分标的单项内容作唯一报价；供应商未就所竞标项目/分标的全部内容作唯一总价报价；供应商响应文件中存在有选择、有条件报价的（谈判文件允许有备选方案或者其他约定的除外）；</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4）响应报价（包含首次报价、最后报价）超过所竞标项目/分标规定的采购预算金额或者最高限价的（如本项目公布了最高限价）；</w:t>
      </w:r>
      <w:bookmarkStart w:id="117" w:name="_Hlk42596405"/>
      <w:r>
        <w:rPr>
          <w:rFonts w:hint="eastAsia" w:ascii="宋体" w:hAnsi="宋体" w:eastAsia="宋体" w:cs="宋体"/>
          <w:color w:val="auto"/>
          <w:szCs w:val="21"/>
          <w:highlight w:val="none"/>
        </w:rPr>
        <w:t>响应报价（包含首次报价、最后报价）</w:t>
      </w:r>
      <w:bookmarkEnd w:id="117"/>
      <w:bookmarkStart w:id="118" w:name="_Hlk42596276"/>
      <w:r>
        <w:rPr>
          <w:rFonts w:hint="eastAsia" w:ascii="宋体" w:hAnsi="宋体" w:eastAsia="宋体" w:cs="宋体"/>
          <w:color w:val="auto"/>
          <w:szCs w:val="21"/>
          <w:highlight w:val="none"/>
        </w:rPr>
        <w:t>超过谈判文件分项采购预算金额或者最高限价的</w:t>
      </w:r>
      <w:bookmarkEnd w:id="118"/>
      <w:r>
        <w:rPr>
          <w:rFonts w:hint="eastAsia" w:ascii="宋体" w:hAnsi="宋体" w:eastAsia="宋体" w:cs="宋体"/>
          <w:color w:val="auto"/>
          <w:szCs w:val="21"/>
          <w:highlight w:val="none"/>
        </w:rPr>
        <w:t>（如本项目公布了最高限价）；</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项目/分标规定的采购预算金额或者最高限价（如本项目公布了最高限价）；或者经供应商确认修正后响应报价（包含首次报价、最后报价）超过谈判文件分项采购预算金额或者最高限价的（如本项目公布了最高限价）。</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6）响应文件响应的标的数量及单位与竞争性谈判文件要求实质性不一致的。</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3.6谈判小组对响应文件进行评审，未实质性响应谈判文件的响应文件作无效处理。谈判小组应当将资格和符合性不通过的情况告知有关供应商。谈判小组从符合谈判文件规定的相应资格条件的供应商名单中确定不少于3家的供应商参加谈判。</w:t>
      </w:r>
    </w:p>
    <w:p>
      <w:pPr>
        <w:widowControl/>
        <w:pBdr>
          <w:top w:val="none" w:color="000000" w:sz="0" w:space="0"/>
          <w:left w:val="none" w:color="000000" w:sz="0" w:space="0"/>
          <w:bottom w:val="none" w:color="000000" w:sz="0" w:space="0"/>
          <w:right w:val="none" w:color="000000" w:sz="0" w:space="0"/>
        </w:pBd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3.7通过符合性审查的合格供应商不足3家的，不得进入谈判环节，应当重新开展采购活动。</w:t>
      </w: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4.谈判程序</w:t>
      </w:r>
    </w:p>
    <w:p>
      <w:pPr>
        <w:spacing w:line="360" w:lineRule="auto"/>
        <w:ind w:firstLine="420"/>
        <w:rPr>
          <w:rFonts w:ascii="宋体" w:hAnsi="宋体" w:eastAsia="宋体" w:cs="宋体"/>
          <w:b/>
          <w:color w:val="auto"/>
          <w:szCs w:val="21"/>
          <w:highlight w:val="none"/>
        </w:rPr>
      </w:pPr>
      <w:r>
        <w:rPr>
          <w:rFonts w:hint="eastAsia" w:ascii="宋体" w:hAnsi="宋体" w:eastAsia="宋体" w:cs="宋体"/>
          <w:color w:val="auto"/>
          <w:szCs w:val="21"/>
          <w:highlight w:val="none"/>
        </w:rPr>
        <w:t>4.1谈判小组按照“供应商须知前附表” 确定的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eastAsia="宋体" w:cs="宋体"/>
          <w:b/>
          <w:color w:val="auto"/>
          <w:szCs w:val="21"/>
          <w:highlight w:val="none"/>
        </w:rPr>
        <w:t>其响应文件作无效响应处理。</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4.3对谈判文件作出的实质性变动是谈判文件的有效组成部分，由谈判小组及时以电子澄清函形式同时通知所有参加谈判的供应商。</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4.4供应商必须按照谈判文件的变动情况和谈判小组的要求以回函的形式重新提交响应文件，并加盖供应商公章。供应商为自然人的，必须由本人签字并附身份证明。参加谈判的供应商未在规定时间内重新提交响应文件的，视同退出谈判。</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4.5谈判中，</w:t>
      </w:r>
      <w:r>
        <w:rPr>
          <w:rFonts w:hint="eastAsia" w:ascii="宋体" w:hAnsi="宋体" w:eastAsia="宋体" w:cs="宋体"/>
          <w:color w:val="auto"/>
          <w:spacing w:val="-6"/>
          <w:szCs w:val="21"/>
          <w:highlight w:val="none"/>
        </w:rPr>
        <w:t>谈判的任何一方不得透露与谈判有关的其他供应商的技术资料、价格和其他信息。</w:t>
      </w:r>
    </w:p>
    <w:p>
      <w:pPr>
        <w:spacing w:line="360" w:lineRule="auto"/>
        <w:ind w:firstLine="420"/>
        <w:rPr>
          <w:rFonts w:ascii="宋体" w:hAnsi="宋体" w:eastAsia="宋体" w:cs="宋体"/>
          <w:color w:val="auto"/>
          <w:spacing w:val="-6"/>
          <w:szCs w:val="21"/>
          <w:highlight w:val="none"/>
        </w:rPr>
      </w:pPr>
      <w:r>
        <w:rPr>
          <w:rFonts w:hint="eastAsia" w:ascii="宋体" w:hAnsi="宋体" w:eastAsia="宋体" w:cs="宋体"/>
          <w:color w:val="auto"/>
          <w:szCs w:val="21"/>
          <w:highlight w:val="none"/>
        </w:rPr>
        <w:t>4.6谈判小组应对谈判过程和重要谈判内容进行记录，作为评审报告一部分，谈判小组在记录上签字确认。</w:t>
      </w:r>
    </w:p>
    <w:p>
      <w:pPr>
        <w:widowControl/>
        <w:tabs>
          <w:tab w:val="left" w:pos="540"/>
        </w:tabs>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4.7谈判过程中重新提交的响应文件，供应商可以在开启前补充、修改。</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4.8对谈判过程提交的响应文件进行有效性、完整性和响应程度审查，通过审查的合格供应商不足3家的，采购人或者采购代理机构应当重新开展采购活动。</w:t>
      </w:r>
    </w:p>
    <w:p>
      <w:pPr>
        <w:spacing w:line="360" w:lineRule="auto"/>
        <w:ind w:firstLine="482"/>
        <w:rPr>
          <w:rFonts w:ascii="宋体" w:hAnsi="宋体" w:eastAsia="宋体" w:cs="宋体"/>
          <w:color w:val="auto"/>
          <w:szCs w:val="21"/>
          <w:highlight w:val="none"/>
        </w:rPr>
      </w:pPr>
      <w:r>
        <w:rPr>
          <w:rFonts w:hint="eastAsia" w:ascii="宋体" w:hAnsi="宋体" w:eastAsia="宋体" w:cs="宋体"/>
          <w:b/>
          <w:bCs/>
          <w:color w:val="auto"/>
          <w:sz w:val="24"/>
          <w:szCs w:val="24"/>
          <w:highlight w:val="none"/>
        </w:rPr>
        <w:t>5. 最后报价</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5.1谈判文件能够详细列明采购标的的技术、货物要求的，谈判结束后，由谈判小组要求所有继续参加谈判的供应商在规定时间内提交最后报价，提交最后报价的供应商不得少于3家，否则必须重新采购。</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广西政府采购云平台远程不见面开标大厅响应最后报价。</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5.4已经提交响应文件的供应商，在提交最后报价之前，可以根据谈判情况退出谈判，退出谈判的供应商的响应文件作无效响应处理。</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w:t>
      </w:r>
      <w:r>
        <w:rPr>
          <w:rFonts w:hint="eastAsia" w:ascii="宋体" w:hAnsi="宋体" w:eastAsia="宋体" w:cs="宋体"/>
          <w:b/>
          <w:color w:val="auto"/>
          <w:szCs w:val="21"/>
          <w:highlight w:val="none"/>
        </w:rPr>
        <w:t>，视同放弃报价权利退出谈判。</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5.6最终响应文件的报价出现前后不一致的，按照本章第3.4条的规定修正。 </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5.7修正后的最后报价出现下列情形的，作无效响应处理：</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项目/分标规定的采购预算金额或者最高限价的（如本项目公布了最高限价）（全流程电子化评标多轮报价设置了上限控制价，即预算价）；</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5.8经供应商确认修正后的最后报价作为评审及签订合同的依据。</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5.9供应商出现最后报价作无效响应处理或者响应文件作无效处理时</w:t>
      </w:r>
      <w:r>
        <w:rPr>
          <w:rFonts w:hint="eastAsia" w:ascii="宋体" w:hAnsi="宋体" w:eastAsia="宋体" w:cs="宋体"/>
          <w:color w:val="auto"/>
          <w:sz w:val="22"/>
          <w:highlight w:val="none"/>
        </w:rPr>
        <w:t>，</w:t>
      </w:r>
      <w:r>
        <w:rPr>
          <w:rFonts w:hint="eastAsia" w:ascii="宋体" w:hAnsi="宋体" w:eastAsia="宋体" w:cs="宋体"/>
          <w:b/>
          <w:bCs/>
          <w:color w:val="auto"/>
          <w:sz w:val="22"/>
          <w:highlight w:val="none"/>
        </w:rPr>
        <w:t>谈判小组应当告知有关供应商</w:t>
      </w:r>
      <w:r>
        <w:rPr>
          <w:rFonts w:hint="eastAsia" w:ascii="宋体" w:hAnsi="宋体" w:eastAsia="宋体" w:cs="宋体"/>
          <w:color w:val="auto"/>
          <w:szCs w:val="21"/>
          <w:highlight w:val="none"/>
        </w:rPr>
        <w:t>。</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5.10最后报价结束后，谈判小组不得再与供应商进行任何形式的商谈。</w:t>
      </w:r>
    </w:p>
    <w:p>
      <w:pPr>
        <w:widowControl/>
        <w:pBdr>
          <w:top w:val="none" w:color="000000" w:sz="0" w:space="0"/>
          <w:left w:val="none" w:color="000000" w:sz="0" w:space="0"/>
          <w:bottom w:val="none" w:color="000000" w:sz="0" w:space="0"/>
          <w:right w:val="none" w:color="000000" w:sz="0" w:space="0"/>
        </w:pBdr>
        <w:spacing w:line="360" w:lineRule="auto"/>
        <w:ind w:firstLine="420"/>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5.11采购评审中出现下列情形之一的，谈判小组应当启动异常低价响应审查程序：</w:t>
      </w:r>
    </w:p>
    <w:p>
      <w:pPr>
        <w:spacing w:line="360" w:lineRule="auto"/>
        <w:ind w:firstLine="420"/>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A.最后报价低于全部通过符合性审查供应商最后报价平均值</w:t>
      </w:r>
      <w:r>
        <w:rPr>
          <w:rFonts w:hint="eastAsia" w:ascii="宋体" w:hAnsi="宋体" w:eastAsia="宋体" w:cs="宋体"/>
          <w:color w:val="auto"/>
          <w:szCs w:val="21"/>
          <w:highlight w:val="none"/>
          <w:u w:val="single"/>
          <w:shd w:val="clear" w:color="auto" w:fill="FFFFFF"/>
        </w:rPr>
        <w:t>50%</w:t>
      </w:r>
      <w:r>
        <w:rPr>
          <w:rFonts w:hint="eastAsia" w:ascii="宋体" w:hAnsi="宋体" w:eastAsia="宋体" w:cs="宋体"/>
          <w:color w:val="auto"/>
          <w:szCs w:val="21"/>
          <w:highlight w:val="none"/>
          <w:shd w:val="clear" w:color="auto" w:fill="FFFFFF"/>
        </w:rPr>
        <w:t>的，即</w:t>
      </w:r>
      <w:bookmarkStart w:id="119" w:name="OLE_LINK1"/>
      <w:r>
        <w:rPr>
          <w:rFonts w:hint="eastAsia" w:ascii="宋体" w:hAnsi="宋体" w:eastAsia="宋体" w:cs="宋体"/>
          <w:color w:val="auto"/>
          <w:szCs w:val="21"/>
          <w:highlight w:val="none"/>
          <w:shd w:val="clear" w:color="auto" w:fill="FFFFFF"/>
        </w:rPr>
        <w:t>最后报价＜</w:t>
      </w:r>
      <w:bookmarkEnd w:id="119"/>
      <w:r>
        <w:rPr>
          <w:rFonts w:hint="eastAsia" w:ascii="宋体" w:hAnsi="宋体" w:eastAsia="宋体" w:cs="宋体"/>
          <w:color w:val="auto"/>
          <w:szCs w:val="21"/>
          <w:highlight w:val="none"/>
          <w:shd w:val="clear" w:color="auto" w:fill="FFFFFF"/>
        </w:rPr>
        <w:t>全部通过符合性审查供应商最后报价平均值×</w:t>
      </w:r>
      <w:r>
        <w:rPr>
          <w:rFonts w:hint="eastAsia" w:ascii="宋体" w:hAnsi="宋体" w:eastAsia="宋体" w:cs="宋体"/>
          <w:color w:val="auto"/>
          <w:szCs w:val="21"/>
          <w:highlight w:val="none"/>
          <w:u w:val="single"/>
          <w:shd w:val="clear" w:color="auto" w:fill="FFFFFF"/>
        </w:rPr>
        <w:t>50%</w:t>
      </w:r>
      <w:r>
        <w:rPr>
          <w:rFonts w:hint="eastAsia" w:ascii="宋体" w:hAnsi="宋体" w:eastAsia="宋体" w:cs="宋体"/>
          <w:color w:val="auto"/>
          <w:szCs w:val="21"/>
          <w:highlight w:val="none"/>
          <w:shd w:val="clear" w:color="auto" w:fill="FFFFFF"/>
        </w:rPr>
        <w:t xml:space="preserve">； </w:t>
      </w:r>
    </w:p>
    <w:p>
      <w:pPr>
        <w:spacing w:line="360" w:lineRule="auto"/>
        <w:ind w:firstLine="420"/>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B.最后报价低于通过符合性审查的次低报价供应商最后报价</w:t>
      </w:r>
      <w:r>
        <w:rPr>
          <w:rFonts w:hint="eastAsia" w:ascii="宋体" w:hAnsi="宋体" w:eastAsia="宋体" w:cs="宋体"/>
          <w:color w:val="auto"/>
          <w:szCs w:val="21"/>
          <w:highlight w:val="none"/>
          <w:u w:val="single"/>
          <w:shd w:val="clear" w:color="auto" w:fill="FFFFFF"/>
        </w:rPr>
        <w:t>50%</w:t>
      </w:r>
      <w:r>
        <w:rPr>
          <w:rFonts w:hint="eastAsia" w:ascii="宋体" w:hAnsi="宋体" w:eastAsia="宋体" w:cs="宋体"/>
          <w:color w:val="auto"/>
          <w:szCs w:val="21"/>
          <w:highlight w:val="none"/>
          <w:shd w:val="clear" w:color="auto" w:fill="FFFFFF"/>
        </w:rPr>
        <w:t>的，即最后报价＜通过符合性审查的次低报价供应商最后报价×</w:t>
      </w:r>
      <w:r>
        <w:rPr>
          <w:rFonts w:hint="eastAsia" w:ascii="宋体" w:hAnsi="宋体" w:eastAsia="宋体" w:cs="宋体"/>
          <w:color w:val="auto"/>
          <w:szCs w:val="21"/>
          <w:highlight w:val="none"/>
          <w:u w:val="single"/>
          <w:shd w:val="clear" w:color="auto" w:fill="FFFFFF"/>
        </w:rPr>
        <w:t>50%</w:t>
      </w:r>
      <w:r>
        <w:rPr>
          <w:rFonts w:hint="eastAsia" w:ascii="宋体" w:hAnsi="宋体" w:eastAsia="宋体" w:cs="宋体"/>
          <w:color w:val="auto"/>
          <w:szCs w:val="21"/>
          <w:highlight w:val="none"/>
          <w:shd w:val="clear" w:color="auto" w:fill="FFFFFF"/>
        </w:rPr>
        <w:t xml:space="preserve">； </w:t>
      </w:r>
    </w:p>
    <w:p>
      <w:pPr>
        <w:spacing w:line="360" w:lineRule="auto"/>
        <w:ind w:firstLine="420"/>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C.最后报价低于采购项目最高限价</w:t>
      </w:r>
      <w:r>
        <w:rPr>
          <w:rFonts w:hint="eastAsia" w:ascii="宋体" w:hAnsi="宋体" w:eastAsia="宋体" w:cs="宋体"/>
          <w:color w:val="auto"/>
          <w:szCs w:val="21"/>
          <w:highlight w:val="none"/>
          <w:u w:val="single"/>
          <w:shd w:val="clear" w:color="auto" w:fill="FFFFFF"/>
        </w:rPr>
        <w:t>45%</w:t>
      </w:r>
      <w:r>
        <w:rPr>
          <w:rFonts w:hint="eastAsia" w:ascii="宋体" w:hAnsi="宋体" w:eastAsia="宋体" w:cs="宋体"/>
          <w:color w:val="auto"/>
          <w:szCs w:val="21"/>
          <w:highlight w:val="none"/>
          <w:shd w:val="clear" w:color="auto" w:fill="FFFFFF"/>
        </w:rPr>
        <w:t>的，即最后报价＜采购项目最高限价×</w:t>
      </w:r>
      <w:r>
        <w:rPr>
          <w:rFonts w:hint="eastAsia" w:ascii="宋体" w:hAnsi="宋体" w:eastAsia="宋体" w:cs="宋体"/>
          <w:color w:val="auto"/>
          <w:szCs w:val="21"/>
          <w:highlight w:val="none"/>
          <w:u w:val="single"/>
          <w:shd w:val="clear" w:color="auto" w:fill="FFFFFF"/>
        </w:rPr>
        <w:t>45%</w:t>
      </w:r>
      <w:r>
        <w:rPr>
          <w:rFonts w:hint="eastAsia" w:ascii="宋体" w:hAnsi="宋体" w:eastAsia="宋体" w:cs="宋体"/>
          <w:color w:val="auto"/>
          <w:szCs w:val="21"/>
          <w:highlight w:val="none"/>
          <w:shd w:val="clear" w:color="auto" w:fill="FFFFFF"/>
        </w:rPr>
        <w:t>；</w:t>
      </w:r>
    </w:p>
    <w:p>
      <w:pPr>
        <w:spacing w:line="360" w:lineRule="auto"/>
        <w:ind w:firstLine="420"/>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D.谈判小组基于专业判断，认为供应商报价过低，有可能影响产品质量或者不能诚信履约的其他情形。</w:t>
      </w:r>
    </w:p>
    <w:p>
      <w:pPr>
        <w:spacing w:line="360" w:lineRule="auto"/>
        <w:ind w:firstLine="420"/>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相关法律法规对供应商报价有规定的，从其规定。</w:t>
      </w:r>
    </w:p>
    <w:p>
      <w:pPr>
        <w:spacing w:line="360" w:lineRule="auto"/>
        <w:ind w:left="105"/>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 xml:space="preserve">   谈判小组启动异常低价响应审查后，属于上述A项至D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上述C项情形，供应商已随响应文件一并提交相关书面说明及必要的证明材料的，在评审现场可不再重复提交。</w:t>
      </w:r>
    </w:p>
    <w:p>
      <w:pPr>
        <w:spacing w:line="360" w:lineRule="auto"/>
        <w:ind w:firstLine="420"/>
        <w:rPr>
          <w:rFonts w:ascii="宋体" w:hAnsi="宋体" w:eastAsia="宋体" w:cs="宋体"/>
          <w:color w:val="auto"/>
          <w:highlight w:val="none"/>
        </w:rPr>
      </w:pPr>
      <w:r>
        <w:rPr>
          <w:rFonts w:hint="eastAsia" w:ascii="宋体" w:hAnsi="宋体" w:eastAsia="宋体" w:cs="宋体"/>
          <w:color w:val="auto"/>
          <w:szCs w:val="21"/>
          <w:highlight w:val="none"/>
          <w:shd w:val="clear" w:color="auto" w:fill="FFFFFF"/>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color w:val="auto"/>
          <w:szCs w:val="21"/>
          <w:highlight w:val="none"/>
          <w:shd w:val="clear" w:color="auto" w:fill="FFFFFF"/>
        </w:rPr>
        <w:t>供应商不能提供书面说明、证明材料，或者提供的书面说明、证明材料不能证明其报价合理性的，谈判小组应当将其作为无效响应处理。</w:t>
      </w:r>
    </w:p>
    <w:p>
      <w:pPr>
        <w:pStyle w:val="28"/>
        <w:rPr>
          <w:rFonts w:ascii="宋体" w:hAnsi="宋体" w:cs="宋体"/>
          <w:b/>
          <w:bCs/>
          <w:color w:val="auto"/>
          <w:highlight w:val="none"/>
        </w:rPr>
      </w:pPr>
    </w:p>
    <w:p>
      <w:p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 最后报价政府采购政策性扣除</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6.1评审价为供应商最后报价进行政策性扣除后的价格，评审价只是作为评审时使用。最终成交供应商的成交金额等于最后报价（如有修正，以确认修正后的最后报价为准）。</w:t>
      </w:r>
    </w:p>
    <w:p>
      <w:pPr>
        <w:spacing w:line="360" w:lineRule="auto"/>
        <w:ind w:firstLine="420"/>
        <w:rPr>
          <w:rFonts w:ascii="宋体" w:hAnsi="宋体" w:eastAsia="宋体" w:cs="宋体"/>
          <w:color w:val="auto"/>
          <w:highlight w:val="none"/>
        </w:rPr>
      </w:pPr>
      <w:r>
        <w:rPr>
          <w:rFonts w:hint="eastAsia" w:ascii="宋体" w:hAnsi="宋体" w:eastAsia="宋体" w:cs="宋体"/>
          <w:color w:val="auto"/>
          <w:highlight w:val="none"/>
        </w:rPr>
        <w:t>6.2政策性扣除计算方法。</w:t>
      </w:r>
    </w:p>
    <w:p>
      <w:pPr>
        <w:spacing w:line="360" w:lineRule="auto"/>
        <w:ind w:firstLine="422"/>
        <w:rPr>
          <w:rFonts w:ascii="宋体" w:hAnsi="宋体" w:eastAsia="宋体" w:cs="宋体"/>
          <w:color w:val="auto"/>
          <w:highlight w:val="none"/>
        </w:rPr>
      </w:pPr>
      <w:r>
        <w:rPr>
          <w:rFonts w:hint="eastAsia" w:ascii="宋体" w:hAnsi="宋体" w:eastAsia="宋体" w:cs="宋体"/>
          <w:b/>
          <w:bCs/>
          <w:color w:val="auto"/>
          <w:highlight w:val="none"/>
        </w:rPr>
        <w:t>6.2.1对小微企业的</w:t>
      </w:r>
      <w:r>
        <w:rPr>
          <w:rFonts w:hint="eastAsia" w:ascii="宋体" w:hAnsi="宋体" w:eastAsia="宋体" w:cs="宋体"/>
          <w:b/>
          <w:bCs/>
          <w:color w:val="auto"/>
          <w:szCs w:val="21"/>
          <w:highlight w:val="none"/>
        </w:rPr>
        <w:t>价格评审优惠</w:t>
      </w:r>
    </w:p>
    <w:p>
      <w:pPr>
        <w:spacing w:line="360" w:lineRule="auto"/>
        <w:ind w:firstLine="420"/>
        <w:rPr>
          <w:rFonts w:ascii="宋体" w:hAnsi="宋体" w:eastAsia="宋体" w:cs="宋体"/>
          <w:bCs/>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适用于非专门面向中小企业采购项目</w:t>
      </w:r>
    </w:p>
    <w:p>
      <w:pPr>
        <w:spacing w:line="360" w:lineRule="auto"/>
        <w:ind w:firstLine="420"/>
        <w:rPr>
          <w:rFonts w:ascii="宋体" w:hAnsi="宋体" w:eastAsia="宋体" w:cs="宋体"/>
          <w:color w:val="auto"/>
          <w:highlight w:val="none"/>
        </w:rPr>
      </w:pPr>
      <w:r>
        <w:rPr>
          <w:rFonts w:hint="eastAsia" w:ascii="宋体" w:hAnsi="宋体" w:eastAsia="宋体" w:cs="宋体"/>
          <w:bCs/>
          <w:color w:val="auto"/>
          <w:szCs w:val="21"/>
          <w:highlight w:val="none"/>
        </w:rPr>
        <w:t>供应商</w:t>
      </w:r>
      <w:r>
        <w:rPr>
          <w:rFonts w:hint="eastAsia" w:ascii="宋体" w:hAnsi="宋体" w:eastAsia="宋体" w:cs="宋体"/>
          <w:color w:val="auto"/>
          <w:szCs w:val="21"/>
          <w:highlight w:val="none"/>
        </w:rPr>
        <w:t>被评定为</w:t>
      </w:r>
      <w:r>
        <w:rPr>
          <w:rFonts w:hint="eastAsia" w:ascii="宋体" w:hAnsi="宋体" w:eastAsia="宋体" w:cs="宋体"/>
          <w:bCs/>
          <w:color w:val="auto"/>
          <w:szCs w:val="21"/>
          <w:highlight w:val="none"/>
        </w:rPr>
        <w:t>监狱企业或者残疾人福利性单位或者其</w:t>
      </w:r>
      <w:r>
        <w:rPr>
          <w:rFonts w:hint="eastAsia" w:ascii="宋体" w:hAnsi="宋体" w:eastAsia="宋体" w:cs="宋体"/>
          <w:color w:val="auto"/>
          <w:szCs w:val="21"/>
          <w:highlight w:val="none"/>
        </w:rPr>
        <w:t>提供的货物全部由符合政策要求的小型、微型企业制造，即货物由小型、微型企业生产且使用该小型、微型企业商号或者注册商标的，</w:t>
      </w:r>
      <w:r>
        <w:rPr>
          <w:rFonts w:hint="eastAsia" w:ascii="宋体" w:hAnsi="宋体" w:eastAsia="宋体" w:cs="宋体"/>
          <w:bCs/>
          <w:color w:val="auto"/>
          <w:szCs w:val="21"/>
          <w:highlight w:val="none"/>
        </w:rPr>
        <w:t>该供应商的最后报价</w:t>
      </w:r>
      <w:r>
        <w:rPr>
          <w:rFonts w:hint="eastAsia" w:ascii="宋体" w:hAnsi="宋体" w:eastAsia="宋体" w:cs="宋体"/>
          <w:color w:val="auto"/>
          <w:szCs w:val="21"/>
          <w:highlight w:val="none"/>
        </w:rPr>
        <w:t xml:space="preserve">给予 </w:t>
      </w:r>
      <w:r>
        <w:rPr>
          <w:rFonts w:hint="eastAsia" w:ascii="宋体" w:hAnsi="宋体" w:eastAsia="宋体" w:cs="宋体"/>
          <w:b/>
          <w:bCs/>
          <w:color w:val="auto"/>
          <w:highlight w:val="none"/>
          <w:u w:val="single"/>
        </w:rPr>
        <w:t>10%</w:t>
      </w:r>
      <w:r>
        <w:rPr>
          <w:rFonts w:hint="eastAsia" w:ascii="宋体" w:hAnsi="宋体" w:eastAsia="宋体" w:cs="宋体"/>
          <w:color w:val="auto"/>
          <w:szCs w:val="21"/>
          <w:highlight w:val="none"/>
        </w:rPr>
        <w:t>的扣除</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扣除后的价格为评审价，即评审价=最后报价×（1-</w:t>
      </w:r>
      <w:r>
        <w:rPr>
          <w:rFonts w:hint="eastAsia" w:ascii="宋体" w:hAnsi="宋体" w:eastAsia="宋体" w:cs="宋体"/>
          <w:b/>
          <w:bCs/>
          <w:color w:val="auto"/>
          <w:highlight w:val="none"/>
          <w:u w:val="single"/>
        </w:rPr>
        <w:t>10%</w:t>
      </w:r>
      <w:r>
        <w:rPr>
          <w:rFonts w:hint="eastAsia" w:ascii="宋体" w:hAnsi="宋体" w:eastAsia="宋体" w:cs="宋体"/>
          <w:color w:val="auto"/>
          <w:szCs w:val="21"/>
          <w:highlight w:val="none"/>
        </w:rPr>
        <w:t xml:space="preserve">）；接受大中型企业与小微企业组成联合体或者允许大中型企业向一家或者多家小微企业分包的采购项目，对于联合协议或者分包意向协议约定小微企业的合同份额占到合同总金额 30%以上的，对联合体或者大中型企业的最后报价给予 </w:t>
      </w:r>
      <w:r>
        <w:rPr>
          <w:rFonts w:hint="eastAsia" w:ascii="宋体" w:hAnsi="宋体" w:eastAsia="宋体" w:cs="宋体"/>
          <w:b/>
          <w:bCs/>
          <w:color w:val="auto"/>
          <w:highlight w:val="none"/>
          <w:u w:val="single"/>
        </w:rPr>
        <w:t>4%</w:t>
      </w:r>
      <w:r>
        <w:rPr>
          <w:rFonts w:hint="eastAsia" w:ascii="宋体" w:hAnsi="宋体" w:eastAsia="宋体" w:cs="宋体"/>
          <w:color w:val="auto"/>
          <w:szCs w:val="21"/>
          <w:highlight w:val="none"/>
        </w:rPr>
        <w:t>的扣除，用扣除后的价格参加评审，扣除后的价格为评审价，即评审价=最后报价×（1－</w:t>
      </w:r>
      <w:r>
        <w:rPr>
          <w:rFonts w:hint="eastAsia" w:ascii="宋体" w:hAnsi="宋体" w:eastAsia="宋体" w:cs="宋体"/>
          <w:b/>
          <w:bCs/>
          <w:color w:val="auto"/>
          <w:highlight w:val="none"/>
          <w:u w:val="single"/>
        </w:rPr>
        <w:t>4%</w:t>
      </w:r>
      <w:r>
        <w:rPr>
          <w:rFonts w:hint="eastAsia" w:ascii="宋体" w:hAnsi="宋体" w:eastAsia="宋体" w:cs="宋体"/>
          <w:color w:val="auto"/>
          <w:szCs w:val="21"/>
          <w:highlight w:val="none"/>
        </w:rPr>
        <w:t>）。</w:t>
      </w:r>
    </w:p>
    <w:p>
      <w:pPr>
        <w:spacing w:line="360" w:lineRule="auto"/>
        <w:ind w:firstLine="420"/>
        <w:rPr>
          <w:rFonts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适用于专门面向中小企业采购项目</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按照《政府采购促进中小企业发展管理办法》（财库〔2020〕46号）的规定，对小微企业的最后报价不再执行价格评审优惠的扶持政策。</w:t>
      </w:r>
    </w:p>
    <w:p>
      <w:pPr>
        <w:spacing w:line="360" w:lineRule="auto"/>
        <w:ind w:firstLine="422"/>
        <w:rPr>
          <w:rFonts w:ascii="宋体" w:hAnsi="宋体" w:eastAsia="宋体" w:cs="宋体"/>
          <w:color w:val="auto"/>
          <w:highlight w:val="none"/>
        </w:rPr>
      </w:pPr>
      <w:r>
        <w:rPr>
          <w:rFonts w:hint="eastAsia" w:ascii="宋体" w:hAnsi="宋体" w:eastAsia="宋体" w:cs="宋体"/>
          <w:b/>
          <w:bCs/>
          <w:color w:val="auto"/>
          <w:szCs w:val="21"/>
          <w:highlight w:val="none"/>
        </w:rPr>
        <w:t>6.2.2对本国产品的价格评审优惠</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对本国产品的支持政策：政府采购活动中既有本国产品又有非本国产品参与竞争的，依法对本国产品给予价格评审优惠，对本国产品的最后报价给予20%的价格扣除，用扣除后的价格参与评审。</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最后总报价给予20%的价格扣除，用扣除后的价格参与评审。</w:t>
      </w:r>
    </w:p>
    <w:p>
      <w:pPr>
        <w:spacing w:line="360" w:lineRule="auto"/>
        <w:ind w:firstLine="420"/>
        <w:rPr>
          <w:rFonts w:ascii="宋体" w:hAnsi="宋体" w:eastAsia="宋体" w:cs="宋体"/>
          <w:color w:val="auto"/>
          <w:highlight w:val="none"/>
        </w:rPr>
      </w:pPr>
      <w:r>
        <w:rPr>
          <w:rFonts w:hint="eastAsia" w:ascii="宋体" w:hAnsi="宋体" w:eastAsia="宋体" w:cs="宋体"/>
          <w:color w:val="auto"/>
          <w:highlight w:val="none"/>
        </w:rPr>
        <w:t>6.3除上述情况外，评审价＝最后报价。</w:t>
      </w:r>
    </w:p>
    <w:p>
      <w:pPr>
        <w:widowControl/>
        <w:spacing w:line="360" w:lineRule="auto"/>
        <w:ind w:firstLine="420"/>
        <w:jc w:val="left"/>
        <w:rPr>
          <w:rFonts w:ascii="宋体" w:hAnsi="宋体" w:eastAsia="宋体" w:cs="宋体"/>
          <w:color w:val="auto"/>
          <w:szCs w:val="21"/>
          <w:highlight w:val="none"/>
        </w:rPr>
      </w:pPr>
    </w:p>
    <w:p>
      <w:pPr>
        <w:keepNext/>
        <w:keepLines/>
        <w:spacing w:line="360" w:lineRule="auto"/>
        <w:ind w:firstLine="640"/>
        <w:jc w:val="center"/>
        <w:outlineLvl w:val="1"/>
        <w:rPr>
          <w:rFonts w:ascii="宋体" w:hAnsi="宋体" w:eastAsia="宋体" w:cs="宋体"/>
          <w:bCs/>
          <w:color w:val="auto"/>
          <w:sz w:val="32"/>
          <w:szCs w:val="32"/>
          <w:highlight w:val="none"/>
          <w:lang w:val="zh-CN"/>
        </w:rPr>
      </w:pPr>
      <w:bookmarkStart w:id="120" w:name="_Toc17730"/>
      <w:bookmarkStart w:id="121" w:name="_Toc80205934"/>
      <w:bookmarkStart w:id="122" w:name="_Toc5389"/>
      <w:r>
        <w:rPr>
          <w:rFonts w:hint="eastAsia" w:ascii="宋体" w:hAnsi="宋体" w:eastAsia="宋体" w:cs="宋体"/>
          <w:bCs/>
          <w:color w:val="auto"/>
          <w:sz w:val="32"/>
          <w:szCs w:val="32"/>
          <w:highlight w:val="none"/>
          <w:lang w:val="zh-CN"/>
        </w:rPr>
        <w:t>第二节 评审原则</w:t>
      </w:r>
      <w:bookmarkEnd w:id="120"/>
      <w:bookmarkEnd w:id="121"/>
      <w:bookmarkEnd w:id="122"/>
    </w:p>
    <w:p>
      <w:pPr>
        <w:spacing w:line="360" w:lineRule="auto"/>
        <w:ind w:firstLine="480"/>
        <w:jc w:val="left"/>
        <w:rPr>
          <w:rFonts w:ascii="宋体" w:hAnsi="宋体" w:eastAsia="宋体" w:cs="宋体"/>
          <w:color w:val="auto"/>
          <w:sz w:val="24"/>
          <w:szCs w:val="32"/>
          <w:highlight w:val="none"/>
        </w:rPr>
      </w:pPr>
      <w:r>
        <w:rPr>
          <w:rFonts w:hint="eastAsia" w:ascii="宋体" w:hAnsi="宋体" w:eastAsia="宋体" w:cs="宋体"/>
          <w:color w:val="auto"/>
          <w:sz w:val="24"/>
          <w:szCs w:val="32"/>
          <w:highlight w:val="none"/>
        </w:rPr>
        <w:t>1.评审原则</w:t>
      </w:r>
    </w:p>
    <w:p>
      <w:pPr>
        <w:spacing w:line="360" w:lineRule="auto"/>
        <w:ind w:firstLine="420"/>
        <w:jc w:val="left"/>
        <w:rPr>
          <w:rFonts w:ascii="宋体" w:hAnsi="宋体" w:eastAsia="宋体" w:cs="宋体"/>
          <w:color w:val="auto"/>
          <w:szCs w:val="24"/>
          <w:highlight w:val="none"/>
        </w:rPr>
      </w:pPr>
      <w:r>
        <w:rPr>
          <w:rFonts w:hint="eastAsia" w:ascii="宋体" w:hAnsi="宋体" w:eastAsia="宋体" w:cs="宋体"/>
          <w:color w:val="auto"/>
          <w:szCs w:val="24"/>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pPr>
        <w:spacing w:line="360" w:lineRule="auto"/>
        <w:ind w:firstLine="420"/>
        <w:jc w:val="left"/>
        <w:rPr>
          <w:rFonts w:ascii="宋体" w:hAnsi="宋体" w:eastAsia="宋体" w:cs="宋体"/>
          <w:color w:val="auto"/>
          <w:szCs w:val="24"/>
          <w:highlight w:val="none"/>
        </w:rPr>
      </w:pPr>
      <w:r>
        <w:rPr>
          <w:rFonts w:hint="eastAsia" w:ascii="宋体" w:hAnsi="宋体" w:eastAsia="宋体" w:cs="宋体"/>
          <w:color w:val="auto"/>
          <w:szCs w:val="24"/>
          <w:highlight w:val="none"/>
        </w:rPr>
        <w:t>1.2根据《政府采购非招标采购方式管理办法》（财政部令第74号）第二十一条规定，</w:t>
      </w:r>
      <w:r>
        <w:rPr>
          <w:rFonts w:hint="eastAsia" w:ascii="宋体" w:hAnsi="宋体" w:eastAsia="宋体" w:cs="宋体"/>
          <w:color w:val="auto"/>
          <w:szCs w:val="21"/>
          <w:highlight w:val="none"/>
        </w:rPr>
        <w:t>除资格性审查认定错误和价格计算错误外，采购人或者采购代理机构不得以任何理由组织重新评审。采购人、采购代理机构发现谈判小组未按照竞争性谈判文件规定的评定成交的标准进行评审的，应当重新开展采购活动，并同时书面报告本级财政部门</w:t>
      </w:r>
      <w:r>
        <w:rPr>
          <w:rFonts w:hint="eastAsia" w:ascii="宋体" w:hAnsi="宋体" w:eastAsia="宋体" w:cs="宋体"/>
          <w:color w:val="auto"/>
          <w:szCs w:val="24"/>
          <w:highlight w:val="none"/>
        </w:rPr>
        <w:t>。</w:t>
      </w:r>
      <w:bookmarkStart w:id="123" w:name="_Toc432194885"/>
      <w:bookmarkEnd w:id="123"/>
      <w:bookmarkStart w:id="124" w:name="_Toc321836413"/>
      <w:bookmarkEnd w:id="124"/>
      <w:bookmarkStart w:id="125" w:name="_Toc432106535"/>
      <w:bookmarkEnd w:id="125"/>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pPr>
        <w:spacing w:line="360" w:lineRule="auto"/>
        <w:ind w:firstLine="480"/>
        <w:rPr>
          <w:rFonts w:ascii="宋体" w:hAnsi="宋体" w:eastAsia="宋体" w:cs="宋体"/>
          <w:color w:val="auto"/>
          <w:sz w:val="24"/>
          <w:szCs w:val="32"/>
          <w:highlight w:val="none"/>
        </w:rPr>
      </w:pPr>
      <w:r>
        <w:rPr>
          <w:rFonts w:hint="eastAsia" w:ascii="宋体" w:hAnsi="宋体" w:eastAsia="宋体" w:cs="宋体"/>
          <w:color w:val="auto"/>
          <w:sz w:val="24"/>
          <w:szCs w:val="32"/>
          <w:highlight w:val="none"/>
        </w:rPr>
        <w:t>2.终止竞争性谈判采购活动</w:t>
      </w:r>
    </w:p>
    <w:p>
      <w:pPr>
        <w:spacing w:line="360" w:lineRule="auto"/>
        <w:ind w:firstLine="420"/>
        <w:jc w:val="left"/>
        <w:rPr>
          <w:rFonts w:ascii="宋体" w:hAnsi="宋体" w:eastAsia="宋体" w:cs="宋体"/>
          <w:color w:val="auto"/>
          <w:szCs w:val="24"/>
          <w:highlight w:val="none"/>
        </w:rPr>
      </w:pPr>
      <w:r>
        <w:rPr>
          <w:rFonts w:hint="eastAsia" w:ascii="宋体" w:hAnsi="宋体" w:eastAsia="宋体" w:cs="宋体"/>
          <w:color w:val="auto"/>
          <w:szCs w:val="24"/>
          <w:highlight w:val="none"/>
        </w:rPr>
        <w:t>出现下列情形之一的，采购人或者采购代理机构应当终止竞争性谈判采购活动，发布项目终止公告并说明原因，重新开展采购活动：</w:t>
      </w:r>
    </w:p>
    <w:p>
      <w:pPr>
        <w:spacing w:line="360" w:lineRule="auto"/>
        <w:ind w:firstLine="420"/>
        <w:jc w:val="left"/>
        <w:rPr>
          <w:rFonts w:ascii="宋体" w:hAnsi="宋体" w:eastAsia="宋体" w:cs="宋体"/>
          <w:color w:val="auto"/>
          <w:szCs w:val="24"/>
          <w:highlight w:val="none"/>
        </w:rPr>
      </w:pPr>
      <w:r>
        <w:rPr>
          <w:rFonts w:hint="eastAsia" w:ascii="宋体" w:hAnsi="宋体" w:eastAsia="宋体" w:cs="宋体"/>
          <w:color w:val="auto"/>
          <w:szCs w:val="24"/>
          <w:highlight w:val="none"/>
        </w:rPr>
        <w:t xml:space="preserve">（1）因情况变化，不再符合规定的竞争性谈判采购方式适用情形的； </w:t>
      </w:r>
    </w:p>
    <w:p>
      <w:pPr>
        <w:spacing w:line="360" w:lineRule="auto"/>
        <w:ind w:firstLine="420"/>
        <w:jc w:val="left"/>
        <w:rPr>
          <w:rFonts w:ascii="宋体" w:hAnsi="宋体" w:eastAsia="宋体" w:cs="宋体"/>
          <w:color w:val="auto"/>
          <w:szCs w:val="24"/>
          <w:highlight w:val="none"/>
        </w:rPr>
      </w:pPr>
      <w:r>
        <w:rPr>
          <w:rFonts w:hint="eastAsia" w:ascii="宋体" w:hAnsi="宋体" w:eastAsia="宋体" w:cs="宋体"/>
          <w:color w:val="auto"/>
          <w:szCs w:val="24"/>
          <w:highlight w:val="none"/>
        </w:rPr>
        <w:t>（2）出现影响采购公正的违法、违规行为的；</w:t>
      </w:r>
    </w:p>
    <w:p>
      <w:pPr>
        <w:spacing w:line="360" w:lineRule="auto"/>
        <w:ind w:firstLine="420"/>
        <w:jc w:val="left"/>
        <w:rPr>
          <w:rFonts w:ascii="宋体" w:hAnsi="宋体" w:eastAsia="宋体" w:cs="宋体"/>
          <w:color w:val="auto"/>
          <w:szCs w:val="24"/>
          <w:highlight w:val="none"/>
        </w:rPr>
      </w:pPr>
      <w:r>
        <w:rPr>
          <w:rFonts w:hint="eastAsia" w:ascii="宋体" w:hAnsi="宋体" w:eastAsia="宋体" w:cs="宋体"/>
          <w:color w:val="auto"/>
          <w:szCs w:val="24"/>
          <w:highlight w:val="none"/>
        </w:rPr>
        <w:t>（3）在采购过程中符合竞争要求的供应商或者报价未超过采购预算的供应商不足3家的，但《政府采购非招标采购方式管理办法》第二十七条第二款规定的情形除外。</w:t>
      </w:r>
    </w:p>
    <w:p>
      <w:pPr>
        <w:keepNext/>
        <w:keepLines/>
        <w:spacing w:line="360" w:lineRule="auto"/>
        <w:ind w:firstLine="640"/>
        <w:jc w:val="center"/>
        <w:outlineLvl w:val="1"/>
        <w:rPr>
          <w:rFonts w:ascii="宋体" w:hAnsi="宋体" w:eastAsia="宋体" w:cs="宋体"/>
          <w:bCs/>
          <w:color w:val="auto"/>
          <w:sz w:val="32"/>
          <w:szCs w:val="32"/>
          <w:highlight w:val="none"/>
          <w:lang w:val="zh-CN"/>
        </w:rPr>
      </w:pPr>
      <w:bookmarkStart w:id="126" w:name="_Toc9627"/>
      <w:bookmarkStart w:id="127" w:name="_Toc80205935"/>
      <w:bookmarkStart w:id="128" w:name="_Toc16039"/>
      <w:r>
        <w:rPr>
          <w:rFonts w:hint="eastAsia" w:ascii="宋体" w:hAnsi="宋体" w:eastAsia="宋体" w:cs="宋体"/>
          <w:bCs/>
          <w:color w:val="auto"/>
          <w:sz w:val="32"/>
          <w:szCs w:val="32"/>
          <w:highlight w:val="none"/>
          <w:lang w:val="zh-CN"/>
        </w:rPr>
        <w:t>第三节 评审报告</w:t>
      </w:r>
      <w:bookmarkEnd w:id="126"/>
      <w:bookmarkEnd w:id="127"/>
      <w:bookmarkEnd w:id="128"/>
    </w:p>
    <w:p>
      <w:pPr>
        <w:spacing w:line="360" w:lineRule="auto"/>
        <w:ind w:firstLine="480"/>
        <w:rPr>
          <w:rFonts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pPr>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Cs w:val="24"/>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25.1条规定的顺序推荐）,并在线编写电子评审报告。</w:t>
      </w:r>
    </w:p>
    <w:p>
      <w:pPr>
        <w:spacing w:line="360" w:lineRule="auto"/>
        <w:ind w:firstLine="480"/>
        <w:rPr>
          <w:rFonts w:ascii="宋体" w:hAnsi="宋体" w:eastAsia="宋体" w:cs="宋体"/>
          <w:color w:val="auto"/>
          <w:sz w:val="24"/>
          <w:szCs w:val="32"/>
          <w:highlight w:val="none"/>
        </w:rPr>
      </w:pPr>
      <w:r>
        <w:rPr>
          <w:rFonts w:hint="eastAsia" w:ascii="宋体" w:hAnsi="宋体" w:eastAsia="宋体" w:cs="宋体"/>
          <w:color w:val="auto"/>
          <w:sz w:val="24"/>
          <w:szCs w:val="32"/>
          <w:highlight w:val="none"/>
        </w:rPr>
        <w:t>2.评审争议事项处理</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谈判小组成员对需要共同认定的事项存在争议的，应当按照少数服从多数的原则作出结论。持不同意见的谈判小组成员应当在评审报告上签署不同意见及理由，否则视为同意评审报告。</w:t>
      </w:r>
    </w:p>
    <w:p>
      <w:pPr>
        <w:keepNext/>
        <w:keepLines/>
        <w:spacing w:line="360" w:lineRule="auto"/>
        <w:ind w:firstLine="640"/>
        <w:jc w:val="center"/>
        <w:outlineLvl w:val="1"/>
        <w:rPr>
          <w:rFonts w:ascii="宋体" w:hAnsi="宋体" w:eastAsia="宋体" w:cs="宋体"/>
          <w:bCs/>
          <w:color w:val="auto"/>
          <w:sz w:val="32"/>
          <w:szCs w:val="32"/>
          <w:highlight w:val="none"/>
          <w:lang w:val="zh-CN"/>
        </w:rPr>
      </w:pPr>
      <w:bookmarkStart w:id="129" w:name="_Toc27241"/>
      <w:bookmarkStart w:id="130" w:name="_Toc17221"/>
      <w:bookmarkStart w:id="131" w:name="_Toc80205936"/>
      <w:r>
        <w:rPr>
          <w:rFonts w:hint="eastAsia" w:ascii="宋体" w:hAnsi="宋体" w:eastAsia="宋体" w:cs="宋体"/>
          <w:bCs/>
          <w:color w:val="auto"/>
          <w:sz w:val="32"/>
          <w:szCs w:val="32"/>
          <w:highlight w:val="none"/>
          <w:lang w:val="zh-CN"/>
        </w:rPr>
        <w:t>第四节 评审过程的保密与录像</w:t>
      </w:r>
      <w:bookmarkEnd w:id="129"/>
      <w:bookmarkEnd w:id="130"/>
      <w:bookmarkEnd w:id="131"/>
    </w:p>
    <w:p>
      <w:pPr>
        <w:spacing w:line="360" w:lineRule="auto"/>
        <w:ind w:firstLine="480"/>
        <w:rPr>
          <w:rFonts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pPr>
        <w:widowControl/>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评审活动在严格保密的情况下进行。评审过程中凡是与采购响应文件评审和比较、中标成交供应商推荐等评审有关的情况，以及涉及国家秘密和商业秘密等信息，谈判小组成员、采购人和采购机构工作人员、相关监督人员等与评审有关的人员应当予以保密。</w:t>
      </w:r>
    </w:p>
    <w:p>
      <w:pPr>
        <w:widowControl/>
        <w:spacing w:line="360" w:lineRule="auto"/>
        <w:ind w:firstLine="480"/>
        <w:rPr>
          <w:rFonts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pPr>
        <w:spacing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rPr>
        <w:t>采购代理机构对评审工作现场及操作屏幕进行全过程录音录像，录音录像资料作为采购项目文件随其他文件一并存档。</w:t>
      </w:r>
      <w:r>
        <w:rPr>
          <w:rFonts w:hint="eastAsia" w:ascii="宋体" w:hAnsi="宋体" w:eastAsia="宋体" w:cs="宋体"/>
          <w:color w:val="auto"/>
          <w:szCs w:val="24"/>
          <w:highlight w:val="none"/>
        </w:rPr>
        <w:br w:type="page" w:clear="all"/>
      </w:r>
    </w:p>
    <w:p>
      <w:pPr>
        <w:keepNext/>
        <w:keepLines/>
        <w:spacing w:before="260" w:after="260" w:line="416" w:lineRule="auto"/>
        <w:jc w:val="center"/>
        <w:outlineLvl w:val="1"/>
        <w:rPr>
          <w:rFonts w:ascii="宋体" w:hAnsi="宋体" w:eastAsia="宋体" w:cs="宋体"/>
          <w:b/>
          <w:bCs/>
          <w:color w:val="auto"/>
          <w:sz w:val="32"/>
          <w:szCs w:val="32"/>
          <w:highlight w:val="none"/>
          <w:lang w:val="zh-CN"/>
        </w:rPr>
      </w:pPr>
    </w:p>
    <w:p>
      <w:pPr>
        <w:keepNext/>
        <w:keepLines/>
        <w:spacing w:before="260" w:after="260" w:line="416" w:lineRule="auto"/>
        <w:jc w:val="center"/>
        <w:outlineLvl w:val="1"/>
        <w:rPr>
          <w:rFonts w:ascii="宋体" w:hAnsi="宋体" w:eastAsia="宋体" w:cs="宋体"/>
          <w:b/>
          <w:bCs/>
          <w:color w:val="auto"/>
          <w:sz w:val="32"/>
          <w:szCs w:val="32"/>
          <w:highlight w:val="none"/>
          <w:lang w:val="zh-CN"/>
        </w:rPr>
      </w:pPr>
    </w:p>
    <w:p>
      <w:pPr>
        <w:keepNext/>
        <w:keepLines/>
        <w:spacing w:before="260" w:after="260" w:line="416" w:lineRule="auto"/>
        <w:jc w:val="center"/>
        <w:outlineLvl w:val="1"/>
        <w:rPr>
          <w:rFonts w:ascii="宋体" w:hAnsi="宋体" w:eastAsia="宋体" w:cs="宋体"/>
          <w:b/>
          <w:bCs/>
          <w:color w:val="auto"/>
          <w:sz w:val="32"/>
          <w:szCs w:val="32"/>
          <w:highlight w:val="none"/>
          <w:lang w:val="zh-CN"/>
        </w:rPr>
      </w:pPr>
    </w:p>
    <w:p>
      <w:pPr>
        <w:keepNext/>
        <w:keepLines/>
        <w:spacing w:before="260" w:after="260" w:line="416" w:lineRule="auto"/>
        <w:jc w:val="center"/>
        <w:outlineLvl w:val="1"/>
        <w:rPr>
          <w:rFonts w:ascii="宋体" w:hAnsi="宋体" w:eastAsia="宋体" w:cs="宋体"/>
          <w:b/>
          <w:bCs/>
          <w:color w:val="auto"/>
          <w:sz w:val="32"/>
          <w:szCs w:val="32"/>
          <w:highlight w:val="none"/>
          <w:lang w:val="zh-CN"/>
        </w:rPr>
      </w:pPr>
    </w:p>
    <w:p>
      <w:pPr>
        <w:keepNext/>
        <w:keepLines/>
        <w:spacing w:before="260" w:after="260" w:line="416" w:lineRule="auto"/>
        <w:jc w:val="center"/>
        <w:outlineLvl w:val="1"/>
        <w:rPr>
          <w:rFonts w:ascii="宋体" w:hAnsi="宋体" w:eastAsia="宋体" w:cs="宋体"/>
          <w:b/>
          <w:bCs/>
          <w:color w:val="auto"/>
          <w:sz w:val="32"/>
          <w:szCs w:val="32"/>
          <w:highlight w:val="none"/>
          <w:lang w:val="zh-CN"/>
        </w:rPr>
      </w:pPr>
    </w:p>
    <w:p>
      <w:pPr>
        <w:pStyle w:val="43"/>
        <w:rPr>
          <w:rFonts w:ascii="宋体" w:hAnsi="宋体" w:cs="宋体"/>
          <w:color w:val="auto"/>
          <w:highlight w:val="none"/>
          <w:lang w:val="zh-CN"/>
        </w:rPr>
      </w:pPr>
    </w:p>
    <w:p>
      <w:pPr>
        <w:keepNext/>
        <w:keepLines/>
        <w:spacing w:before="340" w:after="330" w:line="578" w:lineRule="auto"/>
        <w:jc w:val="center"/>
        <w:outlineLvl w:val="0"/>
        <w:rPr>
          <w:rFonts w:ascii="宋体" w:hAnsi="宋体" w:eastAsia="宋体" w:cs="宋体"/>
          <w:b/>
          <w:bCs/>
          <w:color w:val="auto"/>
          <w:sz w:val="44"/>
          <w:szCs w:val="44"/>
          <w:highlight w:val="none"/>
          <w:lang w:val="zh-CN"/>
        </w:rPr>
      </w:pPr>
      <w:bookmarkStart w:id="132" w:name="_Toc80205937"/>
      <w:bookmarkStart w:id="133" w:name="_Toc28917"/>
      <w:bookmarkStart w:id="134" w:name="_Toc4187"/>
      <w:bookmarkStart w:id="135" w:name="_Toc25678"/>
      <w:bookmarkStart w:id="136" w:name="_Toc9300"/>
      <w:bookmarkStart w:id="137" w:name="_Toc71"/>
      <w:bookmarkStart w:id="138" w:name="_Toc21666"/>
      <w:bookmarkStart w:id="139" w:name="_Toc916"/>
      <w:bookmarkStart w:id="140" w:name="_Toc30615"/>
      <w:r>
        <w:rPr>
          <w:rFonts w:hint="eastAsia" w:ascii="宋体" w:hAnsi="宋体" w:eastAsia="宋体" w:cs="宋体"/>
          <w:b/>
          <w:bCs/>
          <w:color w:val="auto"/>
          <w:sz w:val="44"/>
          <w:szCs w:val="44"/>
          <w:highlight w:val="none"/>
          <w:lang w:val="zh-CN"/>
        </w:rPr>
        <w:t>第五章 响应文件格式</w:t>
      </w:r>
      <w:bookmarkEnd w:id="132"/>
      <w:r>
        <w:rPr>
          <w:rFonts w:hint="eastAsia" w:ascii="宋体" w:hAnsi="宋体" w:eastAsia="宋体" w:cs="宋体"/>
          <w:b/>
          <w:bCs/>
          <w:color w:val="auto"/>
          <w:sz w:val="44"/>
          <w:szCs w:val="44"/>
          <w:highlight w:val="none"/>
          <w:lang w:val="zh-CN"/>
        </w:rPr>
        <w:br w:type="page" w:clear="all"/>
      </w:r>
      <w:bookmarkEnd w:id="133"/>
      <w:bookmarkEnd w:id="134"/>
      <w:bookmarkEnd w:id="135"/>
      <w:bookmarkEnd w:id="136"/>
      <w:bookmarkEnd w:id="137"/>
      <w:bookmarkEnd w:id="138"/>
      <w:bookmarkEnd w:id="139"/>
      <w:bookmarkEnd w:id="140"/>
    </w:p>
    <w:p>
      <w:pPr>
        <w:spacing w:line="240" w:lineRule="atLeast"/>
        <w:rPr>
          <w:rFonts w:ascii="宋体" w:hAnsi="宋体" w:eastAsia="宋体" w:cs="宋体"/>
          <w:b/>
          <w:bCs/>
          <w:color w:val="auto"/>
          <w:szCs w:val="24"/>
          <w:highlight w:val="none"/>
        </w:rPr>
      </w:pPr>
    </w:p>
    <w:p>
      <w:pPr>
        <w:spacing w:before="120" w:after="50" w:line="360" w:lineRule="auto"/>
        <w:jc w:val="center"/>
        <w:outlineLvl w:val="1"/>
        <w:rPr>
          <w:rFonts w:ascii="宋体" w:hAnsi="宋体" w:eastAsia="宋体" w:cs="宋体"/>
          <w:b/>
          <w:color w:val="auto"/>
          <w:sz w:val="32"/>
          <w:szCs w:val="32"/>
          <w:highlight w:val="none"/>
        </w:rPr>
      </w:pPr>
      <w:bookmarkStart w:id="141" w:name="_Toc17254"/>
      <w:bookmarkStart w:id="142" w:name="_Toc80205939"/>
      <w:bookmarkStart w:id="143" w:name="_Toc10486"/>
      <w:r>
        <w:rPr>
          <w:rFonts w:hint="eastAsia" w:ascii="宋体" w:hAnsi="宋体" w:eastAsia="宋体" w:cs="宋体"/>
          <w:b/>
          <w:color w:val="auto"/>
          <w:sz w:val="32"/>
          <w:szCs w:val="32"/>
          <w:highlight w:val="none"/>
        </w:rPr>
        <w:t>第一节 资格文件格式</w:t>
      </w:r>
      <w:bookmarkEnd w:id="141"/>
      <w:bookmarkEnd w:id="142"/>
      <w:bookmarkEnd w:id="143"/>
    </w:p>
    <w:p>
      <w:pPr>
        <w:pStyle w:val="28"/>
        <w:rPr>
          <w:rFonts w:ascii="宋体" w:hAnsi="宋体" w:cs="宋体"/>
          <w:b/>
          <w:bCs/>
          <w:color w:val="auto"/>
          <w:sz w:val="28"/>
          <w:szCs w:val="28"/>
          <w:highlight w:val="none"/>
        </w:rPr>
      </w:pPr>
    </w:p>
    <w:p>
      <w:pPr>
        <w:pStyle w:val="28"/>
        <w:rPr>
          <w:rFonts w:ascii="宋体" w:hAnsi="宋体" w:cs="宋体"/>
          <w:b/>
          <w:bCs/>
          <w:color w:val="auto"/>
          <w:sz w:val="28"/>
          <w:szCs w:val="28"/>
          <w:highlight w:val="none"/>
        </w:rPr>
      </w:pPr>
      <w:r>
        <w:rPr>
          <w:rFonts w:hint="eastAsia" w:ascii="宋体" w:hAnsi="宋体" w:cs="宋体"/>
          <w:b/>
          <w:bCs/>
          <w:color w:val="auto"/>
          <w:sz w:val="28"/>
          <w:szCs w:val="28"/>
          <w:highlight w:val="none"/>
        </w:rPr>
        <w:t>1.资格文件封面的格式（参照此格式自拟）：</w:t>
      </w:r>
    </w:p>
    <w:p>
      <w:pPr>
        <w:spacing w:before="120" w:after="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before="120" w:after="50"/>
        <w:ind w:firstLine="5760"/>
        <w:jc w:val="right"/>
        <w:rPr>
          <w:rFonts w:ascii="宋体" w:hAnsi="宋体" w:eastAsia="宋体" w:cs="宋体"/>
          <w:bCs/>
          <w:color w:val="auto"/>
          <w:sz w:val="32"/>
          <w:szCs w:val="20"/>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Cs w:val="24"/>
          <w:highlight w:val="none"/>
        </w:rPr>
        <w:t>全流程电子文件</w:t>
      </w:r>
    </w:p>
    <w:p>
      <w:pPr>
        <w:spacing w:before="120" w:after="50"/>
        <w:rPr>
          <w:rFonts w:ascii="宋体" w:hAnsi="宋体" w:eastAsia="宋体" w:cs="宋体"/>
          <w:color w:val="auto"/>
          <w:sz w:val="24"/>
          <w:szCs w:val="20"/>
          <w:highlight w:val="none"/>
        </w:rPr>
      </w:pPr>
    </w:p>
    <w:p>
      <w:pPr>
        <w:spacing w:before="120" w:after="50"/>
        <w:rPr>
          <w:rFonts w:ascii="宋体" w:hAnsi="宋体" w:eastAsia="宋体" w:cs="宋体"/>
          <w:color w:val="auto"/>
          <w:sz w:val="24"/>
          <w:szCs w:val="20"/>
          <w:highlight w:val="none"/>
        </w:rPr>
      </w:pPr>
    </w:p>
    <w:p>
      <w:pPr>
        <w:spacing w:before="120" w:after="50"/>
        <w:jc w:val="center"/>
        <w:rPr>
          <w:rFonts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文  件</w:t>
      </w:r>
    </w:p>
    <w:p>
      <w:pPr>
        <w:spacing w:before="120" w:after="50"/>
        <w:rPr>
          <w:rFonts w:ascii="宋体" w:hAnsi="宋体" w:eastAsia="宋体" w:cs="宋体"/>
          <w:bCs/>
          <w:color w:val="auto"/>
          <w:sz w:val="24"/>
          <w:szCs w:val="20"/>
          <w:highlight w:val="none"/>
        </w:rPr>
      </w:pPr>
    </w:p>
    <w:p>
      <w:pPr>
        <w:spacing w:before="120" w:after="50"/>
        <w:rPr>
          <w:rFonts w:ascii="宋体" w:hAnsi="宋体" w:eastAsia="宋体" w:cs="宋体"/>
          <w:bCs/>
          <w:color w:val="auto"/>
          <w:sz w:val="24"/>
          <w:szCs w:val="20"/>
          <w:highlight w:val="none"/>
        </w:rPr>
      </w:pPr>
    </w:p>
    <w:p>
      <w:pPr>
        <w:spacing w:before="120" w:after="50"/>
        <w:rPr>
          <w:rFonts w:ascii="宋体" w:hAnsi="宋体" w:eastAsia="宋体" w:cs="宋体"/>
          <w:bCs/>
          <w:color w:val="auto"/>
          <w:sz w:val="24"/>
          <w:szCs w:val="20"/>
          <w:highlight w:val="none"/>
        </w:rPr>
      </w:pPr>
    </w:p>
    <w:p>
      <w:pPr>
        <w:spacing w:before="120" w:after="50"/>
        <w:rPr>
          <w:rFonts w:ascii="宋体" w:hAnsi="宋体" w:eastAsia="宋体" w:cs="宋体"/>
          <w:bCs/>
          <w:color w:val="auto"/>
          <w:sz w:val="24"/>
          <w:szCs w:val="20"/>
          <w:highlight w:val="none"/>
        </w:rPr>
      </w:pPr>
    </w:p>
    <w:p>
      <w:pPr>
        <w:spacing w:before="120" w:after="50"/>
        <w:rPr>
          <w:rFonts w:ascii="宋体" w:hAnsi="宋体" w:eastAsia="宋体" w:cs="宋体"/>
          <w:bCs/>
          <w:color w:val="auto"/>
          <w:sz w:val="24"/>
          <w:szCs w:val="20"/>
          <w:highlight w:val="none"/>
        </w:rPr>
      </w:pPr>
    </w:p>
    <w:p>
      <w:pPr>
        <w:spacing w:before="120" w:after="50"/>
        <w:ind w:firstLine="64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项目名称： </w:t>
      </w:r>
    </w:p>
    <w:p>
      <w:pPr>
        <w:spacing w:before="120" w:after="50"/>
        <w:ind w:firstLine="720"/>
        <w:rPr>
          <w:rFonts w:ascii="宋体" w:hAnsi="宋体" w:eastAsia="宋体" w:cs="宋体"/>
          <w:bCs/>
          <w:color w:val="auto"/>
          <w:sz w:val="32"/>
          <w:szCs w:val="32"/>
          <w:highlight w:val="none"/>
        </w:rPr>
      </w:pPr>
    </w:p>
    <w:p>
      <w:pPr>
        <w:spacing w:before="120" w:after="50"/>
        <w:ind w:firstLine="72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pPr>
        <w:spacing w:before="120" w:after="50"/>
        <w:ind w:firstLine="72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pPr>
        <w:spacing w:before="120" w:after="50"/>
        <w:ind w:firstLine="72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pPr>
        <w:spacing w:before="120" w:after="50"/>
        <w:ind w:firstLine="720"/>
        <w:rPr>
          <w:rFonts w:ascii="宋体" w:hAnsi="宋体" w:eastAsia="宋体" w:cs="宋体"/>
          <w:bCs/>
          <w:color w:val="auto"/>
          <w:sz w:val="32"/>
          <w:szCs w:val="32"/>
          <w:highlight w:val="none"/>
        </w:rPr>
      </w:pPr>
    </w:p>
    <w:p>
      <w:pPr>
        <w:spacing w:before="50" w:after="50"/>
        <w:ind w:firstLine="72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pPr>
        <w:spacing w:before="50" w:after="50"/>
        <w:ind w:firstLine="720"/>
        <w:rPr>
          <w:rFonts w:ascii="宋体" w:hAnsi="宋体" w:eastAsia="宋体" w:cs="宋体"/>
          <w:bCs/>
          <w:color w:val="auto"/>
          <w:sz w:val="32"/>
          <w:szCs w:val="32"/>
          <w:highlight w:val="none"/>
        </w:rPr>
      </w:pPr>
    </w:p>
    <w:p>
      <w:pPr>
        <w:spacing w:before="50" w:after="50"/>
        <w:ind w:firstLine="720"/>
        <w:rPr>
          <w:rFonts w:ascii="宋体" w:hAnsi="宋体" w:eastAsia="宋体" w:cs="宋体"/>
          <w:bCs/>
          <w:color w:val="auto"/>
          <w:sz w:val="32"/>
          <w:szCs w:val="32"/>
          <w:highlight w:val="none"/>
        </w:rPr>
      </w:pPr>
    </w:p>
    <w:p>
      <w:pPr>
        <w:spacing w:before="50" w:after="50"/>
        <w:ind w:firstLine="720"/>
        <w:rPr>
          <w:rFonts w:ascii="宋体" w:hAnsi="宋体" w:eastAsia="宋体" w:cs="宋体"/>
          <w:bCs/>
          <w:color w:val="auto"/>
          <w:sz w:val="32"/>
          <w:szCs w:val="32"/>
          <w:highlight w:val="none"/>
        </w:rPr>
      </w:pPr>
    </w:p>
    <w:p>
      <w:pPr>
        <w:spacing w:before="50" w:after="50"/>
        <w:ind w:firstLine="1280"/>
        <w:rPr>
          <w:rFonts w:ascii="宋体" w:hAnsi="宋体" w:eastAsia="宋体" w:cs="宋体"/>
          <w:bCs/>
          <w:color w:val="auto"/>
          <w:sz w:val="32"/>
          <w:szCs w:val="32"/>
          <w:highlight w:val="none"/>
        </w:rPr>
      </w:pPr>
    </w:p>
    <w:p>
      <w:pPr>
        <w:spacing w:before="120" w:after="5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pPr>
        <w:spacing w:before="156" w:after="50" w:line="360" w:lineRule="auto"/>
        <w:ind w:left="142"/>
        <w:jc w:val="left"/>
        <w:rPr>
          <w:rFonts w:ascii="宋体" w:hAnsi="宋体" w:eastAsia="宋体" w:cs="宋体"/>
          <w:b/>
          <w:bCs/>
          <w:color w:val="auto"/>
          <w:sz w:val="28"/>
          <w:szCs w:val="28"/>
          <w:highlight w:val="none"/>
        </w:rPr>
      </w:pPr>
      <w:r>
        <w:rPr>
          <w:rFonts w:hint="eastAsia" w:ascii="宋体" w:hAnsi="宋体" w:eastAsia="宋体" w:cs="宋体"/>
          <w:color w:val="auto"/>
          <w:sz w:val="24"/>
          <w:szCs w:val="24"/>
          <w:highlight w:val="none"/>
        </w:rPr>
        <w:br w:type="page" w:clear="all"/>
      </w:r>
      <w:r>
        <w:rPr>
          <w:rFonts w:hint="eastAsia" w:ascii="宋体" w:hAnsi="宋体" w:eastAsia="宋体" w:cs="宋体"/>
          <w:b/>
          <w:bCs/>
          <w:color w:val="auto"/>
          <w:sz w:val="28"/>
          <w:szCs w:val="28"/>
          <w:highlight w:val="none"/>
        </w:rPr>
        <w:t>2.资格文件目录</w:t>
      </w:r>
    </w:p>
    <w:p>
      <w:pPr>
        <w:spacing w:line="360" w:lineRule="auto"/>
        <w:ind w:firstLine="560"/>
        <w:contextualSpacing/>
        <w:jc w:val="left"/>
        <w:rPr>
          <w:rFonts w:ascii="宋体" w:hAnsi="宋体" w:eastAsia="宋体" w:cs="宋体"/>
          <w:color w:val="auto"/>
          <w:sz w:val="24"/>
          <w:szCs w:val="24"/>
          <w:highlight w:val="none"/>
        </w:rPr>
      </w:pPr>
      <w:r>
        <w:rPr>
          <w:rFonts w:hint="eastAsia" w:ascii="宋体" w:hAnsi="宋体" w:eastAsia="宋体" w:cs="宋体"/>
          <w:color w:val="auto"/>
          <w:sz w:val="28"/>
          <w:szCs w:val="28"/>
          <w:highlight w:val="none"/>
        </w:rPr>
        <w:t>根据竞争性谈判文件规定及供应商提供的材料自行编写目录（部分格式后附）。</w:t>
      </w:r>
      <w:r>
        <w:rPr>
          <w:rFonts w:hint="eastAsia" w:ascii="宋体" w:hAnsi="宋体" w:eastAsia="宋体" w:cs="宋体"/>
          <w:color w:val="auto"/>
          <w:sz w:val="24"/>
          <w:szCs w:val="24"/>
          <w:highlight w:val="none"/>
        </w:rPr>
        <w:br w:type="page" w:clear="all"/>
      </w:r>
    </w:p>
    <w:p>
      <w:pPr>
        <w:spacing w:before="50" w:after="120" w:line="360" w:lineRule="auto"/>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3.</w:t>
      </w:r>
      <w:r>
        <w:rPr>
          <w:rFonts w:hint="eastAsia" w:ascii="宋体" w:hAnsi="宋体" w:eastAsia="宋体" w:cs="宋体"/>
          <w:b/>
          <w:color w:val="auto"/>
          <w:sz w:val="28"/>
          <w:szCs w:val="28"/>
          <w:highlight w:val="none"/>
        </w:rPr>
        <w:t>供应商直接控股股东信息表格式</w:t>
      </w:r>
      <w:r>
        <w:rPr>
          <w:rFonts w:hint="eastAsia" w:ascii="宋体" w:hAnsi="宋体" w:eastAsia="宋体" w:cs="宋体"/>
          <w:color w:val="auto"/>
          <w:sz w:val="28"/>
          <w:szCs w:val="28"/>
          <w:highlight w:val="none"/>
        </w:rPr>
        <w:t>：</w:t>
      </w:r>
    </w:p>
    <w:p>
      <w:pPr>
        <w:spacing w:before="50" w:after="120"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28"/>
          <w:szCs w:val="28"/>
          <w:highlight w:val="none"/>
        </w:rPr>
        <w:t>供应商直接控股股东信息表</w:t>
      </w:r>
    </w:p>
    <w:tbl>
      <w:tblPr>
        <w:tblStyle w:val="44"/>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eastAsia="宋体" w:cs="宋体"/>
                <w:b/>
                <w:bCs/>
                <w:color w:val="auto"/>
                <w:sz w:val="24"/>
                <w:highlight w:val="none"/>
              </w:rPr>
            </w:pPr>
            <w:r>
              <w:rPr>
                <w:rFonts w:hint="eastAsia" w:ascii="宋体" w:hAnsi="宋体" w:eastAsia="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eastAsia="宋体" w:cs="宋体"/>
                <w:b/>
                <w:bCs/>
                <w:color w:val="auto"/>
                <w:sz w:val="24"/>
                <w:highlight w:val="none"/>
              </w:rPr>
            </w:pPr>
            <w:r>
              <w:rPr>
                <w:rFonts w:hint="eastAsia" w:ascii="宋体" w:hAnsi="宋体" w:eastAsia="宋体" w:cs="宋体"/>
                <w:b/>
                <w:bCs/>
                <w:color w:val="auto"/>
                <w:sz w:val="24"/>
                <w:highlight w:val="none"/>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eastAsia="宋体" w:cs="宋体"/>
                <w:b/>
                <w:bCs/>
                <w:color w:val="auto"/>
                <w:sz w:val="24"/>
                <w:highlight w:val="none"/>
              </w:rPr>
            </w:pPr>
            <w:r>
              <w:rPr>
                <w:rFonts w:hint="eastAsia" w:ascii="宋体" w:hAnsi="宋体" w:eastAsia="宋体" w:cs="宋体"/>
                <w:b/>
                <w:bCs/>
                <w:color w:val="auto"/>
                <w:sz w:val="24"/>
                <w:highlight w:val="none"/>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r>
      <w:tr>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r>
      <w:tr>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r>
      <w:tr>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r>
      <w:tr>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r>
    </w:tbl>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注：</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2.本表所指的控股关系仅限于直接控股关系，不包括间接的控股关系。公司实际控制人与公司之间的关系不属于本表所指的直接控股关系。</w:t>
      </w:r>
    </w:p>
    <w:p>
      <w:pPr>
        <w:spacing w:line="360" w:lineRule="auto"/>
        <w:ind w:firstLine="420"/>
        <w:jc w:val="left"/>
        <w:rPr>
          <w:rFonts w:ascii="宋体" w:hAnsi="宋体" w:eastAsia="宋体" w:cs="宋体"/>
          <w:color w:val="auto"/>
          <w:sz w:val="24"/>
          <w:highlight w:val="none"/>
        </w:rPr>
      </w:pPr>
      <w:r>
        <w:rPr>
          <w:rFonts w:hint="eastAsia" w:ascii="宋体" w:hAnsi="宋体" w:eastAsia="宋体" w:cs="宋体"/>
          <w:color w:val="auto"/>
          <w:szCs w:val="21"/>
          <w:highlight w:val="none"/>
        </w:rPr>
        <w:t>3.供应商不存在直接控股股东的，则填“无”。</w:t>
      </w: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lang w:val="zh-CN"/>
        </w:rPr>
        <w:t>供应商名称(盖公章)：</w:t>
      </w:r>
    </w:p>
    <w:p>
      <w:pPr>
        <w:spacing w:line="360" w:lineRule="auto"/>
        <w:jc w:val="center"/>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日期</w:t>
      </w:r>
      <w:r>
        <w:rPr>
          <w:rFonts w:hint="eastAsia" w:ascii="宋体" w:hAnsi="宋体" w:eastAsia="宋体" w:cs="宋体"/>
          <w:color w:val="auto"/>
          <w:sz w:val="24"/>
          <w:highlight w:val="none"/>
        </w:rPr>
        <w:t xml:space="preserve">：  年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日</w:t>
      </w:r>
    </w:p>
    <w:p>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clear="all"/>
      </w:r>
      <w:r>
        <w:rPr>
          <w:rFonts w:hint="eastAsia" w:ascii="宋体" w:hAnsi="宋体" w:eastAsia="宋体" w:cs="宋体"/>
          <w:b/>
          <w:color w:val="auto"/>
          <w:sz w:val="32"/>
          <w:szCs w:val="32"/>
          <w:highlight w:val="none"/>
        </w:rPr>
        <w:t>4.</w:t>
      </w:r>
      <w:r>
        <w:rPr>
          <w:rFonts w:hint="eastAsia" w:ascii="宋体" w:hAnsi="宋体" w:eastAsia="宋体" w:cs="宋体"/>
          <w:b/>
          <w:color w:val="auto"/>
          <w:sz w:val="28"/>
          <w:szCs w:val="28"/>
          <w:highlight w:val="none"/>
        </w:rPr>
        <w:t>供应商直接管理关系信息表格式</w:t>
      </w:r>
      <w:r>
        <w:rPr>
          <w:rFonts w:hint="eastAsia" w:ascii="宋体" w:hAnsi="宋体" w:eastAsia="宋体" w:cs="宋体"/>
          <w:color w:val="auto"/>
          <w:sz w:val="28"/>
          <w:szCs w:val="28"/>
          <w:highlight w:val="none"/>
        </w:rPr>
        <w:t>：</w:t>
      </w:r>
    </w:p>
    <w:p>
      <w:pPr>
        <w:spacing w:line="360" w:lineRule="auto"/>
        <w:jc w:val="center"/>
        <w:rPr>
          <w:rFonts w:ascii="宋体" w:hAnsi="宋体" w:eastAsia="宋体" w:cs="宋体"/>
          <w:b/>
          <w:color w:val="auto"/>
          <w:sz w:val="32"/>
          <w:szCs w:val="32"/>
          <w:highlight w:val="none"/>
        </w:rPr>
      </w:pPr>
    </w:p>
    <w:p>
      <w:pPr>
        <w:spacing w:line="360" w:lineRule="auto"/>
        <w:jc w:val="center"/>
        <w:rPr>
          <w:rFonts w:ascii="宋体" w:hAnsi="宋体" w:eastAsia="宋体" w:cs="宋体"/>
          <w:color w:val="auto"/>
          <w:sz w:val="32"/>
          <w:szCs w:val="32"/>
          <w:highlight w:val="none"/>
        </w:rPr>
      </w:pPr>
      <w:r>
        <w:rPr>
          <w:rFonts w:hint="eastAsia" w:ascii="宋体" w:hAnsi="宋体" w:eastAsia="宋体" w:cs="宋体"/>
          <w:b/>
          <w:color w:val="auto"/>
          <w:sz w:val="28"/>
          <w:szCs w:val="28"/>
          <w:highlight w:val="none"/>
        </w:rPr>
        <w:t>供应商直接管理关系信息表</w:t>
      </w:r>
    </w:p>
    <w:tbl>
      <w:tblPr>
        <w:tblStyle w:val="44"/>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eastAsia="宋体" w:cs="宋体"/>
                <w:b/>
                <w:bCs/>
                <w:color w:val="auto"/>
                <w:sz w:val="24"/>
                <w:highlight w:val="none"/>
              </w:rPr>
            </w:pPr>
            <w:r>
              <w:rPr>
                <w:rFonts w:hint="eastAsia" w:ascii="宋体" w:hAnsi="宋体" w:eastAsia="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eastAsia="宋体" w:cs="宋体"/>
                <w:b/>
                <w:bCs/>
                <w:color w:val="auto"/>
                <w:sz w:val="24"/>
                <w:highlight w:val="none"/>
              </w:rPr>
            </w:pPr>
            <w:r>
              <w:rPr>
                <w:rFonts w:hint="eastAsia" w:ascii="宋体" w:hAnsi="宋体" w:eastAsia="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r>
      <w:tr>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r>
      <w:tr>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r>
      <w:tr>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r>
      <w:tr>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highlight w:val="none"/>
              </w:rPr>
            </w:pPr>
          </w:p>
        </w:tc>
      </w:tr>
    </w:tbl>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注：</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1.管理关系：是指不具有出资持股关系的其他单位之间存在的管理与被管理关系，如一些上下级关系的事业单位和团体组织。</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pacing w:val="-6"/>
          <w:szCs w:val="21"/>
          <w:highlight w:val="none"/>
        </w:rPr>
        <w:t>本表所指的管理关系仅限于直接管理关系，不包括间接的管理关系。</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3.供应商不存在直接管理关系的，则填“无”。</w:t>
      </w: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lang w:val="zh-CN"/>
        </w:rPr>
        <w:t>供应商名称(盖公章)：</w:t>
      </w:r>
    </w:p>
    <w:p>
      <w:pPr>
        <w:spacing w:line="360" w:lineRule="auto"/>
        <w:jc w:val="center"/>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日期</w:t>
      </w:r>
      <w:r>
        <w:rPr>
          <w:rFonts w:hint="eastAsia" w:ascii="宋体" w:hAnsi="宋体" w:eastAsia="宋体" w:cs="宋体"/>
          <w:color w:val="auto"/>
          <w:sz w:val="24"/>
          <w:highlight w:val="none"/>
        </w:rPr>
        <w:t xml:space="preserve">：  年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日</w:t>
      </w:r>
    </w:p>
    <w:p>
      <w:pPr>
        <w:spacing w:line="320" w:lineRule="exact"/>
        <w:jc w:val="left"/>
        <w:rPr>
          <w:rFonts w:ascii="宋体" w:hAnsi="宋体" w:eastAsia="宋体" w:cs="宋体"/>
          <w:b/>
          <w:bCs/>
          <w:color w:val="auto"/>
          <w:sz w:val="28"/>
          <w:szCs w:val="28"/>
          <w:highlight w:val="none"/>
        </w:rPr>
      </w:pPr>
    </w:p>
    <w:p>
      <w:pPr>
        <w:spacing w:line="320" w:lineRule="exact"/>
        <w:jc w:val="left"/>
        <w:rPr>
          <w:rFonts w:ascii="宋体" w:hAnsi="宋体" w:eastAsia="宋体" w:cs="宋体"/>
          <w:b/>
          <w:bCs/>
          <w:color w:val="auto"/>
          <w:sz w:val="28"/>
          <w:szCs w:val="28"/>
          <w:highlight w:val="none"/>
        </w:rPr>
      </w:pPr>
    </w:p>
    <w:p>
      <w:pPr>
        <w:spacing w:line="320" w:lineRule="exact"/>
        <w:jc w:val="left"/>
        <w:rPr>
          <w:rFonts w:ascii="宋体" w:hAnsi="宋体" w:eastAsia="宋体" w:cs="宋体"/>
          <w:b/>
          <w:bCs/>
          <w:color w:val="auto"/>
          <w:sz w:val="28"/>
          <w:szCs w:val="28"/>
          <w:highlight w:val="none"/>
        </w:rPr>
      </w:pPr>
    </w:p>
    <w:p>
      <w:pPr>
        <w:spacing w:line="320" w:lineRule="exact"/>
        <w:jc w:val="left"/>
        <w:rPr>
          <w:rFonts w:ascii="宋体" w:hAnsi="宋体" w:eastAsia="宋体" w:cs="宋体"/>
          <w:b/>
          <w:bCs/>
          <w:color w:val="auto"/>
          <w:sz w:val="28"/>
          <w:szCs w:val="28"/>
          <w:highlight w:val="none"/>
        </w:rPr>
      </w:pPr>
    </w:p>
    <w:p>
      <w:pPr>
        <w:spacing w:line="320" w:lineRule="exact"/>
        <w:jc w:val="left"/>
        <w:rPr>
          <w:rFonts w:ascii="宋体" w:hAnsi="宋体" w:eastAsia="宋体" w:cs="宋体"/>
          <w:b/>
          <w:bCs/>
          <w:color w:val="auto"/>
          <w:sz w:val="28"/>
          <w:szCs w:val="28"/>
          <w:highlight w:val="none"/>
        </w:rPr>
      </w:pPr>
    </w:p>
    <w:p>
      <w:pPr>
        <w:spacing w:line="320" w:lineRule="exact"/>
        <w:jc w:val="left"/>
        <w:rPr>
          <w:rFonts w:ascii="宋体" w:hAnsi="宋体" w:eastAsia="宋体" w:cs="宋体"/>
          <w:b/>
          <w:bCs/>
          <w:color w:val="auto"/>
          <w:sz w:val="28"/>
          <w:szCs w:val="28"/>
          <w:highlight w:val="none"/>
        </w:rPr>
      </w:pPr>
    </w:p>
    <w:p>
      <w:pPr>
        <w:spacing w:line="320" w:lineRule="exact"/>
        <w:jc w:val="left"/>
        <w:rPr>
          <w:rFonts w:ascii="宋体" w:hAnsi="宋体" w:eastAsia="宋体" w:cs="宋体"/>
          <w:b/>
          <w:bCs/>
          <w:color w:val="auto"/>
          <w:sz w:val="28"/>
          <w:szCs w:val="28"/>
          <w:highlight w:val="none"/>
        </w:rPr>
      </w:pPr>
    </w:p>
    <w:p>
      <w:pPr>
        <w:spacing w:line="320" w:lineRule="exact"/>
        <w:jc w:val="left"/>
        <w:rPr>
          <w:rFonts w:ascii="宋体" w:hAnsi="宋体" w:eastAsia="宋体" w:cs="宋体"/>
          <w:b/>
          <w:bCs/>
          <w:color w:val="auto"/>
          <w:sz w:val="28"/>
          <w:szCs w:val="28"/>
          <w:highlight w:val="none"/>
        </w:rPr>
      </w:pPr>
    </w:p>
    <w:p>
      <w:pPr>
        <w:spacing w:line="320" w:lineRule="exact"/>
        <w:jc w:val="left"/>
        <w:rPr>
          <w:rFonts w:ascii="宋体" w:hAnsi="宋体" w:eastAsia="宋体" w:cs="宋体"/>
          <w:b/>
          <w:bCs/>
          <w:color w:val="auto"/>
          <w:sz w:val="28"/>
          <w:szCs w:val="28"/>
          <w:highlight w:val="none"/>
        </w:rPr>
      </w:pPr>
    </w:p>
    <w:p>
      <w:pPr>
        <w:spacing w:line="320" w:lineRule="exact"/>
        <w:jc w:val="left"/>
        <w:rPr>
          <w:rFonts w:ascii="宋体" w:hAnsi="宋体" w:eastAsia="宋体" w:cs="宋体"/>
          <w:b/>
          <w:bCs/>
          <w:color w:val="auto"/>
          <w:sz w:val="28"/>
          <w:szCs w:val="28"/>
          <w:highlight w:val="none"/>
        </w:rPr>
      </w:pPr>
    </w:p>
    <w:p>
      <w:pPr>
        <w:spacing w:line="320" w:lineRule="exact"/>
        <w:jc w:val="left"/>
        <w:rPr>
          <w:rFonts w:ascii="宋体" w:hAnsi="宋体" w:eastAsia="宋体" w:cs="宋体"/>
          <w:b/>
          <w:bCs/>
          <w:color w:val="auto"/>
          <w:sz w:val="28"/>
          <w:szCs w:val="28"/>
          <w:highlight w:val="none"/>
        </w:rPr>
      </w:pPr>
    </w:p>
    <w:p>
      <w:pPr>
        <w:spacing w:line="320" w:lineRule="exact"/>
        <w:jc w:val="left"/>
        <w:rPr>
          <w:rFonts w:ascii="宋体" w:hAnsi="宋体" w:eastAsia="宋体" w:cs="宋体"/>
          <w:b/>
          <w:bCs/>
          <w:color w:val="auto"/>
          <w:sz w:val="28"/>
          <w:szCs w:val="28"/>
          <w:highlight w:val="none"/>
        </w:rPr>
      </w:pPr>
    </w:p>
    <w:p>
      <w:pPr>
        <w:spacing w:line="320" w:lineRule="exact"/>
        <w:jc w:val="left"/>
        <w:rPr>
          <w:rFonts w:ascii="宋体" w:hAnsi="宋体" w:eastAsia="宋体" w:cs="宋体"/>
          <w:b/>
          <w:bCs/>
          <w:color w:val="auto"/>
          <w:sz w:val="28"/>
          <w:szCs w:val="28"/>
          <w:highlight w:val="none"/>
        </w:rPr>
      </w:pPr>
    </w:p>
    <w:p>
      <w:pPr>
        <w:spacing w:line="320" w:lineRule="exact"/>
        <w:jc w:val="left"/>
        <w:rPr>
          <w:rFonts w:ascii="宋体" w:hAnsi="宋体" w:eastAsia="宋体" w:cs="宋体"/>
          <w:b/>
          <w:bCs/>
          <w:color w:val="auto"/>
          <w:sz w:val="28"/>
          <w:szCs w:val="28"/>
          <w:highlight w:val="none"/>
        </w:rPr>
      </w:pPr>
    </w:p>
    <w:p>
      <w:pPr>
        <w:spacing w:line="320" w:lineRule="exact"/>
        <w:jc w:val="left"/>
        <w:rPr>
          <w:rFonts w:ascii="宋体" w:hAnsi="宋体" w:eastAsia="宋体" w:cs="宋体"/>
          <w:b/>
          <w:bCs/>
          <w:color w:val="auto"/>
          <w:sz w:val="28"/>
          <w:szCs w:val="28"/>
          <w:highlight w:val="none"/>
        </w:rPr>
      </w:pPr>
    </w:p>
    <w:p>
      <w:pPr>
        <w:spacing w:line="320" w:lineRule="exact"/>
        <w:jc w:val="left"/>
        <w:rPr>
          <w:rFonts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5</w:t>
      </w:r>
      <w:r>
        <w:rPr>
          <w:rFonts w:hint="eastAsia" w:ascii="宋体" w:hAnsi="宋体" w:eastAsia="宋体" w:cs="宋体"/>
          <w:b/>
          <w:color w:val="auto"/>
          <w:sz w:val="28"/>
          <w:szCs w:val="28"/>
          <w:highlight w:val="none"/>
        </w:rPr>
        <w:t>.声明函的格式：</w:t>
      </w:r>
    </w:p>
    <w:p>
      <w:pPr>
        <w:spacing w:line="320" w:lineRule="exact"/>
        <w:jc w:val="center"/>
        <w:rPr>
          <w:rFonts w:ascii="宋体" w:hAnsi="宋体" w:eastAsia="宋体" w:cs="宋体"/>
          <w:b/>
          <w:color w:val="auto"/>
          <w:sz w:val="32"/>
          <w:szCs w:val="32"/>
          <w:highlight w:val="none"/>
        </w:rPr>
      </w:pPr>
    </w:p>
    <w:p>
      <w:pPr>
        <w:spacing w:line="3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声明函</w:t>
      </w:r>
    </w:p>
    <w:p>
      <w:pPr>
        <w:spacing w:line="320" w:lineRule="exact"/>
        <w:jc w:val="center"/>
        <w:rPr>
          <w:rFonts w:ascii="宋体" w:hAnsi="宋体" w:eastAsia="宋体" w:cs="宋体"/>
          <w:color w:val="auto"/>
          <w:sz w:val="24"/>
          <w:szCs w:val="20"/>
          <w:highlight w:val="none"/>
        </w:rPr>
      </w:pPr>
    </w:p>
    <w:p>
      <w:pPr>
        <w:spacing w:line="360" w:lineRule="exact"/>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bookmarkStart w:id="144" w:name="PO_3000001871_PM031"/>
      <w:r>
        <w:rPr>
          <w:rFonts w:hint="eastAsia" w:ascii="宋体" w:hAnsi="宋体" w:eastAsia="宋体" w:cs="宋体"/>
          <w:color w:val="auto"/>
          <w:sz w:val="24"/>
          <w:szCs w:val="24"/>
          <w:highlight w:val="none"/>
          <w:u w:val="single"/>
        </w:rPr>
        <w:t>广西科联招标中心有限公司</w:t>
      </w:r>
      <w:bookmarkEnd w:id="144"/>
      <w:r>
        <w:rPr>
          <w:rFonts w:hint="eastAsia" w:ascii="宋体" w:hAnsi="宋体" w:eastAsia="宋体" w:cs="宋体"/>
          <w:color w:val="auto"/>
          <w:sz w:val="24"/>
          <w:szCs w:val="24"/>
          <w:highlight w:val="none"/>
        </w:rPr>
        <w:t>：</w:t>
      </w:r>
    </w:p>
    <w:p>
      <w:pPr>
        <w:spacing w:line="360" w:lineRule="exact"/>
        <w:ind w:firstLine="480"/>
        <w:contextualSpacing/>
        <w:rPr>
          <w:rFonts w:ascii="宋体" w:hAnsi="宋体" w:eastAsia="宋体" w:cs="宋体"/>
          <w:color w:val="auto"/>
          <w:sz w:val="24"/>
          <w:szCs w:val="24"/>
          <w:highlight w:val="none"/>
        </w:rPr>
      </w:pP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系中华人民共和国合法供应商，经营地址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spacing w:line="36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我方愿意参加贵方组织的</w:t>
      </w:r>
      <w:bookmarkStart w:id="145" w:name="PO_3000001871_PM002_4"/>
      <w:r>
        <w:rPr>
          <w:rFonts w:hint="eastAsia" w:ascii="宋体" w:hAnsi="宋体" w:eastAsia="宋体" w:cs="宋体"/>
          <w:i/>
          <w:iCs/>
          <w:color w:val="auto"/>
          <w:sz w:val="24"/>
          <w:szCs w:val="24"/>
          <w:highlight w:val="none"/>
        </w:rPr>
        <w:t>（</w:t>
      </w:r>
      <w:bookmarkEnd w:id="145"/>
      <w:r>
        <w:rPr>
          <w:rFonts w:hint="eastAsia" w:ascii="宋体" w:hAnsi="宋体" w:eastAsia="宋体" w:cs="宋体"/>
          <w:i/>
          <w:iCs/>
          <w:color w:val="auto"/>
          <w:sz w:val="24"/>
          <w:szCs w:val="24"/>
          <w:highlight w:val="none"/>
          <w:u w:val="single"/>
        </w:rPr>
        <w:t>项目名称</w:t>
      </w:r>
      <w:r>
        <w:rPr>
          <w:rFonts w:hint="eastAsia" w:ascii="宋体" w:hAnsi="宋体" w:eastAsia="宋体" w:cs="宋体"/>
          <w:i/>
          <w:iCs/>
          <w:color w:val="auto"/>
          <w:sz w:val="24"/>
          <w:szCs w:val="24"/>
          <w:highlight w:val="none"/>
        </w:rPr>
        <w:t>）</w:t>
      </w:r>
      <w:r>
        <w:rPr>
          <w:rFonts w:hint="eastAsia" w:ascii="宋体" w:hAnsi="宋体" w:eastAsia="宋体" w:cs="宋体"/>
          <w:color w:val="auto"/>
          <w:sz w:val="24"/>
          <w:szCs w:val="24"/>
          <w:highlight w:val="none"/>
        </w:rPr>
        <w:t>项目的竞标，为便于贵方公正、择优地确定成交供应商及其竞标产品和服务，我方就本次竞标有关事项郑重声明如下：</w:t>
      </w:r>
    </w:p>
    <w:p>
      <w:pPr>
        <w:spacing w:line="36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1.我方向贵方提交的所有响应文件、资料都是准确的和真实的。</w:t>
      </w:r>
    </w:p>
    <w:p>
      <w:pPr>
        <w:spacing w:line="36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line="36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3.在此，我方宣布同意如下：</w:t>
      </w:r>
    </w:p>
    <w:p>
      <w:pPr>
        <w:spacing w:line="36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（1）将按谈判文件的约定履行合同责任和义务；</w:t>
      </w:r>
    </w:p>
    <w:p>
      <w:pPr>
        <w:spacing w:line="36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（2）已详细审查谈判文件的全部内容，包括澄清或者更正公告（如有）；</w:t>
      </w:r>
    </w:p>
    <w:p>
      <w:pPr>
        <w:spacing w:line="36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（3）同意提供按照贵方可能要求的与谈判有关的一切数据或者资料。</w:t>
      </w:r>
    </w:p>
    <w:p>
      <w:pPr>
        <w:spacing w:line="36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w:t>
      </w:r>
    </w:p>
    <w:p>
      <w:pPr>
        <w:spacing w:line="36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□我方本次响应文件内容中未涉及商业秘密；</w:t>
      </w:r>
    </w:p>
    <w:p>
      <w:pPr>
        <w:spacing w:line="36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□我方本次响应文件涉及商业秘密的内容有：</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tabs>
          <w:tab w:val="left" w:pos="939"/>
        </w:tabs>
        <w:spacing w:line="36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6.以上事项如有虚假或者隐瞒，我方愿意承担一切后果，并不再寻求任何旨在减轻或者免除法律责任的辩解。</w:t>
      </w:r>
    </w:p>
    <w:p>
      <w:pPr>
        <w:tabs>
          <w:tab w:val="left" w:pos="939"/>
        </w:tabs>
        <w:spacing w:line="360" w:lineRule="exact"/>
        <w:ind w:left="141" w:firstLine="36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pPr>
        <w:tabs>
          <w:tab w:val="left" w:pos="939"/>
        </w:tabs>
        <w:spacing w:line="36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注：如为联合体竞标，盖章处须加盖联合体各方公章，否则其响应文件作无效响应处理。</w:t>
      </w:r>
    </w:p>
    <w:p>
      <w:pPr>
        <w:tabs>
          <w:tab w:val="left" w:pos="939"/>
        </w:tabs>
        <w:spacing w:line="360" w:lineRule="exact"/>
        <w:ind w:firstLine="480"/>
        <w:contextualSpacing/>
        <w:rPr>
          <w:rFonts w:ascii="宋体" w:hAnsi="宋体" w:eastAsia="宋体" w:cs="宋体"/>
          <w:color w:val="auto"/>
          <w:sz w:val="24"/>
          <w:szCs w:val="24"/>
          <w:highlight w:val="none"/>
        </w:rPr>
      </w:pPr>
    </w:p>
    <w:p>
      <w:pPr>
        <w:spacing w:line="360" w:lineRule="exact"/>
        <w:ind w:left="4365" w:hanging="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供应商名称（盖公章）：</w:t>
      </w:r>
    </w:p>
    <w:p>
      <w:pPr>
        <w:spacing w:line="360" w:lineRule="exact"/>
        <w:ind w:firstLine="6120"/>
        <w:rPr>
          <w:rFonts w:ascii="宋体" w:hAnsi="宋体" w:eastAsia="宋体" w:cs="宋体"/>
          <w:color w:val="auto"/>
          <w:sz w:val="24"/>
          <w:szCs w:val="24"/>
          <w:highlight w:val="none"/>
          <w:lang w:val="zh-CN"/>
        </w:rPr>
        <w:sectPr>
          <w:footerReference r:id="rId9" w:type="default"/>
          <w:pgSz w:w="11910" w:h="16840"/>
          <w:pgMar w:top="1134" w:right="1134" w:bottom="1134" w:left="1134" w:header="720" w:footer="720" w:gutter="0"/>
          <w:cols w:space="720" w:num="1"/>
        </w:sectPr>
      </w:pPr>
      <w:r>
        <w:rPr>
          <w:rFonts w:hint="eastAsia" w:ascii="宋体" w:hAnsi="宋体" w:eastAsia="宋体" w:cs="宋体"/>
          <w:color w:val="auto"/>
          <w:sz w:val="24"/>
          <w:szCs w:val="24"/>
          <w:highlight w:val="none"/>
          <w:lang w:val="zh-CN"/>
        </w:rPr>
        <w:t>日期：  年  月   日</w:t>
      </w:r>
    </w:p>
    <w:p>
      <w:pPr>
        <w:spacing w:line="520" w:lineRule="exact"/>
        <w:rPr>
          <w:rFonts w:ascii="宋体" w:hAnsi="宋体" w:eastAsia="宋体" w:cs="宋体"/>
          <w:b/>
          <w:bCs/>
          <w:color w:val="auto"/>
          <w:sz w:val="32"/>
          <w:szCs w:val="32"/>
          <w:highlight w:val="none"/>
        </w:rPr>
      </w:pPr>
      <w:r>
        <w:rPr>
          <w:rFonts w:hint="eastAsia" w:ascii="宋体" w:hAnsi="宋体" w:eastAsia="宋体" w:cs="宋体"/>
          <w:b/>
          <w:color w:val="auto"/>
          <w:sz w:val="28"/>
          <w:szCs w:val="28"/>
          <w:highlight w:val="none"/>
        </w:rPr>
        <w:t>6.联合体竞标协议书的格式：</w:t>
      </w:r>
    </w:p>
    <w:p>
      <w:pPr>
        <w:spacing w:line="600" w:lineRule="exact"/>
        <w:jc w:val="center"/>
        <w:rPr>
          <w:rFonts w:ascii="宋体" w:hAnsi="宋体" w:eastAsia="宋体" w:cs="宋体"/>
          <w:color w:val="auto"/>
          <w:sz w:val="44"/>
          <w:szCs w:val="44"/>
          <w:highlight w:val="none"/>
          <w:lang w:val="zh-CN"/>
        </w:rPr>
      </w:pPr>
    </w:p>
    <w:p>
      <w:pPr>
        <w:spacing w:line="600" w:lineRule="exact"/>
        <w:jc w:val="center"/>
        <w:rPr>
          <w:rFonts w:ascii="宋体" w:hAnsi="宋体" w:eastAsia="宋体" w:cs="宋体"/>
          <w:color w:val="auto"/>
          <w:sz w:val="44"/>
          <w:szCs w:val="44"/>
          <w:highlight w:val="none"/>
          <w:lang w:val="zh-CN"/>
        </w:rPr>
      </w:pPr>
      <w:r>
        <w:rPr>
          <w:rFonts w:hint="eastAsia" w:ascii="宋体" w:hAnsi="宋体" w:eastAsia="宋体" w:cs="宋体"/>
          <w:b/>
          <w:bCs/>
          <w:color w:val="auto"/>
          <w:sz w:val="32"/>
          <w:szCs w:val="32"/>
          <w:highlight w:val="none"/>
          <w:lang w:val="zh-CN"/>
        </w:rPr>
        <w:t>联合体竞标协议书</w:t>
      </w:r>
    </w:p>
    <w:p>
      <w:pPr>
        <w:spacing w:line="360" w:lineRule="auto"/>
        <w:jc w:val="left"/>
        <w:rPr>
          <w:rFonts w:ascii="宋体" w:hAnsi="宋体" w:eastAsia="宋体" w:cs="宋体"/>
          <w:color w:val="auto"/>
          <w:szCs w:val="21"/>
          <w:highlight w:val="none"/>
          <w:u w:val="single"/>
        </w:rPr>
      </w:pPr>
    </w:p>
    <w:p>
      <w:pPr>
        <w:spacing w:line="36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（所有成员单位名称）自愿组成联合体，共同参加</w:t>
      </w:r>
      <w:r>
        <w:rPr>
          <w:rFonts w:hint="eastAsia" w:ascii="宋体" w:hAnsi="宋体" w:eastAsia="宋体" w:cs="宋体"/>
          <w:color w:val="auto"/>
          <w:sz w:val="24"/>
          <w:szCs w:val="24"/>
          <w:highlight w:val="none"/>
          <w:u w:val="single"/>
        </w:rPr>
        <w:t xml:space="preserve"> </w:t>
      </w:r>
      <w:bookmarkStart w:id="146" w:name="PO_3000001871_PM031_4"/>
      <w:r>
        <w:rPr>
          <w:rFonts w:hint="eastAsia" w:ascii="宋体" w:hAnsi="宋体" w:eastAsia="宋体" w:cs="宋体"/>
          <w:color w:val="auto"/>
          <w:sz w:val="24"/>
          <w:szCs w:val="24"/>
          <w:highlight w:val="none"/>
          <w:u w:val="single"/>
        </w:rPr>
        <w:t>广西科联招标中心有限公司</w:t>
      </w:r>
      <w:bookmarkEnd w:id="146"/>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组织的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 xml:space="preserve"> （项目名称）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）竞争性谈判采购。现就联合体竞标事宜订立如下协议：</w:t>
      </w:r>
    </w:p>
    <w:p>
      <w:pPr>
        <w:spacing w:line="360" w:lineRule="exact"/>
        <w:ind w:firstLine="42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（某成员单位名称）为联合体名称牵头人。</w:t>
      </w:r>
    </w:p>
    <w:p>
      <w:pPr>
        <w:spacing w:line="360" w:lineRule="exact"/>
        <w:ind w:firstLine="42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pPr>
        <w:spacing w:line="360" w:lineRule="exact"/>
        <w:ind w:firstLine="42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3、联合体牵头人在本项目中签署和盖章的一切文件和处理的一切事宜，联合体各成员均予以承认。 联合体各成员将严格按照谈判文件、响应文件和合同的要求全面履行义务，并向采购人承担连带责任。</w:t>
      </w:r>
    </w:p>
    <w:p>
      <w:pPr>
        <w:spacing w:line="360" w:lineRule="exact"/>
        <w:ind w:firstLine="42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4、联合体各成员单位内部的职责分工如下：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spacing w:line="360" w:lineRule="exact"/>
        <w:ind w:firstLine="48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5、本联合体中，</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CN"/>
        </w:rPr>
        <w:t>（某成员单位名称）为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CN"/>
        </w:rPr>
        <w:t>（请填写：中型、小型、微型）企业，其协议合同金额占联合体协议合同总金额的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CN"/>
        </w:rPr>
        <w:t>%。【如联合体成员中有小型、微型企业的，请填写此条，否则无需填写；如联合体成员中有多个小型、微型企业的，请逐一列出。】</w:t>
      </w:r>
    </w:p>
    <w:p>
      <w:pPr>
        <w:spacing w:line="360" w:lineRule="exact"/>
        <w:ind w:firstLine="42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6、本协议书自签署之日起生效，合同履行完毕后自动失效。</w:t>
      </w:r>
    </w:p>
    <w:p>
      <w:pPr>
        <w:spacing w:line="360" w:lineRule="exact"/>
        <w:ind w:firstLine="42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7、本协议书一式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份，联合体成员和采购代理机构各执一份。</w:t>
      </w:r>
    </w:p>
    <w:p>
      <w:pPr>
        <w:spacing w:line="360" w:lineRule="exact"/>
        <w:ind w:firstLine="42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注：本协议书由法定代表人签字的，应附法定代表人身份证明；本协议书由委托代理人签字的，应附法定代表人授权委托书。</w:t>
      </w:r>
    </w:p>
    <w:p>
      <w:pPr>
        <w:spacing w:line="36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牵头人名称：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（盖公章）</w:t>
      </w:r>
    </w:p>
    <w:p>
      <w:pPr>
        <w:spacing w:line="36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spacing w:line="360" w:lineRule="exact"/>
        <w:jc w:val="left"/>
        <w:rPr>
          <w:rFonts w:ascii="宋体" w:hAnsi="宋体" w:eastAsia="宋体" w:cs="宋体"/>
          <w:color w:val="auto"/>
          <w:sz w:val="24"/>
          <w:szCs w:val="24"/>
          <w:highlight w:val="none"/>
        </w:rPr>
      </w:pPr>
    </w:p>
    <w:p>
      <w:pPr>
        <w:spacing w:line="36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成员一名称：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（盖公章）</w:t>
      </w:r>
    </w:p>
    <w:p>
      <w:pPr>
        <w:spacing w:line="36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spacing w:line="360" w:lineRule="exact"/>
        <w:jc w:val="left"/>
        <w:rPr>
          <w:rFonts w:ascii="宋体" w:hAnsi="宋体" w:eastAsia="宋体" w:cs="宋体"/>
          <w:color w:val="auto"/>
          <w:szCs w:val="21"/>
          <w:highlight w:val="none"/>
        </w:rPr>
      </w:pPr>
    </w:p>
    <w:p>
      <w:pPr>
        <w:spacing w:line="36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（盖公章）</w:t>
      </w:r>
    </w:p>
    <w:p>
      <w:pPr>
        <w:spacing w:line="36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                         （签字）</w:t>
      </w:r>
    </w:p>
    <w:p>
      <w:pPr>
        <w:pStyle w:val="7"/>
        <w:spacing w:line="360" w:lineRule="exact"/>
        <w:rPr>
          <w:rFonts w:ascii="宋体" w:hAnsi="宋体" w:cs="宋体"/>
          <w:color w:val="auto"/>
          <w:sz w:val="24"/>
          <w:highlight w:val="none"/>
        </w:rPr>
      </w:pPr>
      <w:r>
        <w:rPr>
          <w:rFonts w:hint="eastAsia" w:ascii="宋体" w:hAnsi="宋体" w:cs="宋体"/>
          <w:color w:val="auto"/>
          <w:sz w:val="24"/>
          <w:highlight w:val="none"/>
        </w:rPr>
        <w:t>……</w:t>
      </w:r>
    </w:p>
    <w:p>
      <w:pPr>
        <w:spacing w:line="360" w:lineRule="exact"/>
        <w:ind w:left="4365" w:hanging="480"/>
        <w:rPr>
          <w:rFonts w:ascii="宋体" w:hAnsi="宋体" w:eastAsia="宋体" w:cs="宋体"/>
          <w:color w:val="auto"/>
          <w:sz w:val="24"/>
          <w:szCs w:val="24"/>
          <w:highlight w:val="none"/>
        </w:rPr>
      </w:pPr>
    </w:p>
    <w:p>
      <w:pPr>
        <w:spacing w:line="360" w:lineRule="exact"/>
        <w:ind w:firstLine="61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pPr>
        <w:spacing w:line="360" w:lineRule="exact"/>
        <w:ind w:firstLine="6120"/>
        <w:rPr>
          <w:rFonts w:ascii="宋体" w:hAnsi="宋体" w:eastAsia="宋体" w:cs="宋体"/>
          <w:color w:val="auto"/>
          <w:sz w:val="24"/>
          <w:szCs w:val="24"/>
          <w:highlight w:val="none"/>
          <w:lang w:val="zh-CN"/>
        </w:rPr>
      </w:pPr>
    </w:p>
    <w:p>
      <w:pPr>
        <w:keepNext/>
        <w:keepLines/>
        <w:spacing w:before="260" w:after="260" w:line="416" w:lineRule="auto"/>
        <w:jc w:val="center"/>
        <w:outlineLvl w:val="1"/>
        <w:rPr>
          <w:rFonts w:ascii="宋体" w:hAnsi="宋体" w:eastAsia="宋体" w:cs="宋体"/>
          <w:b/>
          <w:bCs/>
          <w:color w:val="auto"/>
          <w:sz w:val="32"/>
          <w:szCs w:val="32"/>
          <w:highlight w:val="none"/>
          <w:lang w:val="zh-CN"/>
        </w:rPr>
      </w:pPr>
      <w:bookmarkStart w:id="147" w:name="_Toc80205940"/>
      <w:bookmarkStart w:id="148" w:name="_Toc798"/>
      <w:bookmarkStart w:id="149" w:name="_Toc26899"/>
      <w:r>
        <w:rPr>
          <w:rFonts w:hint="eastAsia" w:ascii="宋体" w:hAnsi="宋体" w:eastAsia="宋体" w:cs="宋体"/>
          <w:b/>
          <w:bCs/>
          <w:color w:val="auto"/>
          <w:sz w:val="32"/>
          <w:szCs w:val="32"/>
          <w:highlight w:val="none"/>
          <w:lang w:val="zh-CN"/>
        </w:rPr>
        <w:t>第二节 商务技术文件格式</w:t>
      </w:r>
      <w:bookmarkEnd w:id="147"/>
      <w:bookmarkEnd w:id="148"/>
      <w:bookmarkEnd w:id="149"/>
    </w:p>
    <w:p>
      <w:pPr>
        <w:spacing w:before="120" w:after="50"/>
        <w:rPr>
          <w:rFonts w:ascii="宋体" w:hAnsi="宋体" w:eastAsia="宋体" w:cs="宋体"/>
          <w:color w:val="auto"/>
          <w:sz w:val="24"/>
          <w:szCs w:val="24"/>
          <w:highlight w:val="none"/>
        </w:rPr>
      </w:pPr>
      <w:r>
        <w:rPr>
          <w:rFonts w:hint="eastAsia" w:ascii="宋体" w:hAnsi="宋体" w:eastAsia="宋体" w:cs="宋体"/>
          <w:b/>
          <w:color w:val="auto"/>
          <w:sz w:val="28"/>
          <w:szCs w:val="28"/>
          <w:highlight w:val="none"/>
        </w:rPr>
        <w:t>1.商务技术文件封面的格式</w:t>
      </w:r>
      <w:r>
        <w:rPr>
          <w:rFonts w:hint="eastAsia" w:ascii="宋体" w:hAnsi="宋体" w:eastAsia="宋体" w:cs="宋体"/>
          <w:b/>
          <w:bCs/>
          <w:color w:val="auto"/>
          <w:sz w:val="28"/>
          <w:szCs w:val="28"/>
          <w:highlight w:val="none"/>
        </w:rPr>
        <w:t>（参照此格式自拟）</w:t>
      </w:r>
      <w:r>
        <w:rPr>
          <w:rFonts w:hint="eastAsia" w:ascii="宋体" w:hAnsi="宋体" w:eastAsia="宋体" w:cs="宋体"/>
          <w:b/>
          <w:color w:val="auto"/>
          <w:sz w:val="28"/>
          <w:szCs w:val="28"/>
          <w:highlight w:val="none"/>
        </w:rPr>
        <w:t>：</w:t>
      </w:r>
      <w:r>
        <w:rPr>
          <w:rFonts w:hint="eastAsia" w:ascii="宋体" w:hAnsi="宋体" w:eastAsia="宋体" w:cs="宋体"/>
          <w:color w:val="auto"/>
          <w:sz w:val="24"/>
          <w:szCs w:val="24"/>
          <w:highlight w:val="none"/>
        </w:rPr>
        <w:t xml:space="preserve">                                                   </w:t>
      </w:r>
    </w:p>
    <w:p>
      <w:pPr>
        <w:spacing w:before="120" w:after="50"/>
        <w:ind w:firstLine="6480"/>
        <w:rPr>
          <w:rFonts w:ascii="宋体" w:hAnsi="宋体" w:eastAsia="宋体" w:cs="宋体"/>
          <w:bCs/>
          <w:color w:val="auto"/>
          <w:sz w:val="32"/>
          <w:szCs w:val="20"/>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Cs w:val="24"/>
          <w:highlight w:val="none"/>
        </w:rPr>
        <w:t>全流程电子文件</w:t>
      </w:r>
    </w:p>
    <w:p>
      <w:pPr>
        <w:spacing w:before="120" w:after="50"/>
        <w:rPr>
          <w:rFonts w:ascii="宋体" w:hAnsi="宋体" w:eastAsia="宋体" w:cs="宋体"/>
          <w:color w:val="auto"/>
          <w:sz w:val="24"/>
          <w:szCs w:val="20"/>
          <w:highlight w:val="none"/>
        </w:rPr>
      </w:pPr>
    </w:p>
    <w:p>
      <w:pPr>
        <w:spacing w:before="120" w:after="50"/>
        <w:rPr>
          <w:rFonts w:ascii="宋体" w:hAnsi="宋体" w:eastAsia="宋体" w:cs="宋体"/>
          <w:color w:val="auto"/>
          <w:sz w:val="24"/>
          <w:szCs w:val="20"/>
          <w:highlight w:val="none"/>
        </w:rPr>
      </w:pPr>
    </w:p>
    <w:p>
      <w:pPr>
        <w:spacing w:before="120" w:after="50"/>
        <w:rPr>
          <w:rFonts w:ascii="宋体" w:hAnsi="宋体" w:eastAsia="宋体" w:cs="宋体"/>
          <w:color w:val="auto"/>
          <w:sz w:val="24"/>
          <w:szCs w:val="20"/>
          <w:highlight w:val="none"/>
        </w:rPr>
      </w:pPr>
    </w:p>
    <w:p>
      <w:pPr>
        <w:spacing w:before="120" w:after="50"/>
        <w:jc w:val="center"/>
        <w:rPr>
          <w:rFonts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  务  技  术  文  件</w:t>
      </w:r>
    </w:p>
    <w:p>
      <w:pPr>
        <w:spacing w:before="120" w:after="50"/>
        <w:rPr>
          <w:rFonts w:ascii="宋体" w:hAnsi="宋体" w:eastAsia="宋体" w:cs="宋体"/>
          <w:bCs/>
          <w:color w:val="auto"/>
          <w:sz w:val="24"/>
          <w:szCs w:val="20"/>
          <w:highlight w:val="none"/>
        </w:rPr>
      </w:pPr>
    </w:p>
    <w:p>
      <w:pPr>
        <w:spacing w:before="120" w:after="50"/>
        <w:rPr>
          <w:rFonts w:ascii="宋体" w:hAnsi="宋体" w:eastAsia="宋体" w:cs="宋体"/>
          <w:bCs/>
          <w:color w:val="auto"/>
          <w:sz w:val="24"/>
          <w:szCs w:val="20"/>
          <w:highlight w:val="none"/>
        </w:rPr>
      </w:pPr>
    </w:p>
    <w:p>
      <w:pPr>
        <w:spacing w:before="120" w:after="50"/>
        <w:rPr>
          <w:rFonts w:ascii="宋体" w:hAnsi="宋体" w:eastAsia="宋体" w:cs="宋体"/>
          <w:bCs/>
          <w:color w:val="auto"/>
          <w:sz w:val="24"/>
          <w:szCs w:val="20"/>
          <w:highlight w:val="none"/>
        </w:rPr>
      </w:pPr>
    </w:p>
    <w:p>
      <w:pPr>
        <w:spacing w:before="120" w:after="50"/>
        <w:rPr>
          <w:rFonts w:ascii="宋体" w:hAnsi="宋体" w:eastAsia="宋体" w:cs="宋体"/>
          <w:bCs/>
          <w:color w:val="auto"/>
          <w:sz w:val="24"/>
          <w:szCs w:val="20"/>
          <w:highlight w:val="none"/>
        </w:rPr>
      </w:pPr>
    </w:p>
    <w:p>
      <w:pPr>
        <w:spacing w:before="120" w:after="50"/>
        <w:rPr>
          <w:rFonts w:ascii="宋体" w:hAnsi="宋体" w:eastAsia="宋体" w:cs="宋体"/>
          <w:bCs/>
          <w:color w:val="auto"/>
          <w:sz w:val="24"/>
          <w:szCs w:val="20"/>
          <w:highlight w:val="none"/>
        </w:rPr>
      </w:pPr>
    </w:p>
    <w:p>
      <w:pPr>
        <w:spacing w:before="120" w:after="50"/>
        <w:ind w:firstLine="64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项目名称： </w:t>
      </w:r>
    </w:p>
    <w:p>
      <w:pPr>
        <w:spacing w:before="120" w:after="50"/>
        <w:ind w:firstLine="720"/>
        <w:rPr>
          <w:rFonts w:ascii="宋体" w:hAnsi="宋体" w:eastAsia="宋体" w:cs="宋体"/>
          <w:bCs/>
          <w:color w:val="auto"/>
          <w:sz w:val="32"/>
          <w:szCs w:val="32"/>
          <w:highlight w:val="none"/>
        </w:rPr>
      </w:pPr>
    </w:p>
    <w:p>
      <w:pPr>
        <w:spacing w:before="120" w:after="50"/>
        <w:ind w:firstLine="64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pPr>
        <w:spacing w:before="120" w:after="50"/>
        <w:ind w:firstLine="72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pPr>
        <w:spacing w:before="120" w:after="50"/>
        <w:ind w:firstLine="64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pPr>
        <w:spacing w:before="120" w:after="50"/>
        <w:ind w:firstLine="720"/>
        <w:rPr>
          <w:rFonts w:ascii="宋体" w:hAnsi="宋体" w:eastAsia="宋体" w:cs="宋体"/>
          <w:bCs/>
          <w:color w:val="auto"/>
          <w:sz w:val="32"/>
          <w:szCs w:val="32"/>
          <w:highlight w:val="none"/>
        </w:rPr>
      </w:pPr>
    </w:p>
    <w:p>
      <w:pPr>
        <w:spacing w:before="50" w:after="50"/>
        <w:ind w:firstLine="64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pPr>
        <w:spacing w:before="50" w:after="50"/>
        <w:ind w:firstLine="720"/>
        <w:rPr>
          <w:rFonts w:ascii="宋体" w:hAnsi="宋体" w:eastAsia="宋体" w:cs="宋体"/>
          <w:bCs/>
          <w:color w:val="auto"/>
          <w:sz w:val="32"/>
          <w:szCs w:val="32"/>
          <w:highlight w:val="none"/>
        </w:rPr>
      </w:pPr>
    </w:p>
    <w:p>
      <w:pPr>
        <w:spacing w:before="50" w:after="50"/>
        <w:ind w:firstLine="720"/>
        <w:rPr>
          <w:rFonts w:ascii="宋体" w:hAnsi="宋体" w:eastAsia="宋体" w:cs="宋体"/>
          <w:bCs/>
          <w:color w:val="auto"/>
          <w:sz w:val="32"/>
          <w:szCs w:val="32"/>
          <w:highlight w:val="none"/>
        </w:rPr>
      </w:pPr>
    </w:p>
    <w:p>
      <w:pPr>
        <w:spacing w:before="50" w:after="50"/>
        <w:ind w:firstLine="1280"/>
        <w:rPr>
          <w:rFonts w:ascii="宋体" w:hAnsi="宋体" w:eastAsia="宋体" w:cs="宋体"/>
          <w:bCs/>
          <w:color w:val="auto"/>
          <w:sz w:val="32"/>
          <w:szCs w:val="32"/>
          <w:highlight w:val="none"/>
        </w:rPr>
      </w:pPr>
    </w:p>
    <w:p>
      <w:pPr>
        <w:spacing w:before="120" w:after="5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pPr>
        <w:spacing w:line="360" w:lineRule="auto"/>
        <w:ind w:right="420"/>
        <w:rPr>
          <w:rFonts w:ascii="宋体" w:hAnsi="宋体" w:eastAsia="宋体" w:cs="宋体"/>
          <w:color w:val="auto"/>
          <w:sz w:val="24"/>
          <w:szCs w:val="20"/>
          <w:highlight w:val="none"/>
        </w:rPr>
      </w:pPr>
      <w:r>
        <w:rPr>
          <w:rFonts w:hint="eastAsia" w:ascii="宋体" w:hAnsi="宋体" w:eastAsia="宋体" w:cs="宋体"/>
          <w:color w:val="auto"/>
          <w:sz w:val="24"/>
          <w:szCs w:val="24"/>
          <w:highlight w:val="none"/>
        </w:rPr>
        <w:br w:type="page" w:clear="all"/>
      </w:r>
      <w:r>
        <w:rPr>
          <w:rFonts w:hint="eastAsia" w:ascii="宋体" w:hAnsi="宋体" w:eastAsia="宋体" w:cs="宋体"/>
          <w:b/>
          <w:bCs/>
          <w:color w:val="auto"/>
          <w:sz w:val="28"/>
          <w:szCs w:val="28"/>
          <w:highlight w:val="none"/>
        </w:rPr>
        <w:t>2.商务技术文件目录</w:t>
      </w:r>
    </w:p>
    <w:p>
      <w:pPr>
        <w:spacing w:line="360" w:lineRule="auto"/>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根据竞争性谈判文件规定及供应商提供的材料自行编写目录（部分格式后附）。</w:t>
      </w:r>
    </w:p>
    <w:p>
      <w:pPr>
        <w:spacing w:before="120" w:after="50" w:line="360" w:lineRule="auto"/>
        <w:ind w:left="142" w:firstLine="640"/>
        <w:jc w:val="left"/>
        <w:rPr>
          <w:rFonts w:ascii="宋体" w:hAnsi="宋体" w:eastAsia="宋体" w:cs="宋体"/>
          <w:color w:val="auto"/>
          <w:sz w:val="32"/>
          <w:szCs w:val="32"/>
          <w:highlight w:val="none"/>
        </w:rPr>
      </w:pPr>
    </w:p>
    <w:p>
      <w:pPr>
        <w:spacing w:line="520" w:lineRule="exact"/>
        <w:ind w:firstLine="220"/>
        <w:jc w:val="left"/>
        <w:rPr>
          <w:rFonts w:ascii="宋体" w:hAnsi="宋体" w:eastAsia="宋体" w:cs="宋体"/>
          <w:color w:val="auto"/>
          <w:sz w:val="28"/>
          <w:szCs w:val="28"/>
          <w:highlight w:val="none"/>
        </w:rPr>
      </w:pPr>
      <w:r>
        <w:rPr>
          <w:rFonts w:hint="eastAsia" w:ascii="宋体" w:hAnsi="宋体" w:eastAsia="宋体" w:cs="宋体"/>
          <w:color w:val="auto"/>
          <w:sz w:val="44"/>
          <w:szCs w:val="44"/>
          <w:highlight w:val="none"/>
        </w:rPr>
        <w:br w:type="page" w:clear="all"/>
      </w:r>
      <w:r>
        <w:rPr>
          <w:rFonts w:hint="eastAsia" w:ascii="宋体" w:hAnsi="宋体" w:eastAsia="宋体" w:cs="宋体"/>
          <w:b/>
          <w:color w:val="auto"/>
          <w:sz w:val="28"/>
          <w:szCs w:val="28"/>
          <w:highlight w:val="none"/>
        </w:rPr>
        <w:t>3.无串通竞标行为的承诺函的格式：</w:t>
      </w:r>
    </w:p>
    <w:p>
      <w:pPr>
        <w:spacing w:line="520" w:lineRule="exact"/>
        <w:jc w:val="center"/>
        <w:rPr>
          <w:rFonts w:ascii="宋体" w:hAnsi="宋体" w:eastAsia="宋体" w:cs="宋体"/>
          <w:color w:val="auto"/>
          <w:sz w:val="44"/>
          <w:szCs w:val="44"/>
          <w:highlight w:val="none"/>
        </w:rPr>
      </w:pPr>
    </w:p>
    <w:p>
      <w:pPr>
        <w:spacing w:line="520" w:lineRule="exact"/>
        <w:jc w:val="center"/>
        <w:rPr>
          <w:rFonts w:ascii="宋体" w:hAnsi="宋体" w:eastAsia="宋体" w:cs="宋体"/>
          <w:color w:val="auto"/>
          <w:sz w:val="36"/>
          <w:szCs w:val="36"/>
          <w:highlight w:val="none"/>
        </w:rPr>
      </w:pPr>
      <w:r>
        <w:rPr>
          <w:rFonts w:hint="eastAsia" w:ascii="宋体" w:hAnsi="宋体" w:eastAsia="宋体" w:cs="宋体"/>
          <w:b/>
          <w:bCs/>
          <w:color w:val="auto"/>
          <w:sz w:val="32"/>
          <w:szCs w:val="32"/>
          <w:highlight w:val="none"/>
        </w:rPr>
        <w:t>无串通竞标行为的承诺函</w:t>
      </w:r>
    </w:p>
    <w:p>
      <w:pPr>
        <w:spacing w:line="400" w:lineRule="exact"/>
        <w:contextualSpacing/>
        <w:rPr>
          <w:rFonts w:ascii="宋体" w:hAnsi="宋体" w:eastAsia="宋体" w:cs="宋体"/>
          <w:color w:val="auto"/>
          <w:sz w:val="32"/>
          <w:szCs w:val="32"/>
          <w:highlight w:val="none"/>
        </w:rPr>
      </w:pPr>
    </w:p>
    <w:p>
      <w:pPr>
        <w:spacing w:line="400" w:lineRule="exact"/>
        <w:ind w:firstLine="482"/>
        <w:contextualSpacing/>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一、我方承诺无下列相互串通竞标的情形：</w:t>
      </w:r>
    </w:p>
    <w:p>
      <w:pPr>
        <w:spacing w:line="40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1.不同供应商的响应文件由同一单位或者个人编制；或不同供应商报名的IP地址一致的；</w:t>
      </w:r>
    </w:p>
    <w:p>
      <w:pPr>
        <w:spacing w:line="40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2.不同供应商委托同一单位或者个人办理竞标事宜；</w:t>
      </w:r>
    </w:p>
    <w:p>
      <w:pPr>
        <w:spacing w:line="40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3.不同的供应商的响应文件载明的项目管理员为同一个人；</w:t>
      </w:r>
    </w:p>
    <w:p>
      <w:pPr>
        <w:spacing w:line="40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4.不</w:t>
      </w:r>
      <w:r>
        <w:rPr>
          <w:rFonts w:hint="eastAsia" w:ascii="宋体" w:hAnsi="宋体" w:eastAsia="宋体" w:cs="宋体"/>
          <w:color w:val="auto"/>
          <w:spacing w:val="-6"/>
          <w:sz w:val="24"/>
          <w:szCs w:val="24"/>
          <w:highlight w:val="none"/>
        </w:rPr>
        <w:t>同供应商的响应文件异常一致或者响应报价呈规律性差异；</w:t>
      </w:r>
    </w:p>
    <w:p>
      <w:pPr>
        <w:spacing w:line="40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5.不同供应商的响应文件相互混装；</w:t>
      </w:r>
    </w:p>
    <w:p>
      <w:pPr>
        <w:spacing w:line="40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6.不同供应商的谈判保证金从同一单位或者个人账户转出。</w:t>
      </w:r>
    </w:p>
    <w:p>
      <w:pPr>
        <w:spacing w:line="400" w:lineRule="exact"/>
        <w:ind w:firstLine="482"/>
        <w:contextualSpacing/>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二、我方承诺无下列恶意串通的情形：</w:t>
      </w:r>
    </w:p>
    <w:p>
      <w:pPr>
        <w:spacing w:line="40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1.供应商直接或者间接从采购人或者采购代理机构处获得其他供应商的相关信息并修改其响应文件；</w:t>
      </w:r>
    </w:p>
    <w:p>
      <w:pPr>
        <w:spacing w:line="40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2.供应商按照采购人或者采购代理机构的授意撤换、修改响应文件；</w:t>
      </w:r>
    </w:p>
    <w:p>
      <w:pPr>
        <w:spacing w:line="40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3.供</w:t>
      </w:r>
      <w:r>
        <w:rPr>
          <w:rFonts w:hint="eastAsia" w:ascii="宋体" w:hAnsi="宋体" w:eastAsia="宋体" w:cs="宋体"/>
          <w:color w:val="auto"/>
          <w:spacing w:val="-6"/>
          <w:sz w:val="24"/>
          <w:szCs w:val="24"/>
          <w:highlight w:val="none"/>
        </w:rPr>
        <w:t>应商之间协商报价、技术方案等响应文件的实质性内容；</w:t>
      </w:r>
    </w:p>
    <w:p>
      <w:pPr>
        <w:spacing w:line="40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4.属于同一集团、协会、商会等组织成员的供应商按照该组织要求协同参加政府采购活动；</w:t>
      </w:r>
    </w:p>
    <w:p>
      <w:pPr>
        <w:spacing w:line="40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5.供应商之间事先约定一致抬高或者压低响应报价,或者在竞争性谈判项目中事先约定轮流以高价位或者低价位成交,或者事先约定由某一特定供应商成交,然后再参加竞标；</w:t>
      </w:r>
    </w:p>
    <w:p>
      <w:pPr>
        <w:spacing w:line="40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6.供应商之间商定部分供应商放弃参加政府采购活动或者放弃成交；</w:t>
      </w:r>
    </w:p>
    <w:p>
      <w:pPr>
        <w:spacing w:line="400" w:lineRule="exact"/>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7.供应商与采购人或者采购代理机构之间、供应商相互之间，为</w:t>
      </w:r>
      <w:r>
        <w:rPr>
          <w:rFonts w:hint="eastAsia" w:ascii="宋体" w:hAnsi="宋体" w:eastAsia="宋体" w:cs="宋体"/>
          <w:color w:val="auto"/>
          <w:spacing w:val="-6"/>
          <w:sz w:val="24"/>
          <w:szCs w:val="24"/>
          <w:highlight w:val="none"/>
        </w:rPr>
        <w:t>谋求特定供应商成交或者排斥其他供应商的其他串通行为。</w:t>
      </w:r>
    </w:p>
    <w:p>
      <w:pPr>
        <w:spacing w:line="400" w:lineRule="exact"/>
        <w:ind w:firstLine="480"/>
        <w:contextualSpacing/>
        <w:rPr>
          <w:rFonts w:ascii="宋体" w:hAnsi="宋体" w:eastAsia="宋体" w:cs="宋体"/>
          <w:color w:val="auto"/>
          <w:sz w:val="24"/>
          <w:szCs w:val="24"/>
          <w:highlight w:val="none"/>
        </w:rPr>
      </w:pPr>
    </w:p>
    <w:p>
      <w:pPr>
        <w:spacing w:line="400" w:lineRule="exact"/>
        <w:ind w:firstLine="482"/>
        <w:contextualSpacing/>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以上情形一经核查属实，接受政府采购监管部门对我方认定存在围标串标行为，我方愿意承担一切后果，并不再寻求任何旨在减轻或者免除法律责任的辩解。</w:t>
      </w:r>
    </w:p>
    <w:p>
      <w:pPr>
        <w:pStyle w:val="28"/>
        <w:rPr>
          <w:rFonts w:ascii="宋体" w:hAnsi="宋体" w:cs="宋体"/>
          <w:b/>
          <w:bCs/>
          <w:color w:val="auto"/>
          <w:sz w:val="24"/>
          <w:szCs w:val="24"/>
          <w:highlight w:val="none"/>
        </w:rPr>
      </w:pPr>
    </w:p>
    <w:p>
      <w:pPr>
        <w:pStyle w:val="28"/>
        <w:rPr>
          <w:rFonts w:ascii="宋体" w:hAnsi="宋体" w:cs="宋体"/>
          <w:b/>
          <w:bCs/>
          <w:color w:val="auto"/>
          <w:sz w:val="24"/>
          <w:szCs w:val="24"/>
          <w:highlight w:val="none"/>
        </w:rPr>
      </w:pPr>
    </w:p>
    <w:p>
      <w:pPr>
        <w:spacing w:line="360" w:lineRule="auto"/>
        <w:ind w:left="4335" w:hanging="24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供应商名称（盖公章）：</w:t>
      </w:r>
    </w:p>
    <w:p>
      <w:pPr>
        <w:spacing w:line="520" w:lineRule="exact"/>
        <w:ind w:firstLine="6360"/>
        <w:jc w:val="left"/>
        <w:rPr>
          <w:rFonts w:ascii="宋体" w:hAnsi="宋体" w:eastAsia="宋体" w:cs="宋体"/>
          <w:b/>
          <w:color w:val="auto"/>
          <w:sz w:val="28"/>
          <w:szCs w:val="28"/>
          <w:highlight w:val="none"/>
        </w:rPr>
      </w:pPr>
      <w:r>
        <w:rPr>
          <w:rFonts w:hint="eastAsia" w:ascii="宋体" w:hAnsi="宋体" w:eastAsia="宋体" w:cs="宋体"/>
          <w:color w:val="auto"/>
          <w:sz w:val="24"/>
          <w:szCs w:val="24"/>
          <w:highlight w:val="none"/>
          <w:lang w:val="zh-CN"/>
        </w:rPr>
        <w:t xml:space="preserve">日期：  年  月   日        </w:t>
      </w:r>
      <w:r>
        <w:rPr>
          <w:rFonts w:hint="eastAsia" w:ascii="宋体" w:hAnsi="宋体" w:eastAsia="宋体" w:cs="宋体"/>
          <w:b/>
          <w:bCs/>
          <w:color w:val="auto"/>
          <w:sz w:val="32"/>
          <w:szCs w:val="32"/>
          <w:highlight w:val="none"/>
        </w:rPr>
        <w:br w:type="page" w:clear="all"/>
      </w:r>
      <w:r>
        <w:rPr>
          <w:rFonts w:hint="eastAsia" w:ascii="宋体" w:hAnsi="宋体" w:eastAsia="宋体" w:cs="宋体"/>
          <w:b/>
          <w:color w:val="auto"/>
          <w:sz w:val="28"/>
          <w:szCs w:val="28"/>
          <w:highlight w:val="none"/>
        </w:rPr>
        <w:t>4.法定代表人身份证明的格式：</w:t>
      </w:r>
    </w:p>
    <w:p>
      <w:pPr>
        <w:pStyle w:val="28"/>
        <w:rPr>
          <w:rFonts w:ascii="宋体" w:hAnsi="宋体" w:cs="宋体"/>
          <w:color w:val="auto"/>
          <w:highlight w:val="none"/>
        </w:rPr>
      </w:pPr>
    </w:p>
    <w:p>
      <w:pPr>
        <w:spacing w:line="52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t>法定代表人身份证明</w:t>
      </w:r>
    </w:p>
    <w:p>
      <w:pPr>
        <w:spacing w:line="360" w:lineRule="auto"/>
        <w:ind w:left="540"/>
        <w:contextualSpacing/>
        <w:rPr>
          <w:rFonts w:ascii="宋体" w:hAnsi="宋体" w:eastAsia="宋体" w:cs="宋体"/>
          <w:color w:val="auto"/>
          <w:sz w:val="32"/>
          <w:szCs w:val="32"/>
          <w:highlight w:val="none"/>
        </w:rPr>
      </w:pPr>
    </w:p>
    <w:p>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xml:space="preserve">                                                        </w:t>
      </w:r>
    </w:p>
    <w:p>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     别：</w:t>
      </w:r>
      <w:r>
        <w:rPr>
          <w:rFonts w:hint="eastAsia" w:ascii="宋体" w:hAnsi="宋体" w:eastAsia="宋体" w:cs="宋体"/>
          <w:color w:val="auto"/>
          <w:sz w:val="24"/>
          <w:szCs w:val="24"/>
          <w:highlight w:val="none"/>
          <w:u w:val="single"/>
        </w:rPr>
        <w:t xml:space="preserve">                </w:t>
      </w:r>
    </w:p>
    <w:p>
      <w:pPr>
        <w:spacing w:line="360" w:lineRule="auto"/>
        <w:ind w:left="540"/>
        <w:contextualSpacing/>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年    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xml:space="preserve">                </w:t>
      </w:r>
    </w:p>
    <w:p>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pPr>
        <w:spacing w:line="360" w:lineRule="auto"/>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的法定代表人。</w:t>
      </w:r>
    </w:p>
    <w:p>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pPr>
        <w:spacing w:line="360" w:lineRule="auto"/>
        <w:ind w:left="540"/>
        <w:contextualSpacing/>
        <w:rPr>
          <w:rFonts w:ascii="宋体" w:hAnsi="宋体" w:eastAsia="宋体" w:cs="宋体"/>
          <w:color w:val="auto"/>
          <w:sz w:val="24"/>
          <w:szCs w:val="24"/>
          <w:highlight w:val="none"/>
        </w:rPr>
      </w:pPr>
    </w:p>
    <w:p>
      <w:pPr>
        <w:spacing w:line="360" w:lineRule="auto"/>
        <w:ind w:left="540"/>
        <w:contextualSpacing/>
        <w:rPr>
          <w:rFonts w:ascii="宋体" w:hAnsi="宋体" w:eastAsia="宋体" w:cs="宋体"/>
          <w:color w:val="auto"/>
          <w:sz w:val="24"/>
          <w:szCs w:val="24"/>
          <w:highlight w:val="none"/>
        </w:rPr>
      </w:pPr>
    </w:p>
    <w:p>
      <w:pPr>
        <w:spacing w:line="360" w:lineRule="auto"/>
        <w:ind w:left="540"/>
        <w:contextualSpacing/>
        <w:rPr>
          <w:rFonts w:ascii="宋体" w:hAnsi="宋体" w:eastAsia="宋体" w:cs="宋体"/>
          <w:color w:val="auto"/>
          <w:sz w:val="24"/>
          <w:szCs w:val="24"/>
          <w:highlight w:val="none"/>
        </w:rPr>
      </w:pPr>
    </w:p>
    <w:p>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附件：法定代表人有效身份证正反面复印件</w:t>
      </w:r>
    </w:p>
    <w:p>
      <w:pPr>
        <w:spacing w:line="360" w:lineRule="auto"/>
        <w:ind w:left="540"/>
        <w:contextualSpacing/>
        <w:rPr>
          <w:rFonts w:ascii="宋体" w:hAnsi="宋体" w:eastAsia="宋体" w:cs="宋体"/>
          <w:color w:val="auto"/>
          <w:sz w:val="24"/>
          <w:szCs w:val="24"/>
          <w:highlight w:val="none"/>
        </w:rPr>
      </w:pPr>
    </w:p>
    <w:p>
      <w:pPr>
        <w:spacing w:line="360" w:lineRule="auto"/>
        <w:ind w:left="4335" w:hanging="24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供应商名称（盖公章）：</w:t>
      </w:r>
    </w:p>
    <w:p>
      <w:pPr>
        <w:spacing w:line="360" w:lineRule="auto"/>
        <w:contextualSpacing/>
        <w:jc w:val="center"/>
        <w:rPr>
          <w:rFonts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 xml:space="preserve">                                                   日期：  年  月   日</w:t>
      </w:r>
    </w:p>
    <w:p>
      <w:pPr>
        <w:spacing w:line="360" w:lineRule="auto"/>
        <w:contextualSpacing/>
        <w:jc w:val="left"/>
        <w:rPr>
          <w:rFonts w:ascii="宋体" w:hAnsi="宋体" w:eastAsia="宋体" w:cs="宋体"/>
          <w:color w:val="auto"/>
          <w:sz w:val="24"/>
          <w:szCs w:val="24"/>
          <w:highlight w:val="none"/>
        </w:rPr>
      </w:pPr>
    </w:p>
    <w:p>
      <w:pPr>
        <w:spacing w:line="360" w:lineRule="auto"/>
        <w:contextualSpacing/>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注：1.自然人竞标的无需提供，联合体竞标的只需牵头人出具。</w:t>
      </w:r>
    </w:p>
    <w:p>
      <w:pPr>
        <w:spacing w:line="360" w:lineRule="auto"/>
        <w:ind w:firstLine="480"/>
        <w:contextualSpacing/>
        <w:jc w:val="left"/>
        <w:rPr>
          <w:rFonts w:ascii="宋体" w:hAnsi="宋体" w:eastAsia="宋体" w:cs="宋体"/>
          <w:color w:val="auto"/>
          <w:sz w:val="24"/>
          <w:szCs w:val="24"/>
          <w:highlight w:val="none"/>
        </w:rPr>
        <w:sectPr>
          <w:pgSz w:w="11910" w:h="16840"/>
          <w:pgMar w:top="1340" w:right="1500" w:bottom="280" w:left="1680" w:header="720" w:footer="720" w:gutter="0"/>
          <w:cols w:space="720" w:num="1"/>
        </w:sect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44"/>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pPr>
              <w:spacing w:line="360" w:lineRule="auto"/>
              <w:rPr>
                <w:rFonts w:ascii="宋体" w:hAnsi="宋体" w:eastAsia="宋体" w:cs="宋体"/>
                <w:b/>
                <w:color w:val="auto"/>
                <w:sz w:val="24"/>
                <w:szCs w:val="24"/>
                <w:highlight w:val="none"/>
              </w:rPr>
            </w:pPr>
          </w:p>
          <w:p>
            <w:pPr>
              <w:spacing w:line="360" w:lineRule="auto"/>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法定代表人身份证复印件粘贴处（正、反面）</w:t>
            </w:r>
          </w:p>
        </w:tc>
      </w:tr>
    </w:tbl>
    <w:p>
      <w:pPr>
        <w:spacing w:line="360" w:lineRule="auto"/>
        <w:ind w:firstLine="482"/>
        <w:contextualSpacing/>
        <w:jc w:val="left"/>
        <w:rPr>
          <w:rFonts w:ascii="宋体" w:hAnsi="宋体" w:eastAsia="宋体" w:cs="宋体"/>
          <w:b/>
          <w:color w:val="auto"/>
          <w:sz w:val="32"/>
          <w:szCs w:val="32"/>
          <w:highlight w:val="none"/>
        </w:rPr>
      </w:pPr>
      <w:r>
        <w:rPr>
          <w:rFonts w:hint="eastAsia" w:ascii="宋体" w:hAnsi="宋体" w:eastAsia="宋体" w:cs="宋体"/>
          <w:b/>
          <w:color w:val="auto"/>
          <w:sz w:val="24"/>
          <w:szCs w:val="24"/>
          <w:highlight w:val="none"/>
        </w:rPr>
        <w:t>附件：</w:t>
      </w:r>
    </w:p>
    <w:p>
      <w:pPr>
        <w:spacing w:line="300" w:lineRule="auto"/>
        <w:jc w:val="left"/>
        <w:rPr>
          <w:rFonts w:ascii="宋体" w:hAnsi="宋体" w:eastAsia="宋体" w:cs="宋体"/>
          <w:b/>
          <w:color w:val="auto"/>
          <w:szCs w:val="21"/>
          <w:highlight w:val="none"/>
        </w:rPr>
      </w:pPr>
    </w:p>
    <w:p>
      <w:pPr>
        <w:spacing w:line="360" w:lineRule="auto"/>
        <w:jc w:val="left"/>
        <w:rPr>
          <w:rFonts w:ascii="宋体" w:hAnsi="宋体" w:eastAsia="宋体" w:cs="宋体"/>
          <w:b/>
          <w:color w:val="auto"/>
          <w:sz w:val="28"/>
          <w:szCs w:val="28"/>
          <w:highlight w:val="none"/>
        </w:rPr>
      </w:pPr>
      <w:r>
        <w:rPr>
          <w:rFonts w:hint="eastAsia" w:ascii="宋体" w:hAnsi="宋体" w:eastAsia="宋体" w:cs="宋体"/>
          <w:color w:val="auto"/>
          <w:sz w:val="44"/>
          <w:szCs w:val="44"/>
          <w:highlight w:val="none"/>
        </w:rPr>
        <w:br w:type="page" w:clear="all"/>
      </w:r>
      <w:r>
        <w:rPr>
          <w:rFonts w:hint="eastAsia" w:ascii="宋体" w:hAnsi="宋体" w:eastAsia="宋体" w:cs="宋体"/>
          <w:b/>
          <w:color w:val="auto"/>
          <w:sz w:val="28"/>
          <w:szCs w:val="28"/>
          <w:highlight w:val="none"/>
        </w:rPr>
        <w:t>5.法定代表人授权委托书的格式：</w:t>
      </w:r>
    </w:p>
    <w:p>
      <w:pPr>
        <w:spacing w:line="500" w:lineRule="exact"/>
        <w:jc w:val="center"/>
        <w:rPr>
          <w:rFonts w:ascii="宋体" w:hAnsi="宋体" w:eastAsia="宋体" w:cs="宋体"/>
          <w:color w:val="auto"/>
          <w:sz w:val="44"/>
          <w:szCs w:val="44"/>
          <w:highlight w:val="none"/>
        </w:rPr>
      </w:pPr>
    </w:p>
    <w:p>
      <w:pPr>
        <w:spacing w:line="520" w:lineRule="exac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授权委托书（非联合体竞标格式）</w:t>
      </w:r>
    </w:p>
    <w:p>
      <w:pPr>
        <w:spacing w:line="520" w:lineRule="exac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pPr>
        <w:spacing w:line="520" w:lineRule="exact"/>
        <w:rPr>
          <w:rFonts w:ascii="宋体" w:hAnsi="宋体" w:eastAsia="宋体" w:cs="宋体"/>
          <w:color w:val="auto"/>
          <w:sz w:val="32"/>
          <w:szCs w:val="32"/>
          <w:highlight w:val="none"/>
        </w:rPr>
      </w:pP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bookmarkStart w:id="150" w:name="PO_3000001923_PM031_1"/>
      <w:r>
        <w:rPr>
          <w:rFonts w:hint="eastAsia" w:ascii="宋体" w:hAnsi="宋体" w:eastAsia="宋体" w:cs="宋体"/>
          <w:color w:val="auto"/>
          <w:sz w:val="24"/>
          <w:szCs w:val="24"/>
          <w:highlight w:val="none"/>
          <w:u w:val="single"/>
        </w:rPr>
        <w:t>广西科联招标中心有限公司</w:t>
      </w:r>
      <w:bookmarkEnd w:id="150"/>
      <w:r>
        <w:rPr>
          <w:rFonts w:hint="eastAsia" w:ascii="宋体" w:hAnsi="宋体" w:eastAsia="宋体" w:cs="宋体"/>
          <w:color w:val="auto"/>
          <w:sz w:val="24"/>
          <w:szCs w:val="24"/>
          <w:highlight w:val="none"/>
        </w:rPr>
        <w:t>：</w:t>
      </w:r>
    </w:p>
    <w:p>
      <w:pPr>
        <w:spacing w:line="360" w:lineRule="auto"/>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□法定代表人/□负责人/□自然人本人</w:t>
      </w:r>
      <w:r>
        <w:rPr>
          <w:rFonts w:hint="eastAsia" w:ascii="宋体" w:hAnsi="宋体" w:eastAsia="宋体" w:cs="宋体"/>
          <w:color w:val="auto"/>
          <w:sz w:val="24"/>
          <w:szCs w:val="24"/>
          <w:highlight w:val="none"/>
        </w:rPr>
        <w:t>），现授权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以我方的名义参加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（项目名称）</w:t>
      </w:r>
      <w:r>
        <w:rPr>
          <w:rFonts w:hint="eastAsia" w:ascii="宋体" w:hAnsi="宋体" w:eastAsia="宋体" w:cs="宋体"/>
          <w:color w:val="auto"/>
          <w:sz w:val="24"/>
          <w:szCs w:val="24"/>
          <w:highlight w:val="none"/>
        </w:rPr>
        <w:t>项目的竞标活动，并代表我方全权办理针对上述项目的所有采购程序和环节的具体事务和签署相关文件。</w:t>
      </w: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我方对委托代理人的签字事项负全部责任。</w:t>
      </w:r>
    </w:p>
    <w:p>
      <w:pPr>
        <w:spacing w:line="360" w:lineRule="auto"/>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pPr>
        <w:spacing w:line="360" w:lineRule="auto"/>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委托代理人无转委托权，特此委托。</w:t>
      </w:r>
    </w:p>
    <w:p>
      <w:pPr>
        <w:spacing w:line="360" w:lineRule="auto"/>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附：委托代理人有效身份证正反面复印件</w:t>
      </w:r>
    </w:p>
    <w:p>
      <w:pPr>
        <w:spacing w:line="360" w:lineRule="auto"/>
        <w:rPr>
          <w:rFonts w:ascii="宋体" w:hAnsi="宋体" w:eastAsia="宋体" w:cs="宋体"/>
          <w:color w:val="auto"/>
          <w:sz w:val="24"/>
          <w:szCs w:val="24"/>
          <w:highlight w:val="none"/>
        </w:rPr>
      </w:pP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委托代理人（签字）：                 法定代表人（签字）：                    </w:t>
      </w: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委托代理人身份证号码：                              </w:t>
      </w: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384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供应商名称（盖公章）：</w:t>
      </w:r>
    </w:p>
    <w:p>
      <w:pPr>
        <w:spacing w:line="360" w:lineRule="auto"/>
        <w:contextualSpacing/>
        <w:jc w:val="center"/>
        <w:rPr>
          <w:rFonts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 xml:space="preserve">                                                   日期：  年  月   日</w:t>
      </w:r>
    </w:p>
    <w:p>
      <w:pPr>
        <w:spacing w:line="360" w:lineRule="auto"/>
        <w:rPr>
          <w:rFonts w:ascii="宋体" w:hAnsi="宋体" w:eastAsia="宋体" w:cs="宋体"/>
          <w:color w:val="auto"/>
          <w:sz w:val="24"/>
          <w:szCs w:val="24"/>
          <w:highlight w:val="none"/>
        </w:rPr>
      </w:pP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注：1. 法定代表人和委托代理人必须在授权委托书上签字，</w:t>
      </w:r>
      <w:r>
        <w:rPr>
          <w:rFonts w:hint="eastAsia" w:ascii="宋体" w:hAnsi="宋体" w:eastAsia="宋体" w:cs="宋体"/>
          <w:b/>
          <w:color w:val="auto"/>
          <w:sz w:val="24"/>
          <w:szCs w:val="24"/>
          <w:highlight w:val="none"/>
        </w:rPr>
        <w:t>否则其响应文件作无效响应处理。</w:t>
      </w:r>
    </w:p>
    <w:p>
      <w:pPr>
        <w:spacing w:line="360" w:lineRule="auto"/>
        <w:ind w:firstLine="48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pPr>
        <w:spacing w:line="360" w:lineRule="auto"/>
        <w:ind w:firstLine="48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法人、其他组织竞标时“我方”是指“我单位”，自然人竞标时“我方”是指“本人”。</w:t>
      </w:r>
    </w:p>
    <w:p>
      <w:pPr>
        <w:spacing w:line="500" w:lineRule="exact"/>
        <w:jc w:val="center"/>
        <w:rPr>
          <w:rFonts w:ascii="宋体" w:hAnsi="宋体" w:eastAsia="宋体" w:cs="宋体"/>
          <w:b/>
          <w:bCs/>
          <w:color w:val="auto"/>
          <w:sz w:val="32"/>
          <w:szCs w:val="32"/>
          <w:highlight w:val="none"/>
        </w:rPr>
      </w:pPr>
      <w:r>
        <w:rPr>
          <w:rFonts w:hint="eastAsia" w:ascii="宋体" w:hAnsi="宋体" w:eastAsia="宋体" w:cs="宋体"/>
          <w:color w:val="auto"/>
          <w:szCs w:val="21"/>
          <w:highlight w:val="none"/>
        </w:rPr>
        <w:br w:type="page" w:clear="all"/>
      </w:r>
      <w:r>
        <w:rPr>
          <w:rFonts w:hint="eastAsia" w:ascii="宋体" w:hAnsi="宋体" w:eastAsia="宋体" w:cs="宋体"/>
          <w:b/>
          <w:bCs/>
          <w:color w:val="auto"/>
          <w:sz w:val="32"/>
          <w:szCs w:val="32"/>
          <w:highlight w:val="none"/>
        </w:rPr>
        <w:t>授权委托书（联合体竞标格式）</w:t>
      </w:r>
    </w:p>
    <w:p>
      <w:pPr>
        <w:spacing w:line="500" w:lineRule="exac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pPr>
        <w:spacing w:line="500" w:lineRule="exact"/>
        <w:jc w:val="center"/>
        <w:rPr>
          <w:rFonts w:ascii="宋体" w:hAnsi="宋体" w:eastAsia="宋体" w:cs="宋体"/>
          <w:color w:val="auto"/>
          <w:sz w:val="44"/>
          <w:szCs w:val="44"/>
          <w:highlight w:val="none"/>
        </w:rPr>
      </w:pPr>
    </w:p>
    <w:p>
      <w:pPr>
        <w:spacing w:line="500" w:lineRule="exact"/>
        <w:jc w:val="center"/>
        <w:rPr>
          <w:rFonts w:ascii="宋体" w:hAnsi="宋体" w:eastAsia="宋体" w:cs="宋体"/>
          <w:color w:val="auto"/>
          <w:sz w:val="32"/>
          <w:szCs w:val="32"/>
          <w:highlight w:val="none"/>
        </w:rPr>
      </w:pPr>
    </w:p>
    <w:p>
      <w:pPr>
        <w:spacing w:line="360" w:lineRule="auto"/>
        <w:ind w:firstLine="48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本授权委托书声明：根据</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（牵头人名称）与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（联合体其他成员名称）签订的《联合体竞标协议书》的内容，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（牵头人名称）的法定代表人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rPr>
        <w:t>现授权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rPr>
        <w:t>为联合委托代理人，并代表我方全权办理针对上述项目的所有采购程序和环节的具体事务和签署相关文件。</w:t>
      </w:r>
    </w:p>
    <w:p>
      <w:pPr>
        <w:spacing w:line="360" w:lineRule="auto"/>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我方对委托代理人的签字事项负全部责任。</w:t>
      </w:r>
    </w:p>
    <w:p>
      <w:pPr>
        <w:spacing w:line="360" w:lineRule="auto"/>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pPr>
        <w:spacing w:line="360" w:lineRule="auto"/>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委托代理人无转委托权，特此委托。</w:t>
      </w: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color w:val="auto"/>
          <w:highlight w:val="none"/>
        </w:rPr>
        <w:t>附：委托代理人有效身份证正反面复印件</w:t>
      </w:r>
    </w:p>
    <w:p>
      <w:pPr>
        <w:spacing w:line="360" w:lineRule="auto"/>
        <w:ind w:firstLine="1560"/>
        <w:rPr>
          <w:rFonts w:ascii="宋体" w:hAnsi="宋体" w:eastAsia="宋体" w:cs="宋体"/>
          <w:color w:val="auto"/>
          <w:sz w:val="24"/>
          <w:szCs w:val="24"/>
          <w:highlight w:val="none"/>
        </w:rPr>
      </w:pPr>
    </w:p>
    <w:p>
      <w:pPr>
        <w:spacing w:line="360" w:lineRule="auto"/>
        <w:ind w:firstLine="156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牵头人法定代表人（签字）：</w:t>
      </w:r>
    </w:p>
    <w:p>
      <w:pPr>
        <w:spacing w:line="360" w:lineRule="auto"/>
        <w:ind w:firstLine="30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牵头人名称（盖公章）：</w:t>
      </w:r>
    </w:p>
    <w:p>
      <w:pPr>
        <w:spacing w:line="360" w:lineRule="auto"/>
        <w:ind w:firstLine="384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pPr>
        <w:spacing w:line="360" w:lineRule="auto"/>
        <w:rPr>
          <w:rFonts w:ascii="宋体" w:hAnsi="宋体" w:eastAsia="宋体" w:cs="宋体"/>
          <w:color w:val="auto"/>
          <w:sz w:val="24"/>
          <w:szCs w:val="24"/>
          <w:highlight w:val="none"/>
        </w:rPr>
      </w:pPr>
    </w:p>
    <w:p>
      <w:pPr>
        <w:spacing w:line="360" w:lineRule="auto"/>
        <w:ind w:firstLine="31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委托代理人（签字）：</w:t>
      </w:r>
    </w:p>
    <w:p>
      <w:pPr>
        <w:spacing w:line="360" w:lineRule="auto"/>
        <w:ind w:firstLine="384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pPr>
        <w:spacing w:line="360" w:lineRule="auto"/>
        <w:rPr>
          <w:rFonts w:ascii="宋体" w:hAnsi="宋体" w:eastAsia="宋体" w:cs="宋体"/>
          <w:color w:val="auto"/>
          <w:sz w:val="24"/>
          <w:szCs w:val="24"/>
          <w:highlight w:val="none"/>
        </w:rPr>
      </w:pP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注：1. 法定代表人和委托代理人必须在授权委托书上签字，</w:t>
      </w:r>
      <w:r>
        <w:rPr>
          <w:rFonts w:hint="eastAsia" w:ascii="宋体" w:hAnsi="宋体" w:eastAsia="宋体" w:cs="宋体"/>
          <w:b/>
          <w:color w:val="auto"/>
          <w:sz w:val="24"/>
          <w:szCs w:val="24"/>
          <w:highlight w:val="none"/>
        </w:rPr>
        <w:t>否则其响应文件作无效响应处理。</w:t>
      </w:r>
    </w:p>
    <w:p>
      <w:pPr>
        <w:spacing w:line="360" w:lineRule="auto"/>
        <w:ind w:firstLine="48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2.本授权委托书应由联合体牵头人的法定代表人按上述规定签署。</w:t>
      </w:r>
    </w:p>
    <w:p>
      <w:pPr>
        <w:spacing w:line="360" w:lineRule="auto"/>
        <w:ind w:firstLine="48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4.法人、其他组织竞标时“我方”是指“我单位”，自然人竞标时“我方”是指“本人”。</w:t>
      </w:r>
    </w:p>
    <w:p>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clear="all"/>
      </w:r>
    </w:p>
    <w:p>
      <w:pPr>
        <w:spacing w:line="360" w:lineRule="auto"/>
        <w:rPr>
          <w:rFonts w:ascii="宋体" w:hAnsi="宋体" w:eastAsia="宋体" w:cs="宋体"/>
          <w:b/>
          <w:color w:val="auto"/>
          <w:sz w:val="24"/>
          <w:highlight w:val="none"/>
        </w:rPr>
      </w:pPr>
      <w:r>
        <w:rPr>
          <w:rFonts w:hint="eastAsia" w:ascii="宋体" w:hAnsi="宋体" w:eastAsia="宋体" w:cs="宋体"/>
          <w:b/>
          <w:color w:val="auto"/>
          <w:sz w:val="24"/>
          <w:highlight w:val="none"/>
        </w:rPr>
        <w:t>附件：</w:t>
      </w:r>
    </w:p>
    <w:tbl>
      <w:tblPr>
        <w:tblStyle w:val="44"/>
        <w:tblpPr w:leftFromText="180" w:rightFromText="180" w:vertAnchor="text" w:horzAnchor="margin" w:tblpY="2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cs="宋体"/>
                <w:b/>
                <w:color w:val="auto"/>
                <w:sz w:val="24"/>
                <w:highlight w:val="none"/>
              </w:rPr>
            </w:pPr>
          </w:p>
          <w:p>
            <w:pPr>
              <w:spacing w:line="360" w:lineRule="auto"/>
              <w:rPr>
                <w:rFonts w:ascii="宋体" w:hAnsi="宋体" w:eastAsia="宋体" w:cs="宋体"/>
                <w:b/>
                <w:color w:val="auto"/>
                <w:sz w:val="24"/>
                <w:highlight w:val="none"/>
              </w:rPr>
            </w:pPr>
            <w:r>
              <w:rPr>
                <w:rFonts w:hint="eastAsia" w:ascii="宋体" w:hAnsi="宋体" w:eastAsia="宋体" w:cs="宋体"/>
                <w:b/>
                <w:bCs/>
                <w:color w:val="auto"/>
                <w:sz w:val="24"/>
                <w:szCs w:val="24"/>
                <w:highlight w:val="none"/>
              </w:rPr>
              <w:t>委托代理人有效</w:t>
            </w:r>
            <w:r>
              <w:rPr>
                <w:rFonts w:hint="eastAsia" w:ascii="宋体" w:hAnsi="宋体" w:eastAsia="宋体" w:cs="宋体"/>
                <w:b/>
                <w:color w:val="auto"/>
                <w:sz w:val="24"/>
                <w:highlight w:val="none"/>
              </w:rPr>
              <w:t>身份证复印件粘贴处（正、反面）</w:t>
            </w:r>
          </w:p>
        </w:tc>
      </w:tr>
    </w:tbl>
    <w:p>
      <w:pPr>
        <w:spacing w:line="360" w:lineRule="auto"/>
        <w:ind w:firstLine="420"/>
        <w:jc w:val="left"/>
        <w:rPr>
          <w:rFonts w:ascii="宋体" w:hAnsi="宋体" w:eastAsia="宋体" w:cs="宋体"/>
          <w:color w:val="auto"/>
          <w:szCs w:val="21"/>
          <w:highlight w:val="none"/>
        </w:rPr>
      </w:pPr>
    </w:p>
    <w:p>
      <w:pPr>
        <w:spacing w:line="360" w:lineRule="auto"/>
        <w:rPr>
          <w:rFonts w:ascii="宋体" w:hAnsi="宋体" w:eastAsia="宋体" w:cs="宋体"/>
          <w:b/>
          <w:bCs/>
          <w:color w:val="auto"/>
          <w:sz w:val="32"/>
          <w:szCs w:val="32"/>
          <w:highlight w:val="none"/>
        </w:rPr>
      </w:pPr>
      <w:r>
        <w:rPr>
          <w:rFonts w:hint="eastAsia" w:ascii="宋体" w:hAnsi="宋体" w:eastAsia="宋体" w:cs="宋体"/>
          <w:color w:val="auto"/>
          <w:sz w:val="32"/>
          <w:szCs w:val="32"/>
          <w:highlight w:val="none"/>
        </w:rPr>
        <w:br w:type="page" w:clear="all"/>
      </w:r>
      <w:r>
        <w:rPr>
          <w:rFonts w:hint="eastAsia" w:ascii="宋体" w:hAnsi="宋体" w:eastAsia="宋体" w:cs="宋体"/>
          <w:b/>
          <w:color w:val="auto"/>
          <w:sz w:val="28"/>
          <w:szCs w:val="28"/>
          <w:highlight w:val="none"/>
        </w:rPr>
        <w:t>6.商务条款偏离表的格式：</w:t>
      </w:r>
    </w:p>
    <w:p>
      <w:pPr>
        <w:spacing w:line="50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商务条款偏离表</w:t>
      </w:r>
    </w:p>
    <w:p>
      <w:pPr>
        <w:spacing w:line="360" w:lineRule="auto"/>
        <w:contextualSpacing/>
        <w:rPr>
          <w:rFonts w:ascii="宋体" w:hAnsi="宋体" w:eastAsia="宋体" w:cs="宋体"/>
          <w:color w:val="auto"/>
          <w:sz w:val="24"/>
          <w:highlight w:val="none"/>
        </w:rPr>
      </w:pPr>
    </w:p>
    <w:p>
      <w:pPr>
        <w:spacing w:line="360" w:lineRule="auto"/>
        <w:contextualSpacing/>
        <w:rPr>
          <w:rFonts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pPr>
        <w:spacing w:line="360" w:lineRule="auto"/>
        <w:contextualSpacing/>
        <w:rPr>
          <w:rFonts w:ascii="宋体" w:hAnsi="宋体" w:eastAsia="宋体" w:cs="宋体"/>
          <w:color w:val="auto"/>
          <w:sz w:val="24"/>
          <w:szCs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pPr>
        <w:spacing w:line="360" w:lineRule="auto"/>
        <w:contextualSpacing/>
        <w:rPr>
          <w:rFonts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tbl>
      <w:tblPr>
        <w:tblStyle w:val="44"/>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竞争性谈判文件的商务条款</w:t>
            </w:r>
          </w:p>
        </w:tc>
        <w:tc>
          <w:tcPr>
            <w:tcW w:w="3589"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响应文件响应的商务条款</w:t>
            </w:r>
          </w:p>
        </w:tc>
        <w:tc>
          <w:tcPr>
            <w:tcW w:w="1274"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tcPr>
          <w:p>
            <w:pPr>
              <w:spacing w:line="300" w:lineRule="exact"/>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tcPr>
          <w:p>
            <w:pPr>
              <w:spacing w:line="300" w:lineRule="exact"/>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tcPr>
          <w:p>
            <w:pPr>
              <w:spacing w:line="300" w:lineRule="exact"/>
              <w:rPr>
                <w:rFonts w:ascii="宋体" w:hAnsi="宋体" w:eastAsia="宋体" w:cs="宋体"/>
                <w:color w:val="auto"/>
                <w:szCs w:val="21"/>
                <w:highlight w:val="none"/>
              </w:rPr>
            </w:pPr>
          </w:p>
        </w:tc>
      </w:tr>
    </w:tbl>
    <w:p>
      <w:pPr>
        <w:spacing w:line="400" w:lineRule="exact"/>
        <w:ind w:left="42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注：</w:t>
      </w:r>
    </w:p>
    <w:p>
      <w:pPr>
        <w:spacing w:line="400" w:lineRule="exact"/>
        <w:ind w:left="420"/>
        <w:contextualSpacing/>
        <w:rPr>
          <w:rFonts w:hint="eastAsia" w:ascii="宋体" w:hAnsi="宋体" w:eastAsia="宋体" w:cs="宋体"/>
          <w:color w:val="auto"/>
          <w:highlight w:val="none"/>
        </w:rPr>
      </w:pPr>
      <w:r>
        <w:rPr>
          <w:rFonts w:hint="eastAsia" w:ascii="宋体" w:hAnsi="宋体" w:eastAsia="宋体" w:cs="宋体"/>
          <w:bCs/>
          <w:color w:val="auto"/>
          <w:highlight w:val="none"/>
        </w:rPr>
        <w:t>▲</w:t>
      </w:r>
      <w:r>
        <w:rPr>
          <w:rFonts w:hint="eastAsia" w:ascii="宋体" w:hAnsi="宋体" w:eastAsia="宋体" w:cs="宋体"/>
          <w:color w:val="auto"/>
          <w:szCs w:val="21"/>
          <w:highlight w:val="none"/>
          <w:lang w:val="zh-CN"/>
        </w:rPr>
        <w:t>1.</w:t>
      </w:r>
      <w:r>
        <w:rPr>
          <w:rFonts w:hint="eastAsia" w:ascii="宋体" w:hAnsi="宋体" w:eastAsia="宋体" w:cs="宋体"/>
          <w:color w:val="auto"/>
          <w:highlight w:val="none"/>
        </w:rPr>
        <w:t xml:space="preserve">必须对本项目谈判文件“第二章  </w:t>
      </w:r>
      <w:r>
        <w:rPr>
          <w:rFonts w:hint="eastAsia" w:ascii="宋体" w:hAnsi="宋体" w:eastAsia="宋体" w:cs="宋体"/>
          <w:b/>
          <w:color w:val="auto"/>
          <w:szCs w:val="21"/>
          <w:highlight w:val="none"/>
        </w:rPr>
        <w:t>采购需求</w:t>
      </w:r>
      <w:r>
        <w:rPr>
          <w:rFonts w:hint="eastAsia" w:ascii="宋体" w:hAnsi="宋体" w:eastAsia="宋体" w:cs="宋体"/>
          <w:color w:val="auto"/>
          <w:highlight w:val="none"/>
        </w:rPr>
        <w:t>”中“商务条款”的全部条款，详细填写</w:t>
      </w:r>
    </w:p>
    <w:p>
      <w:pPr>
        <w:spacing w:line="400" w:lineRule="exact"/>
        <w:contextualSpacing/>
        <w:rPr>
          <w:rFonts w:ascii="宋体" w:hAnsi="宋体" w:eastAsia="宋体" w:cs="宋体"/>
          <w:color w:val="auto"/>
          <w:szCs w:val="21"/>
          <w:highlight w:val="none"/>
          <w:lang w:val="zh-CN"/>
        </w:rPr>
      </w:pPr>
      <w:r>
        <w:rPr>
          <w:rFonts w:hint="eastAsia" w:ascii="宋体" w:hAnsi="宋体" w:eastAsia="宋体" w:cs="宋体"/>
          <w:color w:val="auto"/>
          <w:highlight w:val="none"/>
        </w:rPr>
        <w:t>响应的具体内容，</w:t>
      </w:r>
      <w:r>
        <w:rPr>
          <w:rFonts w:hint="eastAsia" w:ascii="宋体" w:hAnsi="宋体" w:eastAsia="宋体" w:cs="宋体"/>
          <w:color w:val="auto"/>
          <w:szCs w:val="21"/>
          <w:highlight w:val="none"/>
          <w:lang w:val="zh-CN"/>
        </w:rPr>
        <w:t>并作出偏离说明</w:t>
      </w:r>
      <w:r>
        <w:rPr>
          <w:rFonts w:hint="eastAsia" w:ascii="宋体" w:hAnsi="宋体" w:eastAsia="宋体" w:cs="宋体"/>
          <w:color w:val="auto"/>
          <w:szCs w:val="21"/>
          <w:highlight w:val="none"/>
        </w:rPr>
        <w:t>。</w:t>
      </w:r>
      <w:r>
        <w:rPr>
          <w:rFonts w:hint="eastAsia" w:ascii="宋体" w:hAnsi="宋体" w:eastAsia="宋体" w:cs="宋体"/>
          <w:color w:val="auto"/>
          <w:highlight w:val="none"/>
        </w:rPr>
        <w:t>“偏离说明”一栏应当选择“正偏离”或“负偏离”或“无偏离”进行填写。</w:t>
      </w:r>
    </w:p>
    <w:p>
      <w:pPr>
        <w:spacing w:line="400" w:lineRule="exact"/>
        <w:ind w:firstLine="420"/>
        <w:rPr>
          <w:rFonts w:ascii="宋体" w:hAnsi="宋体" w:eastAsia="宋体" w:cs="宋体"/>
          <w:color w:val="auto"/>
          <w:sz w:val="24"/>
          <w:szCs w:val="24"/>
          <w:highlight w:val="none"/>
        </w:rPr>
      </w:pPr>
      <w:r>
        <w:rPr>
          <w:rFonts w:hint="eastAsia" w:ascii="宋体" w:hAnsi="宋体" w:eastAsia="宋体" w:cs="宋体"/>
          <w:color w:val="auto"/>
          <w:szCs w:val="21"/>
          <w:highlight w:val="none"/>
        </w:rPr>
        <w:t>2.表格内容均需按要求填写并盖公章，不得留空，</w:t>
      </w:r>
      <w:r>
        <w:rPr>
          <w:rFonts w:hint="eastAsia" w:ascii="宋体" w:hAnsi="宋体" w:eastAsia="宋体" w:cs="宋体"/>
          <w:b/>
          <w:bCs/>
          <w:color w:val="auto"/>
          <w:szCs w:val="21"/>
          <w:highlight w:val="none"/>
        </w:rPr>
        <w:t>否则按响应无效处理</w:t>
      </w:r>
      <w:r>
        <w:rPr>
          <w:rFonts w:hint="eastAsia" w:ascii="宋体" w:hAnsi="宋体" w:eastAsia="宋体" w:cs="宋体"/>
          <w:color w:val="auto"/>
          <w:szCs w:val="21"/>
          <w:highlight w:val="none"/>
        </w:rPr>
        <w:t>。</w:t>
      </w:r>
    </w:p>
    <w:p>
      <w:pPr>
        <w:spacing w:line="400" w:lineRule="exact"/>
        <w:ind w:firstLine="480"/>
        <w:contextualSpacing/>
        <w:rPr>
          <w:rFonts w:ascii="宋体" w:hAnsi="宋体" w:eastAsia="宋体" w:cs="宋体"/>
          <w:color w:val="auto"/>
          <w:sz w:val="24"/>
          <w:szCs w:val="24"/>
          <w:highlight w:val="none"/>
          <w:lang w:val="zh-CN"/>
        </w:rPr>
      </w:pPr>
    </w:p>
    <w:p>
      <w:pPr>
        <w:spacing w:line="400" w:lineRule="exact"/>
        <w:ind w:firstLine="480"/>
        <w:contextualSpacing/>
        <w:rPr>
          <w:rFonts w:ascii="宋体" w:hAnsi="宋体" w:eastAsia="宋体" w:cs="宋体"/>
          <w:color w:val="auto"/>
          <w:sz w:val="24"/>
          <w:szCs w:val="24"/>
          <w:highlight w:val="none"/>
          <w:lang w:val="zh-CN"/>
        </w:rPr>
      </w:pPr>
    </w:p>
    <w:p>
      <w:pPr>
        <w:spacing w:line="360" w:lineRule="auto"/>
        <w:ind w:right="-817"/>
        <w:contextualSpacing/>
        <w:rPr>
          <w:rFonts w:ascii="宋体" w:hAnsi="宋体" w:eastAsia="宋体" w:cs="宋体"/>
          <w:color w:val="auto"/>
          <w:sz w:val="24"/>
          <w:szCs w:val="24"/>
          <w:highlight w:val="none"/>
        </w:rPr>
      </w:pPr>
    </w:p>
    <w:p>
      <w:pPr>
        <w:spacing w:line="360" w:lineRule="auto"/>
        <w:ind w:firstLine="384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供应商名称（盖公章）：</w:t>
      </w:r>
    </w:p>
    <w:p>
      <w:pPr>
        <w:spacing w:line="360" w:lineRule="auto"/>
        <w:contextualSpacing/>
        <w:jc w:val="center"/>
        <w:rPr>
          <w:rFonts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 xml:space="preserve">                                                   日期：  年  月   日</w:t>
      </w:r>
    </w:p>
    <w:p>
      <w:pPr>
        <w:spacing w:line="360" w:lineRule="auto"/>
        <w:ind w:firstLine="602"/>
        <w:rPr>
          <w:rFonts w:ascii="宋体" w:hAnsi="宋体" w:eastAsia="宋体" w:cs="宋体"/>
          <w:b/>
          <w:color w:val="auto"/>
          <w:sz w:val="30"/>
          <w:szCs w:val="30"/>
          <w:highlight w:val="none"/>
        </w:rPr>
      </w:pPr>
    </w:p>
    <w:p>
      <w:pPr>
        <w:spacing w:line="360" w:lineRule="auto"/>
        <w:ind w:firstLine="602"/>
        <w:rPr>
          <w:rFonts w:ascii="宋体" w:hAnsi="宋体" w:eastAsia="宋体" w:cs="宋体"/>
          <w:b/>
          <w:color w:val="auto"/>
          <w:sz w:val="30"/>
          <w:szCs w:val="30"/>
          <w:highlight w:val="none"/>
        </w:rPr>
      </w:pPr>
    </w:p>
    <w:p>
      <w:pPr>
        <w:spacing w:line="360" w:lineRule="auto"/>
        <w:ind w:firstLine="602"/>
        <w:rPr>
          <w:rFonts w:ascii="宋体" w:hAnsi="宋体" w:eastAsia="宋体" w:cs="宋体"/>
          <w:b/>
          <w:color w:val="auto"/>
          <w:sz w:val="30"/>
          <w:szCs w:val="30"/>
          <w:highlight w:val="none"/>
        </w:rPr>
      </w:pPr>
    </w:p>
    <w:p>
      <w:pPr>
        <w:spacing w:line="360" w:lineRule="auto"/>
        <w:ind w:firstLine="602"/>
        <w:rPr>
          <w:rFonts w:ascii="宋体" w:hAnsi="宋体" w:eastAsia="宋体" w:cs="宋体"/>
          <w:b/>
          <w:color w:val="auto"/>
          <w:sz w:val="30"/>
          <w:szCs w:val="30"/>
          <w:highlight w:val="none"/>
        </w:rPr>
      </w:pPr>
    </w:p>
    <w:p>
      <w:pPr>
        <w:spacing w:before="120" w:after="50"/>
        <w:rPr>
          <w:rFonts w:ascii="宋体" w:hAnsi="宋体" w:eastAsia="宋体" w:cs="宋体"/>
          <w:b/>
          <w:color w:val="auto"/>
          <w:sz w:val="24"/>
          <w:szCs w:val="24"/>
          <w:highlight w:val="none"/>
        </w:rPr>
      </w:pPr>
      <w:r>
        <w:rPr>
          <w:rFonts w:hint="eastAsia" w:ascii="宋体" w:hAnsi="宋体" w:eastAsia="宋体" w:cs="宋体"/>
          <w:b/>
          <w:color w:val="auto"/>
          <w:sz w:val="28"/>
          <w:szCs w:val="28"/>
          <w:highlight w:val="none"/>
        </w:rPr>
        <w:t>7.供应商类似的业绩证明文件</w:t>
      </w:r>
      <w:r>
        <w:rPr>
          <w:rFonts w:hint="eastAsia" w:ascii="宋体" w:hAnsi="宋体" w:eastAsia="宋体" w:cs="宋体"/>
          <w:b/>
          <w:bCs/>
          <w:color w:val="auto"/>
          <w:sz w:val="30"/>
          <w:szCs w:val="30"/>
          <w:highlight w:val="none"/>
        </w:rPr>
        <w:t>（如有要求）：</w:t>
      </w:r>
    </w:p>
    <w:p>
      <w:pPr>
        <w:ind w:left="480" w:hanging="480"/>
        <w:contextualSpacing/>
        <w:rPr>
          <w:rFonts w:ascii="宋体" w:hAnsi="宋体" w:eastAsia="宋体" w:cs="宋体"/>
          <w:color w:val="auto"/>
          <w:sz w:val="24"/>
          <w:szCs w:val="24"/>
          <w:highlight w:val="none"/>
        </w:rPr>
      </w:pPr>
    </w:p>
    <w:tbl>
      <w:tblPr>
        <w:tblStyle w:val="44"/>
        <w:tblpPr w:leftFromText="180" w:rightFromText="180" w:vertAnchor="page" w:horzAnchor="margin" w:tblpXSpec="center" w:tblpY="4783"/>
        <w:tblW w:w="950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8"/>
        <w:gridCol w:w="1915"/>
        <w:gridCol w:w="1044"/>
        <w:gridCol w:w="1045"/>
        <w:gridCol w:w="1567"/>
        <w:gridCol w:w="1058"/>
        <w:gridCol w:w="18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58"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p>
        </w:tc>
        <w:tc>
          <w:tcPr>
            <w:tcW w:w="1915"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1044"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w:t>
            </w:r>
          </w:p>
          <w:p>
            <w:pPr>
              <w:spacing w:line="2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金额</w:t>
            </w:r>
          </w:p>
          <w:p>
            <w:pPr>
              <w:spacing w:line="2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（万元）</w:t>
            </w:r>
          </w:p>
        </w:tc>
        <w:tc>
          <w:tcPr>
            <w:tcW w:w="3670"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附件在响应文件中页码</w:t>
            </w:r>
          </w:p>
        </w:tc>
        <w:tc>
          <w:tcPr>
            <w:tcW w:w="1813"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采购人联系人及联系电话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2" w:hRule="atLeast"/>
        </w:trPr>
        <w:tc>
          <w:tcPr>
            <w:tcW w:w="1058"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宋体"/>
                <w:color w:val="auto"/>
                <w:sz w:val="24"/>
                <w:szCs w:val="24"/>
                <w:highlight w:val="none"/>
              </w:rPr>
            </w:pPr>
          </w:p>
        </w:tc>
        <w:tc>
          <w:tcPr>
            <w:tcW w:w="191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宋体"/>
                <w:color w:val="auto"/>
                <w:sz w:val="24"/>
                <w:szCs w:val="24"/>
                <w:highlight w:val="none"/>
              </w:rPr>
            </w:pPr>
          </w:p>
        </w:tc>
        <w:tc>
          <w:tcPr>
            <w:tcW w:w="1044"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w:t>
            </w:r>
          </w:p>
        </w:tc>
        <w:tc>
          <w:tcPr>
            <w:tcW w:w="15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验收报告</w:t>
            </w:r>
          </w:p>
        </w:tc>
        <w:tc>
          <w:tcPr>
            <w:tcW w:w="105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用户</w:t>
            </w:r>
          </w:p>
          <w:p>
            <w:pPr>
              <w:spacing w:line="2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评价</w:t>
            </w:r>
          </w:p>
        </w:tc>
        <w:tc>
          <w:tcPr>
            <w:tcW w:w="181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58" w:type="dxa"/>
            <w:tcBorders>
              <w:top w:val="single" w:color="auto" w:sz="4" w:space="0"/>
              <w:left w:val="single" w:color="auto" w:sz="4" w:space="0"/>
              <w:bottom w:val="single" w:color="auto" w:sz="4" w:space="0"/>
              <w:right w:val="single" w:color="auto" w:sz="4" w:space="0"/>
            </w:tcBorders>
          </w:tcPr>
          <w:p>
            <w:pPr>
              <w:spacing w:line="240" w:lineRule="exact"/>
              <w:jc w:val="left"/>
              <w:rPr>
                <w:rFonts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pPr>
              <w:spacing w:line="240" w:lineRule="exact"/>
              <w:jc w:val="left"/>
              <w:rPr>
                <w:rFonts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pPr>
              <w:spacing w:line="240" w:lineRule="exact"/>
              <w:jc w:val="left"/>
              <w:rPr>
                <w:rFonts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pPr>
              <w:spacing w:line="240" w:lineRule="exact"/>
              <w:jc w:val="left"/>
              <w:rPr>
                <w:rFonts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pPr>
              <w:spacing w:line="240" w:lineRule="exact"/>
              <w:jc w:val="left"/>
              <w:rPr>
                <w:rFonts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pPr>
              <w:spacing w:line="240" w:lineRule="exact"/>
              <w:jc w:val="left"/>
              <w:rPr>
                <w:rFonts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pPr>
              <w:spacing w:line="240" w:lineRule="exact"/>
              <w:jc w:val="left"/>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58"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058"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highlight w:val="none"/>
              </w:rPr>
            </w:pPr>
          </w:p>
        </w:tc>
      </w:tr>
    </w:tbl>
    <w:p>
      <w:pPr>
        <w:ind w:left="480" w:hanging="480"/>
        <w:contextualSpacing/>
        <w:rPr>
          <w:rFonts w:ascii="宋体" w:hAnsi="宋体" w:eastAsia="宋体" w:cs="宋体"/>
          <w:color w:val="auto"/>
          <w:sz w:val="24"/>
          <w:szCs w:val="24"/>
          <w:highlight w:val="none"/>
        </w:rPr>
      </w:pPr>
    </w:p>
    <w:p>
      <w:pPr>
        <w:ind w:left="480" w:hanging="480"/>
        <w:contextualSpacing/>
        <w:rPr>
          <w:rFonts w:ascii="宋体" w:hAnsi="宋体" w:eastAsia="宋体" w:cs="宋体"/>
          <w:color w:val="auto"/>
          <w:sz w:val="24"/>
          <w:szCs w:val="24"/>
          <w:highlight w:val="none"/>
        </w:rPr>
      </w:pPr>
    </w:p>
    <w:p>
      <w:pPr>
        <w:spacing w:line="360" w:lineRule="auto"/>
        <w:ind w:left="-420" w:firstLine="2425"/>
        <w:rPr>
          <w:rFonts w:ascii="宋体" w:hAnsi="宋体" w:eastAsia="宋体" w:cs="宋体"/>
          <w:color w:val="auto"/>
          <w:sz w:val="32"/>
          <w:szCs w:val="32"/>
          <w:highlight w:val="none"/>
        </w:rPr>
      </w:pPr>
      <w:r>
        <w:rPr>
          <w:rFonts w:hint="eastAsia" w:ascii="宋体" w:hAnsi="宋体" w:eastAsia="宋体" w:cs="宋体"/>
          <w:b/>
          <w:bCs/>
          <w:color w:val="auto"/>
          <w:sz w:val="32"/>
          <w:szCs w:val="32"/>
          <w:highlight w:val="none"/>
        </w:rPr>
        <w:t>类似项目的业绩一览表</w:t>
      </w:r>
    </w:p>
    <w:p>
      <w:pPr>
        <w:spacing w:line="360" w:lineRule="auto"/>
        <w:rPr>
          <w:rFonts w:ascii="宋体" w:hAnsi="宋体" w:eastAsia="宋体" w:cs="宋体"/>
          <w:color w:val="auto"/>
          <w:sz w:val="32"/>
          <w:szCs w:val="32"/>
          <w:highlight w:val="none"/>
        </w:rPr>
      </w:pPr>
    </w:p>
    <w:p>
      <w:pPr>
        <w:spacing w:line="360" w:lineRule="auto"/>
        <w:ind w:left="-218" w:firstLine="480"/>
        <w:rPr>
          <w:rFonts w:ascii="宋体" w:hAnsi="宋体" w:eastAsia="宋体" w:cs="宋体"/>
          <w:color w:val="auto"/>
          <w:sz w:val="20"/>
          <w:szCs w:val="21"/>
          <w:highlight w:val="none"/>
          <w:lang w:val="zh-CN"/>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注：在填写时，如本表格不适合供应商的实际情况，可参照本表格式自行制表填写，并附上相关证明材料。 </w:t>
      </w:r>
    </w:p>
    <w:p>
      <w:pPr>
        <w:spacing w:line="360" w:lineRule="auto"/>
        <w:ind w:firstLine="4935"/>
        <w:rPr>
          <w:rFonts w:ascii="宋体" w:hAnsi="宋体" w:eastAsia="宋体" w:cs="宋体"/>
          <w:color w:val="auto"/>
          <w:szCs w:val="21"/>
          <w:highlight w:val="none"/>
        </w:rPr>
      </w:pPr>
    </w:p>
    <w:p>
      <w:pPr>
        <w:spacing w:line="360" w:lineRule="auto"/>
        <w:ind w:left="4410" w:firstLine="5670"/>
        <w:rPr>
          <w:rFonts w:ascii="宋体" w:hAnsi="宋体" w:eastAsia="宋体" w:cs="宋体"/>
          <w:color w:val="auto"/>
          <w:sz w:val="24"/>
          <w:szCs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 w:val="24"/>
          <w:szCs w:val="24"/>
          <w:highlight w:val="none"/>
          <w:lang w:val="zh-CN"/>
        </w:rPr>
        <w:t>供应商名称(盖公章)：</w:t>
      </w:r>
    </w:p>
    <w:p>
      <w:pPr>
        <w:spacing w:line="500" w:lineRule="exact"/>
        <w:jc w:val="center"/>
        <w:rPr>
          <w:rFonts w:ascii="宋体" w:hAnsi="宋体" w:eastAsia="宋体" w:cs="宋体"/>
          <w:color w:val="auto"/>
          <w:sz w:val="32"/>
          <w:szCs w:val="32"/>
          <w:highlight w:val="none"/>
        </w:rPr>
        <w:sectPr>
          <w:pgSz w:w="11910" w:h="16840"/>
          <w:pgMar w:top="1340" w:right="1500" w:bottom="280" w:left="1680" w:header="720" w:footer="720" w:gutter="0"/>
          <w:cols w:space="720" w:num="1"/>
        </w:sectPr>
      </w:pPr>
      <w:r>
        <w:rPr>
          <w:rFonts w:hint="eastAsia" w:ascii="宋体" w:hAnsi="宋体" w:eastAsia="宋体" w:cs="宋体"/>
          <w:color w:val="auto"/>
          <w:sz w:val="24"/>
          <w:szCs w:val="24"/>
          <w:highlight w:val="none"/>
          <w:lang w:val="zh-CN"/>
        </w:rPr>
        <w:t xml:space="preserve">                                                     日期</w:t>
      </w:r>
      <w:r>
        <w:rPr>
          <w:rFonts w:hint="eastAsia" w:ascii="宋体" w:hAnsi="宋体" w:eastAsia="宋体" w:cs="宋体"/>
          <w:color w:val="auto"/>
          <w:sz w:val="24"/>
          <w:szCs w:val="24"/>
          <w:highlight w:val="none"/>
        </w:rPr>
        <w:t xml:space="preserve">：  年  </w:t>
      </w:r>
      <w:r>
        <w:rPr>
          <w:rFonts w:hint="eastAsia" w:ascii="宋体" w:hAnsi="宋体" w:eastAsia="宋体" w:cs="宋体"/>
          <w:color w:val="auto"/>
          <w:sz w:val="24"/>
          <w:szCs w:val="24"/>
          <w:highlight w:val="none"/>
          <w:lang w:val="zh-CN"/>
        </w:rPr>
        <w:t>月</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日</w:t>
      </w:r>
    </w:p>
    <w:p>
      <w:pPr>
        <w:spacing w:line="360" w:lineRule="auto"/>
        <w:jc w:val="left"/>
        <w:rPr>
          <w:rFonts w:ascii="宋体" w:hAnsi="宋体" w:eastAsia="宋体" w:cs="宋体"/>
          <w:b/>
          <w:color w:val="auto"/>
          <w:sz w:val="30"/>
          <w:szCs w:val="30"/>
          <w:highlight w:val="none"/>
        </w:rPr>
      </w:pPr>
      <w:r>
        <w:rPr>
          <w:rFonts w:hint="eastAsia" w:ascii="宋体" w:hAnsi="宋体" w:eastAsia="宋体" w:cs="宋体"/>
          <w:b/>
          <w:color w:val="auto"/>
          <w:sz w:val="30"/>
          <w:szCs w:val="30"/>
          <w:highlight w:val="none"/>
        </w:rPr>
        <w:t>8.技术需求偏离表的格式：</w:t>
      </w:r>
    </w:p>
    <w:p>
      <w:pPr>
        <w:spacing w:line="500" w:lineRule="exact"/>
        <w:jc w:val="center"/>
        <w:rPr>
          <w:rFonts w:ascii="宋体" w:hAnsi="宋体" w:eastAsia="宋体" w:cs="宋体"/>
          <w:color w:val="auto"/>
          <w:sz w:val="32"/>
          <w:szCs w:val="32"/>
          <w:highlight w:val="none"/>
        </w:rPr>
      </w:pPr>
    </w:p>
    <w:p>
      <w:pPr>
        <w:spacing w:line="50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2"/>
          <w:szCs w:val="32"/>
          <w:highlight w:val="none"/>
        </w:rPr>
        <w:t>技术需求偏离表</w:t>
      </w:r>
    </w:p>
    <w:p>
      <w:pPr>
        <w:spacing w:line="500" w:lineRule="exact"/>
        <w:jc w:val="center"/>
        <w:rPr>
          <w:rFonts w:ascii="宋体" w:hAnsi="宋体" w:eastAsia="宋体" w:cs="宋体"/>
          <w:b/>
          <w:color w:val="auto"/>
          <w:sz w:val="32"/>
          <w:szCs w:val="32"/>
          <w:highlight w:val="none"/>
        </w:rPr>
      </w:pPr>
      <w:r>
        <w:rPr>
          <w:rFonts w:hint="eastAsia" w:ascii="宋体" w:hAnsi="宋体" w:eastAsia="宋体" w:cs="宋体"/>
          <w:bCs/>
          <w:color w:val="auto"/>
          <w:szCs w:val="21"/>
          <w:highlight w:val="none"/>
        </w:rPr>
        <w:t>(注：按采购需求具体条款编制)</w:t>
      </w:r>
    </w:p>
    <w:p>
      <w:pPr>
        <w:spacing w:line="360" w:lineRule="auto"/>
        <w:contextualSpacing/>
        <w:jc w:val="left"/>
        <w:rPr>
          <w:rFonts w:ascii="宋体" w:hAnsi="宋体" w:eastAsia="宋体" w:cs="宋体"/>
          <w:color w:val="auto"/>
          <w:sz w:val="24"/>
          <w:szCs w:val="24"/>
          <w:highlight w:val="none"/>
        </w:rPr>
      </w:pPr>
    </w:p>
    <w:p>
      <w:pPr>
        <w:spacing w:line="360" w:lineRule="auto"/>
        <w:ind w:firstLine="240"/>
        <w:contextualSpacing/>
        <w:rPr>
          <w:rFonts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pPr>
        <w:spacing w:line="360" w:lineRule="auto"/>
        <w:ind w:firstLine="240"/>
        <w:contextualSpacing/>
        <w:rPr>
          <w:rFonts w:ascii="宋体" w:hAnsi="宋体" w:eastAsia="宋体" w:cs="宋体"/>
          <w:color w:val="auto"/>
          <w:sz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pPr>
        <w:spacing w:line="360" w:lineRule="auto"/>
        <w:ind w:firstLine="240"/>
        <w:contextualSpacing/>
        <w:rPr>
          <w:rFonts w:ascii="宋体" w:hAnsi="宋体" w:eastAsia="宋体" w:cs="宋体"/>
          <w:color w:val="auto"/>
          <w:sz w:val="24"/>
          <w:szCs w:val="24"/>
          <w:highlight w:val="non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p>
    <w:tbl>
      <w:tblPr>
        <w:tblStyle w:val="44"/>
        <w:tblW w:w="8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12"/>
        <w:gridCol w:w="2288"/>
        <w:gridCol w:w="2786"/>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121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22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竞争性谈判文件采购需求中的技术参数及配置</w:t>
            </w:r>
          </w:p>
        </w:tc>
        <w:tc>
          <w:tcPr>
            <w:tcW w:w="27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响应文件响应的技术参数及配置</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21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21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1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8086"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竞标货物中，属于优先采购节能产品</w:t>
            </w:r>
            <w:r>
              <w:rPr>
                <w:rFonts w:hint="eastAsia" w:ascii="宋体" w:hAnsi="宋体" w:eastAsia="宋体" w:cs="宋体"/>
                <w:color w:val="auto"/>
                <w:highlight w:val="none"/>
              </w:rPr>
              <w:t>为</w:t>
            </w:r>
            <w:r>
              <w:rPr>
                <w:rFonts w:hint="eastAsia" w:ascii="宋体" w:hAnsi="宋体" w:eastAsia="宋体" w:cs="宋体"/>
                <w:color w:val="auto"/>
                <w:szCs w:val="21"/>
                <w:highlight w:val="none"/>
              </w:rPr>
              <w:t>本项目竞争性谈判文件“第二章 采购需求”中</w:t>
            </w:r>
            <w:r>
              <w:rPr>
                <w:rFonts w:hint="eastAsia" w:ascii="宋体" w:hAnsi="宋体" w:eastAsia="宋体" w:cs="宋体"/>
                <w:color w:val="auto"/>
                <w:highlight w:val="none"/>
              </w:rPr>
              <w:t>“</w:t>
            </w:r>
            <w:r>
              <w:rPr>
                <w:rFonts w:hint="eastAsia" w:ascii="宋体" w:hAnsi="宋体" w:eastAsia="宋体" w:cs="宋体"/>
                <w:color w:val="auto"/>
                <w:szCs w:val="21"/>
                <w:highlight w:val="none"/>
              </w:rPr>
              <w:t>需求一览表</w:t>
            </w:r>
            <w:r>
              <w:rPr>
                <w:rFonts w:hint="eastAsia" w:ascii="宋体" w:hAnsi="宋体" w:eastAsia="宋体" w:cs="宋体"/>
                <w:color w:val="auto"/>
                <w:highlight w:val="none"/>
              </w:rPr>
              <w:t>”的第   项产品</w:t>
            </w:r>
            <w:r>
              <w:rPr>
                <w:rFonts w:hint="eastAsia" w:ascii="宋体" w:hAnsi="宋体" w:eastAsia="宋体" w:cs="宋体"/>
                <w:color w:val="auto"/>
                <w:szCs w:val="24"/>
                <w:highlight w:val="none"/>
              </w:rPr>
              <w:t>：</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，合计</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项</w:t>
            </w:r>
            <w:r>
              <w:rPr>
                <w:rFonts w:hint="eastAsia" w:ascii="宋体" w:hAnsi="宋体" w:eastAsia="宋体" w:cs="宋体"/>
                <w:color w:val="auto"/>
                <w:szCs w:val="21"/>
                <w:highlight w:val="none"/>
              </w:rPr>
              <w:t>；属于优先采购环境标志产品为本项目竞争性谈判文件“第二章 采购需求”中</w:t>
            </w:r>
            <w:r>
              <w:rPr>
                <w:rFonts w:hint="eastAsia" w:ascii="宋体" w:hAnsi="宋体" w:eastAsia="宋体" w:cs="宋体"/>
                <w:color w:val="auto"/>
                <w:highlight w:val="none"/>
              </w:rPr>
              <w:t>“</w:t>
            </w:r>
            <w:r>
              <w:rPr>
                <w:rFonts w:hint="eastAsia" w:ascii="宋体" w:hAnsi="宋体" w:eastAsia="宋体" w:cs="宋体"/>
                <w:color w:val="auto"/>
                <w:szCs w:val="21"/>
                <w:highlight w:val="none"/>
              </w:rPr>
              <w:t>需求一览表</w:t>
            </w:r>
            <w:r>
              <w:rPr>
                <w:rFonts w:hint="eastAsia" w:ascii="宋体" w:hAnsi="宋体" w:eastAsia="宋体" w:cs="宋体"/>
                <w:color w:val="auto"/>
                <w:highlight w:val="none"/>
              </w:rPr>
              <w:t>”的第   项产品</w:t>
            </w:r>
            <w:r>
              <w:rPr>
                <w:rFonts w:hint="eastAsia" w:ascii="宋体" w:hAnsi="宋体" w:eastAsia="宋体" w:cs="宋体"/>
                <w:color w:val="auto"/>
                <w:szCs w:val="24"/>
                <w:highlight w:val="none"/>
              </w:rPr>
              <w:t>：</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，合计</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项</w:t>
            </w:r>
            <w:r>
              <w:rPr>
                <w:rFonts w:hint="eastAsia" w:ascii="宋体" w:hAnsi="宋体" w:eastAsia="宋体" w:cs="宋体"/>
                <w:color w:val="auto"/>
                <w:szCs w:val="21"/>
                <w:highlight w:val="none"/>
              </w:rPr>
              <w:t>。</w:t>
            </w:r>
            <w:r>
              <w:rPr>
                <w:rFonts w:hint="eastAsia" w:ascii="宋体" w:hAnsi="宋体" w:eastAsia="宋体" w:cs="宋体"/>
                <w:color w:val="auto"/>
                <w:highlight w:val="none"/>
              </w:rPr>
              <w:t xml:space="preserve"> </w:t>
            </w:r>
            <w:r>
              <w:rPr>
                <w:rFonts w:hint="eastAsia" w:ascii="宋体" w:hAnsi="宋体" w:eastAsia="宋体" w:cs="宋体"/>
                <w:b/>
                <w:bCs/>
                <w:color w:val="auto"/>
                <w:szCs w:val="21"/>
                <w:highlight w:val="none"/>
              </w:rPr>
              <w:t>（注：如有，请逐项列出，如无填写“无”或者留空。）</w:t>
            </w:r>
          </w:p>
        </w:tc>
      </w:tr>
    </w:tbl>
    <w:p>
      <w:pPr>
        <w:spacing w:line="360" w:lineRule="auto"/>
        <w:contextualSpacing/>
        <w:rPr>
          <w:rFonts w:ascii="宋体" w:hAnsi="宋体" w:eastAsia="宋体" w:cs="宋体"/>
          <w:color w:val="auto"/>
          <w:szCs w:val="21"/>
          <w:highlight w:val="none"/>
          <w:lang w:val="zh-CN"/>
        </w:rPr>
      </w:pPr>
    </w:p>
    <w:p>
      <w:pPr>
        <w:spacing w:line="360" w:lineRule="auto"/>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注：</w:t>
      </w:r>
    </w:p>
    <w:p>
      <w:pPr>
        <w:spacing w:line="360" w:lineRule="auto"/>
        <w:ind w:firstLine="420"/>
        <w:rPr>
          <w:rFonts w:ascii="宋体" w:hAnsi="宋体" w:eastAsia="宋体" w:cs="宋体"/>
          <w:color w:val="auto"/>
          <w:szCs w:val="21"/>
          <w:highlight w:val="none"/>
          <w:lang w:val="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1.</w:t>
      </w:r>
      <w:r>
        <w:rPr>
          <w:rFonts w:hint="eastAsia" w:ascii="宋体" w:hAnsi="宋体" w:eastAsia="宋体" w:cs="宋体"/>
          <w:color w:val="auto"/>
          <w:szCs w:val="21"/>
          <w:highlight w:val="none"/>
        </w:rPr>
        <w:t>必须对本项目谈判文件“第二章  采购需求”中“技术参数及配置”的</w:t>
      </w:r>
      <w:r>
        <w:rPr>
          <w:rFonts w:hint="eastAsia" w:ascii="宋体" w:hAnsi="宋体" w:eastAsia="宋体" w:cs="宋体"/>
          <w:color w:val="auto"/>
          <w:highlight w:val="none"/>
        </w:rPr>
        <w:t>全部</w:t>
      </w:r>
      <w:r>
        <w:rPr>
          <w:rFonts w:hint="eastAsia" w:ascii="宋体" w:hAnsi="宋体" w:eastAsia="宋体" w:cs="宋体"/>
          <w:color w:val="auto"/>
          <w:szCs w:val="21"/>
          <w:highlight w:val="none"/>
        </w:rPr>
        <w:t>条款，详细填写响应的具体内容，</w:t>
      </w:r>
      <w:r>
        <w:rPr>
          <w:rFonts w:hint="eastAsia" w:ascii="宋体" w:hAnsi="宋体" w:eastAsia="宋体" w:cs="宋体"/>
          <w:color w:val="auto"/>
          <w:szCs w:val="21"/>
          <w:highlight w:val="none"/>
          <w:lang w:val="zh-CN"/>
        </w:rPr>
        <w:t>并作出偏离说明</w:t>
      </w:r>
      <w:r>
        <w:rPr>
          <w:rFonts w:hint="eastAsia" w:ascii="宋体" w:hAnsi="宋体" w:eastAsia="宋体" w:cs="宋体"/>
          <w:color w:val="auto"/>
          <w:szCs w:val="21"/>
          <w:highlight w:val="none"/>
        </w:rPr>
        <w:t>。“偏离说明”一栏应当选择“正偏离”或“负偏离”或“无偏离”进行填写。</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2.表格内容均需按要求填写并盖公章，不得留空，</w:t>
      </w:r>
      <w:r>
        <w:rPr>
          <w:rFonts w:hint="eastAsia" w:ascii="宋体" w:hAnsi="宋体" w:eastAsia="宋体" w:cs="宋体"/>
          <w:b/>
          <w:bCs/>
          <w:color w:val="auto"/>
          <w:szCs w:val="21"/>
          <w:highlight w:val="none"/>
        </w:rPr>
        <w:t>否则按响应无效处理。</w:t>
      </w:r>
    </w:p>
    <w:p>
      <w:pPr>
        <w:spacing w:line="360" w:lineRule="auto"/>
        <w:ind w:left="4335" w:hanging="240"/>
        <w:rPr>
          <w:rFonts w:ascii="宋体" w:hAnsi="宋体" w:eastAsia="宋体" w:cs="宋体"/>
          <w:color w:val="auto"/>
          <w:sz w:val="24"/>
          <w:szCs w:val="24"/>
          <w:highlight w:val="none"/>
        </w:rPr>
      </w:pPr>
    </w:p>
    <w:p>
      <w:pPr>
        <w:spacing w:line="360" w:lineRule="auto"/>
        <w:ind w:left="4335" w:hanging="240"/>
        <w:rPr>
          <w:rFonts w:ascii="宋体" w:hAnsi="宋体" w:eastAsia="宋体" w:cs="宋体"/>
          <w:color w:val="auto"/>
          <w:sz w:val="24"/>
          <w:szCs w:val="24"/>
          <w:highlight w:val="none"/>
        </w:rPr>
      </w:pPr>
    </w:p>
    <w:p>
      <w:pPr>
        <w:spacing w:line="360" w:lineRule="auto"/>
        <w:ind w:left="4335" w:hanging="24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供应商名称（盖公章）：</w:t>
      </w:r>
    </w:p>
    <w:p>
      <w:pPr>
        <w:spacing w:line="360" w:lineRule="auto"/>
        <w:ind w:firstLine="6480"/>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日期：  年  月   日</w:t>
      </w:r>
    </w:p>
    <w:p>
      <w:pPr>
        <w:spacing w:line="500" w:lineRule="exact"/>
        <w:jc w:val="center"/>
        <w:rPr>
          <w:rFonts w:ascii="宋体" w:hAnsi="宋体" w:eastAsia="宋体" w:cs="宋体"/>
          <w:color w:val="auto"/>
          <w:sz w:val="32"/>
          <w:szCs w:val="32"/>
          <w:highlight w:val="none"/>
        </w:rPr>
        <w:sectPr>
          <w:pgSz w:w="11910" w:h="16840"/>
          <w:pgMar w:top="1340" w:right="1500" w:bottom="280" w:left="1680" w:header="720" w:footer="720" w:gutter="0"/>
          <w:cols w:space="720" w:num="1"/>
        </w:sectPr>
      </w:pPr>
    </w:p>
    <w:p>
      <w:pPr>
        <w:spacing w:before="120" w:after="50"/>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9.售后服务方案</w:t>
      </w:r>
    </w:p>
    <w:p>
      <w:pPr>
        <w:spacing w:before="120" w:after="50" w:line="360" w:lineRule="auto"/>
        <w:ind w:left="143" w:firstLine="420"/>
        <w:rPr>
          <w:rFonts w:ascii="宋体" w:hAnsi="宋体" w:eastAsia="宋体" w:cs="宋体"/>
          <w:color w:val="auto"/>
          <w:szCs w:val="24"/>
          <w:highlight w:val="none"/>
        </w:rPr>
      </w:pPr>
      <w:r>
        <w:rPr>
          <w:rFonts w:hint="eastAsia" w:ascii="宋体" w:hAnsi="宋体" w:eastAsia="宋体" w:cs="宋体"/>
          <w:color w:val="auto"/>
          <w:szCs w:val="24"/>
          <w:highlight w:val="none"/>
        </w:rPr>
        <w:t>由供应商按本项目竞争性谈判文件“第二章  采购需求”中商务条款部分的售后服务要求自行编制</w:t>
      </w:r>
    </w:p>
    <w:p>
      <w:pPr>
        <w:spacing w:before="120" w:after="50"/>
        <w:ind w:left="142"/>
        <w:jc w:val="center"/>
        <w:rPr>
          <w:rFonts w:ascii="宋体" w:hAnsi="宋体" w:eastAsia="宋体" w:cs="宋体"/>
          <w:b/>
          <w:color w:val="auto"/>
          <w:sz w:val="32"/>
          <w:szCs w:val="32"/>
          <w:highlight w:val="none"/>
        </w:rPr>
      </w:pPr>
    </w:p>
    <w:p>
      <w:pPr>
        <w:spacing w:line="360" w:lineRule="auto"/>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附表A:售后服务机构情况表</w:t>
      </w:r>
      <w:r>
        <w:rPr>
          <w:rFonts w:hint="eastAsia" w:ascii="宋体" w:hAnsi="宋体" w:eastAsia="宋体" w:cs="宋体"/>
          <w:color w:val="auto"/>
          <w:sz w:val="24"/>
          <w:szCs w:val="24"/>
          <w:highlight w:val="none"/>
        </w:rPr>
        <w:t>（参照此格式自制）</w:t>
      </w:r>
    </w:p>
    <w:tbl>
      <w:tblPr>
        <w:tblStyle w:val="44"/>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278"/>
        <w:gridCol w:w="1523"/>
        <w:gridCol w:w="1246"/>
        <w:gridCol w:w="1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2340" w:type="dxa"/>
            <w:vAlign w:val="center"/>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机构名称</w:t>
            </w:r>
          </w:p>
        </w:tc>
        <w:tc>
          <w:tcPr>
            <w:tcW w:w="1278" w:type="dxa"/>
            <w:vAlign w:val="center"/>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机构性质</w:t>
            </w:r>
          </w:p>
        </w:tc>
        <w:tc>
          <w:tcPr>
            <w:tcW w:w="1523" w:type="dxa"/>
            <w:vAlign w:val="center"/>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注册地址</w:t>
            </w:r>
          </w:p>
        </w:tc>
        <w:tc>
          <w:tcPr>
            <w:tcW w:w="1246" w:type="dxa"/>
            <w:vAlign w:val="center"/>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货物技术人员数量</w:t>
            </w:r>
          </w:p>
        </w:tc>
        <w:tc>
          <w:tcPr>
            <w:tcW w:w="1533" w:type="dxa"/>
            <w:vAlign w:val="center"/>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line="360" w:lineRule="auto"/>
              <w:jc w:val="center"/>
              <w:rPr>
                <w:rFonts w:ascii="宋体" w:hAnsi="宋体" w:eastAsia="宋体" w:cs="宋体"/>
                <w:color w:val="auto"/>
                <w:szCs w:val="21"/>
                <w:highlight w:val="none"/>
              </w:rPr>
            </w:pPr>
          </w:p>
        </w:tc>
        <w:tc>
          <w:tcPr>
            <w:tcW w:w="2340" w:type="dxa"/>
          </w:tcPr>
          <w:p>
            <w:pPr>
              <w:spacing w:line="360" w:lineRule="auto"/>
              <w:jc w:val="center"/>
              <w:rPr>
                <w:rFonts w:ascii="宋体" w:hAnsi="宋体" w:eastAsia="宋体" w:cs="宋体"/>
                <w:color w:val="auto"/>
                <w:szCs w:val="21"/>
                <w:highlight w:val="none"/>
              </w:rPr>
            </w:pPr>
          </w:p>
        </w:tc>
        <w:tc>
          <w:tcPr>
            <w:tcW w:w="1278" w:type="dxa"/>
          </w:tcPr>
          <w:p>
            <w:pPr>
              <w:spacing w:line="360" w:lineRule="auto"/>
              <w:jc w:val="center"/>
              <w:rPr>
                <w:rFonts w:ascii="宋体" w:hAnsi="宋体" w:eastAsia="宋体" w:cs="宋体"/>
                <w:color w:val="auto"/>
                <w:szCs w:val="21"/>
                <w:highlight w:val="none"/>
              </w:rPr>
            </w:pPr>
          </w:p>
        </w:tc>
        <w:tc>
          <w:tcPr>
            <w:tcW w:w="1523" w:type="dxa"/>
          </w:tcPr>
          <w:p>
            <w:pPr>
              <w:spacing w:line="360" w:lineRule="auto"/>
              <w:jc w:val="center"/>
              <w:rPr>
                <w:rFonts w:ascii="宋体" w:hAnsi="宋体" w:eastAsia="宋体" w:cs="宋体"/>
                <w:color w:val="auto"/>
                <w:szCs w:val="21"/>
                <w:highlight w:val="none"/>
              </w:rPr>
            </w:pPr>
          </w:p>
        </w:tc>
        <w:tc>
          <w:tcPr>
            <w:tcW w:w="1246" w:type="dxa"/>
          </w:tcPr>
          <w:p>
            <w:pPr>
              <w:spacing w:line="360" w:lineRule="auto"/>
              <w:jc w:val="center"/>
              <w:rPr>
                <w:rFonts w:ascii="宋体" w:hAnsi="宋体" w:eastAsia="宋体" w:cs="宋体"/>
                <w:color w:val="auto"/>
                <w:szCs w:val="21"/>
                <w:highlight w:val="none"/>
              </w:rPr>
            </w:pPr>
          </w:p>
        </w:tc>
        <w:tc>
          <w:tcPr>
            <w:tcW w:w="1533" w:type="dxa"/>
          </w:tcPr>
          <w:p>
            <w:pPr>
              <w:spacing w:line="360" w:lineRule="auto"/>
              <w:jc w:val="center"/>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line="360" w:lineRule="auto"/>
              <w:jc w:val="center"/>
              <w:rPr>
                <w:rFonts w:ascii="宋体" w:hAnsi="宋体" w:eastAsia="宋体" w:cs="宋体"/>
                <w:color w:val="auto"/>
                <w:szCs w:val="21"/>
                <w:highlight w:val="none"/>
              </w:rPr>
            </w:pPr>
          </w:p>
        </w:tc>
        <w:tc>
          <w:tcPr>
            <w:tcW w:w="2340" w:type="dxa"/>
          </w:tcPr>
          <w:p>
            <w:pPr>
              <w:spacing w:line="360" w:lineRule="auto"/>
              <w:jc w:val="center"/>
              <w:rPr>
                <w:rFonts w:ascii="宋体" w:hAnsi="宋体" w:eastAsia="宋体" w:cs="宋体"/>
                <w:color w:val="auto"/>
                <w:szCs w:val="21"/>
                <w:highlight w:val="none"/>
              </w:rPr>
            </w:pPr>
          </w:p>
        </w:tc>
        <w:tc>
          <w:tcPr>
            <w:tcW w:w="1278" w:type="dxa"/>
          </w:tcPr>
          <w:p>
            <w:pPr>
              <w:spacing w:line="360" w:lineRule="auto"/>
              <w:jc w:val="center"/>
              <w:rPr>
                <w:rFonts w:ascii="宋体" w:hAnsi="宋体" w:eastAsia="宋体" w:cs="宋体"/>
                <w:color w:val="auto"/>
                <w:szCs w:val="21"/>
                <w:highlight w:val="none"/>
              </w:rPr>
            </w:pPr>
          </w:p>
        </w:tc>
        <w:tc>
          <w:tcPr>
            <w:tcW w:w="1523" w:type="dxa"/>
          </w:tcPr>
          <w:p>
            <w:pPr>
              <w:spacing w:line="360" w:lineRule="auto"/>
              <w:jc w:val="center"/>
              <w:rPr>
                <w:rFonts w:ascii="宋体" w:hAnsi="宋体" w:eastAsia="宋体" w:cs="宋体"/>
                <w:color w:val="auto"/>
                <w:szCs w:val="21"/>
                <w:highlight w:val="none"/>
              </w:rPr>
            </w:pPr>
          </w:p>
        </w:tc>
        <w:tc>
          <w:tcPr>
            <w:tcW w:w="1246" w:type="dxa"/>
          </w:tcPr>
          <w:p>
            <w:pPr>
              <w:spacing w:line="360" w:lineRule="auto"/>
              <w:jc w:val="center"/>
              <w:rPr>
                <w:rFonts w:ascii="宋体" w:hAnsi="宋体" w:eastAsia="宋体" w:cs="宋体"/>
                <w:color w:val="auto"/>
                <w:szCs w:val="21"/>
                <w:highlight w:val="none"/>
              </w:rPr>
            </w:pPr>
          </w:p>
        </w:tc>
        <w:tc>
          <w:tcPr>
            <w:tcW w:w="1533" w:type="dxa"/>
          </w:tcPr>
          <w:p>
            <w:pPr>
              <w:spacing w:line="360" w:lineRule="auto"/>
              <w:jc w:val="center"/>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line="360" w:lineRule="auto"/>
              <w:jc w:val="center"/>
              <w:rPr>
                <w:rFonts w:ascii="宋体" w:hAnsi="宋体" w:eastAsia="宋体" w:cs="宋体"/>
                <w:color w:val="auto"/>
                <w:szCs w:val="21"/>
                <w:highlight w:val="none"/>
              </w:rPr>
            </w:pPr>
          </w:p>
        </w:tc>
        <w:tc>
          <w:tcPr>
            <w:tcW w:w="2340" w:type="dxa"/>
          </w:tcPr>
          <w:p>
            <w:pPr>
              <w:spacing w:line="360" w:lineRule="auto"/>
              <w:jc w:val="center"/>
              <w:rPr>
                <w:rFonts w:ascii="宋体" w:hAnsi="宋体" w:eastAsia="宋体" w:cs="宋体"/>
                <w:color w:val="auto"/>
                <w:szCs w:val="21"/>
                <w:highlight w:val="none"/>
              </w:rPr>
            </w:pPr>
          </w:p>
        </w:tc>
        <w:tc>
          <w:tcPr>
            <w:tcW w:w="1278" w:type="dxa"/>
          </w:tcPr>
          <w:p>
            <w:pPr>
              <w:spacing w:line="360" w:lineRule="auto"/>
              <w:jc w:val="center"/>
              <w:rPr>
                <w:rFonts w:ascii="宋体" w:hAnsi="宋体" w:eastAsia="宋体" w:cs="宋体"/>
                <w:color w:val="auto"/>
                <w:szCs w:val="21"/>
                <w:highlight w:val="none"/>
              </w:rPr>
            </w:pPr>
          </w:p>
        </w:tc>
        <w:tc>
          <w:tcPr>
            <w:tcW w:w="1523" w:type="dxa"/>
          </w:tcPr>
          <w:p>
            <w:pPr>
              <w:spacing w:line="360" w:lineRule="auto"/>
              <w:jc w:val="center"/>
              <w:rPr>
                <w:rFonts w:ascii="宋体" w:hAnsi="宋体" w:eastAsia="宋体" w:cs="宋体"/>
                <w:color w:val="auto"/>
                <w:szCs w:val="21"/>
                <w:highlight w:val="none"/>
              </w:rPr>
            </w:pPr>
          </w:p>
        </w:tc>
        <w:tc>
          <w:tcPr>
            <w:tcW w:w="1246" w:type="dxa"/>
          </w:tcPr>
          <w:p>
            <w:pPr>
              <w:spacing w:line="360" w:lineRule="auto"/>
              <w:jc w:val="center"/>
              <w:rPr>
                <w:rFonts w:ascii="宋体" w:hAnsi="宋体" w:eastAsia="宋体" w:cs="宋体"/>
                <w:color w:val="auto"/>
                <w:szCs w:val="21"/>
                <w:highlight w:val="none"/>
              </w:rPr>
            </w:pPr>
          </w:p>
        </w:tc>
        <w:tc>
          <w:tcPr>
            <w:tcW w:w="1533" w:type="dxa"/>
          </w:tcPr>
          <w:p>
            <w:pPr>
              <w:spacing w:line="360" w:lineRule="auto"/>
              <w:jc w:val="center"/>
              <w:rPr>
                <w:rFonts w:ascii="宋体" w:hAnsi="宋体" w:eastAsia="宋体" w:cs="宋体"/>
                <w:color w:val="auto"/>
                <w:szCs w:val="21"/>
                <w:highlight w:val="none"/>
              </w:rPr>
            </w:pPr>
          </w:p>
        </w:tc>
      </w:tr>
    </w:tbl>
    <w:p>
      <w:pPr>
        <w:spacing w:line="360" w:lineRule="auto"/>
        <w:rPr>
          <w:rFonts w:ascii="宋体" w:hAnsi="宋体" w:eastAsia="宋体" w:cs="宋体"/>
          <w:color w:val="auto"/>
          <w:sz w:val="24"/>
          <w:szCs w:val="24"/>
          <w:highlight w:val="none"/>
        </w:rPr>
      </w:pPr>
      <w:r>
        <w:rPr>
          <w:rFonts w:hint="eastAsia" w:ascii="宋体" w:hAnsi="宋体" w:eastAsia="宋体" w:cs="宋体"/>
          <w:bCs/>
          <w:color w:val="auto"/>
          <w:szCs w:val="21"/>
          <w:highlight w:val="none"/>
        </w:rPr>
        <w:t>注：关于项目涉及的所有售后服务机构均在本表注明，包括供应商本单位和符合条件的第三方服务机构。</w:t>
      </w:r>
    </w:p>
    <w:p>
      <w:pPr>
        <w:spacing w:line="360" w:lineRule="auto"/>
        <w:rPr>
          <w:rFonts w:ascii="宋体" w:hAnsi="宋体" w:eastAsia="宋体" w:cs="宋体"/>
          <w:b/>
          <w:color w:val="auto"/>
          <w:sz w:val="24"/>
          <w:szCs w:val="24"/>
          <w:highlight w:val="none"/>
        </w:rPr>
      </w:pPr>
    </w:p>
    <w:p>
      <w:pPr>
        <w:spacing w:line="360" w:lineRule="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附表B：售后服务人员情况表</w:t>
      </w:r>
      <w:r>
        <w:rPr>
          <w:rFonts w:hint="eastAsia" w:ascii="宋体" w:hAnsi="宋体" w:eastAsia="宋体" w:cs="宋体"/>
          <w:color w:val="auto"/>
          <w:sz w:val="24"/>
          <w:szCs w:val="24"/>
          <w:highlight w:val="none"/>
        </w:rPr>
        <w:t>（参照此格式自制）</w:t>
      </w:r>
    </w:p>
    <w:tbl>
      <w:tblPr>
        <w:tblStyle w:val="44"/>
        <w:tblW w:w="4462" w:type="pct"/>
        <w:jc w:val="center"/>
        <w:tblLayout w:type="autofit"/>
        <w:tblCellMar>
          <w:top w:w="0" w:type="dxa"/>
          <w:left w:w="108" w:type="dxa"/>
          <w:bottom w:w="0" w:type="dxa"/>
          <w:right w:w="108" w:type="dxa"/>
        </w:tblCellMar>
      </w:tblPr>
      <w:tblGrid>
        <w:gridCol w:w="614"/>
        <w:gridCol w:w="1128"/>
        <w:gridCol w:w="770"/>
        <w:gridCol w:w="454"/>
        <w:gridCol w:w="877"/>
        <w:gridCol w:w="863"/>
        <w:gridCol w:w="923"/>
        <w:gridCol w:w="1166"/>
        <w:gridCol w:w="851"/>
        <w:gridCol w:w="1148"/>
      </w:tblGrid>
      <w:tr>
        <w:tblPrEx>
          <w:tblCellMar>
            <w:top w:w="0" w:type="dxa"/>
            <w:left w:w="108" w:type="dxa"/>
            <w:bottom w:w="0" w:type="dxa"/>
            <w:right w:w="108" w:type="dxa"/>
          </w:tblCellMar>
        </w:tblPrEx>
        <w:trPr>
          <w:jc w:val="center"/>
        </w:trPr>
        <w:tc>
          <w:tcPr>
            <w:tcW w:w="349" w:type="pct"/>
            <w:tcBorders>
              <w:top w:val="single" w:color="auto" w:sz="6" w:space="0"/>
              <w:left w:val="single" w:color="auto" w:sz="6" w:space="0"/>
              <w:bottom w:val="single" w:color="auto" w:sz="6" w:space="0"/>
              <w:right w:val="single" w:color="auto" w:sz="4"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641" w:type="pct"/>
            <w:tcBorders>
              <w:top w:val="single" w:color="auto" w:sz="6" w:space="0"/>
              <w:left w:val="single" w:color="auto" w:sz="4"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类别</w:t>
            </w:r>
          </w:p>
        </w:tc>
        <w:tc>
          <w:tcPr>
            <w:tcW w:w="437"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258"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498"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490"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学历及专业</w:t>
            </w:r>
          </w:p>
        </w:tc>
        <w:tc>
          <w:tcPr>
            <w:tcW w:w="524"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职称/职业资格证书</w:t>
            </w:r>
          </w:p>
        </w:tc>
        <w:tc>
          <w:tcPr>
            <w:tcW w:w="662"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本项目中的职责</w:t>
            </w:r>
          </w:p>
        </w:tc>
        <w:tc>
          <w:tcPr>
            <w:tcW w:w="483"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响应时间</w:t>
            </w:r>
          </w:p>
        </w:tc>
        <w:tc>
          <w:tcPr>
            <w:tcW w:w="652"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承诺到达现场时间</w:t>
            </w:r>
          </w:p>
        </w:tc>
      </w:tr>
      <w:tr>
        <w:tblPrEx>
          <w:tblCellMar>
            <w:top w:w="0" w:type="dxa"/>
            <w:left w:w="108" w:type="dxa"/>
            <w:bottom w:w="0" w:type="dxa"/>
            <w:right w:w="108" w:type="dxa"/>
          </w:tblCellMar>
        </w:tblPrEx>
        <w:trPr>
          <w:trHeight w:val="607" w:hRule="atLeast"/>
          <w:jc w:val="center"/>
        </w:trPr>
        <w:tc>
          <w:tcPr>
            <w:tcW w:w="349" w:type="pct"/>
            <w:tcBorders>
              <w:top w:val="single" w:color="auto" w:sz="6" w:space="0"/>
              <w:left w:val="single" w:color="auto" w:sz="6" w:space="0"/>
              <w:bottom w:val="single" w:color="auto" w:sz="6" w:space="0"/>
              <w:right w:val="single" w:color="auto" w:sz="4" w:space="0"/>
            </w:tcBorders>
          </w:tcPr>
          <w:p>
            <w:pPr>
              <w:spacing w:line="360" w:lineRule="auto"/>
              <w:jc w:val="center"/>
              <w:rPr>
                <w:rFonts w:ascii="宋体" w:hAnsi="宋体" w:eastAsia="宋体" w:cs="宋体"/>
                <w:color w:val="auto"/>
                <w:szCs w:val="21"/>
                <w:highlight w:val="none"/>
              </w:rPr>
            </w:pPr>
          </w:p>
        </w:tc>
        <w:tc>
          <w:tcPr>
            <w:tcW w:w="641" w:type="pct"/>
            <w:tcBorders>
              <w:top w:val="single" w:color="auto" w:sz="6" w:space="0"/>
              <w:left w:val="single" w:color="auto" w:sz="4" w:space="0"/>
              <w:bottom w:val="single" w:color="auto" w:sz="6" w:space="0"/>
              <w:right w:val="single" w:color="auto" w:sz="6" w:space="0"/>
            </w:tcBorders>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总协调人</w:t>
            </w:r>
          </w:p>
        </w:tc>
        <w:tc>
          <w:tcPr>
            <w:tcW w:w="437"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258"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498"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490"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524"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662"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483"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652"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r>
      <w:tr>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pPr>
              <w:spacing w:line="360" w:lineRule="auto"/>
              <w:jc w:val="center"/>
              <w:rPr>
                <w:rFonts w:ascii="宋体" w:hAnsi="宋体" w:eastAsia="宋体" w:cs="宋体"/>
                <w:color w:val="auto"/>
                <w:szCs w:val="21"/>
                <w:highlight w:val="none"/>
              </w:rPr>
            </w:pPr>
          </w:p>
        </w:tc>
        <w:tc>
          <w:tcPr>
            <w:tcW w:w="641" w:type="pct"/>
            <w:tcBorders>
              <w:top w:val="single" w:color="auto" w:sz="6" w:space="0"/>
              <w:left w:val="single" w:color="auto" w:sz="4" w:space="0"/>
              <w:bottom w:val="single" w:color="auto" w:sz="6" w:space="0"/>
              <w:right w:val="single" w:color="auto" w:sz="6" w:space="0"/>
            </w:tcBorders>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售后人员</w:t>
            </w:r>
          </w:p>
        </w:tc>
        <w:tc>
          <w:tcPr>
            <w:tcW w:w="437"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258"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498"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490"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524"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662"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483"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652"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r>
      <w:tr>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pPr>
              <w:spacing w:line="360" w:lineRule="auto"/>
              <w:jc w:val="center"/>
              <w:rPr>
                <w:rFonts w:ascii="宋体" w:hAnsi="宋体" w:eastAsia="宋体" w:cs="宋体"/>
                <w:color w:val="auto"/>
                <w:szCs w:val="21"/>
                <w:highlight w:val="none"/>
              </w:rPr>
            </w:pPr>
          </w:p>
        </w:tc>
        <w:tc>
          <w:tcPr>
            <w:tcW w:w="641" w:type="pct"/>
            <w:tcBorders>
              <w:top w:val="single" w:color="auto" w:sz="6" w:space="0"/>
              <w:left w:val="single" w:color="auto" w:sz="4" w:space="0"/>
              <w:bottom w:val="single" w:color="auto" w:sz="6" w:space="0"/>
              <w:right w:val="single" w:color="auto" w:sz="6" w:space="0"/>
            </w:tcBorders>
          </w:tcPr>
          <w:p>
            <w:pPr>
              <w:spacing w:line="360" w:lineRule="auto"/>
              <w:jc w:val="center"/>
              <w:rPr>
                <w:rFonts w:ascii="宋体" w:hAnsi="宋体" w:eastAsia="宋体" w:cs="宋体"/>
                <w:color w:val="auto"/>
                <w:szCs w:val="21"/>
                <w:highlight w:val="none"/>
              </w:rPr>
            </w:pPr>
          </w:p>
        </w:tc>
        <w:tc>
          <w:tcPr>
            <w:tcW w:w="437"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258"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498"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490"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524"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662"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483"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652"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r>
      <w:tr>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pPr>
              <w:spacing w:line="360" w:lineRule="auto"/>
              <w:jc w:val="center"/>
              <w:rPr>
                <w:rFonts w:ascii="宋体" w:hAnsi="宋体" w:eastAsia="宋体" w:cs="宋体"/>
                <w:color w:val="auto"/>
                <w:szCs w:val="21"/>
                <w:highlight w:val="none"/>
              </w:rPr>
            </w:pPr>
          </w:p>
        </w:tc>
        <w:tc>
          <w:tcPr>
            <w:tcW w:w="641" w:type="pct"/>
            <w:tcBorders>
              <w:top w:val="single" w:color="auto" w:sz="6" w:space="0"/>
              <w:left w:val="single" w:color="auto" w:sz="4" w:space="0"/>
              <w:bottom w:val="single" w:color="auto" w:sz="6" w:space="0"/>
              <w:right w:val="single" w:color="auto" w:sz="6" w:space="0"/>
            </w:tcBorders>
          </w:tcPr>
          <w:p>
            <w:pPr>
              <w:spacing w:line="360" w:lineRule="auto"/>
              <w:jc w:val="center"/>
              <w:rPr>
                <w:rFonts w:ascii="宋体" w:hAnsi="宋体" w:eastAsia="宋体" w:cs="宋体"/>
                <w:color w:val="auto"/>
                <w:szCs w:val="21"/>
                <w:highlight w:val="none"/>
              </w:rPr>
            </w:pPr>
          </w:p>
        </w:tc>
        <w:tc>
          <w:tcPr>
            <w:tcW w:w="437"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258"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498"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490"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524"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662"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483"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652"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r>
    </w:tbl>
    <w:p>
      <w:pPr>
        <w:spacing w:line="440" w:lineRule="exact"/>
        <w:ind w:firstLine="396"/>
        <w:rPr>
          <w:rFonts w:ascii="宋体" w:hAnsi="宋体" w:eastAsia="宋体" w:cs="宋体"/>
          <w:color w:val="auto"/>
          <w:sz w:val="20"/>
          <w:szCs w:val="21"/>
          <w:highlight w:val="none"/>
          <w:lang w:val="zh-CN"/>
        </w:rPr>
      </w:pPr>
    </w:p>
    <w:p>
      <w:pPr>
        <w:spacing w:line="500" w:lineRule="exact"/>
        <w:rPr>
          <w:rFonts w:ascii="宋体" w:hAnsi="宋体" w:eastAsia="宋体" w:cs="宋体"/>
          <w:color w:val="auto"/>
          <w:sz w:val="32"/>
          <w:szCs w:val="32"/>
          <w:highlight w:val="none"/>
        </w:rPr>
      </w:pPr>
    </w:p>
    <w:p>
      <w:pPr>
        <w:spacing w:line="360" w:lineRule="auto"/>
        <w:ind w:left="4335" w:hanging="24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供应商名称（盖公章）：</w:t>
      </w:r>
    </w:p>
    <w:p>
      <w:pPr>
        <w:spacing w:line="360" w:lineRule="auto"/>
        <w:ind w:firstLine="648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pPr>
        <w:spacing w:line="360" w:lineRule="auto"/>
        <w:rPr>
          <w:rFonts w:ascii="宋体" w:hAnsi="宋体" w:eastAsia="宋体" w:cs="宋体"/>
          <w:b/>
          <w:color w:val="auto"/>
          <w:sz w:val="28"/>
          <w:szCs w:val="28"/>
          <w:highlight w:val="none"/>
        </w:rPr>
      </w:pPr>
    </w:p>
    <w:p>
      <w:pPr>
        <w:spacing w:line="360" w:lineRule="auto"/>
        <w:rPr>
          <w:rFonts w:ascii="宋体" w:hAnsi="宋体" w:eastAsia="宋体" w:cs="宋体"/>
          <w:b/>
          <w:color w:val="auto"/>
          <w:sz w:val="28"/>
          <w:szCs w:val="28"/>
          <w:highlight w:val="none"/>
        </w:rPr>
      </w:pPr>
    </w:p>
    <w:p>
      <w:pPr>
        <w:spacing w:line="360" w:lineRule="auto"/>
        <w:rPr>
          <w:rFonts w:ascii="宋体" w:hAnsi="宋体" w:eastAsia="宋体" w:cs="宋体"/>
          <w:b/>
          <w:color w:val="auto"/>
          <w:sz w:val="28"/>
          <w:szCs w:val="28"/>
          <w:highlight w:val="none"/>
        </w:rPr>
      </w:pPr>
    </w:p>
    <w:p>
      <w:pPr>
        <w:spacing w:line="360" w:lineRule="auto"/>
        <w:rPr>
          <w:rFonts w:ascii="宋体" w:hAnsi="宋体" w:eastAsia="宋体" w:cs="宋体"/>
          <w:b/>
          <w:color w:val="auto"/>
          <w:sz w:val="28"/>
          <w:szCs w:val="28"/>
          <w:highlight w:val="none"/>
        </w:rPr>
      </w:pPr>
    </w:p>
    <w:p>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pPr>
        <w:spacing w:line="360" w:lineRule="auto"/>
        <w:rPr>
          <w:rFonts w:ascii="宋体" w:hAnsi="宋体" w:eastAsia="宋体" w:cs="宋体"/>
          <w:b/>
          <w:i/>
          <w:iCs/>
          <w:color w:val="auto"/>
          <w:sz w:val="28"/>
          <w:szCs w:val="28"/>
          <w:highlight w:val="none"/>
        </w:rPr>
      </w:pPr>
      <w:r>
        <w:rPr>
          <w:rFonts w:hint="eastAsia" w:ascii="宋体" w:hAnsi="宋体" w:eastAsia="宋体" w:cs="宋体"/>
          <w:b/>
          <w:color w:val="auto"/>
          <w:sz w:val="28"/>
          <w:szCs w:val="28"/>
          <w:highlight w:val="none"/>
        </w:rPr>
        <w:t>10.项目实施人员一览表（如有要求）</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（由供应商根据采购需求及采购文件要求编制）</w:t>
      </w:r>
    </w:p>
    <w:p>
      <w:pPr>
        <w:pStyle w:val="28"/>
        <w:rPr>
          <w:rFonts w:ascii="宋体" w:hAnsi="宋体" w:cs="宋体"/>
          <w:color w:val="auto"/>
          <w:highlight w:val="none"/>
        </w:rPr>
      </w:pPr>
    </w:p>
    <w:p>
      <w:pPr>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所竞分标（此处有分标时填写具体分标号，无分标时填写“无”）：</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u w:val="single"/>
        </w:rPr>
        <w:t xml:space="preserve"> </w:t>
      </w:r>
    </w:p>
    <w:p>
      <w:pPr>
        <w:keepNext/>
        <w:spacing w:line="360" w:lineRule="auto"/>
        <w:ind w:firstLine="477"/>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附表A:本项目的项目经理情况表</w:t>
      </w:r>
    </w:p>
    <w:tbl>
      <w:tblPr>
        <w:tblStyle w:val="44"/>
        <w:tblW w:w="8755" w:type="dxa"/>
        <w:tblInd w:w="0" w:type="dxa"/>
        <w:tblLayout w:type="fixed"/>
        <w:tblCellMar>
          <w:top w:w="0" w:type="dxa"/>
          <w:left w:w="108" w:type="dxa"/>
          <w:bottom w:w="0" w:type="dxa"/>
          <w:right w:w="108" w:type="dxa"/>
        </w:tblCellMar>
      </w:tblPr>
      <w:tblGrid>
        <w:gridCol w:w="2224"/>
        <w:gridCol w:w="1124"/>
        <w:gridCol w:w="1260"/>
        <w:gridCol w:w="4147"/>
      </w:tblGrid>
      <w:tr>
        <w:tblPrEx>
          <w:tblCellMar>
            <w:top w:w="0" w:type="dxa"/>
            <w:left w:w="108" w:type="dxa"/>
            <w:bottom w:w="0" w:type="dxa"/>
            <w:right w:w="108" w:type="dxa"/>
          </w:tblCellMar>
        </w:tblPrEx>
        <w:trPr>
          <w:trHeight w:val="604"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124" w:type="dxa"/>
            <w:tcBorders>
              <w:top w:val="single" w:color="auto" w:sz="6" w:space="0"/>
              <w:left w:val="single" w:color="auto" w:sz="6" w:space="0"/>
              <w:bottom w:val="single" w:color="auto" w:sz="6" w:space="0"/>
              <w:right w:val="single" w:color="auto" w:sz="4" w:space="0"/>
            </w:tcBorders>
            <w:shd w:val="clear" w:color="auto" w:fill="B3B3B3"/>
            <w:vAlign w:val="center"/>
          </w:tcPr>
          <w:p>
            <w:pPr>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响应截止时间前三年业绩及承担的主要工作情况，曾担任项目经理的项目应列明细。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pPr>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spacing w:line="360" w:lineRule="auto"/>
              <w:jc w:val="center"/>
              <w:rPr>
                <w:rFonts w:ascii="宋体" w:hAnsi="宋体" w:eastAsia="宋体" w:cs="宋体"/>
                <w:color w:val="auto"/>
                <w:szCs w:val="21"/>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337"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pPr>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职称或职业资格证书</w:t>
            </w:r>
          </w:p>
        </w:tc>
        <w:tc>
          <w:tcPr>
            <w:tcW w:w="1124" w:type="dxa"/>
            <w:tcBorders>
              <w:top w:val="single" w:color="auto" w:sz="6" w:space="0"/>
              <w:left w:val="single" w:color="auto" w:sz="6" w:space="0"/>
              <w:bottom w:val="single" w:color="auto" w:sz="6" w:space="0"/>
              <w:right w:val="single" w:color="auto" w:sz="4" w:space="0"/>
            </w:tcBorders>
            <w:vAlign w:val="center"/>
          </w:tcPr>
          <w:p>
            <w:pPr>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学历</w:t>
            </w:r>
          </w:p>
        </w:tc>
        <w:tc>
          <w:tcPr>
            <w:tcW w:w="1124" w:type="dxa"/>
            <w:tcBorders>
              <w:top w:val="single" w:color="auto" w:sz="6" w:space="0"/>
              <w:left w:val="single" w:color="auto" w:sz="6" w:space="0"/>
              <w:bottom w:val="single" w:color="auto" w:sz="6" w:space="0"/>
              <w:right w:val="single" w:color="auto" w:sz="4" w:space="0"/>
            </w:tcBorders>
            <w:vAlign w:val="center"/>
          </w:tcPr>
          <w:p>
            <w:pPr>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799" w:hRule="atLeast"/>
        </w:trPr>
        <w:tc>
          <w:tcPr>
            <w:tcW w:w="2224" w:type="dxa"/>
            <w:tcBorders>
              <w:top w:val="single" w:color="auto" w:sz="6" w:space="0"/>
              <w:left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专业</w:t>
            </w:r>
          </w:p>
        </w:tc>
        <w:tc>
          <w:tcPr>
            <w:tcW w:w="1124" w:type="dxa"/>
            <w:tcBorders>
              <w:top w:val="single" w:color="auto" w:sz="6" w:space="0"/>
              <w:left w:val="single" w:color="auto" w:sz="6" w:space="0"/>
              <w:right w:val="single" w:color="auto" w:sz="4" w:space="0"/>
            </w:tcBorders>
            <w:vAlign w:val="center"/>
          </w:tcPr>
          <w:p>
            <w:pPr>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356" w:hRule="atLeast"/>
        </w:trPr>
        <w:tc>
          <w:tcPr>
            <w:tcW w:w="222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职称或资格证书编号</w:t>
            </w:r>
          </w:p>
        </w:tc>
        <w:tc>
          <w:tcPr>
            <w:tcW w:w="1124" w:type="dxa"/>
            <w:tcBorders>
              <w:top w:val="single" w:color="auto" w:sz="6" w:space="0"/>
              <w:left w:val="single" w:color="auto" w:sz="6" w:space="0"/>
              <w:bottom w:val="single" w:color="auto" w:sz="6" w:space="0"/>
              <w:right w:val="single" w:color="auto" w:sz="4" w:space="0"/>
            </w:tcBorders>
            <w:vAlign w:val="center"/>
          </w:tcPr>
          <w:p>
            <w:pPr>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177" w:hRule="atLeast"/>
        </w:trPr>
        <w:tc>
          <w:tcPr>
            <w:tcW w:w="222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其他证书情况</w:t>
            </w:r>
          </w:p>
        </w:tc>
        <w:tc>
          <w:tcPr>
            <w:tcW w:w="1124" w:type="dxa"/>
            <w:tcBorders>
              <w:top w:val="single" w:color="auto" w:sz="6" w:space="0"/>
              <w:left w:val="single" w:color="auto" w:sz="6" w:space="0"/>
              <w:bottom w:val="single" w:color="auto" w:sz="6" w:space="0"/>
              <w:right w:val="single" w:color="auto" w:sz="4" w:space="0"/>
            </w:tcBorders>
            <w:vAlign w:val="center"/>
          </w:tcPr>
          <w:p>
            <w:pPr>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169"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联系电话</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pPr>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p>
        </w:tc>
      </w:tr>
    </w:tbl>
    <w:p>
      <w:pPr>
        <w:spacing w:line="360" w:lineRule="auto"/>
        <w:rPr>
          <w:rFonts w:ascii="宋体" w:hAnsi="宋体" w:eastAsia="宋体" w:cs="宋体"/>
          <w:b/>
          <w:color w:val="auto"/>
          <w:sz w:val="24"/>
          <w:szCs w:val="24"/>
          <w:highlight w:val="none"/>
        </w:rPr>
      </w:pPr>
      <w:r>
        <w:rPr>
          <w:rFonts w:hint="eastAsia" w:ascii="宋体" w:hAnsi="宋体" w:eastAsia="宋体" w:cs="宋体"/>
          <w:b/>
          <w:color w:val="auto"/>
          <w:szCs w:val="21"/>
          <w:highlight w:val="none"/>
        </w:rPr>
        <w:t>注：供应商可参照上述的格式自行编制，并注明所在商务技术文件页码。</w:t>
      </w:r>
    </w:p>
    <w:p>
      <w:pPr>
        <w:spacing w:line="360" w:lineRule="auto"/>
        <w:rPr>
          <w:rFonts w:ascii="宋体" w:hAnsi="宋体" w:eastAsia="宋体" w:cs="宋体"/>
          <w:b/>
          <w:color w:val="auto"/>
          <w:sz w:val="24"/>
          <w:szCs w:val="24"/>
          <w:highlight w:val="none"/>
        </w:rPr>
      </w:pPr>
    </w:p>
    <w:p>
      <w:pPr>
        <w:spacing w:line="360" w:lineRule="auto"/>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附表B:本项目的项目小组人员情况表</w:t>
      </w:r>
      <w:r>
        <w:rPr>
          <w:rFonts w:hint="eastAsia" w:ascii="宋体" w:hAnsi="宋体" w:eastAsia="宋体" w:cs="宋体"/>
          <w:color w:val="auto"/>
          <w:sz w:val="24"/>
          <w:szCs w:val="24"/>
          <w:highlight w:val="none"/>
        </w:rPr>
        <w:t>（参照此格式自制）</w:t>
      </w:r>
    </w:p>
    <w:tbl>
      <w:tblPr>
        <w:tblStyle w:val="44"/>
        <w:tblW w:w="9030" w:type="dxa"/>
        <w:tblInd w:w="108" w:type="dxa"/>
        <w:tblLayout w:type="fixed"/>
        <w:tblCellMar>
          <w:top w:w="0" w:type="dxa"/>
          <w:left w:w="108" w:type="dxa"/>
          <w:bottom w:w="0" w:type="dxa"/>
          <w:right w:w="108" w:type="dxa"/>
        </w:tblCellMar>
      </w:tblPr>
      <w:tblGrid>
        <w:gridCol w:w="420"/>
        <w:gridCol w:w="787"/>
        <w:gridCol w:w="412"/>
        <w:gridCol w:w="586"/>
        <w:gridCol w:w="1035"/>
        <w:gridCol w:w="917"/>
        <w:gridCol w:w="1464"/>
        <w:gridCol w:w="1039"/>
        <w:gridCol w:w="900"/>
        <w:gridCol w:w="1470"/>
      </w:tblGrid>
      <w:tr>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学历</w:t>
            </w:r>
          </w:p>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(页码)</w:t>
            </w:r>
          </w:p>
        </w:tc>
        <w:tc>
          <w:tcPr>
            <w:tcW w:w="917"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专业</w:t>
            </w:r>
          </w:p>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(页码)</w:t>
            </w:r>
          </w:p>
        </w:tc>
        <w:tc>
          <w:tcPr>
            <w:tcW w:w="146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职称或职业资格证书</w:t>
            </w:r>
          </w:p>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(页码)</w:t>
            </w:r>
          </w:p>
        </w:tc>
        <w:tc>
          <w:tcPr>
            <w:tcW w:w="103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参与本项目的到位情况</w:t>
            </w:r>
          </w:p>
        </w:tc>
      </w:tr>
      <w:tr>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pPr>
              <w:spacing w:line="360" w:lineRule="auto"/>
              <w:jc w:val="center"/>
              <w:rPr>
                <w:rFonts w:ascii="宋体" w:hAnsi="宋体" w:eastAsia="宋体" w:cs="宋体"/>
                <w:color w:val="auto"/>
                <w:szCs w:val="21"/>
                <w:highlight w:val="none"/>
              </w:rPr>
            </w:pPr>
          </w:p>
        </w:tc>
        <w:tc>
          <w:tcPr>
            <w:tcW w:w="787"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412"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586"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1035"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917"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1464"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1039"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900"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1470"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r>
      <w:tr>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pPr>
              <w:spacing w:line="360" w:lineRule="auto"/>
              <w:jc w:val="center"/>
              <w:rPr>
                <w:rFonts w:ascii="宋体" w:hAnsi="宋体" w:eastAsia="宋体" w:cs="宋体"/>
                <w:color w:val="auto"/>
                <w:szCs w:val="21"/>
                <w:highlight w:val="none"/>
              </w:rPr>
            </w:pPr>
          </w:p>
        </w:tc>
        <w:tc>
          <w:tcPr>
            <w:tcW w:w="787"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412"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586"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1035"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917"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1464"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1039"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900"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c>
          <w:tcPr>
            <w:tcW w:w="1470"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highlight w:val="none"/>
              </w:rPr>
            </w:pPr>
          </w:p>
        </w:tc>
      </w:tr>
    </w:tbl>
    <w:p>
      <w:pPr>
        <w:spacing w:line="360" w:lineRule="auto"/>
        <w:rPr>
          <w:rFonts w:ascii="宋体" w:hAnsi="宋体" w:eastAsia="宋体" w:cs="宋体"/>
          <w:b/>
          <w:bCs/>
          <w:color w:val="auto"/>
          <w:sz w:val="24"/>
          <w:szCs w:val="24"/>
          <w:highlight w:val="none"/>
        </w:rPr>
      </w:pPr>
      <w:r>
        <w:rPr>
          <w:rFonts w:hint="eastAsia" w:ascii="宋体" w:hAnsi="宋体" w:eastAsia="宋体" w:cs="宋体"/>
          <w:b/>
          <w:color w:val="auto"/>
          <w:szCs w:val="21"/>
          <w:highlight w:val="none"/>
        </w:rPr>
        <w:t>注：供应商可参照上述的格式自行编制，并注明所在商务技术文件页码。</w:t>
      </w:r>
    </w:p>
    <w:p>
      <w:pPr>
        <w:spacing w:line="360" w:lineRule="auto"/>
        <w:ind w:firstLine="602"/>
        <w:rPr>
          <w:rFonts w:ascii="宋体" w:hAnsi="宋体" w:eastAsia="宋体" w:cs="宋体"/>
          <w:b/>
          <w:color w:val="auto"/>
          <w:sz w:val="30"/>
          <w:szCs w:val="30"/>
          <w:highlight w:val="none"/>
        </w:rPr>
      </w:pPr>
    </w:p>
    <w:p>
      <w:pPr>
        <w:spacing w:line="360" w:lineRule="auto"/>
        <w:ind w:firstLine="6505"/>
        <w:rPr>
          <w:rFonts w:ascii="宋体" w:hAnsi="宋体" w:eastAsia="宋体" w:cs="宋体"/>
          <w:b/>
          <w:bCs/>
          <w:color w:val="auto"/>
          <w:sz w:val="24"/>
          <w:szCs w:val="24"/>
          <w:highlight w:val="none"/>
        </w:rPr>
      </w:pPr>
    </w:p>
    <w:p>
      <w:pPr>
        <w:spacing w:line="360" w:lineRule="auto"/>
        <w:ind w:left="4335" w:hanging="24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供应商名称（盖公章）：</w:t>
      </w:r>
    </w:p>
    <w:p>
      <w:pPr>
        <w:spacing w:line="360" w:lineRule="auto"/>
        <w:ind w:firstLine="648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pPr>
        <w:spacing w:line="500" w:lineRule="exact"/>
        <w:rPr>
          <w:rFonts w:ascii="宋体" w:hAnsi="宋体" w:eastAsia="宋体" w:cs="宋体"/>
          <w:color w:val="auto"/>
          <w:sz w:val="32"/>
          <w:szCs w:val="32"/>
          <w:highlight w:val="none"/>
        </w:rPr>
      </w:pPr>
    </w:p>
    <w:p>
      <w:pPr>
        <w:rPr>
          <w:rFonts w:ascii="宋体" w:hAnsi="宋体" w:eastAsia="宋体" w:cs="宋体"/>
          <w:b/>
          <w:bCs/>
          <w:color w:val="auto"/>
          <w:sz w:val="32"/>
          <w:szCs w:val="32"/>
          <w:highlight w:val="none"/>
          <w:lang w:val="zh-CN"/>
        </w:rPr>
      </w:pPr>
      <w:bookmarkStart w:id="151" w:name="_Toc13020"/>
      <w:bookmarkStart w:id="152" w:name="_Toc80205941"/>
      <w:bookmarkStart w:id="153" w:name="_Toc17296"/>
      <w:r>
        <w:rPr>
          <w:rFonts w:hint="eastAsia" w:ascii="宋体" w:hAnsi="宋体" w:eastAsia="宋体" w:cs="宋体"/>
          <w:b/>
          <w:bCs/>
          <w:color w:val="auto"/>
          <w:sz w:val="32"/>
          <w:szCs w:val="32"/>
          <w:highlight w:val="none"/>
          <w:lang w:val="zh-CN"/>
        </w:rPr>
        <w:br w:type="page"/>
      </w:r>
    </w:p>
    <w:p>
      <w:pPr>
        <w:keepNext/>
        <w:keepLines/>
        <w:spacing w:before="260" w:after="260" w:line="416" w:lineRule="auto"/>
        <w:jc w:val="center"/>
        <w:outlineLvl w:val="1"/>
        <w:rPr>
          <w:rFonts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第三节 报价文件格式</w:t>
      </w:r>
      <w:bookmarkEnd w:id="151"/>
      <w:bookmarkEnd w:id="152"/>
      <w:bookmarkEnd w:id="153"/>
    </w:p>
    <w:p>
      <w:pPr>
        <w:pStyle w:val="28"/>
        <w:rPr>
          <w:rFonts w:ascii="宋体" w:hAnsi="宋体" w:cs="宋体"/>
          <w:color w:val="auto"/>
          <w:highlight w:val="none"/>
        </w:rPr>
      </w:pPr>
    </w:p>
    <w:p>
      <w:pPr>
        <w:pStyle w:val="28"/>
        <w:rPr>
          <w:rFonts w:ascii="宋体" w:hAnsi="宋体" w:cs="宋体"/>
          <w:color w:val="auto"/>
          <w:highlight w:val="none"/>
        </w:rPr>
      </w:pPr>
      <w:r>
        <w:rPr>
          <w:rFonts w:hint="eastAsia" w:ascii="宋体" w:hAnsi="宋体" w:cs="宋体"/>
          <w:b/>
          <w:bCs/>
          <w:color w:val="auto"/>
          <w:sz w:val="28"/>
          <w:szCs w:val="28"/>
          <w:highlight w:val="none"/>
          <w:lang w:val="en-US"/>
        </w:rPr>
        <w:t>1.</w:t>
      </w:r>
      <w:r>
        <w:rPr>
          <w:rFonts w:hint="eastAsia" w:ascii="宋体" w:hAnsi="宋体" w:cs="宋体"/>
          <w:b/>
          <w:bCs/>
          <w:color w:val="auto"/>
          <w:sz w:val="28"/>
          <w:szCs w:val="28"/>
          <w:highlight w:val="none"/>
        </w:rPr>
        <w:t>报价文件封面的格式</w:t>
      </w:r>
      <w:r>
        <w:rPr>
          <w:rFonts w:hint="eastAsia" w:ascii="宋体" w:hAnsi="宋体" w:cs="宋体"/>
          <w:b/>
          <w:color w:val="auto"/>
          <w:sz w:val="28"/>
          <w:szCs w:val="28"/>
          <w:highlight w:val="none"/>
        </w:rPr>
        <w:t>（参照此格式自拟）</w:t>
      </w:r>
      <w:r>
        <w:rPr>
          <w:rFonts w:hint="eastAsia" w:ascii="宋体" w:hAnsi="宋体" w:cs="宋体"/>
          <w:b/>
          <w:bCs/>
          <w:color w:val="auto"/>
          <w:sz w:val="28"/>
          <w:szCs w:val="28"/>
          <w:highlight w:val="none"/>
        </w:rPr>
        <w:t>：</w:t>
      </w:r>
    </w:p>
    <w:p>
      <w:pPr>
        <w:spacing w:before="165" w:after="50"/>
        <w:jc w:val="right"/>
        <w:rPr>
          <w:rFonts w:ascii="宋体" w:hAnsi="宋体" w:eastAsia="宋体" w:cs="宋体"/>
          <w:bCs/>
          <w:color w:val="auto"/>
          <w:sz w:val="36"/>
          <w:szCs w:val="21"/>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2"/>
          <w:szCs w:val="28"/>
          <w:highlight w:val="none"/>
        </w:rPr>
        <w:t>全流程电子文件</w:t>
      </w:r>
    </w:p>
    <w:p>
      <w:pPr>
        <w:spacing w:before="165" w:after="50"/>
        <w:rPr>
          <w:rFonts w:ascii="宋体" w:hAnsi="宋体" w:eastAsia="宋体" w:cs="宋体"/>
          <w:color w:val="auto"/>
          <w:sz w:val="24"/>
          <w:szCs w:val="20"/>
          <w:highlight w:val="none"/>
        </w:rPr>
      </w:pPr>
    </w:p>
    <w:p>
      <w:pPr>
        <w:spacing w:before="165" w:after="50"/>
        <w:rPr>
          <w:rFonts w:ascii="宋体" w:hAnsi="宋体" w:eastAsia="宋体" w:cs="宋体"/>
          <w:color w:val="auto"/>
          <w:sz w:val="24"/>
          <w:szCs w:val="20"/>
          <w:highlight w:val="none"/>
        </w:rPr>
      </w:pPr>
    </w:p>
    <w:p>
      <w:pPr>
        <w:spacing w:before="165" w:after="50"/>
        <w:rPr>
          <w:rFonts w:ascii="宋体" w:hAnsi="宋体" w:eastAsia="宋体" w:cs="宋体"/>
          <w:color w:val="auto"/>
          <w:sz w:val="24"/>
          <w:szCs w:val="20"/>
          <w:highlight w:val="none"/>
        </w:rPr>
      </w:pPr>
    </w:p>
    <w:p>
      <w:pPr>
        <w:spacing w:before="165" w:after="50"/>
        <w:jc w:val="center"/>
        <w:rPr>
          <w:rFonts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报  价  文  件</w:t>
      </w:r>
    </w:p>
    <w:p>
      <w:pPr>
        <w:spacing w:before="165" w:after="50"/>
        <w:rPr>
          <w:rFonts w:ascii="宋体" w:hAnsi="宋体" w:eastAsia="宋体" w:cs="宋体"/>
          <w:bCs/>
          <w:color w:val="auto"/>
          <w:sz w:val="24"/>
          <w:szCs w:val="20"/>
          <w:highlight w:val="none"/>
        </w:rPr>
      </w:pPr>
    </w:p>
    <w:p>
      <w:pPr>
        <w:spacing w:before="165" w:after="50"/>
        <w:rPr>
          <w:rFonts w:ascii="宋体" w:hAnsi="宋体" w:eastAsia="宋体" w:cs="宋体"/>
          <w:bCs/>
          <w:color w:val="auto"/>
          <w:sz w:val="24"/>
          <w:szCs w:val="20"/>
          <w:highlight w:val="none"/>
        </w:rPr>
      </w:pPr>
    </w:p>
    <w:p>
      <w:pPr>
        <w:spacing w:before="165" w:after="50"/>
        <w:rPr>
          <w:rFonts w:ascii="宋体" w:hAnsi="宋体" w:eastAsia="宋体" w:cs="宋体"/>
          <w:bCs/>
          <w:color w:val="auto"/>
          <w:sz w:val="24"/>
          <w:szCs w:val="20"/>
          <w:highlight w:val="none"/>
        </w:rPr>
      </w:pPr>
    </w:p>
    <w:p>
      <w:pPr>
        <w:spacing w:before="165" w:after="50"/>
        <w:rPr>
          <w:rFonts w:ascii="宋体" w:hAnsi="宋体" w:eastAsia="宋体" w:cs="宋体"/>
          <w:bCs/>
          <w:color w:val="auto"/>
          <w:sz w:val="24"/>
          <w:szCs w:val="20"/>
          <w:highlight w:val="none"/>
        </w:rPr>
      </w:pPr>
    </w:p>
    <w:p>
      <w:pPr>
        <w:spacing w:before="165" w:after="50"/>
        <w:rPr>
          <w:rFonts w:ascii="宋体" w:hAnsi="宋体" w:eastAsia="宋体" w:cs="宋体"/>
          <w:bCs/>
          <w:color w:val="auto"/>
          <w:sz w:val="24"/>
          <w:szCs w:val="20"/>
          <w:highlight w:val="none"/>
        </w:rPr>
      </w:pPr>
    </w:p>
    <w:p>
      <w:pPr>
        <w:spacing w:before="165" w:after="50"/>
        <w:ind w:firstLine="64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pPr>
        <w:spacing w:before="165" w:after="50"/>
        <w:ind w:firstLine="720"/>
        <w:rPr>
          <w:rFonts w:ascii="宋体" w:hAnsi="宋体" w:eastAsia="宋体" w:cs="宋体"/>
          <w:bCs/>
          <w:color w:val="auto"/>
          <w:sz w:val="32"/>
          <w:szCs w:val="32"/>
          <w:highlight w:val="none"/>
        </w:rPr>
      </w:pPr>
    </w:p>
    <w:p>
      <w:pPr>
        <w:spacing w:before="165" w:after="50"/>
        <w:ind w:firstLine="64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pPr>
        <w:spacing w:before="165" w:after="50"/>
        <w:ind w:firstLine="72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pPr>
        <w:spacing w:before="165" w:after="50"/>
        <w:ind w:firstLine="64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pPr>
        <w:spacing w:before="165" w:after="50"/>
        <w:ind w:firstLine="720"/>
        <w:rPr>
          <w:rFonts w:ascii="宋体" w:hAnsi="宋体" w:eastAsia="宋体" w:cs="宋体"/>
          <w:bCs/>
          <w:color w:val="auto"/>
          <w:sz w:val="32"/>
          <w:szCs w:val="32"/>
          <w:highlight w:val="none"/>
        </w:rPr>
      </w:pPr>
    </w:p>
    <w:p>
      <w:pPr>
        <w:spacing w:before="50" w:after="50"/>
        <w:ind w:firstLine="64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pPr>
        <w:spacing w:before="50" w:after="50"/>
        <w:ind w:firstLine="720"/>
        <w:rPr>
          <w:rFonts w:ascii="宋体" w:hAnsi="宋体" w:eastAsia="宋体" w:cs="宋体"/>
          <w:bCs/>
          <w:color w:val="auto"/>
          <w:sz w:val="32"/>
          <w:szCs w:val="32"/>
          <w:highlight w:val="none"/>
        </w:rPr>
      </w:pPr>
    </w:p>
    <w:p>
      <w:pPr>
        <w:spacing w:before="50" w:after="50"/>
        <w:ind w:firstLine="720"/>
        <w:rPr>
          <w:rFonts w:ascii="宋体" w:hAnsi="宋体" w:eastAsia="宋体" w:cs="宋体"/>
          <w:bCs/>
          <w:color w:val="auto"/>
          <w:sz w:val="32"/>
          <w:szCs w:val="32"/>
          <w:highlight w:val="none"/>
        </w:rPr>
      </w:pPr>
    </w:p>
    <w:p>
      <w:pPr>
        <w:spacing w:before="50" w:after="50"/>
        <w:ind w:firstLine="1280"/>
        <w:rPr>
          <w:rFonts w:ascii="宋体" w:hAnsi="宋体" w:eastAsia="宋体" w:cs="宋体"/>
          <w:bCs/>
          <w:color w:val="auto"/>
          <w:sz w:val="32"/>
          <w:szCs w:val="32"/>
          <w:highlight w:val="none"/>
        </w:rPr>
      </w:pPr>
    </w:p>
    <w:p>
      <w:pPr>
        <w:spacing w:before="165" w:after="5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pPr>
        <w:spacing w:before="120" w:after="50" w:line="360" w:lineRule="auto"/>
        <w:jc w:val="left"/>
        <w:rPr>
          <w:rFonts w:ascii="宋体" w:hAnsi="宋体" w:eastAsia="宋体" w:cs="宋体"/>
          <w:color w:val="auto"/>
          <w:sz w:val="28"/>
          <w:szCs w:val="28"/>
          <w:highlight w:val="none"/>
        </w:rPr>
      </w:pPr>
      <w:r>
        <w:rPr>
          <w:rFonts w:hint="eastAsia" w:ascii="宋体" w:hAnsi="宋体" w:eastAsia="宋体" w:cs="宋体"/>
          <w:color w:val="auto"/>
          <w:sz w:val="24"/>
          <w:szCs w:val="24"/>
          <w:highlight w:val="none"/>
        </w:rPr>
        <w:br w:type="page" w:clear="all"/>
      </w:r>
      <w:r>
        <w:rPr>
          <w:rFonts w:hint="eastAsia" w:ascii="宋体" w:hAnsi="宋体" w:eastAsia="宋体" w:cs="宋体"/>
          <w:b/>
          <w:color w:val="auto"/>
          <w:sz w:val="28"/>
          <w:szCs w:val="28"/>
          <w:highlight w:val="none"/>
        </w:rPr>
        <w:t>2.</w:t>
      </w:r>
      <w:r>
        <w:rPr>
          <w:rFonts w:hint="eastAsia" w:ascii="宋体" w:hAnsi="宋体" w:eastAsia="宋体" w:cs="宋体"/>
          <w:b/>
          <w:bCs/>
          <w:color w:val="auto"/>
          <w:sz w:val="28"/>
          <w:szCs w:val="28"/>
          <w:highlight w:val="none"/>
        </w:rPr>
        <w:t>报价文件目录</w:t>
      </w:r>
    </w:p>
    <w:p>
      <w:pPr>
        <w:spacing w:before="50" w:after="120" w:line="360" w:lineRule="auto"/>
        <w:jc w:val="left"/>
        <w:rPr>
          <w:rFonts w:ascii="宋体" w:hAnsi="宋体" w:eastAsia="宋体" w:cs="宋体"/>
          <w:b/>
          <w:color w:val="auto"/>
          <w:sz w:val="28"/>
          <w:szCs w:val="28"/>
          <w:highlight w:val="none"/>
        </w:rPr>
      </w:pPr>
      <w:r>
        <w:rPr>
          <w:rFonts w:hint="eastAsia" w:ascii="宋体" w:hAnsi="宋体" w:eastAsia="宋体" w:cs="宋体"/>
          <w:color w:val="auto"/>
          <w:sz w:val="28"/>
          <w:szCs w:val="28"/>
          <w:highlight w:val="none"/>
        </w:rPr>
        <w:t>根据竞争性谈判文件规定及供应商提供的材料自行编写目录（部分格式后附）。</w:t>
      </w:r>
    </w:p>
    <w:p>
      <w:pPr>
        <w:spacing w:line="360" w:lineRule="auto"/>
        <w:rPr>
          <w:rFonts w:ascii="宋体" w:hAnsi="宋体" w:eastAsia="宋体" w:cs="宋体"/>
          <w:b/>
          <w:bCs/>
          <w:i/>
          <w:iCs/>
          <w:color w:val="auto"/>
          <w:sz w:val="24"/>
          <w:szCs w:val="24"/>
          <w:highlight w:val="none"/>
        </w:rPr>
      </w:pPr>
    </w:p>
    <w:p>
      <w:pPr>
        <w:spacing w:before="165" w:after="50" w:line="360" w:lineRule="auto"/>
        <w:ind w:left="142" w:firstLine="640"/>
        <w:jc w:val="left"/>
        <w:rPr>
          <w:rFonts w:ascii="宋体" w:hAnsi="宋体" w:eastAsia="宋体" w:cs="宋体"/>
          <w:color w:val="auto"/>
          <w:sz w:val="32"/>
          <w:szCs w:val="32"/>
          <w:highlight w:val="none"/>
        </w:rPr>
      </w:pPr>
    </w:p>
    <w:p>
      <w:pPr>
        <w:spacing w:line="500" w:lineRule="exact"/>
        <w:rPr>
          <w:rFonts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lang w:val="zh-CN"/>
        </w:rPr>
        <w:br w:type="page" w:clear="all"/>
      </w:r>
      <w:r>
        <w:rPr>
          <w:rFonts w:hint="eastAsia" w:ascii="宋体" w:hAnsi="宋体" w:eastAsia="宋体" w:cs="宋体"/>
          <w:b/>
          <w:color w:val="auto"/>
          <w:sz w:val="28"/>
          <w:szCs w:val="28"/>
          <w:highlight w:val="none"/>
        </w:rPr>
        <w:t>3.</w:t>
      </w:r>
      <w:r>
        <w:rPr>
          <w:rFonts w:hint="eastAsia" w:ascii="宋体" w:hAnsi="宋体" w:eastAsia="宋体" w:cs="宋体"/>
          <w:b/>
          <w:color w:val="auto"/>
          <w:sz w:val="28"/>
          <w:szCs w:val="28"/>
          <w:highlight w:val="none"/>
          <w:lang w:val="zh-CN"/>
        </w:rPr>
        <w:t>响应函的格式：</w:t>
      </w:r>
    </w:p>
    <w:p>
      <w:pPr>
        <w:spacing w:line="500" w:lineRule="exact"/>
        <w:jc w:val="center"/>
        <w:rPr>
          <w:rFonts w:ascii="宋体" w:hAnsi="宋体" w:eastAsia="宋体" w:cs="宋体"/>
          <w:b/>
          <w:bCs/>
          <w:color w:val="auto"/>
          <w:sz w:val="30"/>
          <w:szCs w:val="30"/>
          <w:highlight w:val="none"/>
          <w:lang w:val="zh-CN"/>
        </w:rPr>
      </w:pPr>
      <w:r>
        <w:rPr>
          <w:rFonts w:hint="eastAsia" w:ascii="宋体" w:hAnsi="宋体" w:eastAsia="宋体" w:cs="宋体"/>
          <w:b/>
          <w:bCs/>
          <w:color w:val="auto"/>
          <w:sz w:val="30"/>
          <w:szCs w:val="30"/>
          <w:highlight w:val="none"/>
          <w:lang w:val="zh-CN"/>
        </w:rPr>
        <w:t>响应函</w:t>
      </w:r>
    </w:p>
    <w:p>
      <w:pPr>
        <w:spacing w:line="360" w:lineRule="auto"/>
        <w:rPr>
          <w:rFonts w:ascii="宋体" w:hAnsi="宋体" w:eastAsia="宋体" w:cs="宋体"/>
          <w:color w:val="auto"/>
          <w:sz w:val="20"/>
          <w:szCs w:val="21"/>
          <w:highlight w:val="none"/>
          <w:lang w:val="zh-CN"/>
        </w:rPr>
      </w:pP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val="zh-CN"/>
        </w:rPr>
        <w:t>致：</w:t>
      </w:r>
      <w:r>
        <w:rPr>
          <w:rFonts w:hint="eastAsia" w:ascii="宋体" w:hAnsi="宋体" w:eastAsia="宋体" w:cs="宋体"/>
          <w:color w:val="auto"/>
          <w:szCs w:val="21"/>
          <w:highlight w:val="none"/>
          <w:u w:val="single"/>
          <w:lang w:val="zh-CN"/>
        </w:rPr>
        <w:t xml:space="preserve"> </w:t>
      </w:r>
      <w:bookmarkStart w:id="154" w:name="PO_3000001871_PM031_6"/>
      <w:r>
        <w:rPr>
          <w:rFonts w:hint="eastAsia" w:ascii="宋体" w:hAnsi="宋体" w:eastAsia="宋体" w:cs="宋体"/>
          <w:color w:val="auto"/>
          <w:szCs w:val="21"/>
          <w:highlight w:val="none"/>
          <w:u w:val="single"/>
        </w:rPr>
        <w:t>广西科联招标中心有限公司</w:t>
      </w:r>
      <w:bookmarkEnd w:id="154"/>
      <w:r>
        <w:rPr>
          <w:rFonts w:hint="eastAsia" w:ascii="宋体" w:hAnsi="宋体" w:eastAsia="宋体" w:cs="宋体"/>
          <w:color w:val="auto"/>
          <w:szCs w:val="21"/>
          <w:highlight w:val="none"/>
          <w:u w:val="single"/>
        </w:rPr>
        <w:t xml:space="preserve">         </w:t>
      </w:r>
    </w:p>
    <w:p>
      <w:pPr>
        <w:spacing w:line="360" w:lineRule="auto"/>
        <w:ind w:firstLine="4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我方已仔细阅读了贵方组织的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项目（项目编号：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val="zh-CN"/>
        </w:rPr>
        <w:t xml:space="preserve">）的竞争性谈判文件的全部内容，现正式提交下述文件参加贵方组织的本次政府采购活动： </w:t>
      </w:r>
    </w:p>
    <w:p>
      <w:pPr>
        <w:spacing w:line="360" w:lineRule="auto"/>
        <w:ind w:firstLine="4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一、首次报价文件电子版（包含按“第三章 供应商须知”提交的全部文件）；</w:t>
      </w:r>
    </w:p>
    <w:p>
      <w:pPr>
        <w:spacing w:line="360" w:lineRule="auto"/>
        <w:ind w:firstLine="4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二、商务技术文件电子版（包含按“第三章 供应商须知”提交的全部文件）；</w:t>
      </w:r>
    </w:p>
    <w:p>
      <w:pPr>
        <w:spacing w:line="360" w:lineRule="auto"/>
        <w:ind w:firstLine="4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三、资格文件电子版（包含按“第三章供应商须知”提交的全部文件）。</w:t>
      </w:r>
    </w:p>
    <w:p>
      <w:pPr>
        <w:spacing w:line="360" w:lineRule="auto"/>
        <w:ind w:firstLine="4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据此函，</w:t>
      </w:r>
      <w:r>
        <w:rPr>
          <w:rFonts w:hint="eastAsia" w:ascii="宋体" w:hAnsi="宋体" w:eastAsia="宋体" w:cs="宋体"/>
          <w:color w:val="auto"/>
          <w:szCs w:val="21"/>
          <w:highlight w:val="none"/>
        </w:rPr>
        <w:t>我方</w:t>
      </w:r>
      <w:r>
        <w:rPr>
          <w:rFonts w:hint="eastAsia" w:ascii="宋体" w:hAnsi="宋体" w:eastAsia="宋体" w:cs="宋体"/>
          <w:color w:val="auto"/>
          <w:szCs w:val="21"/>
          <w:highlight w:val="none"/>
          <w:lang w:val="zh-CN"/>
        </w:rPr>
        <w:t>兹宣布：</w:t>
      </w:r>
    </w:p>
    <w:p>
      <w:pPr>
        <w:spacing w:line="360" w:lineRule="auto"/>
        <w:ind w:firstLine="482"/>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1、我方愿意以</w:t>
      </w:r>
      <w:r>
        <w:rPr>
          <w:rFonts w:hint="eastAsia" w:ascii="宋体" w:hAnsi="宋体" w:eastAsia="宋体" w:cs="宋体"/>
          <w:color w:val="auto"/>
          <w:szCs w:val="21"/>
          <w:highlight w:val="none"/>
        </w:rPr>
        <w:t>竞标总报价</w:t>
      </w:r>
      <w:r>
        <w:rPr>
          <w:rFonts w:hint="eastAsia" w:ascii="宋体" w:hAnsi="宋体" w:eastAsia="宋体" w:cs="宋体"/>
          <w:color w:val="auto"/>
          <w:szCs w:val="21"/>
          <w:highlight w:val="none"/>
          <w:lang w:val="zh-CN"/>
        </w:rPr>
        <w:t>，提供本项目竞争性谈判文件“第二章</w:t>
      </w:r>
      <w:r>
        <w:rPr>
          <w:rFonts w:hint="eastAsia" w:ascii="宋体" w:hAnsi="宋体" w:eastAsia="宋体" w:cs="宋体"/>
          <w:color w:val="auto"/>
          <w:szCs w:val="21"/>
          <w:highlight w:val="none"/>
        </w:rPr>
        <w:t xml:space="preserve">  采购需求</w:t>
      </w:r>
      <w:r>
        <w:rPr>
          <w:rFonts w:hint="eastAsia" w:ascii="宋体" w:hAnsi="宋体" w:eastAsia="宋体" w:cs="宋体"/>
          <w:color w:val="auto"/>
          <w:szCs w:val="21"/>
          <w:highlight w:val="none"/>
          <w:lang w:val="zh-CN"/>
        </w:rPr>
        <w:t>”的“需求一览表”中相应的采购内容</w:t>
      </w:r>
      <w:r>
        <w:rPr>
          <w:rFonts w:hint="eastAsia" w:ascii="宋体" w:hAnsi="宋体" w:eastAsia="宋体" w:cs="宋体"/>
          <w:color w:val="auto"/>
          <w:szCs w:val="21"/>
          <w:highlight w:val="none"/>
        </w:rPr>
        <w:t>，具体详见最后报价表</w:t>
      </w:r>
      <w:r>
        <w:rPr>
          <w:rFonts w:hint="eastAsia" w:ascii="宋体" w:hAnsi="宋体" w:eastAsia="宋体" w:cs="宋体"/>
          <w:color w:val="auto"/>
          <w:szCs w:val="21"/>
          <w:highlight w:val="none"/>
          <w:lang w:val="zh-CN"/>
        </w:rPr>
        <w:t>。</w:t>
      </w:r>
    </w:p>
    <w:p>
      <w:pPr>
        <w:spacing w:line="360" w:lineRule="auto"/>
        <w:ind w:firstLine="482"/>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2、我方同意自本项目竞争性谈判文件采购公告规定的提交响应文件截止时间起遵循本响应函，并承诺在“第三章 供应商须知”规定的</w:t>
      </w:r>
      <w:r>
        <w:rPr>
          <w:rFonts w:hint="eastAsia" w:ascii="宋体" w:hAnsi="宋体" w:eastAsia="宋体" w:cs="宋体"/>
          <w:color w:val="auto"/>
          <w:szCs w:val="21"/>
          <w:highlight w:val="none"/>
        </w:rPr>
        <w:t>竞标</w:t>
      </w:r>
      <w:r>
        <w:rPr>
          <w:rFonts w:hint="eastAsia" w:ascii="宋体" w:hAnsi="宋体" w:eastAsia="宋体" w:cs="宋体"/>
          <w:color w:val="auto"/>
          <w:szCs w:val="21"/>
          <w:highlight w:val="none"/>
          <w:lang w:val="zh-CN"/>
        </w:rPr>
        <w:t>有效期内不修改、撤销响应文件。</w:t>
      </w:r>
    </w:p>
    <w:p>
      <w:pPr>
        <w:spacing w:line="360" w:lineRule="auto"/>
        <w:ind w:firstLine="482"/>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3、我方在此声明，所提交的响应文件及有关资料内容完整、真实和准确。</w:t>
      </w:r>
    </w:p>
    <w:p>
      <w:pPr>
        <w:spacing w:line="360" w:lineRule="auto"/>
        <w:ind w:firstLine="482"/>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4、如本项目采购内容涉及须符合国家强制规定的，我方承诺我方本次竞标均符合国家有关强制规定。</w:t>
      </w:r>
    </w:p>
    <w:p>
      <w:pPr>
        <w:spacing w:line="360" w:lineRule="auto"/>
        <w:ind w:firstLine="482"/>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如我方成交，我方承诺在收到成交通知书后，在成交通知书规定的期限内，根据竞争性谈判文件、我方的响应文件及有关澄清承诺书的要求按第六章“合同文本”与采购人订立书面合同，并按照合同约定承担完成合同的责任和义务。</w:t>
      </w:r>
    </w:p>
    <w:p>
      <w:pPr>
        <w:spacing w:line="360" w:lineRule="auto"/>
        <w:ind w:firstLine="482"/>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6、我方已详细审核竞争性谈判文件，我方知道必须放弃提出含糊不清或误解问题的权利。</w:t>
      </w:r>
    </w:p>
    <w:p>
      <w:pPr>
        <w:spacing w:line="360" w:lineRule="auto"/>
        <w:ind w:firstLine="482"/>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7、我方承诺满足竞争性谈判文件第六章“合同文本”的条款，承担完成合同的责任和义务。</w:t>
      </w:r>
    </w:p>
    <w:p>
      <w:pPr>
        <w:spacing w:line="360" w:lineRule="auto"/>
        <w:ind w:firstLine="482"/>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8、我方同意应贵方要求提供与本竞标有关的任何数据或资料。若贵方需要，我方愿意提供我方作出的一切承诺的证明材料。</w:t>
      </w:r>
    </w:p>
    <w:p>
      <w:pPr>
        <w:spacing w:line="360" w:lineRule="auto"/>
        <w:ind w:firstLine="482"/>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9、我方完全理解贵方不一定接受响应报价最低的供应商为成交供应商的行为。</w:t>
      </w:r>
    </w:p>
    <w:p>
      <w:pPr>
        <w:spacing w:line="360" w:lineRule="auto"/>
        <w:ind w:firstLine="482"/>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numPr>
          <w:ilvl w:val="0"/>
          <w:numId w:val="1"/>
        </w:numPr>
        <w:tabs>
          <w:tab w:val="left" w:pos="945"/>
        </w:tabs>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提供虚假材料谋取中标、成交的；</w:t>
      </w:r>
    </w:p>
    <w:p>
      <w:pPr>
        <w:numPr>
          <w:ilvl w:val="0"/>
          <w:numId w:val="1"/>
        </w:numPr>
        <w:tabs>
          <w:tab w:val="left" w:pos="945"/>
        </w:tabs>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采取不正当手段诋毁、排挤其他供应商的；</w:t>
      </w:r>
    </w:p>
    <w:p>
      <w:pPr>
        <w:numPr>
          <w:ilvl w:val="0"/>
          <w:numId w:val="1"/>
        </w:numPr>
        <w:tabs>
          <w:tab w:val="left" w:pos="945"/>
        </w:tabs>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与采购人、其他供应商或者采购代理机构恶意串通的；</w:t>
      </w:r>
    </w:p>
    <w:p>
      <w:pPr>
        <w:numPr>
          <w:ilvl w:val="0"/>
          <w:numId w:val="1"/>
        </w:numPr>
        <w:tabs>
          <w:tab w:val="left" w:pos="945"/>
        </w:tabs>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向采购人、采购代理机构行贿或者提供其他不正当利益的；</w:t>
      </w:r>
    </w:p>
    <w:p>
      <w:pPr>
        <w:numPr>
          <w:ilvl w:val="0"/>
          <w:numId w:val="1"/>
        </w:numPr>
        <w:tabs>
          <w:tab w:val="left" w:pos="945"/>
        </w:tabs>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在采购过程中与采购人进行协商谈判的；</w:t>
      </w:r>
    </w:p>
    <w:p>
      <w:pPr>
        <w:numPr>
          <w:ilvl w:val="0"/>
          <w:numId w:val="1"/>
        </w:numPr>
        <w:tabs>
          <w:tab w:val="left" w:pos="945"/>
        </w:tabs>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拒绝有关部门监督检查或提供虚假情况的。</w:t>
      </w:r>
    </w:p>
    <w:p>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11、以上事项如有虚假或者隐瞒，我方愿意承担一切后果，并不再寻求任何旨在减轻或者免除法律责任的辩解。</w:t>
      </w:r>
    </w:p>
    <w:p>
      <w:pPr>
        <w:spacing w:line="360" w:lineRule="auto"/>
        <w:ind w:firstLine="42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zh-CN"/>
        </w:rPr>
        <w:t>与本谈判有关的一切正式往来信函请寄：</w:t>
      </w:r>
    </w:p>
    <w:p>
      <w:pPr>
        <w:spacing w:line="360" w:lineRule="auto"/>
        <w:ind w:firstLine="42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地址：</w:t>
      </w:r>
      <w:r>
        <w:rPr>
          <w:rFonts w:hint="eastAsia" w:ascii="宋体" w:hAnsi="宋体" w:eastAsia="宋体" w:cs="宋体"/>
          <w:color w:val="auto"/>
          <w:szCs w:val="21"/>
          <w:highlight w:val="none"/>
          <w:u w:val="single"/>
          <w:lang w:val="zh-CN"/>
        </w:rPr>
        <w:t xml:space="preserve">                                                        </w:t>
      </w:r>
      <w:r>
        <w:rPr>
          <w:rFonts w:hint="eastAsia" w:ascii="宋体" w:hAnsi="宋体" w:eastAsia="宋体" w:cs="宋体"/>
          <w:color w:val="auto"/>
          <w:szCs w:val="21"/>
          <w:highlight w:val="none"/>
          <w:lang w:val="zh-CN"/>
        </w:rPr>
        <w:t xml:space="preserve"> </w:t>
      </w:r>
    </w:p>
    <w:p>
      <w:pPr>
        <w:spacing w:line="360" w:lineRule="auto"/>
        <w:ind w:firstLine="420"/>
        <w:rPr>
          <w:rFonts w:ascii="宋体" w:hAnsi="宋体" w:eastAsia="宋体" w:cs="宋体"/>
          <w:color w:val="auto"/>
          <w:szCs w:val="21"/>
          <w:highlight w:val="none"/>
          <w:u w:val="single"/>
          <w:lang w:val="zh-CN"/>
        </w:rPr>
      </w:pPr>
      <w:r>
        <w:rPr>
          <w:rFonts w:hint="eastAsia" w:ascii="宋体" w:hAnsi="宋体" w:eastAsia="宋体" w:cs="宋体"/>
          <w:color w:val="auto"/>
          <w:szCs w:val="21"/>
          <w:highlight w:val="none"/>
          <w:lang w:val="zh-CN"/>
        </w:rPr>
        <w:t>电话：</w:t>
      </w:r>
      <w:r>
        <w:rPr>
          <w:rFonts w:hint="eastAsia" w:ascii="宋体" w:hAnsi="宋体" w:eastAsia="宋体" w:cs="宋体"/>
          <w:color w:val="auto"/>
          <w:szCs w:val="21"/>
          <w:highlight w:val="none"/>
          <w:u w:val="single"/>
          <w:lang w:val="zh-CN"/>
        </w:rPr>
        <w:t xml:space="preserve">                                      　　　　　　　　　</w:t>
      </w:r>
    </w:p>
    <w:p>
      <w:pPr>
        <w:spacing w:line="360" w:lineRule="auto"/>
        <w:ind w:firstLine="420"/>
        <w:rPr>
          <w:rFonts w:ascii="宋体" w:hAnsi="宋体" w:eastAsia="宋体" w:cs="宋体"/>
          <w:color w:val="auto"/>
          <w:szCs w:val="21"/>
          <w:highlight w:val="none"/>
          <w:u w:val="single"/>
          <w:lang w:val="zh-CN"/>
        </w:rPr>
      </w:pPr>
      <w:r>
        <w:rPr>
          <w:rFonts w:hint="eastAsia" w:ascii="宋体" w:hAnsi="宋体" w:eastAsia="宋体" w:cs="宋体"/>
          <w:color w:val="auto"/>
          <w:szCs w:val="21"/>
          <w:highlight w:val="none"/>
          <w:lang w:val="zh-CN"/>
        </w:rPr>
        <w:t>传真：</w:t>
      </w:r>
      <w:r>
        <w:rPr>
          <w:rFonts w:hint="eastAsia" w:ascii="宋体" w:hAnsi="宋体" w:eastAsia="宋体" w:cs="宋体"/>
          <w:color w:val="auto"/>
          <w:szCs w:val="21"/>
          <w:highlight w:val="none"/>
          <w:u w:val="single"/>
          <w:lang w:val="zh-CN"/>
        </w:rPr>
        <w:t>　　　　　　　　　　　　　　　　　　　　　　　　　　　　</w:t>
      </w:r>
    </w:p>
    <w:p>
      <w:pPr>
        <w:spacing w:line="360" w:lineRule="auto"/>
        <w:ind w:firstLine="42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电子邮箱：</w:t>
      </w:r>
      <w:r>
        <w:rPr>
          <w:rFonts w:hint="eastAsia" w:ascii="宋体" w:hAnsi="宋体" w:eastAsia="宋体" w:cs="宋体"/>
          <w:color w:val="auto"/>
          <w:szCs w:val="21"/>
          <w:highlight w:val="none"/>
          <w:u w:val="single"/>
          <w:lang w:val="zh-CN"/>
        </w:rPr>
        <w:t>　　　　　　　　　　　　　　　　　　　　　　　　　　</w:t>
      </w:r>
    </w:p>
    <w:p>
      <w:pPr>
        <w:spacing w:line="360" w:lineRule="auto"/>
        <w:ind w:firstLine="420"/>
        <w:rPr>
          <w:rFonts w:ascii="宋体" w:hAnsi="宋体" w:eastAsia="宋体" w:cs="宋体"/>
          <w:color w:val="auto"/>
          <w:szCs w:val="21"/>
          <w:highlight w:val="none"/>
          <w:u w:val="single"/>
          <w:lang w:val="zh-CN"/>
        </w:rPr>
      </w:pPr>
      <w:r>
        <w:rPr>
          <w:rFonts w:hint="eastAsia" w:ascii="宋体" w:hAnsi="宋体" w:eastAsia="宋体" w:cs="宋体"/>
          <w:color w:val="auto"/>
          <w:szCs w:val="21"/>
          <w:highlight w:val="none"/>
          <w:lang w:val="zh-CN"/>
        </w:rPr>
        <w:t>邮政编码：</w:t>
      </w:r>
      <w:r>
        <w:rPr>
          <w:rFonts w:hint="eastAsia" w:ascii="宋体" w:hAnsi="宋体" w:eastAsia="宋体" w:cs="宋体"/>
          <w:color w:val="auto"/>
          <w:szCs w:val="21"/>
          <w:highlight w:val="none"/>
          <w:u w:val="single"/>
          <w:lang w:val="zh-CN"/>
        </w:rPr>
        <w:t xml:space="preserve">                                                    </w:t>
      </w:r>
    </w:p>
    <w:p>
      <w:pPr>
        <w:spacing w:line="360" w:lineRule="auto"/>
        <w:ind w:firstLine="420"/>
        <w:rPr>
          <w:rFonts w:ascii="宋体" w:hAnsi="宋体" w:eastAsia="宋体" w:cs="宋体"/>
          <w:color w:val="auto"/>
          <w:szCs w:val="21"/>
          <w:highlight w:val="none"/>
          <w:u w:val="single"/>
          <w:lang w:val="zh-CN"/>
        </w:rPr>
      </w:pPr>
      <w:r>
        <w:rPr>
          <w:rFonts w:hint="eastAsia" w:ascii="宋体" w:hAnsi="宋体" w:eastAsia="宋体" w:cs="宋体"/>
          <w:color w:val="auto"/>
          <w:szCs w:val="21"/>
          <w:highlight w:val="none"/>
          <w:lang w:val="zh-CN"/>
        </w:rPr>
        <w:t>开户名称：</w:t>
      </w:r>
      <w:r>
        <w:rPr>
          <w:rFonts w:hint="eastAsia" w:ascii="宋体" w:hAnsi="宋体" w:eastAsia="宋体" w:cs="宋体"/>
          <w:color w:val="auto"/>
          <w:szCs w:val="21"/>
          <w:highlight w:val="none"/>
          <w:u w:val="single"/>
          <w:lang w:val="zh-CN"/>
        </w:rPr>
        <w:t xml:space="preserve">                                                    </w:t>
      </w:r>
    </w:p>
    <w:p>
      <w:pPr>
        <w:spacing w:line="360" w:lineRule="auto"/>
        <w:ind w:firstLine="420"/>
        <w:rPr>
          <w:rFonts w:ascii="宋体" w:hAnsi="宋体" w:eastAsia="宋体" w:cs="宋体"/>
          <w:color w:val="auto"/>
          <w:szCs w:val="21"/>
          <w:highlight w:val="none"/>
          <w:u w:val="single"/>
          <w:lang w:val="zh-CN"/>
        </w:rPr>
      </w:pPr>
      <w:r>
        <w:rPr>
          <w:rFonts w:hint="eastAsia" w:ascii="宋体" w:hAnsi="宋体" w:eastAsia="宋体" w:cs="宋体"/>
          <w:color w:val="auto"/>
          <w:szCs w:val="21"/>
          <w:highlight w:val="none"/>
          <w:lang w:val="zh-CN"/>
        </w:rPr>
        <w:t>开户银行：</w:t>
      </w:r>
      <w:r>
        <w:rPr>
          <w:rFonts w:hint="eastAsia" w:ascii="宋体" w:hAnsi="宋体" w:eastAsia="宋体" w:cs="宋体"/>
          <w:color w:val="auto"/>
          <w:szCs w:val="21"/>
          <w:highlight w:val="none"/>
          <w:u w:val="single"/>
          <w:lang w:val="zh-CN"/>
        </w:rPr>
        <w:t xml:space="preserve">                                                    </w:t>
      </w:r>
    </w:p>
    <w:p>
      <w:pPr>
        <w:spacing w:line="360" w:lineRule="auto"/>
        <w:ind w:firstLine="420"/>
        <w:rPr>
          <w:rFonts w:ascii="宋体" w:hAnsi="宋体" w:eastAsia="宋体" w:cs="宋体"/>
          <w:color w:val="auto"/>
          <w:szCs w:val="21"/>
          <w:highlight w:val="none"/>
          <w:u w:val="single"/>
          <w:lang w:val="zh-CN"/>
        </w:rPr>
      </w:pPr>
      <w:r>
        <w:rPr>
          <w:rFonts w:hint="eastAsia" w:ascii="宋体" w:hAnsi="宋体" w:eastAsia="宋体" w:cs="宋体"/>
          <w:color w:val="auto"/>
          <w:szCs w:val="21"/>
          <w:highlight w:val="none"/>
          <w:lang w:val="zh-CN"/>
        </w:rPr>
        <w:t>银行账号：</w:t>
      </w:r>
      <w:r>
        <w:rPr>
          <w:rFonts w:hint="eastAsia" w:ascii="宋体" w:hAnsi="宋体" w:eastAsia="宋体" w:cs="宋体"/>
          <w:color w:val="auto"/>
          <w:szCs w:val="21"/>
          <w:highlight w:val="none"/>
          <w:u w:val="single"/>
          <w:lang w:val="zh-CN"/>
        </w:rPr>
        <w:t xml:space="preserve">                                                    </w:t>
      </w:r>
    </w:p>
    <w:p>
      <w:pPr>
        <w:tabs>
          <w:tab w:val="left" w:pos="939"/>
        </w:tabs>
        <w:spacing w:line="360" w:lineRule="auto"/>
        <w:ind w:left="141" w:firstLine="315"/>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特此承诺。</w:t>
      </w:r>
    </w:p>
    <w:p>
      <w:pPr>
        <w:pStyle w:val="56"/>
        <w:rPr>
          <w:color w:val="auto"/>
          <w:highlight w:val="none"/>
        </w:rPr>
      </w:pPr>
    </w:p>
    <w:p>
      <w:pPr>
        <w:spacing w:line="360" w:lineRule="auto"/>
        <w:ind w:left="4335" w:hanging="24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供应商名称（盖公章）：</w:t>
      </w:r>
    </w:p>
    <w:p>
      <w:pPr>
        <w:ind w:firstLine="6000"/>
        <w:rPr>
          <w:rFonts w:ascii="宋体" w:hAnsi="宋体" w:eastAsia="宋体" w:cs="宋体"/>
          <w:color w:val="auto"/>
          <w:sz w:val="24"/>
          <w:szCs w:val="24"/>
          <w:highlight w:val="none"/>
          <w:lang w:val="zh-CN"/>
        </w:rPr>
        <w:sectPr>
          <w:pgSz w:w="11906" w:h="16838"/>
          <w:pgMar w:top="1134" w:right="1134" w:bottom="1134" w:left="1134" w:header="720" w:footer="720" w:gutter="0"/>
          <w:cols w:space="720" w:num="1"/>
        </w:sectPr>
      </w:pPr>
      <w:r>
        <w:rPr>
          <w:rFonts w:hint="eastAsia" w:ascii="宋体" w:hAnsi="宋体" w:eastAsia="宋体" w:cs="宋体"/>
          <w:color w:val="auto"/>
          <w:sz w:val="24"/>
          <w:szCs w:val="24"/>
          <w:highlight w:val="none"/>
          <w:lang w:val="zh-CN"/>
        </w:rPr>
        <w:t>日期：  年  月   日</w:t>
      </w:r>
    </w:p>
    <w:p>
      <w:pPr>
        <w:spacing w:line="500" w:lineRule="exact"/>
        <w:rPr>
          <w:rFonts w:ascii="宋体" w:hAnsi="宋体" w:eastAsia="宋体" w:cs="宋体"/>
          <w:b/>
          <w:color w:val="auto"/>
          <w:sz w:val="30"/>
          <w:szCs w:val="30"/>
          <w:highlight w:val="none"/>
          <w:lang w:val="zh-CN"/>
        </w:rPr>
      </w:pPr>
      <w:r>
        <w:rPr>
          <w:rFonts w:hint="eastAsia" w:ascii="宋体" w:hAnsi="宋体" w:eastAsia="宋体" w:cs="宋体"/>
          <w:b/>
          <w:color w:val="auto"/>
          <w:sz w:val="28"/>
          <w:szCs w:val="28"/>
          <w:highlight w:val="none"/>
        </w:rPr>
        <w:t>4.</w:t>
      </w:r>
      <w:r>
        <w:rPr>
          <w:rFonts w:hint="eastAsia" w:ascii="宋体" w:hAnsi="宋体" w:eastAsia="宋体" w:cs="宋体"/>
          <w:b/>
          <w:color w:val="auto"/>
          <w:sz w:val="28"/>
          <w:szCs w:val="28"/>
          <w:highlight w:val="none"/>
          <w:lang w:val="zh-CN"/>
        </w:rPr>
        <w:t>响应报价表的格式：</w:t>
      </w:r>
      <w:r>
        <w:rPr>
          <w:rFonts w:hint="eastAsia" w:ascii="宋体" w:hAnsi="宋体" w:eastAsia="宋体" w:cs="宋体"/>
          <w:b/>
          <w:color w:val="auto"/>
          <w:sz w:val="30"/>
          <w:szCs w:val="30"/>
          <w:highlight w:val="none"/>
          <w:lang w:val="zh-CN"/>
        </w:rPr>
        <w:t xml:space="preserve"> </w:t>
      </w:r>
    </w:p>
    <w:p>
      <w:pPr>
        <w:spacing w:before="50" w:after="50" w:line="340" w:lineRule="exact"/>
        <w:ind w:firstLine="4518"/>
        <w:rPr>
          <w:rFonts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rPr>
        <w:t>响应报价表</w:t>
      </w:r>
    </w:p>
    <w:p>
      <w:pPr>
        <w:spacing w:before="50" w:after="50" w:line="340" w:lineRule="exac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rPr>
        <w:t xml:space="preserve">                    </w:t>
      </w:r>
    </w:p>
    <w:p>
      <w:pPr>
        <w:spacing w:before="50" w:after="50" w:line="340" w:lineRule="exac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p>
    <w:p>
      <w:pPr>
        <w:spacing w:before="50" w:after="50" w:line="340" w:lineRule="exact"/>
        <w:rPr>
          <w:rFonts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44"/>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125"/>
        <w:gridCol w:w="1101"/>
        <w:gridCol w:w="918"/>
        <w:gridCol w:w="1332"/>
        <w:gridCol w:w="1707"/>
        <w:gridCol w:w="1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r>
              <w:rPr>
                <w:rFonts w:hint="eastAsia" w:ascii="宋体" w:hAnsi="宋体" w:eastAsia="宋体" w:cs="宋体"/>
                <w:color w:val="auto"/>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r>
              <w:rPr>
                <w:rFonts w:hint="eastAsia" w:ascii="宋体" w:hAnsi="宋体" w:eastAsia="宋体" w:cs="宋体"/>
                <w:color w:val="auto"/>
                <w:highlight w:val="none"/>
              </w:rPr>
              <w:t>标的名称</w:t>
            </w:r>
          </w:p>
        </w:tc>
        <w:tc>
          <w:tcPr>
            <w:tcW w:w="1125"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highlight w:val="none"/>
              </w:rPr>
            </w:pPr>
            <w:r>
              <w:rPr>
                <w:rFonts w:hint="eastAsia" w:ascii="宋体" w:hAnsi="宋体" w:eastAsia="宋体" w:cs="宋体"/>
                <w:color w:val="auto"/>
                <w:highlight w:val="none"/>
              </w:rPr>
              <w:t>规格型号</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highlight w:val="none"/>
              </w:rPr>
            </w:pPr>
            <w:r>
              <w:rPr>
                <w:rFonts w:hint="eastAsia" w:ascii="宋体" w:hAnsi="宋体" w:eastAsia="宋体" w:cs="宋体"/>
                <w:color w:val="auto"/>
                <w:highlight w:val="none"/>
              </w:rPr>
              <w:t>品牌（如有）</w:t>
            </w:r>
          </w:p>
        </w:tc>
        <w:tc>
          <w:tcPr>
            <w:tcW w:w="918"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highlight w:val="none"/>
              </w:rPr>
            </w:pPr>
            <w:r>
              <w:rPr>
                <w:rFonts w:hint="eastAsia" w:ascii="宋体" w:hAnsi="宋体" w:eastAsia="宋体" w:cs="宋体"/>
                <w:color w:val="auto"/>
                <w:highlight w:val="none"/>
              </w:rPr>
              <w:t>数量及单位①</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r>
              <w:rPr>
                <w:rFonts w:hint="eastAsia" w:ascii="宋体" w:hAnsi="宋体" w:eastAsia="宋体" w:cs="宋体"/>
                <w:color w:val="auto"/>
                <w:highlight w:val="none"/>
              </w:rPr>
              <w:t>单价(元)②</w:t>
            </w:r>
          </w:p>
        </w:tc>
        <w:tc>
          <w:tcPr>
            <w:tcW w:w="1707" w:type="dxa"/>
            <w:tcBorders>
              <w:top w:val="single" w:color="auto" w:sz="4" w:space="0"/>
              <w:left w:val="single" w:color="auto" w:sz="4" w:space="0"/>
              <w:bottom w:val="single" w:color="auto" w:sz="4" w:space="0"/>
              <w:right w:val="single" w:color="auto" w:sz="4" w:space="0"/>
            </w:tcBorders>
            <w:vAlign w:val="center"/>
          </w:tcPr>
          <w:p>
            <w:pPr>
              <w:spacing w:line="34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rPr>
              <w:t>单项合价（元）</w:t>
            </w:r>
          </w:p>
          <w:p>
            <w:pPr>
              <w:spacing w:line="340" w:lineRule="exact"/>
              <w:rPr>
                <w:rFonts w:ascii="宋体" w:hAnsi="宋体" w:eastAsia="宋体" w:cs="宋体"/>
                <w:color w:val="auto"/>
                <w:highlight w:val="none"/>
              </w:rPr>
            </w:pPr>
            <w:r>
              <w:rPr>
                <w:rFonts w:hint="eastAsia" w:ascii="宋体" w:hAnsi="宋体" w:eastAsia="宋体" w:cs="宋体"/>
                <w:color w:val="auto"/>
                <w:highlight w:val="none"/>
              </w:rPr>
              <w:t>③＝①×②</w:t>
            </w:r>
          </w:p>
        </w:tc>
        <w:tc>
          <w:tcPr>
            <w:tcW w:w="1651"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highlight w:val="none"/>
              </w:rPr>
            </w:pPr>
            <w:r>
              <w:rPr>
                <w:rFonts w:hint="eastAsia" w:ascii="宋体" w:hAnsi="宋体" w:eastAsia="宋体" w:cs="宋体"/>
                <w:color w:val="auto"/>
                <w:highlight w:val="none"/>
              </w:rPr>
              <w:t>制造商名称</w:t>
            </w:r>
          </w:p>
          <w:p>
            <w:pPr>
              <w:spacing w:line="340" w:lineRule="exact"/>
              <w:jc w:val="center"/>
              <w:rPr>
                <w:rFonts w:ascii="宋体" w:hAnsi="宋体" w:eastAsia="宋体" w:cs="宋体"/>
                <w:color w:val="auto"/>
                <w:highlight w:val="none"/>
              </w:rPr>
            </w:pPr>
            <w:r>
              <w:rPr>
                <w:rFonts w:hint="eastAsia" w:ascii="宋体" w:hAnsi="宋体" w:eastAsia="宋体" w:cs="宋体"/>
                <w:color w:val="auto"/>
                <w:highlight w:val="none"/>
              </w:rPr>
              <w:t>及产地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highlight w:val="none"/>
              </w:rPr>
            </w:pPr>
            <w:r>
              <w:rPr>
                <w:rFonts w:hint="eastAsia" w:ascii="宋体" w:hAnsi="宋体" w:eastAsia="宋体" w:cs="宋体"/>
                <w:color w:val="auto"/>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p>
        </w:tc>
        <w:tc>
          <w:tcPr>
            <w:tcW w:w="1125"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p>
        </w:tc>
        <w:tc>
          <w:tcPr>
            <w:tcW w:w="1101"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highlight w:val="none"/>
              </w:rPr>
            </w:pPr>
            <w:r>
              <w:rPr>
                <w:rFonts w:hint="eastAsia" w:ascii="宋体" w:hAnsi="宋体" w:eastAsia="宋体" w:cs="宋体"/>
                <w:color w:val="auto"/>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p>
        </w:tc>
        <w:tc>
          <w:tcPr>
            <w:tcW w:w="1125"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p>
        </w:tc>
        <w:tc>
          <w:tcPr>
            <w:tcW w:w="1101"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highlight w:val="none"/>
              </w:rPr>
            </w:pPr>
            <w:r>
              <w:rPr>
                <w:rFonts w:hint="eastAsia" w:ascii="宋体" w:hAnsi="宋体" w:eastAsia="宋体" w:cs="宋体"/>
                <w:color w:val="auto"/>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p>
        </w:tc>
        <w:tc>
          <w:tcPr>
            <w:tcW w:w="1125"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p>
        </w:tc>
        <w:tc>
          <w:tcPr>
            <w:tcW w:w="1101"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r>
              <w:rPr>
                <w:rFonts w:hint="eastAsia" w:ascii="宋体" w:hAnsi="宋体" w:eastAsia="宋体" w:cs="宋体"/>
                <w:color w:val="auto"/>
                <w:highlight w:val="none"/>
              </w:rPr>
              <w:t>竞标总报价（包含税费等所有费用）：</w:t>
            </w:r>
            <w:r>
              <w:rPr>
                <w:rFonts w:hint="eastAsia" w:ascii="宋体" w:hAnsi="宋体" w:eastAsia="宋体" w:cs="宋体"/>
                <w:color w:val="auto"/>
                <w:highlight w:val="none"/>
                <w:u w:val="single"/>
              </w:rPr>
              <w:t xml:space="preserve">（大写）人民币                      （小写）¥           </w:t>
            </w:r>
            <w:r>
              <w:rPr>
                <w:rFonts w:hint="eastAsia" w:ascii="宋体" w:hAnsi="宋体" w:eastAsia="宋体" w:cs="宋体"/>
                <w:color w:val="auto"/>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r>
              <w:rPr>
                <w:rFonts w:hint="eastAsia" w:ascii="宋体" w:hAnsi="宋体" w:eastAsia="宋体" w:cs="宋体"/>
                <w:color w:val="auto"/>
                <w:highlight w:val="none"/>
              </w:rPr>
              <w:t>交付时间：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eastAsia="宋体" w:cs="宋体"/>
                <w:color w:val="auto"/>
                <w:highlight w:val="none"/>
              </w:rPr>
            </w:pPr>
            <w:r>
              <w:rPr>
                <w:rFonts w:hint="eastAsia" w:ascii="宋体" w:hAnsi="宋体" w:eastAsia="宋体" w:cs="宋体"/>
                <w:color w:val="auto"/>
                <w:szCs w:val="21"/>
                <w:highlight w:val="none"/>
              </w:rPr>
              <w:t>备注</w:t>
            </w:r>
          </w:p>
        </w:tc>
        <w:tc>
          <w:tcPr>
            <w:tcW w:w="9094" w:type="dxa"/>
            <w:gridSpan w:val="7"/>
            <w:tcBorders>
              <w:top w:val="single" w:color="auto" w:sz="4" w:space="0"/>
              <w:left w:val="single" w:color="auto" w:sz="4" w:space="0"/>
              <w:bottom w:val="single" w:color="auto" w:sz="4" w:space="0"/>
              <w:right w:val="single" w:color="auto" w:sz="4" w:space="0"/>
            </w:tcBorders>
            <w:vAlign w:val="center"/>
          </w:tcPr>
          <w:p>
            <w:pPr>
              <w:spacing w:line="340" w:lineRule="exact"/>
              <w:ind w:firstLine="420"/>
              <w:rPr>
                <w:rFonts w:ascii="宋体" w:hAnsi="宋体" w:eastAsia="宋体" w:cs="宋体"/>
                <w:color w:val="auto"/>
                <w:highlight w:val="none"/>
              </w:rPr>
            </w:pPr>
            <w:r>
              <w:rPr>
                <w:rFonts w:hint="eastAsia" w:ascii="宋体" w:hAnsi="宋体" w:eastAsia="宋体" w:cs="宋体"/>
                <w:color w:val="auto"/>
                <w:szCs w:val="21"/>
                <w:highlight w:val="none"/>
              </w:rPr>
              <w:t>根据《国务院办公厅关于在政府采购中实施本国产品标准及相关政策的通知》国办发〔2025〕34号的规定，我方为</w:t>
            </w:r>
            <w:r>
              <w:rPr>
                <w:rFonts w:hint="eastAsia" w:ascii="宋体" w:hAnsi="宋体" w:eastAsia="宋体" w:cs="宋体"/>
                <w:color w:val="auto"/>
                <w:szCs w:val="21"/>
                <w:highlight w:val="none"/>
                <w:shd w:val="clear" w:color="auto" w:fill="FFFFFF"/>
              </w:rPr>
              <w:t>本政府采购项目提供的符合本国产品标准的产品成本之和占全部竞标产品成本之和的比例达到</w:t>
            </w:r>
            <w:r>
              <w:rPr>
                <w:rFonts w:hint="eastAsia" w:ascii="宋体" w:hAnsi="宋体" w:eastAsia="宋体" w:cs="宋体"/>
                <w:color w:val="auto"/>
                <w:szCs w:val="21"/>
                <w:highlight w:val="none"/>
                <w:u w:val="single"/>
                <w:shd w:val="clear" w:color="auto" w:fill="FFFFFF"/>
              </w:rPr>
              <w:t xml:space="preserve">        </w:t>
            </w:r>
            <w:r>
              <w:rPr>
                <w:rFonts w:hint="eastAsia" w:ascii="宋体" w:hAnsi="宋体" w:eastAsia="宋体" w:cs="宋体"/>
                <w:color w:val="auto"/>
                <w:szCs w:val="21"/>
                <w:highlight w:val="none"/>
                <w:shd w:val="clear" w:color="auto" w:fill="FFFFFF"/>
              </w:rPr>
              <w:t>。</w:t>
            </w:r>
          </w:p>
        </w:tc>
      </w:tr>
    </w:tbl>
    <w:p>
      <w:pPr>
        <w:keepNext w:val="0"/>
        <w:keepLines w:val="0"/>
        <w:pageBreakBefore w:val="0"/>
        <w:widowControl w:val="0"/>
        <w:kinsoku/>
        <w:wordWrap/>
        <w:overflowPunct/>
        <w:topLinePunct w:val="0"/>
        <w:autoSpaceDE/>
        <w:autoSpaceDN/>
        <w:bidi w:val="0"/>
        <w:adjustRightInd/>
        <w:snapToGrid/>
        <w:spacing w:before="50" w:after="50" w:line="340" w:lineRule="exact"/>
        <w:ind w:firstLine="480"/>
        <w:jc w:val="left"/>
        <w:textAlignment w:val="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注： </w:t>
      </w:r>
    </w:p>
    <w:p>
      <w:pPr>
        <w:pStyle w:val="28"/>
        <w:keepNext w:val="0"/>
        <w:keepLines w:val="0"/>
        <w:pageBreakBefore w:val="0"/>
        <w:widowControl w:val="0"/>
        <w:kinsoku/>
        <w:wordWrap/>
        <w:overflowPunct/>
        <w:topLinePunct w:val="0"/>
        <w:autoSpaceDE/>
        <w:autoSpaceDN/>
        <w:bidi w:val="0"/>
        <w:adjustRightInd/>
        <w:snapToGrid/>
        <w:spacing w:line="340" w:lineRule="exact"/>
        <w:ind w:firstLine="420"/>
        <w:textAlignment w:val="auto"/>
        <w:rPr>
          <w:rFonts w:hint="eastAsia" w:ascii="宋体" w:hAnsi="宋体" w:cs="宋体"/>
          <w:bCs/>
          <w:color w:val="auto"/>
          <w:sz w:val="21"/>
          <w:szCs w:val="21"/>
          <w:highlight w:val="none"/>
        </w:rPr>
      </w:pPr>
      <w:r>
        <w:rPr>
          <w:rFonts w:hint="eastAsia" w:ascii="宋体" w:hAnsi="宋体" w:cs="宋体"/>
          <w:color w:val="auto"/>
          <w:sz w:val="21"/>
          <w:szCs w:val="21"/>
          <w:highlight w:val="none"/>
          <w:lang w:val="en-US"/>
        </w:rPr>
        <w:t>1、</w:t>
      </w:r>
      <w:r>
        <w:rPr>
          <w:rFonts w:hint="eastAsia" w:ascii="宋体" w:hAnsi="宋体" w:cs="宋体"/>
          <w:color w:val="auto"/>
          <w:sz w:val="21"/>
          <w:szCs w:val="21"/>
          <w:highlight w:val="none"/>
        </w:rPr>
        <w:t>供应商需按本表格式填写，不得自行更改，也不得留空（</w:t>
      </w:r>
      <w:r>
        <w:rPr>
          <w:rFonts w:hint="eastAsia" w:ascii="宋体" w:hAnsi="宋体" w:cs="宋体"/>
          <w:color w:val="auto"/>
          <w:sz w:val="21"/>
          <w:szCs w:val="21"/>
          <w:highlight w:val="none"/>
          <w:lang w:val="en-US"/>
        </w:rPr>
        <w:t>备注栏除外</w:t>
      </w:r>
      <w:r>
        <w:rPr>
          <w:rFonts w:hint="eastAsia" w:ascii="宋体" w:hAnsi="宋体" w:cs="宋体"/>
          <w:color w:val="auto"/>
          <w:sz w:val="21"/>
          <w:szCs w:val="21"/>
          <w:highlight w:val="none"/>
        </w:rPr>
        <w:t>）, 如有多分标，按分标分别提供响应报价表，</w:t>
      </w:r>
      <w:r>
        <w:rPr>
          <w:rFonts w:hint="eastAsia" w:ascii="宋体" w:hAnsi="宋体" w:cs="宋体"/>
          <w:b/>
          <w:color w:val="auto"/>
          <w:sz w:val="21"/>
          <w:szCs w:val="21"/>
          <w:highlight w:val="none"/>
        </w:rPr>
        <w:t>否则其响应按无效响应处理</w:t>
      </w:r>
      <w:r>
        <w:rPr>
          <w:rFonts w:hint="eastAsia" w:ascii="宋体" w:hAnsi="宋体" w:cs="宋体"/>
          <w:bCs/>
          <w:color w:val="auto"/>
          <w:sz w:val="21"/>
          <w:szCs w:val="21"/>
          <w:highlight w:val="none"/>
        </w:rPr>
        <w:t>。</w:t>
      </w:r>
    </w:p>
    <w:p>
      <w:pPr>
        <w:spacing w:line="340" w:lineRule="exact"/>
        <w:rPr>
          <w:rFonts w:hint="default" w:eastAsiaTheme="minorEastAsia"/>
          <w:color w:val="auto"/>
          <w:highlight w:val="none"/>
          <w:lang w:val="en-US" w:eastAsia="zh-CN"/>
        </w:rPr>
      </w:pPr>
      <w:r>
        <w:rPr>
          <w:rFonts w:hint="eastAsia"/>
          <w:color w:val="auto"/>
          <w:highlight w:val="none"/>
          <w:lang w:val="en-US" w:eastAsia="zh-CN"/>
        </w:rPr>
        <w:t xml:space="preserve">    </w:t>
      </w:r>
      <w:r>
        <w:rPr>
          <w:rFonts w:hint="eastAsia"/>
          <w:b/>
          <w:bCs/>
          <w:color w:val="auto"/>
          <w:highlight w:val="none"/>
          <w:lang w:val="en-US" w:eastAsia="zh-CN"/>
        </w:rPr>
        <w:t>2、本表“单项合价”一栏</w:t>
      </w:r>
      <w:r>
        <w:rPr>
          <w:rFonts w:hint="eastAsia" w:ascii="宋体" w:hAnsi="宋体" w:eastAsia="宋体" w:cs="宋体"/>
          <w:b/>
          <w:bCs/>
          <w:color w:val="auto"/>
          <w:highlight w:val="none"/>
          <w:lang w:val="en-US" w:eastAsia="zh-CN"/>
        </w:rPr>
        <w:t>不能超过采购需求中对应的分项预算合计，</w:t>
      </w:r>
      <w:r>
        <w:rPr>
          <w:rFonts w:hint="eastAsia" w:ascii="宋体" w:hAnsi="宋体" w:cs="宋体"/>
          <w:b/>
          <w:bCs/>
          <w:color w:val="auto"/>
          <w:sz w:val="21"/>
          <w:szCs w:val="21"/>
          <w:highlight w:val="none"/>
        </w:rPr>
        <w:t>否则其响应按无效响应处理。</w:t>
      </w:r>
    </w:p>
    <w:p>
      <w:pPr>
        <w:keepNext w:val="0"/>
        <w:keepLines w:val="0"/>
        <w:pageBreakBefore w:val="0"/>
        <w:widowControl w:val="0"/>
        <w:kinsoku/>
        <w:wordWrap/>
        <w:overflowPunct/>
        <w:topLinePunct w:val="0"/>
        <w:autoSpaceDE/>
        <w:autoSpaceDN/>
        <w:bidi w:val="0"/>
        <w:adjustRightInd/>
        <w:snapToGrid/>
        <w:spacing w:before="50" w:after="50" w:line="340" w:lineRule="exact"/>
        <w:ind w:firstLine="420"/>
        <w:jc w:val="left"/>
        <w:textAlignment w:val="auto"/>
        <w:rPr>
          <w:rFonts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如为联合体响应的，“供应商名称”处必须列明联合体各方名称，并标注联合体牵头人名称，且盖章处须加盖联合体各方公章，</w:t>
      </w:r>
      <w:r>
        <w:rPr>
          <w:rFonts w:hint="eastAsia" w:ascii="宋体" w:hAnsi="宋体" w:eastAsia="宋体" w:cs="宋体"/>
          <w:b/>
          <w:color w:val="auto"/>
          <w:sz w:val="21"/>
          <w:szCs w:val="21"/>
          <w:highlight w:val="none"/>
          <w:lang w:val="zh-CN"/>
        </w:rPr>
        <w:t>否则其响应作无效响应处理。</w:t>
      </w:r>
    </w:p>
    <w:p>
      <w:pPr>
        <w:keepNext w:val="0"/>
        <w:keepLines w:val="0"/>
        <w:pageBreakBefore w:val="0"/>
        <w:widowControl w:val="0"/>
        <w:kinsoku/>
        <w:wordWrap/>
        <w:overflowPunct/>
        <w:topLinePunct w:val="0"/>
        <w:autoSpaceDE/>
        <w:autoSpaceDN/>
        <w:bidi w:val="0"/>
        <w:adjustRightInd/>
        <w:snapToGrid/>
        <w:spacing w:before="50" w:after="50" w:line="340" w:lineRule="exact"/>
        <w:ind w:firstLine="420"/>
        <w:jc w:val="left"/>
        <w:textAlignment w:val="auto"/>
        <w:rPr>
          <w:rFonts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、以上表格要求细分项目及报价，在“标的名称”一栏中，填写具体货物，在“规格型号”一栏中，填写具体货物</w:t>
      </w:r>
      <w:r>
        <w:rPr>
          <w:rFonts w:hint="eastAsia" w:ascii="宋体" w:hAnsi="宋体" w:eastAsia="宋体" w:cs="宋体"/>
          <w:color w:val="auto"/>
          <w:sz w:val="21"/>
          <w:szCs w:val="21"/>
          <w:highlight w:val="none"/>
        </w:rPr>
        <w:t>的规格型号</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2"/>
          <w:highlight w:val="none"/>
        </w:rPr>
        <w:t>如为定制产品，规格型号可以填写定制</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2"/>
          <w:highlight w:val="none"/>
        </w:rPr>
        <w:t>，</w:t>
      </w:r>
      <w:r>
        <w:rPr>
          <w:rFonts w:hint="eastAsia" w:ascii="宋体" w:hAnsi="宋体" w:eastAsia="宋体" w:cs="宋体"/>
          <w:b/>
          <w:color w:val="auto"/>
          <w:sz w:val="21"/>
          <w:szCs w:val="21"/>
          <w:highlight w:val="none"/>
          <w:lang w:val="zh-CN"/>
        </w:rPr>
        <w:t>否则其响应作无效响应处理。</w:t>
      </w:r>
    </w:p>
    <w:p>
      <w:pPr>
        <w:keepNext w:val="0"/>
        <w:keepLines w:val="0"/>
        <w:pageBreakBefore w:val="0"/>
        <w:widowControl w:val="0"/>
        <w:kinsoku/>
        <w:wordWrap/>
        <w:overflowPunct/>
        <w:topLinePunct w:val="0"/>
        <w:autoSpaceDE/>
        <w:autoSpaceDN/>
        <w:bidi w:val="0"/>
        <w:adjustRightInd/>
        <w:snapToGrid/>
        <w:spacing w:line="340" w:lineRule="exact"/>
        <w:ind w:firstLine="420"/>
        <w:jc w:val="left"/>
        <w:textAlignment w:val="auto"/>
        <w:rPr>
          <w:rFonts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zh-CN"/>
        </w:rPr>
        <w:t>、特别提示：采购代理机构将对项目名称和项目编号，成交供应商名称、地址和成交金额，主要成交标的名称、</w:t>
      </w:r>
      <w:r>
        <w:rPr>
          <w:rFonts w:hint="eastAsia" w:ascii="宋体" w:hAnsi="宋体" w:eastAsia="宋体" w:cs="宋体"/>
          <w:color w:val="auto"/>
          <w:sz w:val="21"/>
          <w:szCs w:val="21"/>
          <w:highlight w:val="none"/>
        </w:rPr>
        <w:t>规格型号、品牌（如有）及制造商</w:t>
      </w:r>
      <w:r>
        <w:rPr>
          <w:rFonts w:hint="eastAsia" w:ascii="宋体" w:hAnsi="宋体" w:eastAsia="宋体" w:cs="宋体"/>
          <w:color w:val="auto"/>
          <w:sz w:val="21"/>
          <w:szCs w:val="21"/>
          <w:highlight w:val="none"/>
          <w:lang w:val="zh-CN"/>
        </w:rPr>
        <w:t>、数量、单价等予以公示。</w:t>
      </w:r>
    </w:p>
    <w:p>
      <w:pPr>
        <w:keepNext w:val="0"/>
        <w:keepLines w:val="0"/>
        <w:pageBreakBefore w:val="0"/>
        <w:widowControl w:val="0"/>
        <w:kinsoku/>
        <w:wordWrap/>
        <w:overflowPunct/>
        <w:topLinePunct w:val="0"/>
        <w:autoSpaceDE/>
        <w:autoSpaceDN/>
        <w:bidi w:val="0"/>
        <w:adjustRightInd/>
        <w:snapToGrid/>
        <w:spacing w:line="340" w:lineRule="exact"/>
        <w:ind w:left="479"/>
        <w:jc w:val="left"/>
        <w:textAlignment w:val="auto"/>
        <w:rPr>
          <w:rFonts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zh-CN"/>
        </w:rPr>
        <w:t>、符合采购文件中列明的可享受中小企业扶持政策的供应商，请填写中小企业声明函。</w:t>
      </w:r>
    </w:p>
    <w:p>
      <w:pPr>
        <w:keepNext w:val="0"/>
        <w:keepLines w:val="0"/>
        <w:pageBreakBefore w:val="0"/>
        <w:widowControl w:val="0"/>
        <w:kinsoku/>
        <w:wordWrap/>
        <w:overflowPunct/>
        <w:topLinePunct w:val="0"/>
        <w:autoSpaceDE/>
        <w:autoSpaceDN/>
        <w:bidi w:val="0"/>
        <w:adjustRightInd/>
        <w:snapToGrid/>
        <w:spacing w:line="340" w:lineRule="exact"/>
        <w:ind w:left="479"/>
        <w:jc w:val="left"/>
        <w:textAlignment w:val="auto"/>
        <w:rPr>
          <w:rFonts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供应商提供的中小企业声明函内容不实的，属于提供虚假材料谋取中标、成交，依照</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《中华人民共和国政府采购法》等国家有关规定追究相应责任。</w:t>
      </w:r>
    </w:p>
    <w:p>
      <w:pPr>
        <w:keepNext w:val="0"/>
        <w:keepLines w:val="0"/>
        <w:pageBreakBefore w:val="0"/>
        <w:widowControl w:val="0"/>
        <w:kinsoku/>
        <w:wordWrap/>
        <w:overflowPunct/>
        <w:topLinePunct w:val="0"/>
        <w:autoSpaceDE/>
        <w:autoSpaceDN/>
        <w:bidi w:val="0"/>
        <w:adjustRightInd/>
        <w:snapToGrid/>
        <w:spacing w:line="340" w:lineRule="exact"/>
        <w:ind w:left="4335" w:hanging="240"/>
        <w:textAlignment w:val="auto"/>
        <w:rPr>
          <w:rFonts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40" w:lineRule="exact"/>
        <w:ind w:left="4335" w:hanging="24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供应商名称（盖公章）：</w:t>
      </w:r>
    </w:p>
    <w:p>
      <w:pPr>
        <w:keepNext w:val="0"/>
        <w:keepLines w:val="0"/>
        <w:pageBreakBefore w:val="0"/>
        <w:widowControl w:val="0"/>
        <w:kinsoku/>
        <w:wordWrap/>
        <w:overflowPunct/>
        <w:topLinePunct w:val="0"/>
        <w:autoSpaceDE/>
        <w:autoSpaceDN/>
        <w:bidi w:val="0"/>
        <w:adjustRightInd/>
        <w:snapToGrid/>
        <w:spacing w:line="340" w:lineRule="exact"/>
        <w:ind w:firstLine="6480"/>
        <w:textAlignment w:val="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pPr>
        <w:spacing w:line="340" w:lineRule="exact"/>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br w:type="page" w:clear="all"/>
      </w:r>
    </w:p>
    <w:p>
      <w:pPr>
        <w:spacing w:line="500" w:lineRule="exact"/>
        <w:rPr>
          <w:rFonts w:ascii="宋体" w:hAnsi="宋体" w:eastAsia="宋体" w:cs="宋体"/>
          <w:b/>
          <w:color w:val="auto"/>
          <w:sz w:val="30"/>
          <w:szCs w:val="30"/>
          <w:highlight w:val="none"/>
          <w:lang w:val="zh-CN"/>
        </w:rPr>
      </w:pPr>
      <w:r>
        <w:rPr>
          <w:rFonts w:hint="eastAsia" w:ascii="宋体" w:hAnsi="宋体" w:eastAsia="宋体" w:cs="宋体"/>
          <w:b/>
          <w:color w:val="auto"/>
          <w:sz w:val="28"/>
          <w:szCs w:val="28"/>
          <w:highlight w:val="none"/>
        </w:rPr>
        <w:t>5.</w:t>
      </w:r>
      <w:r>
        <w:rPr>
          <w:rFonts w:hint="eastAsia" w:ascii="宋体" w:hAnsi="宋体" w:eastAsia="宋体" w:cs="宋体"/>
          <w:b/>
          <w:color w:val="auto"/>
          <w:sz w:val="28"/>
          <w:szCs w:val="28"/>
          <w:highlight w:val="none"/>
          <w:lang w:val="zh-CN"/>
        </w:rPr>
        <w:t>最后报价表的格式：</w:t>
      </w:r>
      <w:r>
        <w:rPr>
          <w:rFonts w:hint="eastAsia" w:ascii="宋体" w:hAnsi="宋体" w:eastAsia="宋体" w:cs="宋体"/>
          <w:b/>
          <w:color w:val="auto"/>
          <w:sz w:val="30"/>
          <w:szCs w:val="30"/>
          <w:highlight w:val="none"/>
          <w:lang w:val="zh-CN"/>
        </w:rPr>
        <w:t xml:space="preserve"> </w:t>
      </w:r>
    </w:p>
    <w:p>
      <w:pPr>
        <w:keepNext w:val="0"/>
        <w:keepLines w:val="0"/>
        <w:pageBreakBefore w:val="0"/>
        <w:widowControl w:val="0"/>
        <w:kinsoku/>
        <w:wordWrap/>
        <w:overflowPunct/>
        <w:topLinePunct w:val="0"/>
        <w:autoSpaceDE/>
        <w:autoSpaceDN/>
        <w:bidi w:val="0"/>
        <w:adjustRightInd/>
        <w:snapToGrid/>
        <w:spacing w:before="50" w:after="50" w:line="360" w:lineRule="exact"/>
        <w:ind w:firstLine="4518"/>
        <w:textAlignment w:val="auto"/>
        <w:rPr>
          <w:rFonts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rPr>
        <w:t>最后报价表</w:t>
      </w:r>
    </w:p>
    <w:p>
      <w:pPr>
        <w:keepNext w:val="0"/>
        <w:keepLines w:val="0"/>
        <w:pageBreakBefore w:val="0"/>
        <w:widowControl w:val="0"/>
        <w:kinsoku/>
        <w:wordWrap/>
        <w:overflowPunct/>
        <w:topLinePunct w:val="0"/>
        <w:autoSpaceDE/>
        <w:autoSpaceDN/>
        <w:bidi w:val="0"/>
        <w:adjustRightInd/>
        <w:snapToGrid/>
        <w:spacing w:before="50" w:after="50" w:line="360" w:lineRule="exact"/>
        <w:textAlignment w:val="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before="50" w:after="50" w:line="360" w:lineRule="exact"/>
        <w:textAlignment w:val="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before="50" w:after="50" w:line="360" w:lineRule="exact"/>
        <w:textAlignment w:val="auto"/>
        <w:rPr>
          <w:rFonts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44"/>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51"/>
        <w:gridCol w:w="975"/>
        <w:gridCol w:w="918"/>
        <w:gridCol w:w="1332"/>
        <w:gridCol w:w="1707"/>
        <w:gridCol w:w="1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r>
              <w:rPr>
                <w:rFonts w:hint="eastAsia" w:ascii="宋体" w:hAnsi="宋体" w:eastAsia="宋体" w:cs="宋体"/>
                <w:color w:val="auto"/>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r>
              <w:rPr>
                <w:rFonts w:hint="eastAsia" w:ascii="宋体" w:hAnsi="宋体" w:eastAsia="宋体" w:cs="宋体"/>
                <w:color w:val="auto"/>
                <w:highlight w:val="none"/>
              </w:rPr>
              <w:t>标的名称</w:t>
            </w: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宋体"/>
                <w:color w:val="auto"/>
                <w:highlight w:val="none"/>
              </w:rPr>
            </w:pPr>
            <w:r>
              <w:rPr>
                <w:rFonts w:hint="eastAsia" w:ascii="宋体" w:hAnsi="宋体" w:eastAsia="宋体" w:cs="宋体"/>
                <w:color w:val="auto"/>
                <w:highlight w:val="none"/>
              </w:rPr>
              <w:t>规格型号</w:t>
            </w:r>
          </w:p>
        </w:tc>
        <w:tc>
          <w:tcPr>
            <w:tcW w:w="9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宋体"/>
                <w:color w:val="auto"/>
                <w:highlight w:val="none"/>
              </w:rPr>
            </w:pPr>
            <w:r>
              <w:rPr>
                <w:rFonts w:hint="eastAsia" w:ascii="宋体" w:hAnsi="宋体" w:eastAsia="宋体" w:cs="宋体"/>
                <w:color w:val="auto"/>
                <w:highlight w:val="none"/>
              </w:rPr>
              <w:t>品牌（如有）</w:t>
            </w:r>
          </w:p>
        </w:tc>
        <w:tc>
          <w:tcPr>
            <w:tcW w:w="9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宋体"/>
                <w:color w:val="auto"/>
                <w:highlight w:val="none"/>
              </w:rPr>
            </w:pPr>
            <w:r>
              <w:rPr>
                <w:rFonts w:hint="eastAsia" w:ascii="宋体" w:hAnsi="宋体" w:eastAsia="宋体" w:cs="宋体"/>
                <w:color w:val="auto"/>
                <w:highlight w:val="none"/>
              </w:rPr>
              <w:t>数量及单位①</w:t>
            </w:r>
          </w:p>
        </w:tc>
        <w:tc>
          <w:tcPr>
            <w:tcW w:w="13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r>
              <w:rPr>
                <w:rFonts w:hint="eastAsia" w:ascii="宋体" w:hAnsi="宋体" w:eastAsia="宋体" w:cs="宋体"/>
                <w:color w:val="auto"/>
                <w:highlight w:val="none"/>
              </w:rPr>
              <w:t>单价(元)②</w:t>
            </w:r>
          </w:p>
        </w:tc>
        <w:tc>
          <w:tcPr>
            <w:tcW w:w="17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r>
              <w:rPr>
                <w:rFonts w:hint="eastAsia" w:ascii="宋体" w:hAnsi="宋体" w:eastAsia="宋体" w:cs="宋体"/>
                <w:color w:val="auto"/>
                <w:highlight w:val="none"/>
              </w:rPr>
              <w:t>单项合价（元）</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r>
              <w:rPr>
                <w:rFonts w:hint="eastAsia" w:ascii="宋体" w:hAnsi="宋体" w:eastAsia="宋体" w:cs="宋体"/>
                <w:color w:val="auto"/>
                <w:highlight w:val="none"/>
              </w:rPr>
              <w:t>③＝①×②</w:t>
            </w:r>
          </w:p>
        </w:tc>
        <w:tc>
          <w:tcPr>
            <w:tcW w:w="16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宋体"/>
                <w:color w:val="auto"/>
                <w:highlight w:val="none"/>
              </w:rPr>
            </w:pPr>
            <w:r>
              <w:rPr>
                <w:rFonts w:hint="eastAsia" w:ascii="宋体" w:hAnsi="宋体" w:eastAsia="宋体" w:cs="宋体"/>
                <w:color w:val="auto"/>
                <w:highlight w:val="none"/>
              </w:rPr>
              <w:t>制造商及产地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宋体"/>
                <w:color w:val="auto"/>
                <w:highlight w:val="none"/>
              </w:rPr>
            </w:pPr>
            <w:r>
              <w:rPr>
                <w:rFonts w:hint="eastAsia" w:ascii="宋体" w:hAnsi="宋体" w:eastAsia="宋体" w:cs="宋体"/>
                <w:color w:val="auto"/>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宋体"/>
                <w:color w:val="auto"/>
                <w:highlight w:val="none"/>
              </w:rPr>
            </w:pPr>
            <w:r>
              <w:rPr>
                <w:rFonts w:hint="eastAsia" w:ascii="宋体" w:hAnsi="宋体" w:eastAsia="宋体" w:cs="宋体"/>
                <w:color w:val="auto"/>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宋体"/>
                <w:color w:val="auto"/>
                <w:highlight w:val="none"/>
              </w:rPr>
            </w:pPr>
            <w:r>
              <w:rPr>
                <w:rFonts w:hint="eastAsia" w:ascii="宋体" w:hAnsi="宋体" w:eastAsia="宋体" w:cs="宋体"/>
                <w:color w:val="auto"/>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r>
              <w:rPr>
                <w:rFonts w:hint="eastAsia" w:ascii="宋体" w:hAnsi="宋体" w:eastAsia="宋体" w:cs="宋体"/>
                <w:color w:val="auto"/>
                <w:highlight w:val="none"/>
              </w:rPr>
              <w:t>最后竞标总报价（包含税费等所有费用）：</w:t>
            </w:r>
            <w:r>
              <w:rPr>
                <w:rFonts w:hint="eastAsia" w:ascii="宋体" w:hAnsi="宋体" w:eastAsia="宋体" w:cs="宋体"/>
                <w:color w:val="auto"/>
                <w:highlight w:val="none"/>
                <w:u w:val="single"/>
              </w:rPr>
              <w:t xml:space="preserve">（大写）人民币                      （小写）¥           </w:t>
            </w:r>
            <w:r>
              <w:rPr>
                <w:rFonts w:hint="eastAsia" w:ascii="宋体" w:hAnsi="宋体" w:eastAsia="宋体" w:cs="宋体"/>
                <w:color w:val="auto"/>
                <w:highlight w:val="none"/>
              </w:rPr>
              <w:t xml:space="preserve"> </w:t>
            </w:r>
          </w:p>
          <w:p>
            <w:pPr>
              <w:pStyle w:val="28"/>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r>
              <w:rPr>
                <w:rFonts w:hint="eastAsia" w:ascii="宋体" w:hAnsi="宋体" w:eastAsia="宋体" w:cs="宋体"/>
                <w:color w:val="auto"/>
                <w:highlight w:val="none"/>
              </w:rPr>
              <w:t>交付时间：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highlight w:val="none"/>
              </w:rPr>
            </w:pPr>
            <w:r>
              <w:rPr>
                <w:rFonts w:hint="eastAsia" w:ascii="宋体" w:hAnsi="宋体" w:eastAsia="宋体" w:cs="宋体"/>
                <w:color w:val="auto"/>
                <w:szCs w:val="21"/>
                <w:highlight w:val="none"/>
              </w:rPr>
              <w:t>备注</w:t>
            </w:r>
          </w:p>
        </w:tc>
        <w:tc>
          <w:tcPr>
            <w:tcW w:w="909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ascii="宋体" w:hAnsi="宋体" w:eastAsia="宋体" w:cs="宋体"/>
                <w:color w:val="auto"/>
                <w:highlight w:val="none"/>
              </w:rPr>
            </w:pPr>
            <w:r>
              <w:rPr>
                <w:rFonts w:hint="eastAsia" w:ascii="宋体" w:hAnsi="宋体" w:eastAsia="宋体" w:cs="宋体"/>
                <w:color w:val="auto"/>
                <w:szCs w:val="21"/>
                <w:highlight w:val="none"/>
              </w:rPr>
              <w:t>根据《国务院办公厅关于在政府采购中实施本国产品标准及相关政策的通知》国办发〔2025〕34号的规定，我方为本政府采购项目提供的符合本国产品标准的产品成本之和占全部竞标产品成本之和的比例达到</w:t>
            </w:r>
            <w:r>
              <w:rPr>
                <w:rFonts w:hint="eastAsia" w:ascii="宋体" w:hAnsi="宋体" w:eastAsia="宋体" w:cs="宋体"/>
                <w:color w:val="auto"/>
                <w:szCs w:val="21"/>
                <w:highlight w:val="none"/>
                <w:u w:val="single"/>
                <w:shd w:val="clear" w:color="auto" w:fill="FFFFFF"/>
              </w:rPr>
              <w:t xml:space="preserve">        </w:t>
            </w:r>
            <w:r>
              <w:rPr>
                <w:rFonts w:hint="eastAsia" w:ascii="宋体" w:hAnsi="宋体" w:eastAsia="宋体" w:cs="宋体"/>
                <w:color w:val="auto"/>
                <w:szCs w:val="21"/>
                <w:highlight w:val="none"/>
                <w:shd w:val="clear" w:color="auto" w:fill="FFFFFF"/>
              </w:rPr>
              <w:t>。</w:t>
            </w:r>
          </w:p>
        </w:tc>
      </w:tr>
    </w:tbl>
    <w:p>
      <w:pPr>
        <w:pStyle w:val="28"/>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ascii="宋体" w:hAnsi="宋体" w:cs="宋体"/>
          <w:color w:val="auto"/>
          <w:sz w:val="24"/>
          <w:szCs w:val="24"/>
          <w:highlight w:val="none"/>
        </w:rPr>
      </w:pPr>
      <w:r>
        <w:rPr>
          <w:rFonts w:hint="eastAsia" w:ascii="宋体" w:hAnsi="宋体" w:cs="宋体"/>
          <w:color w:val="auto"/>
          <w:sz w:val="24"/>
          <w:szCs w:val="24"/>
          <w:highlight w:val="none"/>
        </w:rPr>
        <w:t>注：</w:t>
      </w:r>
    </w:p>
    <w:p>
      <w:pPr>
        <w:pStyle w:val="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ascii="宋体" w:hAnsi="宋体" w:cs="宋体"/>
          <w:color w:val="auto"/>
          <w:sz w:val="21"/>
          <w:szCs w:val="21"/>
          <w:highlight w:val="none"/>
        </w:rPr>
      </w:pPr>
      <w:r>
        <w:rPr>
          <w:rFonts w:hint="eastAsia" w:ascii="宋体" w:hAnsi="宋体" w:cs="宋体"/>
          <w:color w:val="auto"/>
          <w:sz w:val="21"/>
          <w:szCs w:val="21"/>
          <w:highlight w:val="none"/>
          <w:lang w:val="en-US"/>
        </w:rPr>
        <w:t>1、</w:t>
      </w:r>
      <w:r>
        <w:rPr>
          <w:rFonts w:hint="eastAsia" w:ascii="宋体" w:hAnsi="宋体" w:cs="宋体"/>
          <w:color w:val="auto"/>
          <w:sz w:val="21"/>
          <w:szCs w:val="21"/>
          <w:highlight w:val="none"/>
        </w:rPr>
        <w:t>供应商需按本表格式填写，不得自行更改，也不得留空（</w:t>
      </w:r>
      <w:r>
        <w:rPr>
          <w:rFonts w:hint="eastAsia" w:ascii="宋体" w:hAnsi="宋体" w:cs="宋体"/>
          <w:color w:val="auto"/>
          <w:sz w:val="21"/>
          <w:szCs w:val="21"/>
          <w:highlight w:val="none"/>
          <w:lang w:val="en-US"/>
        </w:rPr>
        <w:t>备注栏除外</w:t>
      </w:r>
      <w:r>
        <w:rPr>
          <w:rFonts w:hint="eastAsia" w:ascii="宋体" w:hAnsi="宋体" w:cs="宋体"/>
          <w:color w:val="auto"/>
          <w:sz w:val="21"/>
          <w:szCs w:val="21"/>
          <w:highlight w:val="none"/>
        </w:rPr>
        <w:t>）, 如有多分标，按分标分别提供</w:t>
      </w:r>
      <w:r>
        <w:rPr>
          <w:rFonts w:hint="eastAsia" w:ascii="宋体" w:hAnsi="宋体" w:cs="宋体"/>
          <w:color w:val="auto"/>
          <w:sz w:val="21"/>
          <w:szCs w:val="21"/>
          <w:highlight w:val="none"/>
          <w:lang w:val="en-US"/>
        </w:rPr>
        <w:t>最后</w:t>
      </w:r>
      <w:r>
        <w:rPr>
          <w:rFonts w:hint="eastAsia" w:ascii="宋体" w:hAnsi="宋体" w:cs="宋体"/>
          <w:color w:val="auto"/>
          <w:sz w:val="21"/>
          <w:szCs w:val="21"/>
          <w:highlight w:val="none"/>
        </w:rPr>
        <w:t>报价表，</w:t>
      </w:r>
      <w:r>
        <w:rPr>
          <w:rFonts w:hint="eastAsia" w:ascii="宋体" w:hAnsi="宋体" w:cs="宋体"/>
          <w:b/>
          <w:color w:val="auto"/>
          <w:sz w:val="21"/>
          <w:szCs w:val="21"/>
          <w:highlight w:val="none"/>
        </w:rPr>
        <w:t>否则其响应按无效响应处理</w:t>
      </w:r>
      <w:r>
        <w:rPr>
          <w:rFonts w:hint="eastAsia" w:ascii="宋体" w:hAnsi="宋体" w:cs="宋体"/>
          <w:bCs/>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before="50" w:after="50" w:line="360" w:lineRule="exact"/>
        <w:ind w:firstLine="420"/>
        <w:jc w:val="left"/>
        <w:textAlignment w:val="auto"/>
        <w:rPr>
          <w:rFonts w:hint="eastAsia" w:ascii="宋体" w:hAnsi="宋体" w:cs="宋体"/>
          <w:b/>
          <w:bCs/>
          <w:color w:val="auto"/>
          <w:sz w:val="21"/>
          <w:szCs w:val="21"/>
          <w:highlight w:val="none"/>
        </w:rPr>
      </w:pPr>
      <w:r>
        <w:rPr>
          <w:rFonts w:hint="eastAsia"/>
          <w:b/>
          <w:bCs/>
          <w:color w:val="auto"/>
          <w:highlight w:val="none"/>
          <w:lang w:val="en-US" w:eastAsia="zh-CN"/>
        </w:rPr>
        <w:t>2、本表“单项合价”一栏</w:t>
      </w:r>
      <w:r>
        <w:rPr>
          <w:rFonts w:hint="eastAsia" w:ascii="宋体" w:hAnsi="宋体" w:eastAsia="宋体" w:cs="宋体"/>
          <w:b/>
          <w:bCs/>
          <w:color w:val="auto"/>
          <w:highlight w:val="none"/>
          <w:lang w:val="en-US" w:eastAsia="zh-CN"/>
        </w:rPr>
        <w:t>不能超过采购需求中对应的分项预算合计，</w:t>
      </w:r>
      <w:r>
        <w:rPr>
          <w:rFonts w:hint="eastAsia" w:ascii="宋体" w:hAnsi="宋体" w:cs="宋体"/>
          <w:b/>
          <w:bCs/>
          <w:color w:val="auto"/>
          <w:sz w:val="21"/>
          <w:szCs w:val="21"/>
          <w:highlight w:val="none"/>
        </w:rPr>
        <w:t>否则其响应按无效响应处理。</w:t>
      </w:r>
    </w:p>
    <w:p>
      <w:pPr>
        <w:keepNext w:val="0"/>
        <w:keepLines w:val="0"/>
        <w:pageBreakBefore w:val="0"/>
        <w:widowControl w:val="0"/>
        <w:kinsoku/>
        <w:wordWrap/>
        <w:overflowPunct/>
        <w:topLinePunct w:val="0"/>
        <w:autoSpaceDE/>
        <w:autoSpaceDN/>
        <w:bidi w:val="0"/>
        <w:adjustRightInd/>
        <w:snapToGrid/>
        <w:spacing w:before="50" w:after="50" w:line="360" w:lineRule="exact"/>
        <w:ind w:firstLine="420"/>
        <w:jc w:val="left"/>
        <w:textAlignment w:val="auto"/>
        <w:rPr>
          <w:rFonts w:ascii="宋体" w:hAnsi="宋体" w:eastAsia="宋体" w:cs="宋体"/>
          <w:b/>
          <w:color w:val="auto"/>
          <w:szCs w:val="21"/>
          <w:highlight w:val="none"/>
          <w:lang w:val="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如为联合体响应的，“供应商名称”处必须列明联合体各方名称，并标注联合体牵头人名称，且盖章处须加盖联合体各方公章，</w:t>
      </w:r>
      <w:r>
        <w:rPr>
          <w:rFonts w:hint="eastAsia" w:ascii="宋体" w:hAnsi="宋体" w:eastAsia="宋体" w:cs="宋体"/>
          <w:b/>
          <w:color w:val="auto"/>
          <w:szCs w:val="21"/>
          <w:highlight w:val="none"/>
          <w:lang w:val="zh-CN"/>
        </w:rPr>
        <w:t>否则其响应作无效响应处理。</w:t>
      </w:r>
    </w:p>
    <w:p>
      <w:pPr>
        <w:keepNext w:val="0"/>
        <w:keepLines w:val="0"/>
        <w:pageBreakBefore w:val="0"/>
        <w:widowControl w:val="0"/>
        <w:kinsoku/>
        <w:wordWrap/>
        <w:overflowPunct/>
        <w:topLinePunct w:val="0"/>
        <w:autoSpaceDE/>
        <w:autoSpaceDN/>
        <w:bidi w:val="0"/>
        <w:adjustRightInd/>
        <w:snapToGrid/>
        <w:spacing w:before="50" w:after="50" w:line="360" w:lineRule="exact"/>
        <w:ind w:firstLine="420"/>
        <w:jc w:val="left"/>
        <w:textAlignment w:val="auto"/>
        <w:rPr>
          <w:rFonts w:ascii="宋体" w:hAnsi="宋体" w:eastAsia="宋体" w:cs="宋体"/>
          <w:b/>
          <w:color w:val="auto"/>
          <w:szCs w:val="21"/>
          <w:highlight w:val="none"/>
          <w:lang w:val="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val="zh-CN"/>
        </w:rPr>
        <w:t>、以上表格要求细分项目及报价，在“标的名称”一栏中，填写具体货物，在“规格型号”一栏中，填写具体货物</w:t>
      </w:r>
      <w:r>
        <w:rPr>
          <w:rFonts w:hint="eastAsia" w:ascii="宋体" w:hAnsi="宋体" w:eastAsia="宋体" w:cs="宋体"/>
          <w:color w:val="auto"/>
          <w:szCs w:val="21"/>
          <w:highlight w:val="none"/>
        </w:rPr>
        <w:t>的规格型号</w:t>
      </w:r>
      <w:r>
        <w:rPr>
          <w:rFonts w:hint="eastAsia" w:ascii="宋体" w:hAnsi="宋体" w:eastAsia="宋体" w:cs="宋体"/>
          <w:color w:val="auto"/>
          <w:szCs w:val="21"/>
          <w:highlight w:val="none"/>
          <w:lang w:val="zh-CN"/>
        </w:rPr>
        <w:t>（</w:t>
      </w:r>
      <w:r>
        <w:rPr>
          <w:rFonts w:hint="eastAsia" w:ascii="宋体" w:hAnsi="宋体" w:eastAsia="宋体" w:cs="宋体"/>
          <w:color w:val="auto"/>
          <w:highlight w:val="none"/>
        </w:rPr>
        <w:t>如为定制产品，规格型号可以填写定制</w:t>
      </w:r>
      <w:r>
        <w:rPr>
          <w:rFonts w:hint="eastAsia" w:ascii="宋体" w:hAnsi="宋体" w:eastAsia="宋体" w:cs="宋体"/>
          <w:color w:val="auto"/>
          <w:szCs w:val="21"/>
          <w:highlight w:val="none"/>
          <w:lang w:val="zh-CN"/>
        </w:rPr>
        <w:t>）</w:t>
      </w:r>
      <w:r>
        <w:rPr>
          <w:rFonts w:hint="eastAsia" w:ascii="宋体" w:hAnsi="宋体" w:eastAsia="宋体" w:cs="宋体"/>
          <w:color w:val="auto"/>
          <w:highlight w:val="none"/>
        </w:rPr>
        <w:t>，</w:t>
      </w:r>
      <w:r>
        <w:rPr>
          <w:rFonts w:hint="eastAsia" w:ascii="宋体" w:hAnsi="宋体" w:eastAsia="宋体" w:cs="宋体"/>
          <w:b/>
          <w:color w:val="auto"/>
          <w:szCs w:val="21"/>
          <w:highlight w:val="none"/>
          <w:lang w:val="zh-CN"/>
        </w:rPr>
        <w:t>否则其响应作无效响应处理。</w:t>
      </w:r>
    </w:p>
    <w:p>
      <w:pPr>
        <w:keepNext w:val="0"/>
        <w:keepLines w:val="0"/>
        <w:pageBreakBefore w:val="0"/>
        <w:widowControl w:val="0"/>
        <w:kinsoku/>
        <w:wordWrap/>
        <w:overflowPunct/>
        <w:topLinePunct w:val="0"/>
        <w:autoSpaceDE/>
        <w:autoSpaceDN/>
        <w:bidi w:val="0"/>
        <w:adjustRightInd/>
        <w:snapToGrid/>
        <w:spacing w:line="360" w:lineRule="exact"/>
        <w:ind w:firstLine="420"/>
        <w:jc w:val="left"/>
        <w:textAlignment w:val="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val="zh-CN"/>
        </w:rPr>
        <w:t>、特别提示：采购代理机构将对项目名称和项目编号，成交供应商名称、地址和成交金额，主要成交标的名称、</w:t>
      </w:r>
      <w:r>
        <w:rPr>
          <w:rFonts w:hint="eastAsia" w:ascii="宋体" w:hAnsi="宋体" w:eastAsia="宋体" w:cs="宋体"/>
          <w:color w:val="auto"/>
          <w:szCs w:val="21"/>
          <w:highlight w:val="none"/>
        </w:rPr>
        <w:t>规格型号、品牌（如有）及制造商</w:t>
      </w:r>
      <w:r>
        <w:rPr>
          <w:rFonts w:hint="eastAsia" w:ascii="宋体" w:hAnsi="宋体" w:eastAsia="宋体" w:cs="宋体"/>
          <w:color w:val="auto"/>
          <w:szCs w:val="21"/>
          <w:highlight w:val="none"/>
          <w:lang w:val="zh-CN"/>
        </w:rPr>
        <w:t>、数量、单价等予以公示。</w:t>
      </w:r>
    </w:p>
    <w:p>
      <w:pPr>
        <w:keepNext w:val="0"/>
        <w:keepLines w:val="0"/>
        <w:pageBreakBefore w:val="0"/>
        <w:widowControl w:val="0"/>
        <w:kinsoku/>
        <w:wordWrap/>
        <w:overflowPunct/>
        <w:topLinePunct w:val="0"/>
        <w:autoSpaceDE/>
        <w:autoSpaceDN/>
        <w:bidi w:val="0"/>
        <w:adjustRightInd/>
        <w:snapToGrid/>
        <w:spacing w:line="360" w:lineRule="exact"/>
        <w:ind w:left="4335" w:hanging="240"/>
        <w:textAlignment w:val="auto"/>
        <w:rPr>
          <w:rFonts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exact"/>
        <w:ind w:left="4335" w:hanging="240"/>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exact"/>
        <w:ind w:left="4335" w:hanging="24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供应商名称（盖公章）：</w:t>
      </w:r>
    </w:p>
    <w:p>
      <w:pPr>
        <w:keepNext w:val="0"/>
        <w:keepLines w:val="0"/>
        <w:pageBreakBefore w:val="0"/>
        <w:widowControl w:val="0"/>
        <w:kinsoku/>
        <w:wordWrap/>
        <w:overflowPunct/>
        <w:topLinePunct w:val="0"/>
        <w:autoSpaceDE/>
        <w:autoSpaceDN/>
        <w:bidi w:val="0"/>
        <w:adjustRightInd/>
        <w:snapToGrid/>
        <w:spacing w:line="360" w:lineRule="exact"/>
        <w:ind w:firstLine="6480"/>
        <w:textAlignment w:val="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pPr>
        <w:keepNext/>
        <w:keepLines/>
        <w:spacing w:before="260" w:after="260" w:line="416" w:lineRule="auto"/>
        <w:jc w:val="center"/>
        <w:outlineLvl w:val="1"/>
        <w:rPr>
          <w:rFonts w:ascii="宋体" w:hAnsi="宋体" w:eastAsia="宋体" w:cs="宋体"/>
          <w:bCs/>
          <w:color w:val="auto"/>
          <w:sz w:val="32"/>
          <w:szCs w:val="32"/>
          <w:highlight w:val="none"/>
          <w:lang w:val="zh-CN"/>
        </w:rPr>
      </w:pPr>
      <w:bookmarkStart w:id="155" w:name="_Toc80205942"/>
      <w:bookmarkStart w:id="156" w:name="_Toc23320"/>
      <w:bookmarkStart w:id="157" w:name="_Toc13939"/>
      <w:r>
        <w:rPr>
          <w:rFonts w:hint="eastAsia" w:ascii="宋体" w:hAnsi="宋体" w:eastAsia="宋体" w:cs="宋体"/>
          <w:b/>
          <w:bCs/>
          <w:color w:val="auto"/>
          <w:sz w:val="32"/>
          <w:szCs w:val="32"/>
          <w:highlight w:val="none"/>
          <w:lang w:val="zh-CN"/>
        </w:rPr>
        <w:t>第四节 其他文书、文件格式</w:t>
      </w:r>
      <w:bookmarkEnd w:id="155"/>
      <w:bookmarkEnd w:id="156"/>
      <w:bookmarkEnd w:id="157"/>
    </w:p>
    <w:p>
      <w:pPr>
        <w:spacing w:line="500" w:lineRule="exact"/>
        <w:rPr>
          <w:rFonts w:ascii="宋体" w:hAnsi="宋体" w:eastAsia="宋体" w:cs="宋体"/>
          <w:b/>
          <w:color w:val="auto"/>
          <w:sz w:val="30"/>
          <w:szCs w:val="30"/>
          <w:highlight w:val="none"/>
          <w:lang w:val="zh-CN"/>
        </w:rPr>
      </w:pPr>
      <w:r>
        <w:rPr>
          <w:rFonts w:hint="eastAsia" w:ascii="宋体" w:hAnsi="宋体" w:eastAsia="宋体" w:cs="宋体"/>
          <w:b/>
          <w:color w:val="auto"/>
          <w:sz w:val="30"/>
          <w:szCs w:val="30"/>
          <w:highlight w:val="none"/>
        </w:rPr>
        <w:t>1.</w:t>
      </w:r>
      <w:r>
        <w:rPr>
          <w:rFonts w:hint="eastAsia" w:ascii="宋体" w:hAnsi="宋体" w:eastAsia="宋体" w:cs="宋体"/>
          <w:b/>
          <w:color w:val="auto"/>
          <w:sz w:val="30"/>
          <w:szCs w:val="30"/>
          <w:highlight w:val="none"/>
          <w:lang w:val="zh-CN"/>
        </w:rPr>
        <w:t>中小企业声明函的格式：</w:t>
      </w:r>
    </w:p>
    <w:p>
      <w:pPr>
        <w:pStyle w:val="18"/>
        <w:rPr>
          <w:rFonts w:ascii="宋体" w:hAnsi="宋体" w:cs="宋体"/>
          <w:color w:val="auto"/>
          <w:highlight w:val="none"/>
        </w:rPr>
      </w:pPr>
    </w:p>
    <w:p>
      <w:pPr>
        <w:spacing w:line="300" w:lineRule="auto"/>
        <w:ind w:firstLine="3534"/>
        <w:rPr>
          <w:rFonts w:ascii="宋体" w:hAnsi="宋体" w:eastAsia="宋体" w:cs="宋体"/>
          <w:color w:val="auto"/>
          <w:sz w:val="44"/>
          <w:szCs w:val="44"/>
          <w:highlight w:val="none"/>
        </w:rPr>
      </w:pPr>
      <w:r>
        <w:rPr>
          <w:rFonts w:hint="eastAsia" w:ascii="宋体" w:hAnsi="宋体" w:eastAsia="宋体" w:cs="宋体"/>
          <w:b/>
          <w:bCs/>
          <w:color w:val="auto"/>
          <w:sz w:val="32"/>
          <w:szCs w:val="32"/>
          <w:highlight w:val="none"/>
        </w:rPr>
        <w:t>中小企业声明函</w:t>
      </w:r>
    </w:p>
    <w:p>
      <w:pPr>
        <w:spacing w:line="360" w:lineRule="auto"/>
        <w:ind w:left="-426" w:right="142" w:firstLine="640"/>
        <w:contextualSpacing/>
        <w:rPr>
          <w:rFonts w:ascii="宋体" w:hAnsi="宋体" w:eastAsia="宋体" w:cs="宋体"/>
          <w:color w:val="auto"/>
          <w:sz w:val="24"/>
          <w:szCs w:val="24"/>
          <w:highlight w:val="none"/>
          <w:lang w:val="zh-CN"/>
        </w:rPr>
      </w:pPr>
    </w:p>
    <w:p>
      <w:pPr>
        <w:spacing w:line="360" w:lineRule="auto"/>
        <w:ind w:left="-426" w:right="142" w:firstLine="640"/>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（单位名称）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CN"/>
        </w:rPr>
        <w:t>的</w:t>
      </w:r>
      <w:r>
        <w:rPr>
          <w:rFonts w:hint="eastAsia" w:ascii="宋体" w:hAnsi="宋体" w:eastAsia="宋体" w:cs="宋体"/>
          <w:i/>
          <w:iCs/>
          <w:color w:val="auto"/>
          <w:sz w:val="24"/>
          <w:szCs w:val="24"/>
          <w:highlight w:val="none"/>
          <w:u w:val="single"/>
        </w:rPr>
        <w:t>（项目名称）</w:t>
      </w:r>
      <w:r>
        <w:rPr>
          <w:rFonts w:hint="eastAsia" w:ascii="宋体" w:hAnsi="宋体" w:eastAsia="宋体" w:cs="宋体"/>
          <w:color w:val="auto"/>
          <w:sz w:val="24"/>
          <w:szCs w:val="24"/>
          <w:highlight w:val="none"/>
          <w:lang w:val="zh-CN"/>
        </w:rPr>
        <w:t>采购活动，提供的货物全部由符合政策要求的中小企业制造。相关企业（含联合体中的中小企业、签订分包意向协议的中小企业）的具体情况如下：</w:t>
      </w:r>
    </w:p>
    <w:p>
      <w:pPr>
        <w:tabs>
          <w:tab w:val="left" w:pos="1384"/>
          <w:tab w:val="left" w:pos="4562"/>
          <w:tab w:val="left" w:pos="6803"/>
        </w:tabs>
        <w:spacing w:line="360" w:lineRule="auto"/>
        <w:ind w:left="-426" w:right="-58" w:firstLine="655"/>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pPr>
        <w:tabs>
          <w:tab w:val="left" w:pos="1065"/>
          <w:tab w:val="left" w:pos="6477"/>
        </w:tabs>
        <w:spacing w:line="360" w:lineRule="auto"/>
        <w:ind w:left="-426" w:right="-58" w:firstLine="655"/>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pPr>
        <w:spacing w:line="360" w:lineRule="auto"/>
        <w:ind w:left="142" w:right="142"/>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 </w:t>
      </w:r>
    </w:p>
    <w:p>
      <w:pPr>
        <w:spacing w:line="360" w:lineRule="auto"/>
        <w:ind w:left="-405" w:right="142" w:firstLine="453"/>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以上企业，不属于大企业的分支机构，不存在控股股东为大企业的情形，也不存在与大企业的负责人为同一人的情形。</w:t>
      </w:r>
    </w:p>
    <w:p>
      <w:pPr>
        <w:spacing w:line="360" w:lineRule="auto"/>
        <w:ind w:left="-426" w:right="142" w:firstLine="567"/>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本企业对上述声明内容的真实性负责。如有虚假，将依法承担相应责任。</w:t>
      </w:r>
    </w:p>
    <w:p>
      <w:pPr>
        <w:spacing w:line="360" w:lineRule="auto"/>
        <w:ind w:left="3960" w:right="1808"/>
        <w:contextualSpacing/>
        <w:rPr>
          <w:rFonts w:ascii="宋体" w:hAnsi="宋体" w:eastAsia="宋体" w:cs="宋体"/>
          <w:color w:val="auto"/>
          <w:sz w:val="24"/>
          <w:szCs w:val="24"/>
          <w:highlight w:val="none"/>
          <w:lang w:val="zh-CN"/>
        </w:rPr>
      </w:pPr>
    </w:p>
    <w:p>
      <w:pPr>
        <w:spacing w:line="360" w:lineRule="auto"/>
        <w:ind w:left="4335" w:hanging="24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供应商名称（盖公章）：</w:t>
      </w:r>
    </w:p>
    <w:p>
      <w:pPr>
        <w:spacing w:line="360" w:lineRule="auto"/>
        <w:ind w:firstLine="648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pPr>
        <w:spacing w:line="360" w:lineRule="auto"/>
        <w:ind w:left="3960" w:right="1808"/>
        <w:contextualSpacing/>
        <w:rPr>
          <w:rFonts w:ascii="宋体" w:hAnsi="宋体" w:eastAsia="宋体" w:cs="宋体"/>
          <w:color w:val="auto"/>
          <w:szCs w:val="24"/>
          <w:highlight w:val="none"/>
          <w:lang w:val="zh-CN"/>
        </w:rPr>
      </w:pPr>
    </w:p>
    <w:p>
      <w:pPr>
        <w:spacing w:line="360" w:lineRule="auto"/>
        <w:contextualSpacing/>
        <w:jc w:val="left"/>
        <w:rPr>
          <w:rFonts w:ascii="宋体" w:hAnsi="宋体" w:eastAsia="宋体" w:cs="宋体"/>
          <w:color w:val="auto"/>
          <w:szCs w:val="21"/>
          <w:highlight w:val="none"/>
        </w:rPr>
      </w:pPr>
    </w:p>
    <w:p>
      <w:pPr>
        <w:spacing w:line="400" w:lineRule="exact"/>
        <w:ind w:firstLine="480"/>
        <w:contextualSpacing/>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享受《政府采购促进中小企业发展管理办法》（财库〔2020〕46号）规定的中小企业扶持政策的，采购人或者采购代理机构应当随成交结果公开成交供应商的《中小企业声明函》，接受社会监督。从业人员、营业收入、资产总额填报上一年度数据，无上一年度数据的新成立企业可不填报。</w:t>
      </w:r>
    </w:p>
    <w:p>
      <w:pPr>
        <w:pStyle w:val="28"/>
        <w:rPr>
          <w:rFonts w:ascii="宋体" w:hAnsi="宋体" w:cs="宋体"/>
          <w:color w:val="auto"/>
          <w:sz w:val="24"/>
          <w:szCs w:val="24"/>
          <w:highlight w:val="none"/>
        </w:rPr>
      </w:pPr>
    </w:p>
    <w:p>
      <w:pPr>
        <w:spacing w:line="520" w:lineRule="exac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2.残疾人福利性单位声明函的格式：</w:t>
      </w:r>
    </w:p>
    <w:p>
      <w:pPr>
        <w:spacing w:line="520" w:lineRule="exact"/>
        <w:rPr>
          <w:rFonts w:ascii="宋体" w:hAnsi="宋体" w:eastAsia="宋体" w:cs="宋体"/>
          <w:b/>
          <w:color w:val="auto"/>
          <w:sz w:val="28"/>
          <w:szCs w:val="28"/>
          <w:highlight w:val="none"/>
        </w:rPr>
      </w:pPr>
    </w:p>
    <w:p>
      <w:pPr>
        <w:spacing w:line="520" w:lineRule="exac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残疾人福利性单位声明函</w:t>
      </w:r>
    </w:p>
    <w:p>
      <w:pPr>
        <w:spacing w:line="520" w:lineRule="exact"/>
        <w:rPr>
          <w:rFonts w:ascii="宋体" w:hAnsi="宋体" w:eastAsia="宋体" w:cs="宋体"/>
          <w:color w:val="auto"/>
          <w:sz w:val="32"/>
          <w:szCs w:val="32"/>
          <w:highlight w:val="none"/>
        </w:rPr>
      </w:pPr>
    </w:p>
    <w:p>
      <w:pPr>
        <w:spacing w:line="360" w:lineRule="auto"/>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pPr>
        <w:spacing w:line="360" w:lineRule="auto"/>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pPr>
        <w:spacing w:line="360" w:lineRule="auto"/>
        <w:contextualSpacing/>
        <w:rPr>
          <w:rFonts w:ascii="宋体" w:hAnsi="宋体" w:eastAsia="宋体" w:cs="宋体"/>
          <w:color w:val="auto"/>
          <w:sz w:val="24"/>
          <w:szCs w:val="24"/>
          <w:highlight w:val="none"/>
        </w:rPr>
      </w:pPr>
    </w:p>
    <w:p>
      <w:pPr>
        <w:spacing w:line="360" w:lineRule="auto"/>
        <w:contextualSpacing/>
        <w:rPr>
          <w:rFonts w:ascii="宋体" w:hAnsi="宋体" w:eastAsia="宋体" w:cs="宋体"/>
          <w:color w:val="auto"/>
          <w:sz w:val="24"/>
          <w:szCs w:val="24"/>
          <w:highlight w:val="none"/>
        </w:rPr>
      </w:pPr>
    </w:p>
    <w:p>
      <w:pPr>
        <w:spacing w:line="360" w:lineRule="auto"/>
        <w:contextualSpacing/>
        <w:rPr>
          <w:rFonts w:ascii="宋体" w:hAnsi="宋体" w:eastAsia="宋体" w:cs="宋体"/>
          <w:color w:val="auto"/>
          <w:sz w:val="24"/>
          <w:szCs w:val="24"/>
          <w:highlight w:val="none"/>
        </w:rPr>
      </w:pPr>
    </w:p>
    <w:p>
      <w:pPr>
        <w:spacing w:line="360" w:lineRule="auto"/>
        <w:ind w:firstLine="24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供应商名称（盖公章）：</w:t>
      </w:r>
    </w:p>
    <w:p>
      <w:pPr>
        <w:spacing w:line="360" w:lineRule="auto"/>
        <w:ind w:firstLine="432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     年   月   日</w:t>
      </w:r>
    </w:p>
    <w:p>
      <w:pPr>
        <w:spacing w:line="360" w:lineRule="auto"/>
        <w:contextualSpacing/>
        <w:rPr>
          <w:rFonts w:ascii="宋体" w:hAnsi="宋体" w:eastAsia="宋体" w:cs="宋体"/>
          <w:color w:val="auto"/>
          <w:sz w:val="24"/>
          <w:szCs w:val="24"/>
          <w:highlight w:val="none"/>
        </w:rPr>
      </w:pPr>
    </w:p>
    <w:p>
      <w:pPr>
        <w:spacing w:line="360" w:lineRule="auto"/>
        <w:contextualSpacing/>
        <w:rPr>
          <w:rFonts w:ascii="宋体" w:hAnsi="宋体" w:eastAsia="宋体" w:cs="宋体"/>
          <w:color w:val="auto"/>
          <w:sz w:val="24"/>
          <w:szCs w:val="24"/>
          <w:highlight w:val="none"/>
        </w:rPr>
      </w:pPr>
    </w:p>
    <w:p>
      <w:pPr>
        <w:spacing w:line="360" w:lineRule="auto"/>
        <w:contextualSpacing/>
        <w:rPr>
          <w:rFonts w:ascii="宋体" w:hAnsi="宋体" w:eastAsia="宋体" w:cs="宋体"/>
          <w:color w:val="auto"/>
          <w:sz w:val="24"/>
          <w:szCs w:val="24"/>
          <w:highlight w:val="none"/>
        </w:rPr>
      </w:pPr>
    </w:p>
    <w:p>
      <w:pPr>
        <w:spacing w:line="360" w:lineRule="auto"/>
        <w:ind w:firstLine="48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注：请根据自己的真实情况出具《残疾人福利性单位声明函》。依法享受中小企业扶持政策的，采购人或者采购代理机构在公告成交结果时，同时公告其《残疾人福利性单位声明函》，接受社会监督。</w:t>
      </w:r>
    </w:p>
    <w:p>
      <w:pPr>
        <w:pStyle w:val="28"/>
        <w:rPr>
          <w:rFonts w:ascii="宋体" w:hAnsi="宋体" w:cs="宋体"/>
          <w:color w:val="auto"/>
          <w:sz w:val="24"/>
          <w:szCs w:val="24"/>
          <w:highlight w:val="none"/>
        </w:rPr>
      </w:pPr>
    </w:p>
    <w:p>
      <w:pPr>
        <w:pStyle w:val="28"/>
        <w:rPr>
          <w:rFonts w:ascii="宋体" w:hAnsi="宋体" w:cs="宋体"/>
          <w:color w:val="auto"/>
          <w:sz w:val="24"/>
          <w:szCs w:val="24"/>
          <w:highlight w:val="none"/>
        </w:rPr>
      </w:pPr>
    </w:p>
    <w:p>
      <w:pPr>
        <w:pStyle w:val="28"/>
        <w:rPr>
          <w:rFonts w:ascii="宋体" w:hAnsi="宋体" w:cs="宋体"/>
          <w:color w:val="auto"/>
          <w:sz w:val="24"/>
          <w:szCs w:val="24"/>
          <w:highlight w:val="none"/>
        </w:rPr>
      </w:pPr>
    </w:p>
    <w:p>
      <w:pPr>
        <w:pStyle w:val="28"/>
        <w:rPr>
          <w:rFonts w:ascii="宋体" w:hAnsi="宋体" w:cs="宋体"/>
          <w:color w:val="auto"/>
          <w:sz w:val="24"/>
          <w:szCs w:val="24"/>
          <w:highlight w:val="none"/>
        </w:rPr>
      </w:pPr>
    </w:p>
    <w:p>
      <w:pPr>
        <w:pStyle w:val="28"/>
        <w:rPr>
          <w:rFonts w:ascii="宋体" w:hAnsi="宋体" w:cs="宋体"/>
          <w:color w:val="auto"/>
          <w:sz w:val="24"/>
          <w:szCs w:val="24"/>
          <w:highlight w:val="none"/>
        </w:rPr>
      </w:pPr>
    </w:p>
    <w:p>
      <w:pPr>
        <w:pStyle w:val="28"/>
        <w:rPr>
          <w:rFonts w:ascii="宋体" w:hAnsi="宋体" w:cs="宋体"/>
          <w:color w:val="auto"/>
          <w:sz w:val="24"/>
          <w:szCs w:val="24"/>
          <w:highlight w:val="none"/>
        </w:rPr>
      </w:pPr>
    </w:p>
    <w:p>
      <w:pPr>
        <w:pStyle w:val="28"/>
        <w:rPr>
          <w:rFonts w:ascii="宋体" w:hAnsi="宋体" w:cs="宋体"/>
          <w:color w:val="auto"/>
          <w:sz w:val="24"/>
          <w:szCs w:val="24"/>
          <w:highlight w:val="none"/>
        </w:rPr>
      </w:pPr>
    </w:p>
    <w:p>
      <w:pPr>
        <w:pStyle w:val="28"/>
        <w:rPr>
          <w:rFonts w:ascii="宋体" w:hAnsi="宋体" w:cs="宋体"/>
          <w:color w:val="auto"/>
          <w:sz w:val="24"/>
          <w:szCs w:val="24"/>
          <w:highlight w:val="none"/>
        </w:rPr>
      </w:pPr>
    </w:p>
    <w:p>
      <w:pPr>
        <w:pStyle w:val="28"/>
        <w:rPr>
          <w:rFonts w:ascii="宋体" w:hAnsi="宋体" w:cs="宋体"/>
          <w:color w:val="auto"/>
          <w:sz w:val="24"/>
          <w:szCs w:val="24"/>
          <w:highlight w:val="none"/>
        </w:rPr>
      </w:pPr>
    </w:p>
    <w:p>
      <w:pPr>
        <w:pStyle w:val="28"/>
        <w:rPr>
          <w:rFonts w:ascii="宋体" w:hAnsi="宋体" w:cs="宋体"/>
          <w:color w:val="auto"/>
          <w:sz w:val="24"/>
          <w:szCs w:val="24"/>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hint="eastAsia" w:ascii="宋体" w:hAnsi="宋体" w:cs="宋体"/>
          <w:b/>
          <w:color w:val="auto"/>
          <w:sz w:val="28"/>
          <w:szCs w:val="28"/>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b/>
          <w:color w:val="auto"/>
          <w:sz w:val="30"/>
          <w:szCs w:val="30"/>
          <w:highlight w:val="none"/>
        </w:rPr>
      </w:pPr>
      <w:r>
        <w:rPr>
          <w:rFonts w:hint="eastAsia" w:ascii="宋体" w:hAnsi="宋体" w:cs="宋体"/>
          <w:b/>
          <w:color w:val="auto"/>
          <w:sz w:val="28"/>
          <w:szCs w:val="28"/>
          <w:highlight w:val="none"/>
        </w:rPr>
        <w:t>3.关于符合本国产品标准的声明函的格式：</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center"/>
        <w:rPr>
          <w:rFonts w:ascii="宋体" w:hAnsi="宋体" w:cs="宋体"/>
          <w:b/>
          <w:color w:val="auto"/>
          <w:sz w:val="30"/>
          <w:szCs w:val="30"/>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center"/>
        <w:rPr>
          <w:rFonts w:ascii="宋体" w:hAnsi="宋体" w:cs="宋体"/>
          <w:color w:val="auto"/>
          <w:highlight w:val="none"/>
        </w:rPr>
      </w:pPr>
      <w:r>
        <w:rPr>
          <w:rFonts w:hint="eastAsia" w:ascii="宋体" w:hAnsi="宋体" w:cs="宋体"/>
          <w:b/>
          <w:color w:val="auto"/>
          <w:sz w:val="30"/>
          <w:szCs w:val="30"/>
          <w:highlight w:val="none"/>
        </w:rPr>
        <w:t>关于符合本国产品标准的声明函</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ind w:firstLine="420"/>
        <w:rPr>
          <w:rFonts w:ascii="宋体" w:hAnsi="宋体" w:cs="宋体"/>
          <w:color w:val="auto"/>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highlight w:val="none"/>
        </w:rPr>
      </w:pPr>
      <w:r>
        <w:rPr>
          <w:rFonts w:hint="eastAsia" w:ascii="宋体" w:hAnsi="宋体" w:cs="宋体"/>
          <w:color w:val="auto"/>
          <w:highlight w:val="none"/>
        </w:rPr>
        <w:t>本公司（单位）郑重声明，根据《国务院办公厅关于在政府采购中实施本国产品标准及相关政策的通知》（国办发〔2025〕34号）的规定，本公司（单位）提供的以下产品属于本国产品。具体情况如下：</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highlight w:val="none"/>
        </w:rPr>
      </w:pPr>
      <w:r>
        <w:rPr>
          <w:rFonts w:hint="eastAsia" w:ascii="宋体" w:hAnsi="宋体" w:cs="宋体"/>
          <w:color w:val="auto"/>
          <w:highlight w:val="none"/>
        </w:rPr>
        <w:t>1.</w:t>
      </w:r>
      <w:r>
        <w:rPr>
          <w:rStyle w:val="51"/>
          <w:rFonts w:hint="eastAsia" w:ascii="宋体" w:hAnsi="宋体" w:cs="宋体"/>
          <w:i w:val="0"/>
          <w:color w:val="auto"/>
          <w:highlight w:val="none"/>
          <w:u w:val="single"/>
          <w:shd w:val="clear" w:color="auto" w:fill="FFFFFF"/>
        </w:rPr>
        <w:t>（产品名称1）</w:t>
      </w:r>
      <w:r>
        <w:rPr>
          <w:rStyle w:val="51"/>
          <w:rFonts w:hint="eastAsia" w:ascii="宋体" w:hAnsi="宋体" w:cs="宋体"/>
          <w:i w:val="0"/>
          <w:color w:val="auto"/>
          <w:highlight w:val="none"/>
          <w:shd w:val="clear" w:color="auto" w:fill="FFFFFF"/>
          <w:vertAlign w:val="superscript"/>
        </w:rPr>
        <w:t>1</w:t>
      </w:r>
      <w:r>
        <w:rPr>
          <w:rFonts w:hint="eastAsia" w:ascii="宋体" w:hAnsi="宋体" w:cs="宋体"/>
          <w:color w:val="auto"/>
          <w:highlight w:val="none"/>
          <w:shd w:val="clear" w:color="auto" w:fill="FFFFFF"/>
        </w:rPr>
        <w:t>，生产厂为</w:t>
      </w:r>
      <w:r>
        <w:rPr>
          <w:rStyle w:val="51"/>
          <w:rFonts w:hint="eastAsia" w:ascii="宋体" w:hAnsi="宋体" w:cs="宋体"/>
          <w:i w:val="0"/>
          <w:color w:val="auto"/>
          <w:highlight w:val="none"/>
          <w:u w:val="single"/>
          <w:shd w:val="clear" w:color="auto" w:fill="FFFFFF"/>
        </w:rPr>
        <w:t>（厂名）</w:t>
      </w:r>
      <w:r>
        <w:rPr>
          <w:rStyle w:val="51"/>
          <w:rFonts w:hint="eastAsia" w:ascii="宋体" w:hAnsi="宋体" w:cs="宋体"/>
          <w:i w:val="0"/>
          <w:color w:val="auto"/>
          <w:highlight w:val="none"/>
          <w:shd w:val="clear" w:color="auto" w:fill="FFFFFF"/>
          <w:vertAlign w:val="superscript"/>
        </w:rPr>
        <w:t>2</w:t>
      </w:r>
      <w:r>
        <w:rPr>
          <w:rFonts w:hint="eastAsia" w:ascii="宋体" w:hAnsi="宋体" w:cs="宋体"/>
          <w:color w:val="auto"/>
          <w:highlight w:val="none"/>
          <w:shd w:val="clear" w:color="auto" w:fill="FFFFFF"/>
        </w:rPr>
        <w:t>，厂址为</w:t>
      </w:r>
      <w:r>
        <w:rPr>
          <w:rStyle w:val="51"/>
          <w:rFonts w:hint="eastAsia" w:ascii="宋体" w:hAnsi="宋体" w:cs="宋体"/>
          <w:i w:val="0"/>
          <w:color w:val="auto"/>
          <w:highlight w:val="none"/>
          <w:u w:val="single"/>
          <w:shd w:val="clear" w:color="auto" w:fill="FFFFFF"/>
        </w:rPr>
        <w:t>（生产厂址）</w:t>
      </w:r>
      <w:r>
        <w:rPr>
          <w:rFonts w:hint="eastAsia" w:ascii="宋体" w:hAnsi="宋体" w:cs="宋体"/>
          <w:color w:val="auto"/>
          <w:highlight w:val="none"/>
          <w:shd w:val="clear" w:color="auto" w:fill="FFFFFF"/>
        </w:rPr>
        <w:t>。</w:t>
      </w:r>
      <w:r>
        <w:rPr>
          <w:rStyle w:val="51"/>
          <w:rFonts w:hint="eastAsia" w:ascii="宋体" w:hAnsi="宋体" w:cs="宋体"/>
          <w:i w:val="0"/>
          <w:color w:val="auto"/>
          <w:highlight w:val="none"/>
          <w:u w:val="single"/>
          <w:shd w:val="clear" w:color="auto" w:fill="FFFFFF"/>
        </w:rPr>
        <w:t>（产品名称1）</w:t>
      </w:r>
      <w:r>
        <w:rPr>
          <w:rFonts w:hint="eastAsia" w:ascii="宋体" w:hAnsi="宋体" w:cs="宋体"/>
          <w:color w:val="auto"/>
          <w:highlight w:val="none"/>
          <w:shd w:val="clear" w:color="auto" w:fill="FFFFFF"/>
        </w:rPr>
        <w:t>的中国境内生产的组件成本占比≥</w:t>
      </w:r>
      <w:r>
        <w:rPr>
          <w:rStyle w:val="51"/>
          <w:rFonts w:hint="eastAsia" w:ascii="宋体" w:hAnsi="宋体" w:cs="宋体"/>
          <w:i w:val="0"/>
          <w:color w:val="auto"/>
          <w:highlight w:val="none"/>
          <w:u w:val="single"/>
          <w:shd w:val="clear" w:color="auto" w:fill="FFFFFF"/>
        </w:rPr>
        <w:t>（规定比例）</w:t>
      </w:r>
      <w:r>
        <w:rPr>
          <w:rStyle w:val="51"/>
          <w:rFonts w:hint="eastAsia" w:ascii="宋体" w:hAnsi="宋体" w:cs="宋体"/>
          <w:i w:val="0"/>
          <w:color w:val="auto"/>
          <w:highlight w:val="none"/>
          <w:shd w:val="clear" w:color="auto" w:fill="FFFFFF"/>
          <w:vertAlign w:val="superscript"/>
        </w:rPr>
        <w:t>3</w:t>
      </w:r>
      <w:r>
        <w:rPr>
          <w:rFonts w:hint="eastAsia" w:ascii="宋体" w:hAnsi="宋体" w:cs="宋体"/>
          <w:color w:val="auto"/>
          <w:highlight w:val="none"/>
          <w:shd w:val="clear" w:color="auto" w:fill="FFFFFF"/>
        </w:rPr>
        <w:t>。</w:t>
      </w:r>
      <w:r>
        <w:rPr>
          <w:rStyle w:val="51"/>
          <w:rFonts w:hint="eastAsia" w:ascii="宋体" w:hAnsi="宋体" w:cs="宋体"/>
          <w:i w:val="0"/>
          <w:color w:val="auto"/>
          <w:highlight w:val="none"/>
          <w:u w:val="single"/>
          <w:shd w:val="clear" w:color="auto" w:fill="FFFFFF"/>
        </w:rPr>
        <w:t>（产品名称1）</w:t>
      </w:r>
      <w:r>
        <w:rPr>
          <w:rFonts w:hint="eastAsia" w:ascii="宋体" w:hAnsi="宋体" w:cs="宋体"/>
          <w:color w:val="auto"/>
          <w:highlight w:val="none"/>
          <w:shd w:val="clear" w:color="auto" w:fill="FFFFFF"/>
        </w:rPr>
        <w:t>的</w:t>
      </w:r>
      <w:r>
        <w:rPr>
          <w:rStyle w:val="51"/>
          <w:rFonts w:hint="eastAsia" w:ascii="宋体" w:hAnsi="宋体" w:cs="宋体"/>
          <w:i w:val="0"/>
          <w:color w:val="auto"/>
          <w:highlight w:val="none"/>
          <w:u w:val="single"/>
          <w:shd w:val="clear" w:color="auto" w:fill="FFFFFF"/>
        </w:rPr>
        <w:t>（关键组件）</w:t>
      </w:r>
      <w:r>
        <w:rPr>
          <w:rStyle w:val="51"/>
          <w:rFonts w:hint="eastAsia" w:ascii="宋体" w:hAnsi="宋体" w:cs="宋体"/>
          <w:i w:val="0"/>
          <w:color w:val="auto"/>
          <w:highlight w:val="none"/>
          <w:shd w:val="clear" w:color="auto" w:fill="FFFFFF"/>
          <w:vertAlign w:val="superscript"/>
        </w:rPr>
        <w:t>4</w:t>
      </w:r>
      <w:r>
        <w:rPr>
          <w:rFonts w:hint="eastAsia" w:ascii="宋体" w:hAnsi="宋体" w:cs="宋体"/>
          <w:color w:val="auto"/>
          <w:highlight w:val="none"/>
          <w:shd w:val="clear" w:color="auto" w:fill="FFFFFF"/>
        </w:rPr>
        <w:t>在中国境内生产。</w:t>
      </w:r>
      <w:r>
        <w:rPr>
          <w:rStyle w:val="51"/>
          <w:rFonts w:hint="eastAsia" w:ascii="宋体" w:hAnsi="宋体" w:cs="宋体"/>
          <w:i w:val="0"/>
          <w:color w:val="auto"/>
          <w:highlight w:val="none"/>
          <w:u w:val="single"/>
          <w:shd w:val="clear" w:color="auto" w:fill="FFFFFF"/>
        </w:rPr>
        <w:t>（产品名称1）</w:t>
      </w:r>
      <w:r>
        <w:rPr>
          <w:rFonts w:hint="eastAsia" w:ascii="宋体" w:hAnsi="宋体" w:cs="宋体"/>
          <w:color w:val="auto"/>
          <w:highlight w:val="none"/>
          <w:shd w:val="clear" w:color="auto" w:fill="FFFFFF"/>
        </w:rPr>
        <w:t>的</w:t>
      </w:r>
      <w:r>
        <w:rPr>
          <w:rStyle w:val="51"/>
          <w:rFonts w:hint="eastAsia" w:ascii="宋体" w:hAnsi="宋体" w:cs="宋体"/>
          <w:i w:val="0"/>
          <w:color w:val="auto"/>
          <w:highlight w:val="none"/>
          <w:u w:val="single"/>
          <w:shd w:val="clear" w:color="auto" w:fill="FFFFFF"/>
        </w:rPr>
        <w:t>（关键工序）</w:t>
      </w:r>
      <w:r>
        <w:rPr>
          <w:rStyle w:val="51"/>
          <w:rFonts w:hint="eastAsia" w:ascii="宋体" w:hAnsi="宋体" w:cs="宋体"/>
          <w:i w:val="0"/>
          <w:color w:val="auto"/>
          <w:highlight w:val="none"/>
          <w:shd w:val="clear" w:color="auto" w:fill="FFFFFF"/>
          <w:vertAlign w:val="superscript"/>
        </w:rPr>
        <w:t>5</w:t>
      </w:r>
      <w:r>
        <w:rPr>
          <w:rFonts w:hint="eastAsia" w:ascii="宋体" w:hAnsi="宋体" w:cs="宋体"/>
          <w:color w:val="auto"/>
          <w:highlight w:val="none"/>
          <w:shd w:val="clear" w:color="auto" w:fill="FFFFFF"/>
        </w:rPr>
        <w:t>在中国境内完成。</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highlight w:val="none"/>
        </w:rPr>
      </w:pPr>
      <w:r>
        <w:rPr>
          <w:rFonts w:hint="eastAsia" w:ascii="宋体" w:hAnsi="宋体" w:cs="宋体"/>
          <w:color w:val="auto"/>
          <w:highlight w:val="none"/>
        </w:rPr>
        <w:t>2.</w:t>
      </w:r>
      <w:r>
        <w:rPr>
          <w:rStyle w:val="51"/>
          <w:rFonts w:hint="eastAsia" w:ascii="宋体" w:hAnsi="宋体" w:cs="宋体"/>
          <w:i w:val="0"/>
          <w:color w:val="auto"/>
          <w:highlight w:val="none"/>
          <w:u w:val="single"/>
          <w:shd w:val="clear" w:color="auto" w:fill="FFFFFF"/>
        </w:rPr>
        <w:t>（产品名称2）</w:t>
      </w:r>
      <w:r>
        <w:rPr>
          <w:rFonts w:hint="eastAsia" w:ascii="宋体" w:hAnsi="宋体" w:cs="宋体"/>
          <w:color w:val="auto"/>
          <w:highlight w:val="none"/>
          <w:shd w:val="clear" w:color="auto" w:fill="FFFFFF"/>
        </w:rPr>
        <w:t>，生产厂为</w:t>
      </w:r>
      <w:r>
        <w:rPr>
          <w:rStyle w:val="51"/>
          <w:rFonts w:hint="eastAsia" w:ascii="宋体" w:hAnsi="宋体" w:cs="宋体"/>
          <w:i w:val="0"/>
          <w:color w:val="auto"/>
          <w:highlight w:val="none"/>
          <w:u w:val="single"/>
          <w:shd w:val="clear" w:color="auto" w:fill="FFFFFF"/>
        </w:rPr>
        <w:t>（厂名）</w:t>
      </w:r>
      <w:r>
        <w:rPr>
          <w:rFonts w:hint="eastAsia" w:ascii="宋体" w:hAnsi="宋体" w:cs="宋体"/>
          <w:color w:val="auto"/>
          <w:highlight w:val="none"/>
          <w:shd w:val="clear" w:color="auto" w:fill="FFFFFF"/>
        </w:rPr>
        <w:t>，厂址为</w:t>
      </w:r>
      <w:r>
        <w:rPr>
          <w:rStyle w:val="51"/>
          <w:rFonts w:hint="eastAsia" w:ascii="宋体" w:hAnsi="宋体" w:cs="宋体"/>
          <w:i w:val="0"/>
          <w:color w:val="auto"/>
          <w:highlight w:val="none"/>
          <w:u w:val="single"/>
          <w:shd w:val="clear" w:color="auto" w:fill="FFFFFF"/>
        </w:rPr>
        <w:t>（生产厂址）</w:t>
      </w:r>
      <w:r>
        <w:rPr>
          <w:rFonts w:hint="eastAsia" w:ascii="宋体" w:hAnsi="宋体" w:cs="宋体"/>
          <w:color w:val="auto"/>
          <w:highlight w:val="none"/>
          <w:shd w:val="clear" w:color="auto" w:fill="FFFFFF"/>
        </w:rPr>
        <w:t>。</w:t>
      </w:r>
      <w:r>
        <w:rPr>
          <w:rStyle w:val="51"/>
          <w:rFonts w:hint="eastAsia" w:ascii="宋体" w:hAnsi="宋体" w:cs="宋体"/>
          <w:i w:val="0"/>
          <w:color w:val="auto"/>
          <w:highlight w:val="none"/>
          <w:u w:val="single"/>
          <w:shd w:val="clear" w:color="auto" w:fill="FFFFFF"/>
        </w:rPr>
        <w:t>（产品名称2）</w:t>
      </w:r>
      <w:r>
        <w:rPr>
          <w:rFonts w:hint="eastAsia" w:ascii="宋体" w:hAnsi="宋体" w:cs="宋体"/>
          <w:color w:val="auto"/>
          <w:highlight w:val="none"/>
          <w:shd w:val="clear" w:color="auto" w:fill="FFFFFF"/>
        </w:rPr>
        <w:t>的中国境内生产的组件成本占比≥</w:t>
      </w:r>
      <w:r>
        <w:rPr>
          <w:rStyle w:val="51"/>
          <w:rFonts w:hint="eastAsia" w:ascii="宋体" w:hAnsi="宋体" w:cs="宋体"/>
          <w:i w:val="0"/>
          <w:color w:val="auto"/>
          <w:highlight w:val="none"/>
          <w:u w:val="single"/>
          <w:shd w:val="clear" w:color="auto" w:fill="FFFFFF"/>
        </w:rPr>
        <w:t>（规定比例）</w:t>
      </w:r>
      <w:r>
        <w:rPr>
          <w:rFonts w:hint="eastAsia" w:ascii="宋体" w:hAnsi="宋体" w:cs="宋体"/>
          <w:color w:val="auto"/>
          <w:highlight w:val="none"/>
          <w:shd w:val="clear" w:color="auto" w:fill="FFFFFF"/>
        </w:rPr>
        <w:t>。</w:t>
      </w:r>
      <w:r>
        <w:rPr>
          <w:rStyle w:val="51"/>
          <w:rFonts w:hint="eastAsia" w:ascii="宋体" w:hAnsi="宋体" w:cs="宋体"/>
          <w:i w:val="0"/>
          <w:color w:val="auto"/>
          <w:highlight w:val="none"/>
          <w:u w:val="single"/>
          <w:shd w:val="clear" w:color="auto" w:fill="FFFFFF"/>
        </w:rPr>
        <w:t>（产品名称2）</w:t>
      </w:r>
      <w:r>
        <w:rPr>
          <w:rFonts w:hint="eastAsia" w:ascii="宋体" w:hAnsi="宋体" w:cs="宋体"/>
          <w:color w:val="auto"/>
          <w:highlight w:val="none"/>
          <w:shd w:val="clear" w:color="auto" w:fill="FFFFFF"/>
        </w:rPr>
        <w:t>的</w:t>
      </w:r>
      <w:r>
        <w:rPr>
          <w:rStyle w:val="51"/>
          <w:rFonts w:hint="eastAsia" w:ascii="宋体" w:hAnsi="宋体" w:cs="宋体"/>
          <w:i w:val="0"/>
          <w:color w:val="auto"/>
          <w:highlight w:val="none"/>
          <w:u w:val="single"/>
          <w:shd w:val="clear" w:color="auto" w:fill="FFFFFF"/>
        </w:rPr>
        <w:t>（关键组件）</w:t>
      </w:r>
      <w:r>
        <w:rPr>
          <w:rFonts w:hint="eastAsia" w:ascii="宋体" w:hAnsi="宋体" w:cs="宋体"/>
          <w:color w:val="auto"/>
          <w:highlight w:val="none"/>
          <w:shd w:val="clear" w:color="auto" w:fill="FFFFFF"/>
        </w:rPr>
        <w:t>在中国境内生产。</w:t>
      </w:r>
      <w:r>
        <w:rPr>
          <w:rStyle w:val="51"/>
          <w:rFonts w:hint="eastAsia" w:ascii="宋体" w:hAnsi="宋体" w:cs="宋体"/>
          <w:i w:val="0"/>
          <w:color w:val="auto"/>
          <w:highlight w:val="none"/>
          <w:u w:val="single"/>
          <w:shd w:val="clear" w:color="auto" w:fill="FFFFFF"/>
        </w:rPr>
        <w:t>（产品名称2）</w:t>
      </w:r>
      <w:r>
        <w:rPr>
          <w:rFonts w:hint="eastAsia" w:ascii="宋体" w:hAnsi="宋体" w:cs="宋体"/>
          <w:color w:val="auto"/>
          <w:highlight w:val="none"/>
          <w:shd w:val="clear" w:color="auto" w:fill="FFFFFF"/>
        </w:rPr>
        <w:t>的</w:t>
      </w:r>
      <w:r>
        <w:rPr>
          <w:rStyle w:val="51"/>
          <w:rFonts w:hint="eastAsia" w:ascii="宋体" w:hAnsi="宋体" w:cs="宋体"/>
          <w:i w:val="0"/>
          <w:color w:val="auto"/>
          <w:highlight w:val="none"/>
          <w:u w:val="single"/>
          <w:shd w:val="clear" w:color="auto" w:fill="FFFFFF"/>
        </w:rPr>
        <w:t>（关键工序）</w:t>
      </w:r>
      <w:r>
        <w:rPr>
          <w:rFonts w:hint="eastAsia" w:ascii="宋体" w:hAnsi="宋体" w:cs="宋体"/>
          <w:color w:val="auto"/>
          <w:highlight w:val="none"/>
          <w:shd w:val="clear" w:color="auto" w:fill="FFFFFF"/>
        </w:rPr>
        <w:t>在中国境内完成。</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highlight w:val="none"/>
        </w:rPr>
      </w:pPr>
      <w:r>
        <w:rPr>
          <w:rFonts w:hint="eastAsia" w:ascii="宋体" w:hAnsi="宋体" w:cs="宋体"/>
          <w:color w:val="auto"/>
          <w:highlight w:val="none"/>
        </w:rPr>
        <w:t>……</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highlight w:val="none"/>
        </w:rPr>
      </w:pPr>
      <w:r>
        <w:rPr>
          <w:rFonts w:hint="eastAsia" w:ascii="宋体" w:hAnsi="宋体" w:cs="宋体"/>
          <w:color w:val="auto"/>
          <w:highlight w:val="none"/>
        </w:rPr>
        <w:t>本公司（单位）对上述声明内容的真实性负责。如有虚假，愿承担相应法律责任。</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rPr>
          <w:rFonts w:ascii="宋体" w:hAnsi="宋体" w:cs="宋体"/>
          <w:color w:val="auto"/>
          <w:highlight w:val="none"/>
        </w:rPr>
      </w:pP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jc w:val="right"/>
        <w:rPr>
          <w:rFonts w:ascii="宋体" w:hAnsi="宋体" w:cs="宋体"/>
          <w:color w:val="auto"/>
          <w:highlight w:val="none"/>
        </w:rPr>
      </w:pPr>
      <w:r>
        <w:rPr>
          <w:rFonts w:hint="eastAsia" w:ascii="宋体" w:hAnsi="宋体" w:cs="宋体"/>
          <w:color w:val="auto"/>
          <w:highlight w:val="none"/>
        </w:rPr>
        <w:t>公司（单位）名称（盖章）：　        </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jc w:val="right"/>
        <w:rPr>
          <w:rFonts w:ascii="宋体" w:hAnsi="宋体" w:cs="宋体"/>
          <w:color w:val="auto"/>
          <w:highlight w:val="none"/>
        </w:rPr>
      </w:pPr>
      <w:r>
        <w:rPr>
          <w:rFonts w:hint="eastAsia" w:ascii="宋体" w:hAnsi="宋体" w:cs="宋体"/>
          <w:color w:val="auto"/>
          <w:highlight w:val="none"/>
        </w:rPr>
        <w:t>日期：　     年　  月　  日         </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jc w:val="left"/>
        <w:rPr>
          <w:rFonts w:ascii="宋体" w:hAnsi="宋体" w:cs="宋体"/>
          <w:color w:val="auto"/>
          <w:highlight w:val="none"/>
        </w:rPr>
      </w:pPr>
      <w:r>
        <w:rPr>
          <w:rFonts w:hint="eastAsia" w:ascii="宋体" w:hAnsi="宋体" w:cs="宋体"/>
          <w:color w:val="auto"/>
          <w:highlight w:val="none"/>
        </w:rPr>
        <w:t>__________________</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1.产品如有型号，请在“产品名称”栏一并填写。</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2.生产厂名与厂址应与生产厂营业执照载明的相关信息保持一致。</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3.该产品的中国境内生产的组件成本占比相关要求实施前，“规定比例”栏可不填，下同。</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4.该产品的关键组件要求实施前，“关键组件”栏可不填，下同。</w:t>
      </w:r>
    </w:p>
    <w:p>
      <w:pPr>
        <w:spacing w:line="360" w:lineRule="auto"/>
        <w:ind w:right="420" w:firstLine="420"/>
        <w:rPr>
          <w:rFonts w:ascii="宋体" w:hAnsi="宋体" w:eastAsia="宋体" w:cs="宋体"/>
          <w:color w:val="auto"/>
          <w:szCs w:val="21"/>
          <w:highlight w:val="none"/>
        </w:rPr>
      </w:pPr>
      <w:r>
        <w:rPr>
          <w:rFonts w:hint="eastAsia" w:ascii="宋体" w:hAnsi="宋体" w:eastAsia="宋体" w:cs="宋体"/>
          <w:color w:val="auto"/>
          <w:szCs w:val="21"/>
          <w:highlight w:val="none"/>
        </w:rPr>
        <w:t>5.该产品的关键工序要求实施前，“关键工序”栏可不填，下同。</w:t>
      </w:r>
    </w:p>
    <w:p>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center"/>
        <w:rPr>
          <w:rFonts w:ascii="宋体" w:hAnsi="宋体" w:cs="宋体"/>
          <w:color w:val="auto"/>
          <w:highlight w:val="none"/>
          <w:shd w:val="clear" w:color="auto" w:fill="FFFFFF"/>
        </w:rPr>
      </w:pPr>
    </w:p>
    <w:p>
      <w:pPr>
        <w:pStyle w:val="28"/>
        <w:rPr>
          <w:rFonts w:ascii="宋体" w:hAnsi="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lang w:val="en-US"/>
        </w:rPr>
        <w:t>注：</w:t>
      </w:r>
      <w:r>
        <w:rPr>
          <w:rFonts w:hint="eastAsia" w:ascii="宋体" w:hAnsi="宋体" w:cs="宋体"/>
          <w:color w:val="auto"/>
          <w:sz w:val="24"/>
          <w:szCs w:val="24"/>
          <w:highlight w:val="none"/>
          <w:shd w:val="clear" w:color="auto" w:fill="FFFFFF"/>
        </w:rPr>
        <w:t>成交供应商提供的《声明函》或有关证明文件随成交结果同时公告。</w:t>
      </w:r>
    </w:p>
    <w:p>
      <w:pPr>
        <w:rPr>
          <w:rFonts w:ascii="宋体" w:hAnsi="宋体" w:eastAsia="宋体" w:cs="宋体"/>
          <w:color w:val="auto"/>
          <w:sz w:val="24"/>
          <w:szCs w:val="24"/>
          <w:highlight w:val="none"/>
          <w:shd w:val="clear" w:color="auto" w:fill="FFFFFF"/>
        </w:rPr>
      </w:pPr>
    </w:p>
    <w:p>
      <w:pPr>
        <w:rPr>
          <w:rFonts w:ascii="宋体" w:hAnsi="宋体" w:eastAsia="宋体" w:cs="宋体"/>
          <w:color w:val="auto"/>
          <w:sz w:val="24"/>
          <w:szCs w:val="24"/>
          <w:highlight w:val="none"/>
          <w:shd w:val="clear" w:color="auto" w:fill="FFFFFF"/>
        </w:rPr>
      </w:pPr>
    </w:p>
    <w:p>
      <w:pPr>
        <w:rPr>
          <w:rFonts w:ascii="宋体" w:hAnsi="宋体" w:eastAsia="宋体" w:cs="宋体"/>
          <w:color w:val="auto"/>
          <w:sz w:val="24"/>
          <w:szCs w:val="24"/>
          <w:highlight w:val="none"/>
          <w:shd w:val="clear" w:color="auto" w:fill="FFFFFF"/>
        </w:rPr>
      </w:pPr>
    </w:p>
    <w:p>
      <w:pPr>
        <w:widowControl/>
        <w:shd w:val="clear" w:color="auto" w:fill="FFFFFF"/>
        <w:spacing w:line="480" w:lineRule="atLeast"/>
        <w:rPr>
          <w:rFonts w:hint="eastAsia" w:ascii="宋体" w:hAnsi="宋体" w:eastAsia="宋体" w:cs="宋体"/>
          <w:b/>
          <w:color w:val="auto"/>
          <w:sz w:val="28"/>
          <w:szCs w:val="28"/>
          <w:highlight w:val="none"/>
          <w:lang w:val="en-US" w:eastAsia="zh-CN" w:bidi="ar-SA"/>
        </w:rPr>
      </w:pPr>
      <w:r>
        <w:rPr>
          <w:rFonts w:hint="eastAsia" w:ascii="宋体" w:hAnsi="宋体" w:eastAsia="宋体" w:cs="宋体"/>
          <w:b/>
          <w:color w:val="auto"/>
          <w:sz w:val="28"/>
          <w:szCs w:val="28"/>
          <w:highlight w:val="none"/>
          <w:lang w:val="en-US" w:eastAsia="zh-CN" w:bidi="ar-SA"/>
        </w:rPr>
        <w:t>4.广西壮族自治区政府采购项目合同验收书的格式：</w:t>
      </w:r>
    </w:p>
    <w:p>
      <w:pPr>
        <w:widowControl/>
        <w:shd w:val="clear" w:color="auto" w:fill="FFFFFF"/>
        <w:spacing w:line="480" w:lineRule="atLeast"/>
        <w:jc w:val="center"/>
        <w:rPr>
          <w:rFonts w:ascii="宋体" w:hAnsi="宋体" w:eastAsia="宋体" w:cs="宋体"/>
          <w:color w:val="auto"/>
          <w:sz w:val="32"/>
          <w:szCs w:val="32"/>
          <w:highlight w:val="none"/>
        </w:rPr>
      </w:pPr>
      <w:r>
        <w:rPr>
          <w:rFonts w:hint="eastAsia" w:ascii="宋体" w:hAnsi="宋体" w:eastAsia="宋体" w:cs="宋体"/>
          <w:b/>
          <w:bCs/>
          <w:color w:val="auto"/>
          <w:sz w:val="32"/>
          <w:szCs w:val="32"/>
          <w:highlight w:val="none"/>
        </w:rPr>
        <w:t>广西壮族自治区政府采购项目合同验收书</w:t>
      </w:r>
    </w:p>
    <w:p>
      <w:pPr>
        <w:widowControl/>
        <w:shd w:val="clear" w:color="auto" w:fill="FFFFFF"/>
        <w:spacing w:line="320" w:lineRule="atLeast"/>
        <w:ind w:firstLine="480"/>
        <w:jc w:val="left"/>
        <w:rPr>
          <w:rFonts w:ascii="宋体" w:hAnsi="宋体" w:eastAsia="宋体" w:cs="宋体"/>
          <w:color w:val="auto"/>
          <w:szCs w:val="21"/>
          <w:highlight w:val="none"/>
        </w:rPr>
      </w:pPr>
      <w:r>
        <w:rPr>
          <w:rFonts w:hint="eastAsia" w:ascii="宋体" w:hAnsi="宋体" w:eastAsia="宋体" w:cs="宋体"/>
          <w:color w:val="auto"/>
          <w:szCs w:val="21"/>
          <w:highlight w:val="none"/>
        </w:rPr>
        <w:t>根据政府采购项目（</w:t>
      </w:r>
      <w:r>
        <w:rPr>
          <w:rFonts w:hint="eastAsia" w:ascii="宋体" w:hAnsi="宋体" w:eastAsia="宋体" w:cs="宋体"/>
          <w:color w:val="auto"/>
          <w:szCs w:val="21"/>
          <w:highlight w:val="none"/>
          <w:u w:val="single"/>
        </w:rPr>
        <w:t xml:space="preserve">采购合同编号： </w:t>
      </w:r>
      <w:r>
        <w:rPr>
          <w:rFonts w:hint="eastAsia" w:ascii="宋体" w:hAnsi="宋体" w:eastAsia="宋体" w:cs="宋体"/>
          <w:color w:val="auto"/>
          <w:szCs w:val="21"/>
          <w:highlight w:val="none"/>
        </w:rPr>
        <w:t>）的约定，我单位对（</w:t>
      </w:r>
      <w:r>
        <w:rPr>
          <w:rFonts w:hint="eastAsia" w:ascii="宋体" w:hAnsi="宋体" w:eastAsia="宋体" w:cs="宋体"/>
          <w:color w:val="auto"/>
          <w:szCs w:val="21"/>
          <w:highlight w:val="none"/>
          <w:u w:val="single"/>
        </w:rPr>
        <w:t xml:space="preserve"> 项目名称 </w:t>
      </w:r>
      <w:r>
        <w:rPr>
          <w:rFonts w:hint="eastAsia" w:ascii="宋体" w:hAnsi="宋体" w:eastAsia="宋体" w:cs="宋体"/>
          <w:color w:val="auto"/>
          <w:szCs w:val="21"/>
          <w:highlight w:val="none"/>
        </w:rPr>
        <w:t>） 政府采购项目成交供应商（</w:t>
      </w:r>
      <w:r>
        <w:rPr>
          <w:rFonts w:hint="eastAsia" w:ascii="宋体" w:hAnsi="宋体" w:eastAsia="宋体" w:cs="宋体"/>
          <w:color w:val="auto"/>
          <w:szCs w:val="21"/>
          <w:highlight w:val="none"/>
          <w:u w:val="single"/>
        </w:rPr>
        <w:t xml:space="preserve"> 公司名称 </w:t>
      </w:r>
      <w:r>
        <w:rPr>
          <w:rFonts w:hint="eastAsia" w:ascii="宋体" w:hAnsi="宋体" w:eastAsia="宋体" w:cs="宋体"/>
          <w:color w:val="auto"/>
          <w:szCs w:val="21"/>
          <w:highlight w:val="none"/>
        </w:rPr>
        <w:t>） 提供的货物（或者工程、服务）进行了验收，验收情况如下：</w:t>
      </w:r>
    </w:p>
    <w:tbl>
      <w:tblPr>
        <w:tblStyle w:val="44"/>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20" w:lineRule="atLeast"/>
              <w:ind w:firstLine="5"/>
              <w:jc w:val="center"/>
              <w:rPr>
                <w:rFonts w:ascii="宋体" w:hAnsi="宋体" w:eastAsia="宋体" w:cs="宋体"/>
                <w:color w:val="auto"/>
                <w:szCs w:val="21"/>
                <w:highlight w:val="none"/>
              </w:rPr>
            </w:pPr>
            <w:r>
              <w:rPr>
                <w:rFonts w:hint="eastAsia" w:ascii="宋体" w:hAnsi="宋体" w:eastAsia="宋体" w:cs="宋体"/>
                <w:color w:val="auto"/>
                <w:szCs w:val="21"/>
                <w:highlight w:val="none"/>
              </w:rPr>
              <w:t>验收方式：</w:t>
            </w:r>
          </w:p>
        </w:tc>
        <w:tc>
          <w:tcPr>
            <w:tcW w:w="5193" w:type="dxa"/>
            <w:gridSpan w:val="6"/>
            <w:tcBorders>
              <w:top w:val="single" w:color="auto" w:sz="8" w:space="0"/>
              <w:left w:val="nil"/>
              <w:bottom w:val="single" w:color="auto" w:sz="8" w:space="0"/>
              <w:right w:val="single" w:color="auto" w:sz="8" w:space="0"/>
            </w:tcBorders>
            <w:vAlign w:val="center"/>
          </w:tcPr>
          <w:p>
            <w:pPr>
              <w:widowControl/>
              <w:spacing w:before="100" w:beforeAutospacing="1" w:after="100" w:afterAutospacing="1" w:line="320" w:lineRule="atLeast"/>
              <w:jc w:val="center"/>
              <w:rPr>
                <w:rFonts w:ascii="宋体" w:hAnsi="宋体" w:eastAsia="宋体" w:cs="宋体"/>
                <w:color w:val="auto"/>
                <w:szCs w:val="21"/>
                <w:highlight w:val="none"/>
              </w:rPr>
            </w:pPr>
            <w:r>
              <w:rPr>
                <w:rFonts w:hint="eastAsia" w:ascii="宋体" w:hAnsi="宋体" w:eastAsia="宋体" w:cs="宋体"/>
                <w:color w:val="auto"/>
                <w:szCs w:val="21"/>
                <w:highlight w:val="none"/>
              </w:rPr>
              <w:t>□自行验收 □委托验收</w:t>
            </w:r>
          </w:p>
        </w:tc>
      </w:tr>
      <w:tr>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320" w:lineRule="atLeast"/>
              <w:ind w:firstLine="2"/>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448"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320" w:lineRule="atLeast"/>
              <w:ind w:firstLine="2"/>
              <w:jc w:val="center"/>
              <w:rPr>
                <w:rFonts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290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320" w:lineRule="atLeast"/>
              <w:ind w:firstLine="2"/>
              <w:jc w:val="center"/>
              <w:rPr>
                <w:rFonts w:ascii="宋体" w:hAnsi="宋体" w:eastAsia="宋体" w:cs="宋体"/>
                <w:color w:val="auto"/>
                <w:szCs w:val="21"/>
                <w:highlight w:val="none"/>
              </w:rPr>
            </w:pPr>
            <w:r>
              <w:rPr>
                <w:rFonts w:hint="eastAsia" w:ascii="宋体" w:hAnsi="宋体" w:eastAsia="宋体" w:cs="宋体"/>
                <w:color w:val="auto"/>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320" w:lineRule="atLeas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428" w:type="dxa"/>
            <w:tcBorders>
              <w:top w:val="nil"/>
              <w:left w:val="nil"/>
              <w:bottom w:val="single" w:color="auto" w:sz="8" w:space="0"/>
              <w:right w:val="single" w:color="auto" w:sz="8" w:space="0"/>
            </w:tcBorders>
            <w:vAlign w:val="center"/>
          </w:tcPr>
          <w:p>
            <w:pPr>
              <w:widowControl/>
              <w:spacing w:before="100" w:beforeAutospacing="1" w:after="100" w:afterAutospacing="1" w:line="320" w:lineRule="atLeast"/>
              <w:ind w:firstLine="2"/>
              <w:jc w:val="center"/>
              <w:rPr>
                <w:rFonts w:ascii="宋体" w:hAnsi="宋体" w:eastAsia="宋体" w:cs="宋体"/>
                <w:color w:val="auto"/>
                <w:szCs w:val="21"/>
                <w:highlight w:val="none"/>
              </w:rPr>
            </w:pPr>
            <w:r>
              <w:rPr>
                <w:rFonts w:hint="eastAsia" w:ascii="宋体" w:hAnsi="宋体" w:eastAsia="宋体" w:cs="宋体"/>
                <w:color w:val="auto"/>
                <w:szCs w:val="21"/>
                <w:highlight w:val="none"/>
              </w:rPr>
              <w:t>金额</w:t>
            </w:r>
          </w:p>
        </w:tc>
      </w:tr>
      <w:tr>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c>
          <w:tcPr>
            <w:tcW w:w="1428" w:type="dxa"/>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r>
      <w:tr>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c>
          <w:tcPr>
            <w:tcW w:w="1428" w:type="dxa"/>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r>
      <w:tr>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c>
          <w:tcPr>
            <w:tcW w:w="1428" w:type="dxa"/>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r>
      <w:tr>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320" w:lineRule="atLeast"/>
              <w:ind w:firstLine="5"/>
              <w:jc w:val="center"/>
              <w:rPr>
                <w:rFonts w:ascii="宋体" w:hAnsi="宋体" w:eastAsia="宋体" w:cs="宋体"/>
                <w:color w:val="auto"/>
                <w:szCs w:val="21"/>
                <w:highlight w:val="none"/>
              </w:rPr>
            </w:pPr>
            <w:r>
              <w:rPr>
                <w:rFonts w:hint="eastAsia" w:ascii="宋体" w:hAnsi="宋体" w:eastAsia="宋体" w:cs="宋体"/>
                <w:color w:val="auto"/>
                <w:szCs w:val="21"/>
                <w:highlight w:val="none"/>
              </w:rPr>
              <w:t>合 计</w:t>
            </w:r>
          </w:p>
        </w:tc>
        <w:tc>
          <w:tcPr>
            <w:tcW w:w="86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c>
          <w:tcPr>
            <w:tcW w:w="1428" w:type="dxa"/>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r>
      <w:tr>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320" w:lineRule="atLeast"/>
              <w:ind w:firstLine="210"/>
              <w:jc w:val="left"/>
              <w:rPr>
                <w:rFonts w:ascii="宋体" w:hAnsi="宋体" w:eastAsia="宋体" w:cs="宋体"/>
                <w:color w:val="auto"/>
                <w:szCs w:val="21"/>
                <w:highlight w:val="none"/>
              </w:rPr>
            </w:pPr>
            <w:r>
              <w:rPr>
                <w:rFonts w:hint="eastAsia" w:ascii="宋体" w:hAnsi="宋体" w:eastAsia="宋体" w:cs="宋体"/>
                <w:color w:val="auto"/>
                <w:szCs w:val="21"/>
                <w:highlight w:val="none"/>
              </w:rPr>
              <w:t>合计大写金额：  仟  佰  拾  万  仟  佰  拾  元</w:t>
            </w:r>
          </w:p>
        </w:tc>
      </w:tr>
      <w:tr>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320" w:lineRule="atLeast"/>
              <w:ind w:firstLine="2"/>
              <w:jc w:val="center"/>
              <w:rPr>
                <w:rFonts w:ascii="宋体" w:hAnsi="宋体" w:eastAsia="宋体" w:cs="宋体"/>
                <w:color w:val="auto"/>
                <w:szCs w:val="21"/>
                <w:highlight w:val="none"/>
              </w:rPr>
            </w:pPr>
            <w:r>
              <w:rPr>
                <w:rFonts w:hint="eastAsia" w:ascii="宋体" w:hAnsi="宋体" w:eastAsia="宋体" w:cs="宋体"/>
                <w:color w:val="auto"/>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c>
          <w:tcPr>
            <w:tcW w:w="228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320" w:lineRule="atLeast"/>
              <w:ind w:firstLine="46"/>
              <w:jc w:val="center"/>
              <w:rPr>
                <w:rFonts w:ascii="宋体" w:hAnsi="宋体" w:eastAsia="宋体" w:cs="宋体"/>
                <w:color w:val="auto"/>
                <w:szCs w:val="21"/>
                <w:highlight w:val="none"/>
              </w:rPr>
            </w:pPr>
            <w:r>
              <w:rPr>
                <w:rFonts w:hint="eastAsia" w:ascii="宋体" w:hAnsi="宋体" w:eastAsia="宋体" w:cs="宋体"/>
                <w:color w:val="auto"/>
                <w:szCs w:val="21"/>
                <w:highlight w:val="none"/>
              </w:rPr>
              <w:t>合同交货验收日期</w:t>
            </w:r>
          </w:p>
        </w:tc>
        <w:tc>
          <w:tcPr>
            <w:tcW w:w="211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r>
      <w:tr>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c>
          <w:tcPr>
            <w:tcW w:w="2421"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c>
          <w:tcPr>
            <w:tcW w:w="228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c>
          <w:tcPr>
            <w:tcW w:w="211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highlight w:val="none"/>
              </w:rPr>
            </w:pPr>
          </w:p>
        </w:tc>
      </w:tr>
      <w:tr>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宋体" w:hAnsi="宋体" w:eastAsia="宋体" w:cs="宋体"/>
                <w:color w:val="auto"/>
                <w:szCs w:val="21"/>
                <w:highlight w:val="none"/>
              </w:rPr>
            </w:pPr>
            <w:r>
              <w:rPr>
                <w:rFonts w:hint="eastAsia" w:ascii="宋体" w:hAnsi="宋体" w:eastAsia="宋体" w:cs="宋体"/>
                <w:color w:val="auto"/>
                <w:szCs w:val="21"/>
                <w:highlight w:val="none"/>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宋体" w:hAnsi="宋体" w:eastAsia="宋体" w:cs="宋体"/>
                <w:color w:val="auto"/>
                <w:szCs w:val="21"/>
                <w:highlight w:val="none"/>
              </w:rPr>
            </w:pPr>
            <w:r>
              <w:rPr>
                <w:rFonts w:hint="eastAsia" w:ascii="宋体" w:hAnsi="宋体" w:eastAsia="宋体" w:cs="宋体"/>
                <w:color w:val="auto"/>
                <w:szCs w:val="21"/>
                <w:highlight w:val="none"/>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tblPrEx>
          <w:tblCellMar>
            <w:top w:w="0" w:type="dxa"/>
            <w:left w:w="0" w:type="dxa"/>
            <w:bottom w:w="0" w:type="dxa"/>
            <w:right w:w="0" w:type="dxa"/>
          </w:tblCellMar>
        </w:tblPrEx>
        <w:trPr>
          <w:trHeight w:val="876"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宋体" w:hAnsi="宋体" w:eastAsia="宋体" w:cs="宋体"/>
                <w:color w:val="auto"/>
                <w:szCs w:val="21"/>
                <w:highlight w:val="none"/>
              </w:rPr>
            </w:pPr>
            <w:r>
              <w:rPr>
                <w:rFonts w:hint="eastAsia" w:ascii="宋体" w:hAnsi="宋体" w:eastAsia="宋体" w:cs="宋体"/>
                <w:color w:val="auto"/>
                <w:szCs w:val="21"/>
                <w:highlight w:val="none"/>
              </w:rPr>
              <w:t>验收小组意见</w:t>
            </w:r>
          </w:p>
        </w:tc>
        <w:tc>
          <w:tcPr>
            <w:tcW w:w="6816" w:type="dxa"/>
            <w:gridSpan w:val="7"/>
            <w:tcBorders>
              <w:top w:val="nil"/>
              <w:left w:val="nil"/>
              <w:bottom w:val="single" w:color="auto" w:sz="8" w:space="0"/>
              <w:right w:val="single" w:color="auto" w:sz="8" w:space="0"/>
            </w:tcBorders>
            <w:vAlign w:val="center"/>
          </w:tcPr>
          <w:p>
            <w:pPr>
              <w:widowControl/>
              <w:spacing w:before="100" w:beforeAutospacing="1" w:after="100" w:afterAutospacing="1" w:line="320" w:lineRule="atLeast"/>
              <w:ind w:firstLine="210"/>
              <w:jc w:val="left"/>
              <w:rPr>
                <w:rFonts w:ascii="宋体" w:hAnsi="宋体" w:eastAsia="宋体" w:cs="宋体"/>
                <w:color w:val="auto"/>
                <w:szCs w:val="21"/>
                <w:highlight w:val="none"/>
              </w:rPr>
            </w:pPr>
            <w:r>
              <w:rPr>
                <w:rFonts w:hint="eastAsia" w:ascii="宋体" w:hAnsi="宋体" w:eastAsia="宋体" w:cs="宋体"/>
                <w:color w:val="auto"/>
                <w:szCs w:val="21"/>
                <w:highlight w:val="none"/>
              </w:rPr>
              <w:t>验收结论性意见：</w:t>
            </w:r>
          </w:p>
        </w:tc>
      </w:tr>
      <w:tr>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szCs w:val="21"/>
                <w:highlight w:val="none"/>
              </w:rPr>
            </w:pPr>
          </w:p>
        </w:tc>
        <w:tc>
          <w:tcPr>
            <w:tcW w:w="6816" w:type="dxa"/>
            <w:gridSpan w:val="7"/>
            <w:tcBorders>
              <w:top w:val="nil"/>
              <w:left w:val="nil"/>
              <w:bottom w:val="single" w:color="auto" w:sz="8" w:space="0"/>
              <w:right w:val="single" w:color="auto" w:sz="8" w:space="0"/>
            </w:tcBorders>
            <w:vAlign w:val="center"/>
          </w:tcPr>
          <w:p>
            <w:pPr>
              <w:widowControl/>
              <w:spacing w:before="100" w:beforeAutospacing="1" w:after="100" w:afterAutospacing="1" w:line="320" w:lineRule="atLeast"/>
              <w:ind w:firstLine="210"/>
              <w:jc w:val="left"/>
              <w:rPr>
                <w:rFonts w:ascii="宋体" w:hAnsi="宋体" w:eastAsia="宋体" w:cs="宋体"/>
                <w:color w:val="auto"/>
                <w:szCs w:val="21"/>
                <w:highlight w:val="none"/>
              </w:rPr>
            </w:pPr>
            <w:r>
              <w:rPr>
                <w:rFonts w:hint="eastAsia" w:ascii="宋体" w:hAnsi="宋体" w:eastAsia="宋体" w:cs="宋体"/>
                <w:color w:val="auto"/>
                <w:szCs w:val="21"/>
                <w:highlight w:val="none"/>
              </w:rPr>
              <w:t>有异议的意见和说明理由：</w:t>
            </w:r>
          </w:p>
          <w:p>
            <w:pPr>
              <w:widowControl/>
              <w:spacing w:before="100" w:beforeAutospacing="1" w:after="100" w:afterAutospacing="1" w:line="320" w:lineRule="atLeast"/>
              <w:ind w:firstLine="210"/>
              <w:jc w:val="left"/>
              <w:rPr>
                <w:rFonts w:ascii="宋体" w:hAnsi="宋体" w:eastAsia="宋体" w:cs="宋体"/>
                <w:color w:val="auto"/>
                <w:szCs w:val="21"/>
                <w:highlight w:val="none"/>
              </w:rPr>
            </w:pPr>
            <w:r>
              <w:rPr>
                <w:rFonts w:hint="eastAsia" w:ascii="宋体" w:hAnsi="宋体" w:eastAsia="宋体" w:cs="宋体"/>
                <w:color w:val="auto"/>
                <w:szCs w:val="21"/>
                <w:highlight w:val="none"/>
              </w:rPr>
              <w:t>签字：</w:t>
            </w:r>
          </w:p>
        </w:tc>
      </w:tr>
      <w:tr>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宋体" w:hAnsi="宋体" w:eastAsia="宋体" w:cs="宋体"/>
                <w:color w:val="auto"/>
                <w:szCs w:val="21"/>
                <w:highlight w:val="none"/>
              </w:rPr>
            </w:pPr>
            <w:r>
              <w:rPr>
                <w:rFonts w:hint="eastAsia" w:ascii="宋体" w:hAnsi="宋体" w:eastAsia="宋体" w:cs="宋体"/>
                <w:color w:val="auto"/>
                <w:szCs w:val="21"/>
                <w:highlight w:val="none"/>
              </w:rPr>
              <w:t>验收小组成员签字：</w:t>
            </w:r>
          </w:p>
        </w:tc>
      </w:tr>
      <w:tr>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宋体" w:hAnsi="宋体" w:eastAsia="宋体" w:cs="宋体"/>
                <w:color w:val="auto"/>
                <w:szCs w:val="21"/>
                <w:highlight w:val="none"/>
              </w:rPr>
            </w:pPr>
            <w:r>
              <w:rPr>
                <w:rFonts w:hint="eastAsia" w:ascii="宋体" w:hAnsi="宋体" w:eastAsia="宋体" w:cs="宋体"/>
                <w:color w:val="auto"/>
                <w:szCs w:val="21"/>
                <w:highlight w:val="none"/>
              </w:rPr>
              <w:t>监督人员或者其他相关人员签字：</w:t>
            </w:r>
          </w:p>
          <w:p>
            <w:pPr>
              <w:widowControl/>
              <w:spacing w:before="100" w:beforeAutospacing="1" w:after="100" w:afterAutospacing="1" w:line="320" w:lineRule="atLeast"/>
              <w:ind w:firstLine="74"/>
              <w:jc w:val="left"/>
              <w:rPr>
                <w:rFonts w:ascii="宋体" w:hAnsi="宋体" w:eastAsia="宋体" w:cs="宋体"/>
                <w:color w:val="auto"/>
                <w:szCs w:val="21"/>
                <w:highlight w:val="none"/>
              </w:rPr>
            </w:pPr>
            <w:r>
              <w:rPr>
                <w:rFonts w:hint="eastAsia" w:ascii="宋体" w:hAnsi="宋体" w:eastAsia="宋体" w:cs="宋体"/>
                <w:color w:val="auto"/>
                <w:szCs w:val="21"/>
                <w:highlight w:val="none"/>
              </w:rPr>
              <w:t>或者受邀机构的意见（盖章）：</w:t>
            </w:r>
          </w:p>
        </w:tc>
      </w:tr>
      <w:tr>
        <w:tblPrEx>
          <w:tblCellMar>
            <w:top w:w="0" w:type="dxa"/>
            <w:left w:w="0" w:type="dxa"/>
            <w:bottom w:w="0" w:type="dxa"/>
            <w:right w:w="0" w:type="dxa"/>
          </w:tblCellMar>
        </w:tblPrEx>
        <w:trPr>
          <w:trHeight w:val="188" w:hRule="atLeast"/>
          <w:jc w:val="center"/>
        </w:trPr>
        <w:tc>
          <w:tcPr>
            <w:tcW w:w="4152" w:type="dxa"/>
            <w:gridSpan w:val="5"/>
            <w:tcBorders>
              <w:top w:val="nil"/>
              <w:left w:val="single" w:color="auto" w:sz="8" w:space="0"/>
              <w:bottom w:val="single" w:color="auto" w:sz="8" w:space="0"/>
              <w:right w:val="single" w:color="auto" w:sz="4"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宋体" w:hAnsi="宋体" w:eastAsia="宋体" w:cs="宋体"/>
                <w:color w:val="auto"/>
                <w:szCs w:val="21"/>
                <w:highlight w:val="none"/>
              </w:rPr>
            </w:pPr>
            <w:r>
              <w:rPr>
                <w:rFonts w:hint="eastAsia" w:ascii="宋体" w:hAnsi="宋体" w:eastAsia="宋体" w:cs="宋体"/>
                <w:color w:val="auto"/>
                <w:szCs w:val="21"/>
                <w:highlight w:val="none"/>
              </w:rPr>
              <w:t>成交供应商负责人签字或者盖章：</w:t>
            </w:r>
          </w:p>
          <w:p>
            <w:pPr>
              <w:widowControl/>
              <w:spacing w:before="100" w:beforeAutospacing="1" w:after="100" w:afterAutospacing="1" w:line="320" w:lineRule="atLeast"/>
              <w:jc w:val="left"/>
              <w:rPr>
                <w:rFonts w:ascii="宋体" w:hAnsi="宋体" w:eastAsia="宋体" w:cs="宋体"/>
                <w:color w:val="auto"/>
                <w:szCs w:val="21"/>
                <w:highlight w:val="none"/>
              </w:rPr>
            </w:pPr>
          </w:p>
          <w:p>
            <w:pPr>
              <w:widowControl/>
              <w:spacing w:before="100" w:beforeAutospacing="1" w:after="100" w:afterAutospacing="1" w:line="320" w:lineRule="atLeast"/>
              <w:jc w:val="lef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联系电话：                </w:t>
            </w:r>
          </w:p>
          <w:p>
            <w:pPr>
              <w:widowControl/>
              <w:spacing w:before="100" w:beforeAutospacing="1" w:after="100" w:afterAutospacing="1" w:line="320" w:lineRule="atLeast"/>
              <w:ind w:firstLine="2730"/>
              <w:jc w:val="left"/>
              <w:rPr>
                <w:rFonts w:ascii="宋体" w:hAnsi="宋体" w:eastAsia="宋体" w:cs="宋体"/>
                <w:color w:val="auto"/>
                <w:szCs w:val="21"/>
                <w:highlight w:val="none"/>
              </w:rPr>
            </w:pPr>
            <w:r>
              <w:rPr>
                <w:rFonts w:hint="eastAsia" w:ascii="宋体" w:hAnsi="宋体" w:eastAsia="宋体" w:cs="宋体"/>
                <w:color w:val="auto"/>
                <w:szCs w:val="21"/>
                <w:highlight w:val="none"/>
              </w:rPr>
              <w:t>年  月  日</w:t>
            </w:r>
          </w:p>
        </w:tc>
        <w:tc>
          <w:tcPr>
            <w:tcW w:w="4293" w:type="dxa"/>
            <w:gridSpan w:val="4"/>
            <w:tcBorders>
              <w:top w:val="nil"/>
              <w:left w:val="single" w:color="auto" w:sz="4" w:space="0"/>
              <w:bottom w:val="single" w:color="auto" w:sz="8" w:space="0"/>
              <w:right w:val="single" w:color="auto" w:sz="8" w:space="0"/>
            </w:tcBorders>
            <w:vAlign w:val="center"/>
          </w:tcPr>
          <w:p>
            <w:pPr>
              <w:widowControl/>
              <w:spacing w:before="100" w:beforeAutospacing="1" w:after="100" w:afterAutospacing="1" w:line="320" w:lineRule="atLeast"/>
              <w:ind w:firstLine="210"/>
              <w:jc w:val="left"/>
              <w:rPr>
                <w:rFonts w:ascii="宋体" w:hAnsi="宋体" w:eastAsia="宋体" w:cs="宋体"/>
                <w:color w:val="auto"/>
                <w:szCs w:val="21"/>
                <w:highlight w:val="none"/>
              </w:rPr>
            </w:pPr>
            <w:r>
              <w:rPr>
                <w:rFonts w:hint="eastAsia" w:ascii="宋体" w:hAnsi="宋体" w:eastAsia="宋体" w:cs="宋体"/>
                <w:color w:val="auto"/>
                <w:szCs w:val="21"/>
                <w:highlight w:val="none"/>
              </w:rPr>
              <w:t>采购人或者受托机构的意见（盖章）：</w:t>
            </w:r>
          </w:p>
          <w:p>
            <w:pPr>
              <w:widowControl/>
              <w:spacing w:before="100" w:beforeAutospacing="1" w:after="100" w:afterAutospacing="1" w:line="320" w:lineRule="atLeast"/>
              <w:ind w:firstLine="210"/>
              <w:jc w:val="left"/>
              <w:rPr>
                <w:rFonts w:ascii="宋体" w:hAnsi="宋体" w:eastAsia="宋体" w:cs="宋体"/>
                <w:color w:val="auto"/>
                <w:szCs w:val="21"/>
                <w:highlight w:val="none"/>
              </w:rPr>
            </w:pPr>
          </w:p>
          <w:p>
            <w:pPr>
              <w:widowControl/>
              <w:spacing w:before="100" w:beforeAutospacing="1" w:after="100" w:afterAutospacing="1" w:line="320" w:lineRule="atLeast"/>
              <w:ind w:firstLine="210"/>
              <w:jc w:val="lef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联系电话：          </w:t>
            </w:r>
          </w:p>
          <w:p>
            <w:pPr>
              <w:widowControl/>
              <w:spacing w:before="100" w:beforeAutospacing="1" w:after="100" w:afterAutospacing="1" w:line="320" w:lineRule="atLeast"/>
              <w:ind w:firstLine="2100"/>
              <w:jc w:val="lef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bl>
    <w:p>
      <w:pPr>
        <w:pStyle w:val="23"/>
        <w:rPr>
          <w:rFonts w:hAnsi="宋体" w:cs="宋体"/>
          <w:color w:val="auto"/>
          <w:highlight w:val="none"/>
        </w:rPr>
      </w:pPr>
      <w:r>
        <w:rPr>
          <w:rFonts w:hint="eastAsia" w:hAnsi="宋体" w:cs="宋体"/>
          <w:color w:val="auto"/>
          <w:highlight w:val="none"/>
        </w:rPr>
        <w:br w:type="page" w:clear="all"/>
      </w:r>
    </w:p>
    <w:p>
      <w:pPr>
        <w:rPr>
          <w:rFonts w:hint="eastAsia" w:ascii="宋体" w:hAnsi="宋体" w:eastAsia="宋体" w:cs="宋体"/>
          <w:b/>
          <w:color w:val="auto"/>
          <w:sz w:val="28"/>
          <w:szCs w:val="28"/>
          <w:highlight w:val="none"/>
          <w:lang w:val="en-US" w:eastAsia="zh-CN" w:bidi="ar-SA"/>
        </w:rPr>
      </w:pPr>
      <w:r>
        <w:rPr>
          <w:rFonts w:hint="eastAsia" w:ascii="宋体" w:hAnsi="宋体" w:eastAsia="宋体" w:cs="宋体"/>
          <w:b/>
          <w:color w:val="auto"/>
          <w:sz w:val="28"/>
          <w:szCs w:val="28"/>
          <w:highlight w:val="none"/>
          <w:lang w:val="en-US" w:eastAsia="zh-CN" w:bidi="ar-SA"/>
        </w:rPr>
        <w:t>5.政府采购项目履约保证金退付意见书的格式：</w:t>
      </w:r>
    </w:p>
    <w:p>
      <w:pPr>
        <w:rPr>
          <w:rFonts w:ascii="宋体" w:hAnsi="宋体" w:eastAsia="宋体" w:cs="宋体"/>
          <w:color w:val="auto"/>
          <w:sz w:val="28"/>
          <w:szCs w:val="28"/>
          <w:highlight w:val="none"/>
        </w:rPr>
      </w:pPr>
    </w:p>
    <w:p>
      <w:pPr>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政府采购项目履约保证金退付意见书（参考）</w:t>
      </w:r>
    </w:p>
    <w:p>
      <w:pPr>
        <w:jc w:val="center"/>
        <w:rPr>
          <w:rFonts w:ascii="宋体" w:hAnsi="宋体" w:eastAsia="宋体" w:cs="宋体"/>
          <w:color w:val="auto"/>
          <w:sz w:val="36"/>
          <w:szCs w:val="36"/>
          <w:highlight w:val="none"/>
        </w:rPr>
      </w:pPr>
    </w:p>
    <w:tbl>
      <w:tblPr>
        <w:tblStyle w:val="44"/>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供</w:t>
            </w:r>
          </w:p>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应</w:t>
            </w:r>
          </w:p>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商</w:t>
            </w:r>
          </w:p>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申</w:t>
            </w:r>
          </w:p>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请</w:t>
            </w:r>
          </w:p>
        </w:tc>
        <w:tc>
          <w:tcPr>
            <w:tcW w:w="8009" w:type="dxa"/>
            <w:vAlign w:val="center"/>
          </w:tcPr>
          <w:p>
            <w:pPr>
              <w:rPr>
                <w:rFonts w:ascii="宋体" w:hAnsi="宋体" w:eastAsia="宋体" w:cs="宋体"/>
                <w:color w:val="auto"/>
                <w:sz w:val="24"/>
                <w:highlight w:val="none"/>
              </w:rPr>
            </w:pPr>
            <w:r>
              <w:rPr>
                <w:rFonts w:hint="eastAsia" w:ascii="宋体" w:hAnsi="宋体" w:eastAsia="宋体" w:cs="宋体"/>
                <w:color w:val="auto"/>
                <w:sz w:val="24"/>
                <w:highlight w:val="none"/>
              </w:rPr>
              <w:t>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pPr>
              <w:rPr>
                <w:rFonts w:ascii="宋体" w:hAnsi="宋体" w:eastAsia="宋体" w:cs="宋体"/>
                <w:color w:val="auto"/>
                <w:sz w:val="24"/>
                <w:highlight w:val="none"/>
              </w:rPr>
            </w:pPr>
          </w:p>
        </w:tc>
        <w:tc>
          <w:tcPr>
            <w:tcW w:w="8009" w:type="dxa"/>
            <w:vAlign w:val="center"/>
          </w:tcPr>
          <w:p>
            <w:pP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pPr>
              <w:rPr>
                <w:rFonts w:ascii="宋体" w:hAnsi="宋体" w:eastAsia="宋体" w:cs="宋体"/>
                <w:color w:val="auto"/>
                <w:sz w:val="24"/>
                <w:highlight w:val="none"/>
              </w:rPr>
            </w:pPr>
          </w:p>
        </w:tc>
        <w:tc>
          <w:tcPr>
            <w:tcW w:w="8009" w:type="dxa"/>
          </w:tcPr>
          <w:p>
            <w:pPr>
              <w:rPr>
                <w:rFonts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ind w:firstLine="480"/>
              <w:rPr>
                <w:rFonts w:ascii="宋体" w:hAnsi="宋体" w:eastAsia="宋体" w:cs="宋体"/>
                <w:color w:val="auto"/>
                <w:sz w:val="24"/>
                <w:highlight w:val="none"/>
              </w:rPr>
            </w:pPr>
            <w:r>
              <w:rPr>
                <w:rFonts w:hint="eastAsia" w:ascii="宋体" w:hAnsi="宋体" w:eastAsia="宋体" w:cs="宋体"/>
                <w:color w:val="auto"/>
                <w:sz w:val="24"/>
                <w:highlight w:val="none"/>
              </w:rPr>
              <w:t>该项目已于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日验收并交付使用。根据合同规定，该项目的履约保证金期限于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日已满，请将履约保证金</w:t>
            </w:r>
          </w:p>
          <w:p>
            <w:pPr>
              <w:rPr>
                <w:rFonts w:ascii="宋体" w:hAnsi="宋体" w:eastAsia="宋体" w:cs="宋体"/>
                <w:color w:val="auto"/>
                <w:sz w:val="24"/>
                <w:highlight w:val="none"/>
              </w:rPr>
            </w:pPr>
            <w:r>
              <w:rPr>
                <w:rFonts w:hint="eastAsia" w:ascii="宋体" w:hAnsi="宋体" w:eastAsia="宋体" w:cs="宋体"/>
                <w:color w:val="auto"/>
                <w:sz w:val="24"/>
                <w:highlight w:val="none"/>
              </w:rPr>
              <w:t>（大写）人民币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退付到达以下账户。</w:t>
            </w:r>
          </w:p>
          <w:p>
            <w:pPr>
              <w:rPr>
                <w:rFonts w:ascii="宋体" w:hAnsi="宋体" w:eastAsia="宋体" w:cs="宋体"/>
                <w:color w:val="auto"/>
                <w:sz w:val="24"/>
                <w:highlight w:val="none"/>
              </w:rPr>
            </w:pPr>
            <w:r>
              <w:rPr>
                <w:rFonts w:hint="eastAsia" w:ascii="宋体" w:hAnsi="宋体" w:eastAsia="宋体" w:cs="宋体"/>
                <w:color w:val="auto"/>
                <w:sz w:val="24"/>
                <w:highlight w:val="none"/>
              </w:rPr>
              <w:t>单位名称：</w:t>
            </w:r>
          </w:p>
          <w:p>
            <w:pPr>
              <w:rPr>
                <w:rFonts w:ascii="宋体" w:hAnsi="宋体" w:eastAsia="宋体" w:cs="宋体"/>
                <w:color w:val="auto"/>
                <w:sz w:val="24"/>
                <w:highlight w:val="none"/>
              </w:rPr>
            </w:pPr>
            <w:r>
              <w:rPr>
                <w:rFonts w:hint="eastAsia" w:ascii="宋体" w:hAnsi="宋体" w:eastAsia="宋体" w:cs="宋体"/>
                <w:color w:val="auto"/>
                <w:sz w:val="24"/>
                <w:highlight w:val="none"/>
              </w:rPr>
              <w:t>开户银行：</w:t>
            </w:r>
          </w:p>
          <w:p>
            <w:pPr>
              <w:rPr>
                <w:rFonts w:ascii="宋体" w:hAnsi="宋体" w:eastAsia="宋体" w:cs="宋体"/>
                <w:color w:val="auto"/>
                <w:sz w:val="24"/>
                <w:highlight w:val="none"/>
              </w:rPr>
            </w:pPr>
            <w:r>
              <w:rPr>
                <w:rFonts w:hint="eastAsia" w:ascii="宋体" w:hAnsi="宋体" w:eastAsia="宋体" w:cs="宋体"/>
                <w:color w:val="auto"/>
                <w:sz w:val="24"/>
                <w:highlight w:val="none"/>
              </w:rPr>
              <w:t>账    号：</w:t>
            </w:r>
          </w:p>
          <w:p>
            <w:pPr>
              <w:rPr>
                <w:rFonts w:ascii="宋体" w:hAnsi="宋体" w:eastAsia="宋体" w:cs="宋体"/>
                <w:color w:val="auto"/>
                <w:sz w:val="24"/>
                <w:highlight w:val="none"/>
              </w:rPr>
            </w:pPr>
            <w:r>
              <w:rPr>
                <w:rFonts w:hint="eastAsia" w:ascii="宋体" w:hAnsi="宋体" w:eastAsia="宋体" w:cs="宋体"/>
                <w:color w:val="auto"/>
                <w:sz w:val="24"/>
                <w:highlight w:val="none"/>
              </w:rPr>
              <w:t>联系人及电话：</w:t>
            </w:r>
          </w:p>
          <w:p>
            <w:pPr>
              <w:rPr>
                <w:rFonts w:ascii="宋体" w:hAnsi="宋体" w:eastAsia="宋体" w:cs="宋体"/>
                <w:color w:val="auto"/>
                <w:sz w:val="24"/>
                <w:highlight w:val="none"/>
              </w:rPr>
            </w:pPr>
          </w:p>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 xml:space="preserve">                           供应商签章：</w:t>
            </w:r>
          </w:p>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采</w:t>
            </w:r>
          </w:p>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购</w:t>
            </w:r>
          </w:p>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单</w:t>
            </w:r>
          </w:p>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位</w:t>
            </w:r>
          </w:p>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意</w:t>
            </w:r>
          </w:p>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见</w:t>
            </w:r>
          </w:p>
        </w:tc>
        <w:tc>
          <w:tcPr>
            <w:tcW w:w="8009" w:type="dxa"/>
          </w:tcPr>
          <w:p>
            <w:pPr>
              <w:rPr>
                <w:rFonts w:ascii="宋体" w:hAnsi="宋体" w:eastAsia="宋体" w:cs="宋体"/>
                <w:color w:val="auto"/>
                <w:sz w:val="24"/>
                <w:highlight w:val="none"/>
              </w:rPr>
            </w:pPr>
          </w:p>
          <w:p>
            <w:pPr>
              <w:rPr>
                <w:rFonts w:ascii="宋体" w:hAnsi="宋体" w:eastAsia="宋体" w:cs="宋体"/>
                <w:color w:val="auto"/>
                <w:sz w:val="24"/>
                <w:highlight w:val="none"/>
              </w:rPr>
            </w:pPr>
            <w:r>
              <w:rPr>
                <w:rFonts w:hint="eastAsia" w:ascii="宋体" w:hAnsi="宋体" w:eastAsia="宋体" w:cs="宋体"/>
                <w:color w:val="auto"/>
                <w:sz w:val="24"/>
                <w:highlight w:val="none"/>
              </w:rPr>
              <w:t>退付意见：是否同意退付履约保证金及退付金额：</w:t>
            </w:r>
          </w:p>
          <w:p>
            <w:pPr>
              <w:rPr>
                <w:rFonts w:ascii="宋体" w:hAnsi="宋体" w:eastAsia="宋体" w:cs="宋体"/>
                <w:color w:val="auto"/>
                <w:sz w:val="24"/>
                <w:highlight w:val="none"/>
              </w:rPr>
            </w:pPr>
          </w:p>
          <w:p>
            <w:pPr>
              <w:rPr>
                <w:rFonts w:ascii="宋体" w:hAnsi="宋体" w:eastAsia="宋体" w:cs="宋体"/>
                <w:color w:val="auto"/>
                <w:sz w:val="24"/>
                <w:highlight w:val="none"/>
              </w:rPr>
            </w:pPr>
          </w:p>
          <w:p>
            <w:pPr>
              <w:rPr>
                <w:rFonts w:ascii="宋体" w:hAnsi="宋体" w:eastAsia="宋体" w:cs="宋体"/>
                <w:color w:val="auto"/>
                <w:sz w:val="24"/>
                <w:highlight w:val="none"/>
              </w:rPr>
            </w:pPr>
            <w:r>
              <w:rPr>
                <w:rFonts w:hint="eastAsia" w:ascii="宋体" w:hAnsi="宋体" w:eastAsia="宋体" w:cs="宋体"/>
                <w:color w:val="auto"/>
                <w:sz w:val="24"/>
                <w:highlight w:val="none"/>
              </w:rPr>
              <w:t xml:space="preserve">联系人及电话：                                </w:t>
            </w:r>
          </w:p>
          <w:p>
            <w:pPr>
              <w:rPr>
                <w:rFonts w:ascii="宋体" w:hAnsi="宋体" w:eastAsia="宋体" w:cs="宋体"/>
                <w:color w:val="auto"/>
                <w:sz w:val="24"/>
                <w:highlight w:val="none"/>
              </w:rPr>
            </w:pPr>
          </w:p>
          <w:p>
            <w:pPr>
              <w:ind w:firstLine="4560"/>
              <w:rPr>
                <w:rFonts w:ascii="宋体" w:hAnsi="宋体" w:eastAsia="宋体" w:cs="宋体"/>
                <w:color w:val="auto"/>
                <w:sz w:val="24"/>
                <w:highlight w:val="none"/>
              </w:rPr>
            </w:pPr>
            <w:r>
              <w:rPr>
                <w:rFonts w:hint="eastAsia" w:ascii="宋体" w:hAnsi="宋体" w:eastAsia="宋体" w:cs="宋体"/>
                <w:color w:val="auto"/>
                <w:sz w:val="24"/>
                <w:highlight w:val="none"/>
              </w:rPr>
              <w:t xml:space="preserve"> 采购单位签章：</w:t>
            </w:r>
          </w:p>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财</w:t>
            </w:r>
          </w:p>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务</w:t>
            </w:r>
          </w:p>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部</w:t>
            </w:r>
          </w:p>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门</w:t>
            </w:r>
          </w:p>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意</w:t>
            </w:r>
          </w:p>
          <w:p>
            <w:pPr>
              <w:jc w:val="center"/>
              <w:rPr>
                <w:rFonts w:ascii="宋体" w:hAnsi="宋体" w:eastAsia="宋体" w:cs="宋体"/>
                <w:color w:val="auto"/>
                <w:sz w:val="24"/>
                <w:highlight w:val="none"/>
              </w:rPr>
            </w:pPr>
            <w:r>
              <w:rPr>
                <w:rFonts w:hint="eastAsia" w:ascii="宋体" w:hAnsi="宋体" w:eastAsia="宋体" w:cs="宋体"/>
                <w:color w:val="auto"/>
                <w:sz w:val="24"/>
                <w:highlight w:val="none"/>
              </w:rPr>
              <w:t>见</w:t>
            </w:r>
          </w:p>
        </w:tc>
        <w:tc>
          <w:tcPr>
            <w:tcW w:w="8009" w:type="dxa"/>
          </w:tcPr>
          <w:p>
            <w:pPr>
              <w:rPr>
                <w:rFonts w:ascii="宋体" w:hAnsi="宋体" w:eastAsia="宋体" w:cs="宋体"/>
                <w:color w:val="auto"/>
                <w:sz w:val="24"/>
                <w:highlight w:val="none"/>
              </w:rPr>
            </w:pPr>
            <w:r>
              <w:rPr>
                <w:rFonts w:hint="eastAsia" w:ascii="宋体" w:hAnsi="宋体" w:eastAsia="宋体" w:cs="宋体"/>
                <w:color w:val="auto"/>
                <w:sz w:val="24"/>
                <w:highlight w:val="none"/>
              </w:rPr>
              <w:t>此表于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日收到。</w:t>
            </w:r>
          </w:p>
          <w:p>
            <w:pPr>
              <w:rPr>
                <w:rFonts w:ascii="宋体" w:hAnsi="宋体" w:eastAsia="宋体" w:cs="宋体"/>
                <w:color w:val="auto"/>
                <w:sz w:val="24"/>
                <w:highlight w:val="none"/>
              </w:rPr>
            </w:pPr>
          </w:p>
          <w:p>
            <w:pPr>
              <w:rPr>
                <w:rFonts w:ascii="宋体" w:hAnsi="宋体" w:eastAsia="宋体" w:cs="宋体"/>
                <w:color w:val="auto"/>
                <w:sz w:val="24"/>
                <w:highlight w:val="none"/>
              </w:rPr>
            </w:pPr>
            <w:r>
              <w:rPr>
                <w:rFonts w:hint="eastAsia" w:ascii="宋体" w:hAnsi="宋体" w:eastAsia="宋体" w:cs="宋体"/>
                <w:color w:val="auto"/>
                <w:sz w:val="24"/>
                <w:highlight w:val="none"/>
              </w:rPr>
              <w:t>会计审核：</w:t>
            </w:r>
          </w:p>
          <w:p>
            <w:pPr>
              <w:rPr>
                <w:rFonts w:ascii="宋体" w:hAnsi="宋体" w:eastAsia="宋体" w:cs="宋体"/>
                <w:color w:val="auto"/>
                <w:sz w:val="24"/>
                <w:highlight w:val="none"/>
              </w:rPr>
            </w:pPr>
          </w:p>
          <w:p>
            <w:pPr>
              <w:rPr>
                <w:rFonts w:ascii="宋体" w:hAnsi="宋体" w:eastAsia="宋体" w:cs="宋体"/>
                <w:color w:val="auto"/>
                <w:sz w:val="24"/>
                <w:highlight w:val="none"/>
              </w:rPr>
            </w:pPr>
            <w:r>
              <w:rPr>
                <w:rFonts w:hint="eastAsia" w:ascii="宋体" w:hAnsi="宋体" w:eastAsia="宋体" w:cs="宋体"/>
                <w:color w:val="auto"/>
                <w:sz w:val="24"/>
                <w:highlight w:val="none"/>
              </w:rPr>
              <w:t>财务负责人审核：</w:t>
            </w:r>
          </w:p>
          <w:p>
            <w:pPr>
              <w:rPr>
                <w:rFonts w:ascii="宋体" w:hAnsi="宋体" w:eastAsia="宋体" w:cs="宋体"/>
                <w:color w:val="auto"/>
                <w:sz w:val="24"/>
                <w:highlight w:val="none"/>
              </w:rPr>
            </w:pPr>
          </w:p>
          <w:p>
            <w:pPr>
              <w:rPr>
                <w:rFonts w:ascii="宋体" w:hAnsi="宋体" w:eastAsia="宋体" w:cs="宋体"/>
                <w:color w:val="auto"/>
                <w:sz w:val="24"/>
                <w:highlight w:val="none"/>
              </w:rPr>
            </w:pPr>
            <w:r>
              <w:rPr>
                <w:rFonts w:hint="eastAsia" w:ascii="宋体" w:hAnsi="宋体" w:eastAsia="宋体" w:cs="宋体"/>
                <w:color w:val="auto"/>
                <w:sz w:val="24"/>
                <w:highlight w:val="none"/>
              </w:rPr>
              <w:t>单位负责人签字：</w:t>
            </w:r>
          </w:p>
          <w:p>
            <w:pPr>
              <w:rPr>
                <w:rFonts w:ascii="宋体" w:hAnsi="宋体" w:eastAsia="宋体" w:cs="宋体"/>
                <w:color w:val="auto"/>
                <w:sz w:val="24"/>
                <w:highlight w:val="none"/>
              </w:rPr>
            </w:pPr>
          </w:p>
          <w:p>
            <w:pPr>
              <w:rPr>
                <w:rFonts w:ascii="宋体" w:hAnsi="宋体" w:eastAsia="宋体" w:cs="宋体"/>
                <w:color w:val="auto"/>
                <w:sz w:val="24"/>
                <w:highlight w:val="none"/>
              </w:rPr>
            </w:pPr>
            <w:r>
              <w:rPr>
                <w:rFonts w:hint="eastAsia" w:ascii="宋体" w:hAnsi="宋体" w:eastAsia="宋体" w:cs="宋体"/>
                <w:color w:val="auto"/>
                <w:sz w:val="24"/>
                <w:highlight w:val="none"/>
              </w:rPr>
              <w:t>出纳办理转账日期：</w:t>
            </w:r>
          </w:p>
        </w:tc>
      </w:tr>
    </w:tbl>
    <w:p>
      <w:pPr>
        <w:pStyle w:val="18"/>
        <w:ind w:left="1" w:firstLine="2"/>
        <w:rPr>
          <w:rFonts w:ascii="宋体" w:hAnsi="宋体" w:cs="宋体"/>
          <w:b/>
          <w:bCs/>
          <w:color w:val="auto"/>
          <w:sz w:val="18"/>
          <w:szCs w:val="18"/>
          <w:highlight w:val="none"/>
        </w:rPr>
      </w:pPr>
    </w:p>
    <w:p>
      <w:pPr>
        <w:pStyle w:val="18"/>
        <w:ind w:left="1" w:firstLine="2"/>
        <w:rPr>
          <w:rFonts w:ascii="宋体" w:hAnsi="宋体" w:eastAsia="宋体" w:cs="宋体"/>
          <w:b/>
          <w:bCs/>
          <w:color w:val="auto"/>
          <w:sz w:val="44"/>
          <w:szCs w:val="44"/>
          <w:highlight w:val="none"/>
        </w:rPr>
      </w:pPr>
      <w:r>
        <w:rPr>
          <w:rFonts w:hint="eastAsia" w:ascii="宋体" w:hAnsi="宋体" w:cs="宋体"/>
          <w:b/>
          <w:bCs/>
          <w:color w:val="auto"/>
          <w:sz w:val="20"/>
          <w:szCs w:val="20"/>
          <w:highlight w:val="none"/>
        </w:rPr>
        <w:t>注：供应商凭经采购人审批的退付意见书到履约保证金收取单位财务部门办理履约保证金退付事宜。</w:t>
      </w:r>
    </w:p>
    <w:p>
      <w:pPr>
        <w:keepNext/>
        <w:keepLines/>
        <w:spacing w:before="340" w:after="330" w:line="578" w:lineRule="auto"/>
        <w:jc w:val="center"/>
        <w:outlineLvl w:val="0"/>
        <w:rPr>
          <w:rFonts w:hint="eastAsia" w:ascii="宋体" w:hAnsi="宋体" w:eastAsia="宋体" w:cs="宋体"/>
          <w:b/>
          <w:bCs/>
          <w:color w:val="auto"/>
          <w:sz w:val="44"/>
          <w:szCs w:val="44"/>
          <w:highlight w:val="none"/>
          <w:lang w:val="zh-CN"/>
        </w:rPr>
      </w:pPr>
      <w:bookmarkStart w:id="158" w:name="_Toc23849"/>
      <w:bookmarkStart w:id="159" w:name="_Toc15382"/>
      <w:bookmarkStart w:id="160" w:name="_Toc20554"/>
      <w:bookmarkStart w:id="161" w:name="_Toc19175"/>
      <w:bookmarkStart w:id="162" w:name="_Toc21248"/>
      <w:bookmarkStart w:id="163" w:name="_Toc4631"/>
      <w:bookmarkStart w:id="164" w:name="_Toc80205943"/>
      <w:bookmarkStart w:id="165" w:name="_Toc22077"/>
      <w:bookmarkStart w:id="166" w:name="_Toc10008"/>
      <w:r>
        <w:rPr>
          <w:rFonts w:hint="eastAsia" w:ascii="宋体" w:hAnsi="宋体" w:eastAsia="宋体" w:cs="宋体"/>
          <w:b/>
          <w:bCs/>
          <w:color w:val="auto"/>
          <w:sz w:val="44"/>
          <w:szCs w:val="44"/>
          <w:highlight w:val="none"/>
          <w:lang w:val="zh-CN"/>
        </w:rPr>
        <w:br w:type="textWrapping"/>
      </w:r>
    </w:p>
    <w:p>
      <w:pPr>
        <w:keepNext/>
        <w:keepLines/>
        <w:spacing w:before="340" w:after="330" w:line="578" w:lineRule="auto"/>
        <w:jc w:val="center"/>
        <w:outlineLvl w:val="0"/>
        <w:rPr>
          <w:rFonts w:hint="eastAsia" w:ascii="宋体" w:hAnsi="宋体" w:eastAsia="宋体" w:cs="宋体"/>
          <w:b/>
          <w:bCs/>
          <w:color w:val="auto"/>
          <w:sz w:val="44"/>
          <w:szCs w:val="44"/>
          <w:highlight w:val="none"/>
          <w:lang w:val="zh-CN"/>
        </w:rPr>
      </w:pPr>
    </w:p>
    <w:p>
      <w:pPr>
        <w:keepNext/>
        <w:keepLines/>
        <w:spacing w:before="340" w:after="330" w:line="578" w:lineRule="auto"/>
        <w:jc w:val="center"/>
        <w:outlineLvl w:val="0"/>
        <w:rPr>
          <w:rFonts w:hint="eastAsia" w:ascii="宋体" w:hAnsi="宋体" w:eastAsia="宋体" w:cs="宋体"/>
          <w:b/>
          <w:bCs/>
          <w:color w:val="auto"/>
          <w:sz w:val="44"/>
          <w:szCs w:val="44"/>
          <w:highlight w:val="none"/>
          <w:lang w:val="zh-CN"/>
        </w:rPr>
      </w:pPr>
    </w:p>
    <w:p>
      <w:pPr>
        <w:keepNext/>
        <w:keepLines/>
        <w:spacing w:before="340" w:after="330" w:line="578" w:lineRule="auto"/>
        <w:jc w:val="center"/>
        <w:outlineLvl w:val="0"/>
        <w:rPr>
          <w:rFonts w:hint="eastAsia" w:ascii="宋体" w:hAnsi="宋体" w:cs="宋体"/>
          <w:b/>
          <w:bCs/>
          <w:color w:val="auto"/>
          <w:kern w:val="0"/>
          <w:sz w:val="36"/>
          <w:szCs w:val="36"/>
          <w:highlight w:val="none"/>
        </w:rPr>
      </w:pPr>
      <w:r>
        <w:rPr>
          <w:rFonts w:hint="eastAsia" w:ascii="宋体" w:hAnsi="宋体" w:eastAsia="宋体" w:cs="宋体"/>
          <w:b/>
          <w:bCs/>
          <w:color w:val="auto"/>
          <w:sz w:val="44"/>
          <w:szCs w:val="44"/>
          <w:highlight w:val="none"/>
          <w:lang w:val="zh-CN"/>
        </w:rPr>
        <w:t>第六章 合同文本</w:t>
      </w:r>
      <w:bookmarkEnd w:id="158"/>
      <w:bookmarkEnd w:id="159"/>
      <w:bookmarkEnd w:id="160"/>
      <w:bookmarkEnd w:id="161"/>
      <w:bookmarkEnd w:id="162"/>
      <w:bookmarkEnd w:id="163"/>
      <w:bookmarkEnd w:id="164"/>
      <w:bookmarkEnd w:id="165"/>
      <w:bookmarkEnd w:id="166"/>
    </w:p>
    <w:p>
      <w:pPr>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rPr>
        <w:br w:type="page"/>
      </w:r>
    </w:p>
    <w:p>
      <w:pPr>
        <w:spacing w:line="360" w:lineRule="auto"/>
        <w:rPr>
          <w:rFonts w:cs="Times New Roman" w:asciiTheme="minorEastAsia" w:hAnsiTheme="minorEastAsia" w:eastAsiaTheme="minorEastAsia"/>
          <w:color w:val="auto"/>
          <w:sz w:val="24"/>
          <w:highlight w:val="none"/>
          <w:u w:val="single"/>
        </w:rPr>
      </w:pPr>
      <w:r>
        <w:rPr>
          <w:rFonts w:hint="eastAsia" w:cs="Times New Roman"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sz w:val="24"/>
          <w:highlight w:val="none"/>
          <w:lang w:val="en-US" w:eastAsia="zh-CN"/>
        </w:rPr>
        <w:t>广西政府采购云平台</w:t>
      </w:r>
      <w:r>
        <w:rPr>
          <w:rFonts w:hint="eastAsia" w:cs="Times New Roman" w:asciiTheme="minorEastAsia" w:hAnsiTheme="minorEastAsia" w:eastAsiaTheme="minorEastAsia"/>
          <w:color w:val="auto"/>
          <w:sz w:val="24"/>
          <w:highlight w:val="none"/>
        </w:rPr>
        <w:t>”合同编号：</w:t>
      </w:r>
      <w:r>
        <w:rPr>
          <w:rFonts w:hint="eastAsia" w:cs="Times New Roman" w:asciiTheme="minorEastAsia" w:hAnsiTheme="minorEastAsia" w:eastAsiaTheme="minorEastAsia"/>
          <w:color w:val="auto"/>
          <w:sz w:val="24"/>
          <w:highlight w:val="none"/>
          <w:u w:val="single"/>
        </w:rPr>
        <w:t xml:space="preserve">           </w:t>
      </w:r>
    </w:p>
    <w:p>
      <w:pPr>
        <w:spacing w:line="360" w:lineRule="auto"/>
        <w:jc w:val="both"/>
        <w:rPr>
          <w:rFonts w:hint="eastAsia" w:cs="Times New Roman" w:asciiTheme="minorEastAsia" w:hAnsiTheme="minorEastAsia" w:eastAsiaTheme="minorEastAsia"/>
          <w:b/>
          <w:bCs/>
          <w:color w:val="auto"/>
          <w:sz w:val="52"/>
          <w:highlight w:val="none"/>
        </w:rPr>
      </w:pPr>
    </w:p>
    <w:p>
      <w:pPr>
        <w:spacing w:line="360" w:lineRule="auto"/>
        <w:ind w:firstLine="0" w:firstLineChars="0"/>
        <w:jc w:val="center"/>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b/>
          <w:bCs/>
          <w:color w:val="auto"/>
          <w:sz w:val="52"/>
          <w:highlight w:val="none"/>
        </w:rPr>
        <w:t>政 府 采 购</w:t>
      </w:r>
    </w:p>
    <w:p>
      <w:pPr>
        <w:spacing w:line="360" w:lineRule="auto"/>
        <w:ind w:firstLine="420" w:firstLineChars="200"/>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 xml:space="preserve">                                                 </w:t>
      </w:r>
    </w:p>
    <w:p>
      <w:pPr>
        <w:spacing w:line="360" w:lineRule="auto"/>
        <w:jc w:val="center"/>
        <w:rPr>
          <w:rFonts w:hint="eastAsia" w:cs="Times New Roman" w:asciiTheme="minorEastAsia" w:hAnsiTheme="minorEastAsia" w:eastAsiaTheme="minorEastAsia"/>
          <w:b/>
          <w:bCs/>
          <w:color w:val="auto"/>
          <w:sz w:val="36"/>
          <w:szCs w:val="36"/>
          <w:highlight w:val="none"/>
          <w:u w:val="single"/>
          <w:lang w:eastAsia="zh-CN"/>
        </w:rPr>
      </w:pPr>
      <w:r>
        <w:rPr>
          <w:rFonts w:hint="eastAsia" w:cs="Times New Roman" w:asciiTheme="minorEastAsia" w:hAnsiTheme="minorEastAsia" w:eastAsiaTheme="minorEastAsia"/>
          <w:b/>
          <w:bCs/>
          <w:color w:val="auto"/>
          <w:sz w:val="36"/>
          <w:szCs w:val="36"/>
          <w:highlight w:val="none"/>
          <w:u w:val="single"/>
          <w:lang w:eastAsia="zh-CN"/>
        </w:rPr>
        <w:t>多功能一体化产床等医疗设备采购项目</w:t>
      </w:r>
    </w:p>
    <w:p>
      <w:pPr>
        <w:spacing w:line="360" w:lineRule="auto"/>
        <w:jc w:val="center"/>
        <w:rPr>
          <w:rFonts w:cs="Times New Roman" w:asciiTheme="minorEastAsia" w:hAnsiTheme="minorEastAsia" w:eastAsiaTheme="minorEastAsia"/>
          <w:b/>
          <w:bCs/>
          <w:color w:val="auto"/>
          <w:sz w:val="44"/>
          <w:highlight w:val="none"/>
        </w:rPr>
      </w:pPr>
      <w:r>
        <w:rPr>
          <w:rFonts w:hint="eastAsia" w:cs="Times New Roman" w:asciiTheme="minorEastAsia" w:hAnsiTheme="minorEastAsia" w:eastAsiaTheme="minorEastAsia"/>
          <w:b/>
          <w:bCs/>
          <w:color w:val="auto"/>
          <w:sz w:val="44"/>
          <w:highlight w:val="none"/>
        </w:rPr>
        <w:t>合同</w:t>
      </w:r>
    </w:p>
    <w:p>
      <w:pPr>
        <w:spacing w:line="360" w:lineRule="auto"/>
        <w:jc w:val="center"/>
        <w:rPr>
          <w:rFonts w:cs="Times New Roman" w:asciiTheme="minorEastAsia" w:hAnsiTheme="minorEastAsia" w:eastAsiaTheme="minorEastAsia"/>
          <w:b/>
          <w:bCs/>
          <w:color w:val="auto"/>
          <w:sz w:val="44"/>
          <w:highlight w:val="none"/>
        </w:rPr>
      </w:pPr>
    </w:p>
    <w:p>
      <w:pPr>
        <w:spacing w:line="360" w:lineRule="auto"/>
        <w:ind w:firstLine="0" w:firstLineChars="0"/>
        <w:rPr>
          <w:rFonts w:cs="Times New Roman" w:asciiTheme="minorEastAsia" w:hAnsiTheme="minorEastAsia" w:eastAsiaTheme="minorEastAsia"/>
          <w:b/>
          <w:bCs/>
          <w:color w:val="auto"/>
          <w:sz w:val="44"/>
          <w:highlight w:val="none"/>
        </w:rPr>
      </w:pPr>
    </w:p>
    <w:p>
      <w:pPr>
        <w:spacing w:line="360" w:lineRule="auto"/>
        <w:ind w:firstLine="3507" w:firstLineChars="794"/>
        <w:rPr>
          <w:rFonts w:cs="Times New Roman" w:asciiTheme="minorEastAsia" w:hAnsiTheme="minorEastAsia" w:eastAsiaTheme="minorEastAsia"/>
          <w:b/>
          <w:bCs/>
          <w:color w:val="auto"/>
          <w:sz w:val="44"/>
          <w:highlight w:val="none"/>
        </w:rPr>
      </w:pPr>
    </w:p>
    <w:p>
      <w:pPr>
        <w:ind w:firstLine="723" w:firstLineChars="200"/>
        <w:rPr>
          <w:rFonts w:cs="Times New Roman" w:asciiTheme="minorEastAsia" w:hAnsiTheme="minorEastAsia" w:eastAsiaTheme="minorEastAsia"/>
          <w:b/>
          <w:color w:val="auto"/>
          <w:sz w:val="36"/>
          <w:szCs w:val="36"/>
          <w:highlight w:val="none"/>
        </w:rPr>
      </w:pPr>
      <w:r>
        <w:rPr>
          <w:rFonts w:hint="eastAsia" w:cs="Times New Roman" w:asciiTheme="minorEastAsia" w:hAnsiTheme="minorEastAsia" w:eastAsiaTheme="minorEastAsia"/>
          <w:b/>
          <w:color w:val="auto"/>
          <w:sz w:val="36"/>
          <w:szCs w:val="36"/>
          <w:highlight w:val="none"/>
        </w:rPr>
        <w:t>项目编号：</w:t>
      </w:r>
      <w:r>
        <w:rPr>
          <w:rFonts w:hint="eastAsia" w:cs="Times New Roman" w:asciiTheme="minorEastAsia" w:hAnsiTheme="minorEastAsia" w:eastAsiaTheme="minorEastAsia"/>
          <w:b/>
          <w:color w:val="auto"/>
          <w:sz w:val="36"/>
          <w:szCs w:val="36"/>
          <w:highlight w:val="none"/>
          <w:u w:val="single"/>
        </w:rPr>
        <w:t xml:space="preserve">                     </w:t>
      </w:r>
    </w:p>
    <w:p>
      <w:pPr>
        <w:ind w:firstLine="723" w:firstLineChars="200"/>
        <w:rPr>
          <w:rFonts w:cs="Times New Roman" w:asciiTheme="minorEastAsia" w:hAnsiTheme="minorEastAsia" w:eastAsiaTheme="minorEastAsia"/>
          <w:b/>
          <w:color w:val="auto"/>
          <w:sz w:val="36"/>
          <w:szCs w:val="36"/>
          <w:highlight w:val="none"/>
        </w:rPr>
      </w:pPr>
      <w:r>
        <w:rPr>
          <w:rFonts w:hint="eastAsia" w:cs="Times New Roman" w:asciiTheme="minorEastAsia" w:hAnsiTheme="minorEastAsia" w:eastAsiaTheme="minorEastAsia"/>
          <w:b/>
          <w:color w:val="auto"/>
          <w:sz w:val="36"/>
          <w:szCs w:val="36"/>
          <w:highlight w:val="none"/>
        </w:rPr>
        <w:t>计划编号：</w:t>
      </w:r>
      <w:r>
        <w:rPr>
          <w:rFonts w:hint="eastAsia" w:cs="Times New Roman" w:asciiTheme="minorEastAsia" w:hAnsiTheme="minorEastAsia" w:eastAsiaTheme="minorEastAsia"/>
          <w:b/>
          <w:color w:val="auto"/>
          <w:sz w:val="36"/>
          <w:szCs w:val="36"/>
          <w:highlight w:val="none"/>
          <w:u w:val="single"/>
        </w:rPr>
        <w:t xml:space="preserve">                     </w:t>
      </w:r>
    </w:p>
    <w:p>
      <w:pPr>
        <w:ind w:firstLine="1995" w:firstLineChars="552"/>
        <w:rPr>
          <w:rFonts w:cs="Times New Roman" w:asciiTheme="minorEastAsia" w:hAnsiTheme="minorEastAsia" w:eastAsiaTheme="minorEastAsia"/>
          <w:b/>
          <w:color w:val="auto"/>
          <w:sz w:val="36"/>
          <w:szCs w:val="36"/>
          <w:highlight w:val="none"/>
          <w:u w:val="single"/>
        </w:rPr>
      </w:pPr>
    </w:p>
    <w:p>
      <w:pPr>
        <w:ind w:firstLine="1995" w:firstLineChars="552"/>
        <w:rPr>
          <w:rFonts w:cs="Times New Roman" w:asciiTheme="minorEastAsia" w:hAnsiTheme="minorEastAsia" w:eastAsiaTheme="minorEastAsia"/>
          <w:b/>
          <w:color w:val="auto"/>
          <w:sz w:val="36"/>
          <w:szCs w:val="36"/>
          <w:highlight w:val="none"/>
          <w:u w:val="single"/>
        </w:rPr>
      </w:pPr>
    </w:p>
    <w:p>
      <w:pPr>
        <w:tabs>
          <w:tab w:val="left" w:pos="7200"/>
        </w:tabs>
        <w:spacing w:line="360" w:lineRule="auto"/>
        <w:ind w:firstLine="723" w:firstLineChars="200"/>
        <w:rPr>
          <w:rFonts w:cs="Times New Roman" w:asciiTheme="minorEastAsia" w:hAnsiTheme="minorEastAsia" w:eastAsiaTheme="minorEastAsia"/>
          <w:b/>
          <w:color w:val="auto"/>
          <w:sz w:val="36"/>
          <w:szCs w:val="36"/>
          <w:highlight w:val="none"/>
          <w:u w:val="single"/>
        </w:rPr>
      </w:pPr>
      <w:r>
        <w:rPr>
          <w:rFonts w:hint="eastAsia" w:cs="Times New Roman" w:asciiTheme="minorEastAsia" w:hAnsiTheme="minorEastAsia" w:eastAsiaTheme="minorEastAsia"/>
          <w:b/>
          <w:color w:val="auto"/>
          <w:sz w:val="36"/>
          <w:szCs w:val="36"/>
          <w:highlight w:val="none"/>
        </w:rPr>
        <w:t>采购人</w:t>
      </w:r>
      <w:r>
        <w:rPr>
          <w:rFonts w:hint="eastAsia" w:cs="Times New Roman" w:asciiTheme="minorEastAsia" w:hAnsiTheme="minorEastAsia" w:eastAsiaTheme="minorEastAsia"/>
          <w:b/>
          <w:color w:val="auto"/>
          <w:sz w:val="36"/>
          <w:szCs w:val="36"/>
          <w:highlight w:val="none"/>
          <w:lang w:eastAsia="zh-CN"/>
        </w:rPr>
        <w:t>（</w:t>
      </w:r>
      <w:r>
        <w:rPr>
          <w:rFonts w:hint="eastAsia" w:cs="Times New Roman" w:asciiTheme="minorEastAsia" w:hAnsiTheme="minorEastAsia" w:eastAsiaTheme="minorEastAsia"/>
          <w:b/>
          <w:color w:val="auto"/>
          <w:sz w:val="36"/>
          <w:szCs w:val="36"/>
          <w:highlight w:val="none"/>
          <w:lang w:val="en-US" w:eastAsia="zh-CN"/>
        </w:rPr>
        <w:t>甲方</w:t>
      </w:r>
      <w:r>
        <w:rPr>
          <w:rFonts w:hint="eastAsia" w:cs="Times New Roman" w:asciiTheme="minorEastAsia" w:hAnsiTheme="minorEastAsia" w:eastAsiaTheme="minorEastAsia"/>
          <w:b/>
          <w:color w:val="auto"/>
          <w:sz w:val="36"/>
          <w:szCs w:val="36"/>
          <w:highlight w:val="none"/>
          <w:lang w:eastAsia="zh-CN"/>
        </w:rPr>
        <w:t>）</w:t>
      </w:r>
      <w:r>
        <w:rPr>
          <w:rFonts w:hint="eastAsia" w:cs="Times New Roman" w:asciiTheme="minorEastAsia" w:hAnsiTheme="minorEastAsia" w:eastAsiaTheme="minorEastAsia"/>
          <w:b/>
          <w:color w:val="auto"/>
          <w:sz w:val="36"/>
          <w:szCs w:val="36"/>
          <w:highlight w:val="none"/>
        </w:rPr>
        <w:t>：</w:t>
      </w:r>
      <w:r>
        <w:rPr>
          <w:rFonts w:hint="eastAsia" w:cs="Times New Roman" w:asciiTheme="minorEastAsia" w:hAnsiTheme="minorEastAsia" w:eastAsiaTheme="minorEastAsia"/>
          <w:b/>
          <w:color w:val="auto"/>
          <w:sz w:val="36"/>
          <w:szCs w:val="36"/>
          <w:highlight w:val="none"/>
          <w:u w:val="single"/>
        </w:rPr>
        <w:t xml:space="preserve"> 广西医科大学附属</w:t>
      </w:r>
      <w:r>
        <w:rPr>
          <w:rFonts w:hint="eastAsia" w:cs="Times New Roman" w:asciiTheme="minorEastAsia" w:hAnsiTheme="minorEastAsia" w:eastAsiaTheme="minorEastAsia"/>
          <w:b/>
          <w:color w:val="auto"/>
          <w:sz w:val="36"/>
          <w:szCs w:val="36"/>
          <w:highlight w:val="none"/>
          <w:u w:val="single"/>
          <w:lang w:val="en-US" w:eastAsia="zh-CN"/>
        </w:rPr>
        <w:t>武鸣</w:t>
      </w:r>
      <w:r>
        <w:rPr>
          <w:rFonts w:hint="eastAsia" w:cs="Times New Roman" w:asciiTheme="minorEastAsia" w:hAnsiTheme="minorEastAsia" w:eastAsiaTheme="minorEastAsia"/>
          <w:b/>
          <w:color w:val="auto"/>
          <w:sz w:val="36"/>
          <w:szCs w:val="36"/>
          <w:highlight w:val="none"/>
          <w:u w:val="single"/>
        </w:rPr>
        <w:t xml:space="preserve">医院  </w:t>
      </w:r>
    </w:p>
    <w:p>
      <w:pPr>
        <w:tabs>
          <w:tab w:val="left" w:pos="7380"/>
        </w:tabs>
        <w:spacing w:line="360" w:lineRule="auto"/>
        <w:ind w:firstLine="723" w:firstLineChars="200"/>
        <w:rPr>
          <w:rFonts w:hint="default" w:cs="Times New Roman" w:asciiTheme="minorEastAsia" w:hAnsiTheme="minorEastAsia" w:eastAsiaTheme="minorEastAsia"/>
          <w:b/>
          <w:bCs/>
          <w:color w:val="auto"/>
          <w:sz w:val="44"/>
          <w:highlight w:val="none"/>
          <w:lang w:val="en-US" w:eastAsia="zh-CN"/>
        </w:rPr>
      </w:pPr>
      <w:r>
        <w:rPr>
          <w:rFonts w:hint="eastAsia" w:cs="Times New Roman" w:asciiTheme="minorEastAsia" w:hAnsiTheme="minorEastAsia" w:eastAsiaTheme="minorEastAsia"/>
          <w:b/>
          <w:color w:val="auto"/>
          <w:sz w:val="36"/>
          <w:szCs w:val="36"/>
          <w:highlight w:val="none"/>
          <w:lang w:eastAsia="zh-CN"/>
        </w:rPr>
        <w:t>成交</w:t>
      </w:r>
      <w:r>
        <w:rPr>
          <w:rFonts w:hint="eastAsia" w:cs="Times New Roman" w:asciiTheme="minorEastAsia" w:hAnsiTheme="minorEastAsia" w:eastAsiaTheme="minorEastAsia"/>
          <w:b/>
          <w:color w:val="auto"/>
          <w:sz w:val="36"/>
          <w:szCs w:val="36"/>
          <w:highlight w:val="none"/>
        </w:rPr>
        <w:t>供应商</w:t>
      </w:r>
      <w:r>
        <w:rPr>
          <w:rFonts w:hint="eastAsia" w:cs="Times New Roman" w:asciiTheme="minorEastAsia" w:hAnsiTheme="minorEastAsia" w:eastAsiaTheme="minorEastAsia"/>
          <w:b/>
          <w:color w:val="auto"/>
          <w:sz w:val="36"/>
          <w:szCs w:val="36"/>
          <w:highlight w:val="none"/>
          <w:lang w:eastAsia="zh-CN"/>
        </w:rPr>
        <w:t>（</w:t>
      </w:r>
      <w:r>
        <w:rPr>
          <w:rFonts w:hint="eastAsia" w:cs="Times New Roman" w:asciiTheme="minorEastAsia" w:hAnsiTheme="minorEastAsia" w:eastAsiaTheme="minorEastAsia"/>
          <w:b/>
          <w:color w:val="auto"/>
          <w:sz w:val="36"/>
          <w:szCs w:val="36"/>
          <w:highlight w:val="none"/>
          <w:lang w:val="en-US" w:eastAsia="zh-CN"/>
        </w:rPr>
        <w:t>乙方</w:t>
      </w:r>
      <w:r>
        <w:rPr>
          <w:rFonts w:hint="eastAsia" w:cs="Times New Roman" w:asciiTheme="minorEastAsia" w:hAnsiTheme="minorEastAsia" w:eastAsiaTheme="minorEastAsia"/>
          <w:b/>
          <w:color w:val="auto"/>
          <w:sz w:val="36"/>
          <w:szCs w:val="36"/>
          <w:highlight w:val="none"/>
          <w:lang w:eastAsia="zh-CN"/>
        </w:rPr>
        <w:t>）</w:t>
      </w:r>
      <w:r>
        <w:rPr>
          <w:rFonts w:hint="eastAsia" w:cs="Times New Roman" w:asciiTheme="minorEastAsia" w:hAnsiTheme="minorEastAsia" w:eastAsiaTheme="minorEastAsia"/>
          <w:b/>
          <w:color w:val="auto"/>
          <w:sz w:val="36"/>
          <w:szCs w:val="36"/>
          <w:highlight w:val="none"/>
        </w:rPr>
        <w:t>：</w:t>
      </w:r>
      <w:r>
        <w:rPr>
          <w:rFonts w:hint="eastAsia" w:cs="Times New Roman" w:asciiTheme="minorEastAsia" w:hAnsiTheme="minorEastAsia" w:eastAsiaTheme="minorEastAsia"/>
          <w:b/>
          <w:color w:val="auto"/>
          <w:sz w:val="36"/>
          <w:szCs w:val="36"/>
          <w:highlight w:val="none"/>
          <w:u w:val="single"/>
        </w:rPr>
        <w:t xml:space="preserve">                   </w:t>
      </w:r>
      <w:r>
        <w:rPr>
          <w:rFonts w:hint="eastAsia" w:cs="Times New Roman" w:asciiTheme="minorEastAsia" w:hAnsiTheme="minorEastAsia"/>
          <w:b/>
          <w:color w:val="auto"/>
          <w:sz w:val="36"/>
          <w:szCs w:val="36"/>
          <w:highlight w:val="none"/>
          <w:u w:val="single"/>
          <w:lang w:val="en-US" w:eastAsia="zh-CN"/>
        </w:rPr>
        <w:t xml:space="preserve">    </w:t>
      </w:r>
    </w:p>
    <w:p>
      <w:pPr>
        <w:spacing w:before="120" w:line="360" w:lineRule="auto"/>
        <w:ind w:firstLine="0" w:firstLineChars="0"/>
        <w:rPr>
          <w:rFonts w:cs="Times New Roman" w:asciiTheme="minorEastAsia" w:hAnsiTheme="minorEastAsia" w:eastAsiaTheme="minorEastAsia"/>
          <w:color w:val="auto"/>
          <w:sz w:val="24"/>
          <w:highlight w:val="none"/>
        </w:rPr>
      </w:pPr>
    </w:p>
    <w:p>
      <w:pPr>
        <w:spacing w:before="120" w:line="360" w:lineRule="auto"/>
        <w:ind w:firstLine="1124" w:firstLineChars="400"/>
        <w:rPr>
          <w:rFonts w:cs="Times New Roman" w:asciiTheme="minorEastAsia" w:hAnsiTheme="minorEastAsia" w:eastAsiaTheme="minorEastAsia"/>
          <w:b/>
          <w:bCs/>
          <w:color w:val="auto"/>
          <w:sz w:val="28"/>
          <w:szCs w:val="28"/>
          <w:highlight w:val="none"/>
          <w:u w:val="single"/>
        </w:rPr>
      </w:pPr>
      <w:r>
        <w:rPr>
          <w:rFonts w:hint="eastAsia" w:cs="Times New Roman" w:asciiTheme="minorEastAsia" w:hAnsiTheme="minorEastAsia" w:eastAsiaTheme="minorEastAsia"/>
          <w:b/>
          <w:bCs/>
          <w:color w:val="auto"/>
          <w:sz w:val="28"/>
          <w:szCs w:val="28"/>
          <w:highlight w:val="none"/>
        </w:rPr>
        <w:t>签订日期：</w:t>
      </w:r>
      <w:r>
        <w:rPr>
          <w:rFonts w:hint="eastAsia" w:cs="Times New Roman" w:asciiTheme="minorEastAsia" w:hAnsiTheme="minorEastAsia" w:eastAsiaTheme="minorEastAsia"/>
          <w:b/>
          <w:bCs/>
          <w:color w:val="auto"/>
          <w:sz w:val="28"/>
          <w:szCs w:val="28"/>
          <w:highlight w:val="none"/>
          <w:u w:val="single"/>
        </w:rPr>
        <w:t xml:space="preserve"> </w:t>
      </w:r>
      <w:r>
        <w:rPr>
          <w:rFonts w:hint="eastAsia" w:cs="Times New Roman" w:asciiTheme="minorEastAsia" w:hAnsiTheme="minorEastAsia" w:eastAsiaTheme="minorEastAsia"/>
          <w:b/>
          <w:bCs/>
          <w:color w:val="auto"/>
          <w:sz w:val="28"/>
          <w:szCs w:val="28"/>
          <w:highlight w:val="none"/>
          <w:u w:val="single"/>
          <w:lang w:val="en-US" w:eastAsia="zh-CN"/>
        </w:rPr>
        <w:t>2026</w:t>
      </w:r>
      <w:r>
        <w:rPr>
          <w:rFonts w:hint="eastAsia" w:cs="Times New Roman" w:asciiTheme="minorEastAsia" w:hAnsiTheme="minorEastAsia" w:eastAsiaTheme="minorEastAsia"/>
          <w:b/>
          <w:bCs/>
          <w:color w:val="auto"/>
          <w:sz w:val="28"/>
          <w:szCs w:val="28"/>
          <w:highlight w:val="none"/>
        </w:rPr>
        <w:t>年</w:t>
      </w:r>
      <w:r>
        <w:rPr>
          <w:rFonts w:hint="eastAsia" w:cs="Times New Roman" w:asciiTheme="minorEastAsia" w:hAnsiTheme="minorEastAsia" w:eastAsiaTheme="minorEastAsia"/>
          <w:b/>
          <w:bCs/>
          <w:color w:val="auto"/>
          <w:sz w:val="28"/>
          <w:szCs w:val="28"/>
          <w:highlight w:val="none"/>
          <w:u w:val="single"/>
        </w:rPr>
        <w:t xml:space="preserve">      </w:t>
      </w:r>
      <w:r>
        <w:rPr>
          <w:rFonts w:hint="eastAsia" w:cs="Times New Roman" w:asciiTheme="minorEastAsia" w:hAnsiTheme="minorEastAsia" w:eastAsiaTheme="minorEastAsia"/>
          <w:b/>
          <w:bCs/>
          <w:color w:val="auto"/>
          <w:sz w:val="28"/>
          <w:szCs w:val="28"/>
          <w:highlight w:val="none"/>
        </w:rPr>
        <w:t>月</w:t>
      </w:r>
      <w:r>
        <w:rPr>
          <w:rFonts w:hint="eastAsia" w:cs="Times New Roman" w:asciiTheme="minorEastAsia" w:hAnsiTheme="minorEastAsia" w:eastAsiaTheme="minorEastAsia"/>
          <w:b/>
          <w:bCs/>
          <w:color w:val="auto"/>
          <w:sz w:val="28"/>
          <w:szCs w:val="28"/>
          <w:highlight w:val="none"/>
          <w:u w:val="single"/>
        </w:rPr>
        <w:t xml:space="preserve">      </w:t>
      </w:r>
      <w:r>
        <w:rPr>
          <w:rFonts w:hint="eastAsia" w:cs="Times New Roman" w:asciiTheme="minorEastAsia" w:hAnsiTheme="minorEastAsia" w:eastAsiaTheme="minorEastAsia"/>
          <w:b/>
          <w:bCs/>
          <w:color w:val="auto"/>
          <w:sz w:val="28"/>
          <w:szCs w:val="28"/>
          <w:highlight w:val="none"/>
        </w:rPr>
        <w:t>日</w:t>
      </w:r>
    </w:p>
    <w:p>
      <w:pPr>
        <w:keepNext/>
        <w:keepLines/>
        <w:spacing w:before="340" w:after="330" w:line="578" w:lineRule="auto"/>
        <w:jc w:val="center"/>
        <w:outlineLvl w:val="0"/>
        <w:rPr>
          <w:rFonts w:ascii="宋体" w:hAnsi="宋体" w:eastAsia="宋体" w:cs="宋体"/>
          <w:b/>
          <w:bCs/>
          <w:color w:val="auto"/>
          <w:sz w:val="24"/>
          <w:szCs w:val="44"/>
          <w:highlight w:val="none"/>
          <w:u w:val="single"/>
          <w:lang w:val="zh-CN"/>
        </w:rPr>
      </w:pPr>
    </w:p>
    <w:p>
      <w:pPr>
        <w:jc w:val="lef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clear="all"/>
      </w:r>
    </w:p>
    <w:p>
      <w:pPr>
        <w:spacing w:line="300" w:lineRule="auto"/>
        <w:ind w:left="420" w:hanging="420"/>
        <w:jc w:val="center"/>
        <w:rPr>
          <w:rFonts w:ascii="黑体" w:hAnsi="宋体" w:eastAsia="黑体"/>
          <w:b/>
          <w:color w:val="auto"/>
          <w:kern w:val="0"/>
          <w:sz w:val="32"/>
          <w:szCs w:val="32"/>
          <w:highlight w:val="none"/>
        </w:rPr>
      </w:pPr>
      <w:r>
        <w:rPr>
          <w:rFonts w:hint="eastAsia" w:ascii="黑体" w:hAnsi="宋体" w:eastAsia="黑体"/>
          <w:b/>
          <w:color w:val="auto"/>
          <w:kern w:val="0"/>
          <w:sz w:val="32"/>
          <w:szCs w:val="32"/>
          <w:highlight w:val="none"/>
        </w:rPr>
        <w:t>采购合同文本</w:t>
      </w:r>
    </w:p>
    <w:p>
      <w:pPr>
        <w:keepNext w:val="0"/>
        <w:keepLines w:val="0"/>
        <w:pageBreakBefore w:val="0"/>
        <w:kinsoku/>
        <w:overflowPunct/>
        <w:topLinePunct w:val="0"/>
        <w:autoSpaceDN/>
        <w:bidi w:val="0"/>
        <w:adjustRightInd/>
        <w:snapToGrid w:val="0"/>
        <w:spacing w:line="380" w:lineRule="exact"/>
        <w:ind w:right="481" w:rightChars="229" w:firstLine="5040" w:firstLineChars="2400"/>
        <w:textAlignment w:val="auto"/>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合同编号：</w:t>
      </w:r>
    </w:p>
    <w:p>
      <w:pPr>
        <w:keepNext w:val="0"/>
        <w:keepLines w:val="0"/>
        <w:pageBreakBefore w:val="0"/>
        <w:kinsoku/>
        <w:overflowPunct/>
        <w:topLinePunct w:val="0"/>
        <w:autoSpaceDN/>
        <w:bidi w:val="0"/>
        <w:adjustRightInd/>
        <w:snapToGrid w:val="0"/>
        <w:spacing w:line="380" w:lineRule="exact"/>
        <w:textAlignment w:val="auto"/>
        <w:rPr>
          <w:rFonts w:hint="eastAsia" w:ascii="宋体" w:hAnsi="宋体" w:eastAsia="宋体" w:cs="宋体"/>
          <w:color w:val="auto"/>
          <w:sz w:val="21"/>
          <w:szCs w:val="21"/>
          <w:highlight w:val="none"/>
        </w:rPr>
      </w:pPr>
    </w:p>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采购人（甲方）：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0"/>
          <w:sz w:val="21"/>
          <w:szCs w:val="21"/>
          <w:highlight w:val="none"/>
        </w:rPr>
        <w:t>采 购 计 划 号：</w:t>
      </w:r>
      <w:r>
        <w:rPr>
          <w:rFonts w:hint="eastAsia" w:ascii="宋体" w:hAnsi="宋体" w:eastAsia="宋体" w:cs="宋体"/>
          <w:color w:val="auto"/>
          <w:sz w:val="21"/>
          <w:szCs w:val="21"/>
          <w:highlight w:val="none"/>
          <w:u w:val="single"/>
        </w:rPr>
        <w:t xml:space="preserve">                         </w:t>
      </w:r>
    </w:p>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供应商（乙方）：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采购项目名称和</w:t>
      </w:r>
      <w:r>
        <w:rPr>
          <w:rFonts w:hint="eastAsia" w:ascii="宋体" w:hAnsi="宋体" w:eastAsia="宋体" w:cs="宋体"/>
          <w:color w:val="auto"/>
          <w:spacing w:val="-20"/>
          <w:sz w:val="21"/>
          <w:szCs w:val="21"/>
          <w:highlight w:val="none"/>
        </w:rPr>
        <w:t>编号：</w:t>
      </w:r>
      <w:r>
        <w:rPr>
          <w:rFonts w:hint="eastAsia" w:ascii="宋体" w:hAnsi="宋体" w:eastAsia="宋体" w:cs="宋体"/>
          <w:color w:val="auto"/>
          <w:sz w:val="21"/>
          <w:szCs w:val="21"/>
          <w:highlight w:val="none"/>
          <w:u w:val="single"/>
        </w:rPr>
        <w:t xml:space="preserve">                       </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pPr>
        <w:keepNext w:val="0"/>
        <w:keepLines w:val="0"/>
        <w:pageBreakBefore w:val="0"/>
        <w:kinsoku/>
        <w:overflowPunct/>
        <w:topLinePunct w:val="0"/>
        <w:autoSpaceDE w:val="0"/>
        <w:autoSpaceDN/>
        <w:bidi w:val="0"/>
        <w:adjustRightIn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根据《中华人民共和国政府采购法》、《中华人民共和国民法典》等法律、法规规定，按照采购文件规定条款和成交供应商响应文件及其承诺，甲乙双方签订本合同。</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 xml:space="preserve"> 第一条 合同标的</w:t>
      </w:r>
    </w:p>
    <w:p>
      <w:pPr>
        <w:keepNext w:val="0"/>
        <w:keepLines w:val="0"/>
        <w:pageBreakBefore w:val="0"/>
        <w:numPr>
          <w:ilvl w:val="0"/>
          <w:numId w:val="2"/>
        </w:numPr>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供货一览表</w:t>
      </w:r>
    </w:p>
    <w:tbl>
      <w:tblPr>
        <w:tblStyle w:val="44"/>
        <w:tblW w:w="51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0"/>
        <w:gridCol w:w="1287"/>
        <w:gridCol w:w="1070"/>
        <w:gridCol w:w="1181"/>
        <w:gridCol w:w="1177"/>
        <w:gridCol w:w="663"/>
        <w:gridCol w:w="1070"/>
        <w:gridCol w:w="1070"/>
        <w:gridCol w:w="1427"/>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cantSplit/>
          <w:trHeight w:val="1207" w:hRule="atLeast"/>
          <w:jc w:val="center"/>
        </w:trPr>
        <w:tc>
          <w:tcPr>
            <w:tcW w:w="2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标的</w:t>
            </w:r>
            <w:r>
              <w:rPr>
                <w:rFonts w:hint="eastAsia" w:ascii="宋体" w:hAnsi="宋体" w:eastAsia="宋体" w:cs="宋体"/>
                <w:color w:val="auto"/>
                <w:sz w:val="21"/>
                <w:szCs w:val="21"/>
                <w:highlight w:val="none"/>
              </w:rPr>
              <w:t>名称</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品牌</w:t>
            </w:r>
          </w:p>
        </w:tc>
        <w:tc>
          <w:tcPr>
            <w:tcW w:w="62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规格</w:t>
            </w:r>
          </w:p>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型号</w:t>
            </w:r>
          </w:p>
        </w:tc>
        <w:tc>
          <w:tcPr>
            <w:tcW w:w="62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制造商及产地</w:t>
            </w:r>
          </w:p>
        </w:tc>
        <w:tc>
          <w:tcPr>
            <w:tcW w:w="3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  量</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  价</w:t>
            </w:r>
          </w:p>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（元）</w:t>
            </w:r>
          </w:p>
        </w:tc>
        <w:tc>
          <w:tcPr>
            <w:tcW w:w="7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单项合价</w:t>
            </w:r>
          </w:p>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cantSplit/>
          <w:trHeight w:val="684" w:hRule="atLeast"/>
          <w:jc w:val="center"/>
        </w:trPr>
        <w:tc>
          <w:tcPr>
            <w:tcW w:w="2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8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62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623"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351"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566"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7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cantSplit/>
          <w:trHeight w:val="684" w:hRule="atLeast"/>
          <w:jc w:val="center"/>
        </w:trPr>
        <w:tc>
          <w:tcPr>
            <w:tcW w:w="2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68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62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623"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351"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566"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7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cantSplit/>
          <w:trHeight w:val="684" w:hRule="atLeast"/>
          <w:jc w:val="center"/>
        </w:trPr>
        <w:tc>
          <w:tcPr>
            <w:tcW w:w="2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68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62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623"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351"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566"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c>
          <w:tcPr>
            <w:tcW w:w="7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jc w:val="center"/>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jc w:val="center"/>
        </w:trPr>
        <w:tc>
          <w:tcPr>
            <w:tcW w:w="5000" w:type="pct"/>
            <w:gridSpan w:val="10"/>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合同总金额：</w:t>
            </w:r>
            <w:r>
              <w:rPr>
                <w:rFonts w:hint="eastAsia" w:ascii="宋体" w:hAnsi="宋体" w:eastAsia="宋体" w:cs="宋体"/>
                <w:color w:val="auto"/>
                <w:sz w:val="21"/>
                <w:szCs w:val="21"/>
                <w:highlight w:val="none"/>
              </w:rPr>
              <w:t xml:space="preserve">人民币合计金额（大写）                          （小写）                 </w:t>
            </w:r>
          </w:p>
        </w:tc>
      </w:tr>
    </w:tbl>
    <w:p>
      <w:pPr>
        <w:keepNext w:val="0"/>
        <w:keepLines w:val="0"/>
        <w:pageBreakBefore w:val="0"/>
        <w:kinsoku/>
        <w:overflowPunct/>
        <w:topLinePunct w:val="0"/>
        <w:autoSpaceDN/>
        <w:bidi w:val="0"/>
        <w:adjustRightInd/>
        <w:snapToGrid w:val="0"/>
        <w:spacing w:line="380" w:lineRule="exact"/>
        <w:ind w:right="52"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竞标报价包含货物、货物标准附件、备品备件、专用工具、设备安装辅材、包装、运输、装卸、保险、货到就位的各种费用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明示或暗示的所有责任、义务和一般风险等费用。</w:t>
      </w:r>
    </w:p>
    <w:p>
      <w:pPr>
        <w:keepNext w:val="0"/>
        <w:keepLines w:val="0"/>
        <w:pageBreakBefore w:val="0"/>
        <w:kinsoku/>
        <w:wordWrap w:val="0"/>
        <w:overflowPunct/>
        <w:topLinePunct w:val="0"/>
        <w:autoSpaceDN/>
        <w:bidi w:val="0"/>
        <w:adjustRightIn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3、免费开放设备所有数据接口供其他系统同步数据，安装时如有需要，需配合医院接入院内网络信息平台，并承担相应接口费用。</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第二条 质量保证</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color w:val="auto"/>
          <w:sz w:val="21"/>
          <w:szCs w:val="21"/>
          <w:highlight w:val="none"/>
        </w:rPr>
        <w:t>1、乙方所提供的货物型号、技术规格、技术参数等质量必须与采购文件，响应文件和承诺相一致。乙方提供的节能和环保产品必须是列入品目清单的产品，否则甲方有权解除本合同。</w:t>
      </w:r>
    </w:p>
    <w:p>
      <w:pPr>
        <w:keepNext w:val="0"/>
        <w:keepLines w:val="0"/>
        <w:pageBreakBefore w:val="0"/>
        <w:kinsoku/>
        <w:overflowPunct/>
        <w:topLinePunct w:val="0"/>
        <w:autoSpaceDE w:val="0"/>
        <w:autoSpaceDN/>
        <w:bidi w:val="0"/>
        <w:adjustRightInd/>
        <w:spacing w:line="38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2、乙方所提供的货物必须是全新、未使用的原装产品，且在正常安装、使用和保养条件下，其使用寿命期内各项指标均达到质量要求，否则甲方有权解除本合同。</w:t>
      </w:r>
    </w:p>
    <w:p>
      <w:pPr>
        <w:keepNext w:val="0"/>
        <w:keepLines w:val="0"/>
        <w:pageBreakBefore w:val="0"/>
        <w:kinsoku/>
        <w:overflowPunct/>
        <w:topLinePunct w:val="0"/>
        <w:autoSpaceDN/>
        <w:bidi w:val="0"/>
        <w:adjustRightInd/>
        <w:snapToGrid w:val="0"/>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3、乙方提供的零配件必须是全新原厂商出产的设备配件，不允许使用第三方配件及二手配件进行更换，更换时必须提供原厂证件。</w:t>
      </w:r>
    </w:p>
    <w:p>
      <w:pPr>
        <w:keepNext w:val="0"/>
        <w:keepLines w:val="0"/>
        <w:pageBreakBefore w:val="0"/>
        <w:widowControl/>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所提供的服务必须是符合采购要求、国家标准、行业标准的，在正常使用和保养条件下，其使用寿命期内各项指标均达到质量要求。如违反本条，甲方有权解除本合同，甲方因此受到损失的，乙方应赔偿甲方的所有损失。</w:t>
      </w:r>
    </w:p>
    <w:p>
      <w:pPr>
        <w:keepNext w:val="0"/>
        <w:keepLines w:val="0"/>
        <w:pageBreakBefore w:val="0"/>
        <w:widowControl/>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5、必须为制造商全新生产产品，验收时提供证明资料，查看设备机身铭牌标注的生产日期或其他证明产品生产日期的资料，从出厂日期至甲方收货时间，国产产品（含进口品牌国内制造）不超过6个月。</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第三条 权利保证</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color w:val="auto"/>
          <w:sz w:val="21"/>
          <w:szCs w:val="21"/>
          <w:highlight w:val="none"/>
        </w:rPr>
        <w:t xml:space="preserve"> 1、乙方应保证所提供货物在使用时不会侵犯任何第三方的专利权、商标权、工业设计权或其他权利。</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2、乙方应按采购文件规定的时间向甲方提供使用货物的有关技术资料。</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违反本条，甲方有权解除本合同，乙方应向甲方支付合同总价款的30%作为违约金。</w:t>
      </w:r>
    </w:p>
    <w:p>
      <w:pPr>
        <w:keepNext w:val="0"/>
        <w:keepLines w:val="0"/>
        <w:pageBreakBefore w:val="0"/>
        <w:kinsoku/>
        <w:overflowPunct/>
        <w:topLinePunct w:val="0"/>
        <w:autoSpaceDE w:val="0"/>
        <w:autoSpaceDN/>
        <w:bidi w:val="0"/>
        <w:adjustRightInd/>
        <w:spacing w:line="38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4、乙方保证所交付的货物的所有权完全属于乙方且无任何抵押、质押、查封等产权瑕疵。如违反本条，甲方有权解除本合同，甲方因此受到损失的，乙方应赔偿甲方的所有损失。</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第四条 包装和运输</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color w:val="auto"/>
          <w:sz w:val="21"/>
          <w:szCs w:val="21"/>
          <w:highlight w:val="none"/>
        </w:rPr>
        <w:t>1、乙方提供的货物均应按</w:t>
      </w:r>
      <w:bookmarkStart w:id="167" w:name="OLE_LINK27"/>
      <w:bookmarkStart w:id="168" w:name="OLE_LINK26"/>
      <w:r>
        <w:rPr>
          <w:rFonts w:hint="eastAsia" w:ascii="宋体" w:hAnsi="宋体" w:eastAsia="宋体" w:cs="宋体"/>
          <w:color w:val="auto"/>
          <w:sz w:val="21"/>
          <w:szCs w:val="21"/>
          <w:highlight w:val="none"/>
        </w:rPr>
        <w:t>采购文件、响应文件</w:t>
      </w:r>
      <w:bookmarkEnd w:id="167"/>
      <w:bookmarkEnd w:id="168"/>
      <w:r>
        <w:rPr>
          <w:rFonts w:hint="eastAsia" w:ascii="宋体" w:hAnsi="宋体" w:eastAsia="宋体" w:cs="宋体"/>
          <w:color w:val="auto"/>
          <w:sz w:val="21"/>
          <w:szCs w:val="21"/>
          <w:highlight w:val="none"/>
        </w:rPr>
        <w:t>要求的包装材料、包装标准、包装方式进行包装，每一包装单元内应附详细的装箱单和质量合格证。</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2、货物的运输方式：</w:t>
      </w:r>
      <w:r>
        <w:rPr>
          <w:rFonts w:hint="eastAsia" w:ascii="宋体" w:hAnsi="宋体" w:eastAsia="宋体" w:cs="宋体"/>
          <w:color w:val="auto"/>
          <w:sz w:val="21"/>
          <w:szCs w:val="21"/>
          <w:highlight w:val="none"/>
          <w:u w:val="single"/>
        </w:rPr>
        <w:t>由乙方负责</w:t>
      </w:r>
      <w:r>
        <w:rPr>
          <w:rFonts w:hint="eastAsia" w:ascii="宋体" w:hAnsi="宋体" w:eastAsia="宋体" w:cs="宋体"/>
          <w:color w:val="auto"/>
          <w:sz w:val="21"/>
          <w:szCs w:val="21"/>
          <w:highlight w:val="none"/>
        </w:rPr>
        <w:t>。</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3、乙方负责货物运输，货物运输合理损耗及计算方法：</w:t>
      </w:r>
      <w:r>
        <w:rPr>
          <w:rFonts w:hint="eastAsia" w:ascii="宋体" w:hAnsi="宋体" w:eastAsia="宋体" w:cs="宋体"/>
          <w:color w:val="auto"/>
          <w:sz w:val="21"/>
          <w:szCs w:val="21"/>
          <w:highlight w:val="none"/>
          <w:u w:val="single"/>
        </w:rPr>
        <w:t>不接受损耗</w:t>
      </w:r>
      <w:r>
        <w:rPr>
          <w:rFonts w:hint="eastAsia" w:ascii="宋体" w:hAnsi="宋体" w:eastAsia="宋体" w:cs="宋体"/>
          <w:color w:val="auto"/>
          <w:sz w:val="21"/>
          <w:szCs w:val="21"/>
          <w:highlight w:val="none"/>
        </w:rPr>
        <w:t>。</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第五条 交付和验收</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color w:val="auto"/>
          <w:sz w:val="21"/>
          <w:szCs w:val="21"/>
          <w:highlight w:val="none"/>
        </w:rPr>
        <w:t>1、交付时间：自签订合同之日起</w:t>
      </w: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日历日内安装调试完毕并交付使用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乙方承诺优于该要求的，</w:t>
      </w:r>
      <w:r>
        <w:rPr>
          <w:rFonts w:hint="eastAsia" w:ascii="宋体" w:hAnsi="宋体" w:eastAsia="宋体" w:cs="宋体"/>
          <w:color w:val="auto"/>
          <w:sz w:val="21"/>
          <w:szCs w:val="21"/>
          <w:highlight w:val="none"/>
          <w:u w:val="single"/>
        </w:rPr>
        <w:t>按乙方响应文件中所承诺的时间</w:t>
      </w:r>
      <w:r>
        <w:rPr>
          <w:rFonts w:hint="eastAsia" w:ascii="宋体" w:hAnsi="宋体" w:eastAsia="宋体" w:cs="宋体"/>
          <w:color w:val="auto"/>
          <w:sz w:val="21"/>
          <w:szCs w:val="21"/>
          <w:highlight w:val="none"/>
          <w:u w:val="single"/>
          <w:lang w:val="en-US" w:eastAsia="zh-CN"/>
        </w:rPr>
        <w:t>为准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交付</w:t>
      </w:r>
      <w:r>
        <w:rPr>
          <w:rFonts w:hint="eastAsia" w:ascii="宋体" w:hAnsi="宋体" w:eastAsia="宋体" w:cs="宋体"/>
          <w:color w:val="auto"/>
          <w:sz w:val="21"/>
          <w:szCs w:val="21"/>
          <w:highlight w:val="none"/>
        </w:rPr>
        <w:t>地点：广西医科大学附属武鸣医院</w:t>
      </w:r>
      <w:r>
        <w:rPr>
          <w:rFonts w:hint="eastAsia" w:ascii="宋体" w:hAnsi="宋体" w:eastAsia="宋体" w:cs="宋体"/>
          <w:color w:val="auto"/>
          <w:sz w:val="21"/>
          <w:szCs w:val="21"/>
          <w:highlight w:val="none"/>
          <w:lang w:val="en-US" w:eastAsia="zh-CN"/>
        </w:rPr>
        <w:t>内甲方指定地点</w:t>
      </w:r>
      <w:r>
        <w:rPr>
          <w:rFonts w:hint="eastAsia" w:ascii="宋体" w:hAnsi="宋体" w:eastAsia="宋体" w:cs="宋体"/>
          <w:color w:val="auto"/>
          <w:sz w:val="21"/>
          <w:szCs w:val="21"/>
          <w:highlight w:val="none"/>
        </w:rPr>
        <w:t>。</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2、乙方提供不符合采购文件、响应文件和本合同规定的货物，甲方有权拒绝接受。</w:t>
      </w:r>
    </w:p>
    <w:p>
      <w:pPr>
        <w:pStyle w:val="16"/>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3、乙方应随设备提供的资料：设备配置装箱单一份，须有现场清点记录，甲乙双方签字确认；设备检验合格证明；提供双份随机纸质资料（中文产品说明书或操作手册一式两份、提供电子版使用说明书）；设备上应贴有标牌，标牌上应用中文载明以下内容：设备名称（与注册证相符）、设备型号（与注册证相符）、生产厂家（与注册证相符）、出厂日期、出厂编号、注册证号；负责制作标准的操作规范卡；以上材料作为验收条件之一，必须提供，如有缺失应及时补齐，否则视为逾期交货。</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、甲方对验收有异议的，在验收后10个工作日内以书面形式向乙方提出，乙方应自收到甲方书面异议后</w:t>
      </w:r>
      <w:r>
        <w:rPr>
          <w:rFonts w:hint="eastAsia" w:ascii="宋体" w:hAnsi="宋体" w:eastAsia="宋体" w:cs="宋体"/>
          <w:color w:val="auto"/>
          <w:sz w:val="21"/>
          <w:szCs w:val="21"/>
          <w:highlight w:val="none"/>
          <w:u w:val="single"/>
        </w:rPr>
        <w:t xml:space="preserve"> 10 </w:t>
      </w:r>
      <w:r>
        <w:rPr>
          <w:rFonts w:hint="eastAsia" w:ascii="宋体" w:hAnsi="宋体" w:eastAsia="宋体" w:cs="宋体"/>
          <w:color w:val="auto"/>
          <w:sz w:val="21"/>
          <w:szCs w:val="21"/>
          <w:highlight w:val="none"/>
        </w:rPr>
        <w:t>日内及时予以解决。</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第六条 安装和培训</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color w:val="auto"/>
          <w:sz w:val="21"/>
          <w:szCs w:val="21"/>
          <w:highlight w:val="none"/>
        </w:rPr>
        <w:t>1、甲方应提供必要安装条件（如场地、电源、水源等）。</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2、乙方负责甲方有关人员的培训。培训时间、地点：</w:t>
      </w:r>
      <w:r>
        <w:rPr>
          <w:rFonts w:hint="eastAsia" w:ascii="宋体" w:hAnsi="宋体" w:eastAsia="宋体" w:cs="宋体"/>
          <w:color w:val="auto"/>
          <w:sz w:val="21"/>
          <w:szCs w:val="21"/>
          <w:highlight w:val="none"/>
          <w:u w:val="single"/>
        </w:rPr>
        <w:t xml:space="preserve">  按甲方需求要求  </w:t>
      </w:r>
      <w:r>
        <w:rPr>
          <w:rFonts w:hint="eastAsia" w:ascii="宋体" w:hAnsi="宋体" w:eastAsia="宋体" w:cs="宋体"/>
          <w:color w:val="auto"/>
          <w:sz w:val="21"/>
          <w:szCs w:val="21"/>
          <w:highlight w:val="none"/>
        </w:rPr>
        <w:t>。</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第七条  售后服务、保修期</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color w:val="auto"/>
          <w:sz w:val="21"/>
          <w:szCs w:val="21"/>
          <w:highlight w:val="none"/>
        </w:rPr>
        <w:t xml:space="preserve">  1、乙方应按照国家有关法律法规和“三包”规定以及采购文件、响应文件和本合同所附的《售后服务承诺书》，为甲方提供售后服务。</w:t>
      </w:r>
    </w:p>
    <w:p>
      <w:pPr>
        <w:keepNext w:val="0"/>
        <w:keepLines w:val="0"/>
        <w:pageBreakBefore w:val="0"/>
        <w:kinsoku/>
        <w:overflowPunct/>
        <w:topLinePunct w:val="0"/>
        <w:autoSpaceDE w:val="0"/>
        <w:autoSpaceDN/>
        <w:bidi w:val="0"/>
        <w:adjustRightInd/>
        <w:spacing w:line="38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2、货物保修期：</w:t>
      </w:r>
      <w:r>
        <w:rPr>
          <w:rFonts w:hint="eastAsia" w:ascii="宋体" w:hAnsi="宋体" w:eastAsia="宋体" w:cs="宋体"/>
          <w:color w:val="auto"/>
          <w:sz w:val="21"/>
          <w:szCs w:val="21"/>
          <w:highlight w:val="none"/>
          <w:lang w:val="en-US" w:eastAsia="zh-CN"/>
        </w:rPr>
        <w:t xml:space="preserve">   年（</w:t>
      </w:r>
      <w:r>
        <w:rPr>
          <w:rFonts w:hint="eastAsia" w:ascii="宋体" w:hAnsi="宋体" w:eastAsia="宋体" w:cs="宋体"/>
          <w:color w:val="auto"/>
          <w:sz w:val="21"/>
          <w:szCs w:val="21"/>
          <w:highlight w:val="none"/>
          <w:lang w:eastAsia="zh-CN"/>
        </w:rPr>
        <w:t>自</w:t>
      </w:r>
      <w:r>
        <w:rPr>
          <w:rFonts w:hint="eastAsia" w:ascii="宋体" w:hAnsi="宋体" w:eastAsia="宋体" w:cs="宋体"/>
          <w:color w:val="auto"/>
          <w:sz w:val="21"/>
          <w:szCs w:val="21"/>
          <w:highlight w:val="none"/>
          <w:lang w:val="en-US" w:eastAsia="zh-CN"/>
        </w:rPr>
        <w:t>本项目</w:t>
      </w:r>
      <w:r>
        <w:rPr>
          <w:rFonts w:hint="eastAsia" w:ascii="宋体" w:hAnsi="宋体" w:eastAsia="宋体" w:cs="宋体"/>
          <w:color w:val="auto"/>
          <w:sz w:val="21"/>
          <w:szCs w:val="21"/>
          <w:highlight w:val="none"/>
          <w:lang w:eastAsia="zh-CN"/>
        </w:rPr>
        <w:t>验收合格之日起计算</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。按国家有关产品“三包”规定执行“三包”，质保期内负责维修、更换配件。若在使用的前3个月内，出现非人为操作失误的重大故障，应予以换货。</w:t>
      </w:r>
      <w:r>
        <w:rPr>
          <w:rFonts w:hint="eastAsia" w:ascii="宋体" w:hAnsi="宋体" w:eastAsia="宋体" w:cs="宋体"/>
          <w:color w:val="auto"/>
          <w:sz w:val="21"/>
          <w:szCs w:val="21"/>
          <w:highlight w:val="none"/>
          <w:lang w:val="en-US" w:eastAsia="zh-CN"/>
        </w:rPr>
        <w:t>质保期</w:t>
      </w:r>
      <w:r>
        <w:rPr>
          <w:rFonts w:hint="eastAsia" w:ascii="宋体" w:hAnsi="宋体" w:eastAsia="宋体" w:cs="宋体"/>
          <w:color w:val="auto"/>
          <w:sz w:val="21"/>
          <w:szCs w:val="21"/>
          <w:highlight w:val="none"/>
          <w:lang w:eastAsia="zh-CN"/>
        </w:rPr>
        <w:t>满前1个月内成交</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eastAsia="zh-CN"/>
        </w:rPr>
        <w:t>负责一次全面检查；质保期满后，终身维护，以优惠价格提供维修和备件更换。</w:t>
      </w:r>
    </w:p>
    <w:p>
      <w:pPr>
        <w:keepNext w:val="0"/>
        <w:keepLines w:val="0"/>
        <w:pageBreakBefore w:val="0"/>
        <w:kinsoku/>
        <w:overflowPunct/>
        <w:topLinePunct w:val="0"/>
        <w:autoSpaceDE w:val="0"/>
        <w:autoSpaceDN/>
        <w:bidi w:val="0"/>
        <w:adjustRightIn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3、乙方提供的服务承诺和售后服务及保修期责任等其它具体约定事项。（见合同附件）</w:t>
      </w:r>
    </w:p>
    <w:p>
      <w:pPr>
        <w:keepNext w:val="0"/>
        <w:keepLines w:val="0"/>
        <w:pageBreakBefore w:val="0"/>
        <w:kinsoku/>
        <w:overflowPunct/>
        <w:topLinePunct w:val="0"/>
        <w:autoSpaceDE w:val="0"/>
        <w:autoSpaceDN/>
        <w:bidi w:val="0"/>
        <w:adjustRightIn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为保证服务质量，一般故障2小时内电话响应，24小时内抵达故障设备现场解决问题，24小时内不能解决故障问题的，乙方隔天将提供备用机（与原设备技术参数要求相同或高于原设备技术参数要求的备用产品）以保证甲方的正常工作，所产生的费用，均由乙方承担，甲方不再承担任何费用。</w:t>
      </w:r>
    </w:p>
    <w:p>
      <w:pPr>
        <w:keepNext w:val="0"/>
        <w:keepLines w:val="0"/>
        <w:pageBreakBefore w:val="0"/>
        <w:kinsoku/>
        <w:overflowPunct/>
        <w:topLinePunct w:val="0"/>
        <w:autoSpaceDE w:val="0"/>
        <w:autoSpaceDN/>
        <w:bidi w:val="0"/>
        <w:adjustRightInd/>
        <w:spacing w:line="38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5、设备保修期过后，收到采购人通知后2小时内响应，24小时内派人到达现场解决，承担终身维修服务。维修过程只收取配件费，且以最优惠价格提供。</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第八条 付款方式</w:t>
      </w:r>
    </w:p>
    <w:p>
      <w:pPr>
        <w:keepNext w:val="0"/>
        <w:keepLines w:val="0"/>
        <w:pageBreakBefore w:val="0"/>
        <w:kinsoku/>
        <w:overflowPunct/>
        <w:topLinePunct w:val="0"/>
        <w:autoSpaceDE w:val="0"/>
        <w:autoSpaceDN/>
        <w:bidi w:val="0"/>
        <w:adjustRightInd/>
        <w:snapToGrid w:val="0"/>
        <w:spacing w:line="380" w:lineRule="exact"/>
        <w:ind w:left="-61" w:leftChars="-29" w:firstLine="514" w:firstLineChars="245"/>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本项目采用分期付款方式支付货款，全部货物到达指定地点、安装调试并验收合格，乙方凭双方签署验收合格文件，开具合法有效的全额增值税发票给甲方，甲方收到完整、有效请款材料后3个月内一次性支付总合同金额的50%；验收合格满12个月内支付至总合同金额100%。（不计利息）</w:t>
      </w:r>
      <w:r>
        <w:rPr>
          <w:rFonts w:hint="eastAsia" w:ascii="宋体" w:hAnsi="宋体" w:eastAsia="宋体" w:cs="宋体"/>
          <w:color w:val="auto"/>
          <w:sz w:val="21"/>
          <w:szCs w:val="21"/>
          <w:highlight w:val="none"/>
          <w:u w:val="single"/>
          <w:lang w:eastAsia="zh-CN"/>
        </w:rPr>
        <w:t>，若乙方不能提供全额的增值税发票或提供的增值税发票不符合合同约定，甲方有权顺延支付相应款项，且不视为违约。</w:t>
      </w:r>
    </w:p>
    <w:p>
      <w:pPr>
        <w:keepNext w:val="0"/>
        <w:keepLines w:val="0"/>
        <w:pageBreakBefore w:val="0"/>
        <w:kinsoku/>
        <w:overflowPunct/>
        <w:topLinePunct w:val="0"/>
        <w:autoSpaceDE w:val="0"/>
        <w:autoSpaceDN/>
        <w:bidi w:val="0"/>
        <w:adjustRightInd/>
        <w:snapToGrid w:val="0"/>
        <w:spacing w:line="380" w:lineRule="exact"/>
        <w:ind w:left="-61" w:leftChars="-29" w:firstLine="517" w:firstLineChars="245"/>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第九条  履约保证金</w:t>
      </w:r>
    </w:p>
    <w:p>
      <w:pPr>
        <w:keepNext w:val="0"/>
        <w:keepLines w:val="0"/>
        <w:pageBreakBefore w:val="0"/>
        <w:kinsoku/>
        <w:overflowPunct/>
        <w:topLinePunct w:val="0"/>
        <w:autoSpaceDE w:val="0"/>
        <w:autoSpaceDN/>
        <w:bidi w:val="0"/>
        <w:adjustRightInd/>
        <w:snapToGrid w:val="0"/>
        <w:spacing w:line="380" w:lineRule="exact"/>
        <w:ind w:left="-61" w:leftChars="-29" w:firstLine="514" w:firstLineChars="24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本项目不收取履约保证金。</w:t>
      </w:r>
    </w:p>
    <w:p>
      <w:pPr>
        <w:keepNext w:val="0"/>
        <w:keepLines w:val="0"/>
        <w:pageBreakBefore w:val="0"/>
        <w:kinsoku/>
        <w:overflowPunct/>
        <w:topLinePunct w:val="0"/>
        <w:autoSpaceDE w:val="0"/>
        <w:autoSpaceDN/>
        <w:bidi w:val="0"/>
        <w:adjustRightInd/>
        <w:snapToGrid w:val="0"/>
        <w:spacing w:line="380" w:lineRule="exact"/>
        <w:ind w:left="-61" w:leftChars="-29" w:firstLine="517" w:firstLineChars="245"/>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第十条  税费</w:t>
      </w:r>
    </w:p>
    <w:p>
      <w:pPr>
        <w:keepNext w:val="0"/>
        <w:keepLines w:val="0"/>
        <w:pageBreakBefore w:val="0"/>
        <w:kinsoku/>
        <w:overflowPunct/>
        <w:topLinePunct w:val="0"/>
        <w:autoSpaceDE w:val="0"/>
        <w:autoSpaceDN/>
        <w:bidi w:val="0"/>
        <w:adjustRightInd/>
        <w:snapToGrid w:val="0"/>
        <w:spacing w:line="380" w:lineRule="exact"/>
        <w:ind w:left="-61" w:firstLine="514"/>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本合同执行中相关的一切税费均由乙方负担（印花税按国家规定执行）。</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第十一条  质量保证及售后服务</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乙方应按采购文件规定及响应文件承诺的货物性能、技术要求、质量标准向甲方提供未经使用的全新产品。乙方提供货物的质量保证期按交货验收合格之日起计（期限见《招标项目采购需求》中的要求）。在保证期内因货物本身的质量问题发生故障，乙方应负责修理和更换零部件。对达不到技术要求者，根据实际情况，经双方协商，可按以下办法处理：</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（1）更换：由乙方承担所发生的全部费用。</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（2）贬值处理：由甲乙双方合议定价。</w:t>
      </w:r>
    </w:p>
    <w:p>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退货处理：如甲乙双方无法就贬值合议定价或者货物需要退货的，乙方应退还甲方支付的合同款，同时应承担该货物的直接费用（运输、保险、检验、货款利息及银行手续费等）。按退货款额的10%向甲方交付违约金并赔偿经济损失。</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2、如在使用过程中发生质量问题，乙方在接到甲方通知后在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小时内到达甲方现场。乙方不能或拒绝到达现场进行维修的，甲方有权请求第三方进行维修，维修所产生的维修费由乙方承担，乙方还应承担维修费的20%的管理费。</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3、在质保期内，乙方应对货物出现的质量及安全问题负责处理解决并承担一切费用。</w:t>
      </w:r>
    </w:p>
    <w:p>
      <w:pPr>
        <w:keepNext w:val="0"/>
        <w:keepLines w:val="0"/>
        <w:pageBreakBefore w:val="0"/>
        <w:kinsoku/>
        <w:overflowPunct/>
        <w:topLinePunct w:val="0"/>
        <w:autoSpaceDE w:val="0"/>
        <w:autoSpaceDN/>
        <w:bidi w:val="0"/>
        <w:adjustRightInd/>
        <w:spacing w:line="38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4、在货物保修期内，因人为因素出现的故障不在保修范围内。</w:t>
      </w:r>
    </w:p>
    <w:p>
      <w:pPr>
        <w:keepNext w:val="0"/>
        <w:keepLines w:val="0"/>
        <w:pageBreakBefore w:val="0"/>
        <w:kinsoku/>
        <w:overflowPunct/>
        <w:topLinePunct w:val="0"/>
        <w:autoSpaceDE w:val="0"/>
        <w:autoSpaceDN/>
        <w:bidi w:val="0"/>
        <w:adjustRightInd/>
        <w:spacing w:line="380" w:lineRule="exact"/>
        <w:ind w:firstLine="42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第十二条  调试和验收</w:t>
      </w:r>
    </w:p>
    <w:p>
      <w:pPr>
        <w:keepNext w:val="0"/>
        <w:keepLines w:val="0"/>
        <w:pageBreakBefore w:val="0"/>
        <w:kinsoku/>
        <w:overflowPunct/>
        <w:topLinePunct w:val="0"/>
        <w:autoSpaceDE w:val="0"/>
        <w:autoSpaceDN/>
        <w:bidi w:val="0"/>
        <w:adjustRightInd/>
        <w:spacing w:line="38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1、甲方对乙方提交的货物依据</w:t>
      </w:r>
      <w:bookmarkStart w:id="169" w:name="OLE_LINK29"/>
      <w:r>
        <w:rPr>
          <w:rFonts w:hint="eastAsia" w:ascii="宋体" w:hAnsi="宋体" w:eastAsia="宋体" w:cs="宋体"/>
          <w:color w:val="auto"/>
          <w:sz w:val="21"/>
          <w:szCs w:val="21"/>
          <w:highlight w:val="none"/>
        </w:rPr>
        <w:t>采购</w:t>
      </w:r>
      <w:bookmarkEnd w:id="169"/>
      <w:r>
        <w:rPr>
          <w:rFonts w:hint="eastAsia" w:ascii="宋体" w:hAnsi="宋体" w:eastAsia="宋体" w:cs="宋体"/>
          <w:color w:val="auto"/>
          <w:sz w:val="21"/>
          <w:szCs w:val="21"/>
          <w:highlight w:val="none"/>
        </w:rPr>
        <w:t xml:space="preserve">文件上的技术规格要求和国家有关质量标准进行现场初步验收，外观、说明书符合采购文件技术要求的，给予签收，初步验收不合格的不予签收。乙方完成项目所要求的所有服务内容、设备正常运行两周后，以书面形式提前至少7个工作日向甲方提出验收申请，由甲方组织院内相关部门进行验收。 </w:t>
      </w:r>
    </w:p>
    <w:p>
      <w:pPr>
        <w:keepNext w:val="0"/>
        <w:keepLines w:val="0"/>
        <w:pageBreakBefore w:val="0"/>
        <w:kinsoku/>
        <w:overflowPunct/>
        <w:topLinePunct w:val="0"/>
        <w:autoSpaceDE w:val="0"/>
        <w:autoSpaceDN/>
        <w:bidi w:val="0"/>
        <w:adjustRightInd/>
        <w:spacing w:line="38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2、乙方交货前应对产品作出全面检查和对验收文件进行整理，并列出清单，作为甲方收货验收和使用的技术条件依据，检验的结果应随货物交甲方。</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3、甲方对乙方提供的货物在使用前进行调试时，乙方需负责安装并培训甲方的使用操作人员，并协助甲方一起调试，直到符合技术要求，甲方才做最终验收。</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4、对技术复杂的货物，甲方应请国家认可的专业检测机构参与初步验收及最终验收，并由其出具质量检测报告，费用由乙方承担。</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5、验收时乙方必须在现场，验收完毕后作出验收结果报告；验收费用由乙方负责。</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第十三条  货物包装、发运及运输</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1、乙方应在货物发运前对其进行满足运输距离、防潮、防震、防锈和防破损装卸等要求包装，以保证货物安全运达甲方指定地点。</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2、使用说明书（货物属于进口产品的，供货时应同时附上中文使用说明书）、质量检验证明书、随配附件和工具以及清单一并附于货物内。</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3、乙方在货物发运手续办理完毕后二十四小时内或货到甲方四十八小时前通知甲方，以准备接货。</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4、货物在交付甲方前发生的风险均由乙方负责。</w:t>
      </w:r>
    </w:p>
    <w:p>
      <w:pPr>
        <w:keepNext w:val="0"/>
        <w:keepLines w:val="0"/>
        <w:pageBreakBefore w:val="0"/>
        <w:kinsoku/>
        <w:overflowPunct/>
        <w:topLinePunct w:val="0"/>
        <w:autoSpaceDE w:val="0"/>
        <w:autoSpaceDN/>
        <w:bidi w:val="0"/>
        <w:adjustRightInd/>
        <w:spacing w:line="380" w:lineRule="exact"/>
        <w:ind w:firstLine="42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5、货物在规定的交付期限内由乙方送达甲方指定的地点并通过装机验收视为交付。</w:t>
      </w:r>
      <w:r>
        <w:rPr>
          <w:rFonts w:hint="eastAsia" w:ascii="宋体" w:hAnsi="宋体" w:eastAsia="宋体" w:cs="宋体"/>
          <w:b/>
          <w:color w:val="auto"/>
          <w:sz w:val="21"/>
          <w:szCs w:val="21"/>
          <w:highlight w:val="none"/>
        </w:rPr>
        <w:t xml:space="preserve">  </w:t>
      </w:r>
    </w:p>
    <w:p>
      <w:pPr>
        <w:keepNext w:val="0"/>
        <w:keepLines w:val="0"/>
        <w:pageBreakBefore w:val="0"/>
        <w:kinsoku/>
        <w:overflowPunct/>
        <w:topLinePunct w:val="0"/>
        <w:autoSpaceDE w:val="0"/>
        <w:autoSpaceDN/>
        <w:bidi w:val="0"/>
        <w:adjustRightInd/>
        <w:spacing w:line="380" w:lineRule="exact"/>
        <w:ind w:firstLine="42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第十四条  违约责任</w:t>
      </w:r>
    </w:p>
    <w:p>
      <w:pPr>
        <w:pStyle w:val="16"/>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1、乙方所提供的货物规格、技术标准、材料等质量不合格的，应在15日内更换，并且乙方应向甲方支付违约货款额10%违约金并赔偿甲方经济损失；逾期不更换的甲方有权退货，如甲方退货的</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运费由乙方承担）</w:t>
      </w:r>
      <w:r>
        <w:rPr>
          <w:rFonts w:hint="eastAsia" w:ascii="宋体" w:hAnsi="宋体" w:eastAsia="宋体" w:cs="宋体"/>
          <w:color w:val="auto"/>
          <w:sz w:val="21"/>
          <w:szCs w:val="21"/>
          <w:highlight w:val="none"/>
        </w:rPr>
        <w:t>，乙方应按原价退回货款、支付违约货款额10%违约金并赔偿甲方经济损失。</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2、乙方提供的货物如侵犯了第三方合法权益而引发的任何纠纷或诉讼，均由乙方负责交涉并承担全部责任，甲方有权解除本合同。</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3、因包装、运输引起的货物损坏，按质量不合格处罚。</w:t>
      </w:r>
    </w:p>
    <w:p>
      <w:pPr>
        <w:keepNext w:val="0"/>
        <w:keepLines w:val="0"/>
        <w:pageBreakBefore w:val="0"/>
        <w:kinsoku/>
        <w:overflowPunct/>
        <w:topLinePunct w:val="0"/>
        <w:autoSpaceDE w:val="0"/>
        <w:autoSpaceDN/>
        <w:bidi w:val="0"/>
        <w:adjustRightIn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4、乙方逾期交货的，每天向甲方偿付违约货款额4‰违约金，超过10 天甲方有权解除合同，</w:t>
      </w:r>
      <w:r>
        <w:rPr>
          <w:rFonts w:hint="eastAsia" w:ascii="宋体" w:hAnsi="宋体" w:eastAsia="宋体" w:cs="宋体"/>
          <w:color w:val="auto"/>
          <w:sz w:val="21"/>
          <w:szCs w:val="21"/>
          <w:highlight w:val="none"/>
          <w:lang w:val="en-US" w:eastAsia="zh-CN"/>
        </w:rPr>
        <w:t>无论是否解除本合同，乙方均应向甲方支付违约金，</w:t>
      </w:r>
      <w:r>
        <w:rPr>
          <w:rFonts w:hint="eastAsia" w:ascii="宋体" w:hAnsi="宋体" w:eastAsia="宋体" w:cs="宋体"/>
          <w:color w:val="auto"/>
          <w:sz w:val="21"/>
          <w:szCs w:val="21"/>
          <w:highlight w:val="none"/>
        </w:rPr>
        <w:t>乙方承担因此给甲方造成经济损失</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违约金不并入损失</w:t>
      </w:r>
      <w:r>
        <w:rPr>
          <w:rFonts w:hint="eastAsia" w:ascii="宋体" w:hAnsi="宋体" w:eastAsia="宋体" w:cs="宋体"/>
          <w:color w:val="auto"/>
          <w:sz w:val="21"/>
          <w:szCs w:val="21"/>
          <w:highlight w:val="none"/>
        </w:rPr>
        <w:t>。</w:t>
      </w:r>
    </w:p>
    <w:p>
      <w:pPr>
        <w:keepNext w:val="0"/>
        <w:keepLines w:val="0"/>
        <w:pageBreakBefore w:val="0"/>
        <w:kinsoku/>
        <w:overflowPunct/>
        <w:topLinePunct w:val="0"/>
        <w:autoSpaceDE w:val="0"/>
        <w:autoSpaceDN/>
        <w:bidi w:val="0"/>
        <w:adjustRightIn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w:t>
      </w:r>
      <w:r>
        <w:rPr>
          <w:rFonts w:hint="eastAsia" w:ascii="宋体" w:hAnsi="宋体" w:eastAsia="宋体" w:cs="宋体"/>
          <w:color w:val="auto"/>
          <w:sz w:val="21"/>
          <w:szCs w:val="21"/>
          <w:highlight w:val="none"/>
          <w:lang w:val="en-US" w:eastAsia="zh-CN"/>
        </w:rPr>
        <w:t>每</w:t>
      </w:r>
      <w:r>
        <w:rPr>
          <w:rFonts w:hint="eastAsia" w:ascii="宋体" w:hAnsi="宋体" w:eastAsia="宋体" w:cs="宋体"/>
          <w:color w:val="auto"/>
          <w:sz w:val="21"/>
          <w:szCs w:val="21"/>
          <w:highlight w:val="none"/>
        </w:rPr>
        <w:t>未按本合同和响应文件中规定的服务承诺提供售后服务的，</w:t>
      </w:r>
      <w:r>
        <w:rPr>
          <w:rFonts w:hint="eastAsia" w:ascii="宋体" w:hAnsi="宋体" w:eastAsia="宋体" w:cs="宋体"/>
          <w:color w:val="auto"/>
          <w:sz w:val="21"/>
          <w:szCs w:val="21"/>
          <w:highlight w:val="none"/>
          <w:lang w:val="en-US" w:eastAsia="zh-CN"/>
        </w:rPr>
        <w:t>视为违约一次，</w:t>
      </w:r>
      <w:r>
        <w:rPr>
          <w:rFonts w:hint="eastAsia" w:ascii="宋体" w:hAnsi="宋体" w:eastAsia="宋体" w:cs="宋体"/>
          <w:color w:val="auto"/>
          <w:sz w:val="21"/>
          <w:szCs w:val="21"/>
          <w:highlight w:val="none"/>
        </w:rPr>
        <w:t>乙方应按本合同合计金额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向甲方支付违约金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且甲方有权自行维修或聘请第三方进行维护，费用由乙方承担。违约累计超过3次的，甲方有权解除本合同，乙方均应向甲方支付违约金，</w:t>
      </w:r>
      <w:r>
        <w:rPr>
          <w:rFonts w:hint="eastAsia" w:ascii="宋体" w:hAnsi="宋体" w:eastAsia="宋体" w:cs="宋体"/>
          <w:color w:val="auto"/>
          <w:sz w:val="21"/>
          <w:szCs w:val="21"/>
          <w:highlight w:val="none"/>
        </w:rPr>
        <w:t>乙方承担因此给甲方造成经济损失</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违约金不并入损失</w:t>
      </w:r>
      <w:r>
        <w:rPr>
          <w:rFonts w:hint="eastAsia" w:ascii="宋体" w:hAnsi="宋体" w:eastAsia="宋体" w:cs="宋体"/>
          <w:color w:val="auto"/>
          <w:sz w:val="21"/>
          <w:szCs w:val="21"/>
          <w:highlight w:val="none"/>
        </w:rPr>
        <w:t>。</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6、乙方提供的货物在质量保证期内，因设计、工艺或材料的缺陷和其它质量原因造成的问题，由乙方负责。</w:t>
      </w:r>
    </w:p>
    <w:p>
      <w:pPr>
        <w:keepNext w:val="0"/>
        <w:keepLines w:val="0"/>
        <w:pageBreakBefore w:val="0"/>
        <w:kinsoku/>
        <w:overflowPunct/>
        <w:topLinePunct w:val="0"/>
        <w:autoSpaceDE w:val="0"/>
        <w:autoSpaceDN/>
        <w:bidi w:val="0"/>
        <w:adjustRightInd/>
        <w:spacing w:line="38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其它违约行为按违约货款额5%收取违约金。</w:t>
      </w:r>
    </w:p>
    <w:p>
      <w:pPr>
        <w:keepNext w:val="0"/>
        <w:keepLines w:val="0"/>
        <w:pageBreakBefore w:val="0"/>
        <w:kinsoku/>
        <w:overflowPunct/>
        <w:topLinePunct w:val="0"/>
        <w:autoSpaceDE w:val="0"/>
        <w:autoSpaceDN/>
        <w:bidi w:val="0"/>
        <w:adjustRightInd/>
        <w:spacing w:line="380" w:lineRule="exact"/>
        <w:ind w:firstLine="420"/>
        <w:textAlignment w:val="auto"/>
        <w:rPr>
          <w:rFonts w:hint="eastAsia"/>
          <w:color w:val="auto"/>
          <w:highlight w:val="none"/>
          <w:u w:val="single"/>
        </w:rPr>
      </w:pPr>
      <w:r>
        <w:rPr>
          <w:rFonts w:hint="eastAsia" w:ascii="宋体" w:hAnsi="宋体" w:eastAsia="宋体" w:cs="宋体"/>
          <w:color w:val="auto"/>
          <w:sz w:val="21"/>
          <w:szCs w:val="21"/>
          <w:highlight w:val="none"/>
          <w:u w:val="single"/>
        </w:rPr>
        <w:t>8、乙方违反本合同项下任何约定，经甲方书面催告后【7】日内仍未纠正的，甲方有权单方解除合同，并要求乙方支付合同总金额【20%】的违约金。违约金不足以弥补甲方损失的，乙方应继续赔偿。</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乙方支付的违约金不足以弥补甲方损失的，还应承担赔偿责任。</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第十五条  不可抗力事件处理</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1、在合同有效期内，任何一方因不可抗力事件导致不能履行合同，则合同履行期可延长，其延长期与不可抗力影响期相同。</w:t>
      </w:r>
    </w:p>
    <w:p>
      <w:pPr>
        <w:keepNext w:val="0"/>
        <w:keepLines w:val="0"/>
        <w:pageBreakBefore w:val="0"/>
        <w:kinsoku/>
        <w:overflowPunct/>
        <w:topLinePunct w:val="0"/>
        <w:autoSpaceDE w:val="0"/>
        <w:autoSpaceDN/>
        <w:bidi w:val="0"/>
        <w:adjustRightInd/>
        <w:spacing w:line="380" w:lineRule="exact"/>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2、不可抗力事件发生后，应立即通知对方，并寄送有关权威机构出具的证明。</w:t>
      </w:r>
    </w:p>
    <w:p>
      <w:pPr>
        <w:keepNext w:val="0"/>
        <w:keepLines w:val="0"/>
        <w:pageBreakBefore w:val="0"/>
        <w:kinsoku/>
        <w:overflowPunct/>
        <w:topLinePunct w:val="0"/>
        <w:autoSpaceDE w:val="0"/>
        <w:autoSpaceDN/>
        <w:bidi w:val="0"/>
        <w:adjustRightInd/>
        <w:spacing w:line="380" w:lineRule="exact"/>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3、不可抗力事件延续一百二十天以上，双方应通过友好协商，确定是否继续履行合同。</w:t>
      </w:r>
    </w:p>
    <w:p>
      <w:pPr>
        <w:keepNext w:val="0"/>
        <w:keepLines w:val="0"/>
        <w:pageBreakBefore w:val="0"/>
        <w:kinsoku/>
        <w:overflowPunct/>
        <w:topLinePunct w:val="0"/>
        <w:autoSpaceDE w:val="0"/>
        <w:autoSpaceDN/>
        <w:bidi w:val="0"/>
        <w:adjustRightInd/>
        <w:spacing w:line="380" w:lineRule="exact"/>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可抗力是指合同生效后，发生甲乙双方无法预见、无法预防、无法避免和无法控制的事件，致使无法履行或不能按约定履行合同。主要包括台风、冰雹、地震、海啸、洪水、火山爆发、山体滑坡、政府征收、政府征用、战争、武装冲突、罢工、骚乱、暴动、突发公共卫生事件等情形。</w:t>
      </w:r>
    </w:p>
    <w:p>
      <w:pPr>
        <w:keepNext w:val="0"/>
        <w:keepLines w:val="0"/>
        <w:pageBreakBefore w:val="0"/>
        <w:kinsoku/>
        <w:overflowPunct/>
        <w:topLinePunct w:val="0"/>
        <w:autoSpaceDE w:val="0"/>
        <w:autoSpaceDN/>
        <w:bidi w:val="0"/>
        <w:adjustRightInd/>
        <w:spacing w:line="38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第十六条  合同争议解决</w:t>
      </w:r>
    </w:p>
    <w:p>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1、因货物质量问题发生争议的，应邀请国家认可的质量检测机构对货物质量进行鉴定。货物符合标准的，鉴定费由甲方承担；货物不符合标准的，鉴定费由乙方承担。</w:t>
      </w:r>
    </w:p>
    <w:p>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2、因履行本合同引起的或与本合同有关的争议，甲乙双方应首先通过友好协商解决，如果协商不能解决，向甲方所在地人民法院提起诉讼。</w:t>
      </w:r>
    </w:p>
    <w:p>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3、诉讼期间，本合同是否继续履行，由甲方决定。甲方因诉讼支付的律师费、差旅费、交通费、鉴定费、保全担保费等费用均由乙方承担</w:t>
      </w:r>
      <w:r>
        <w:rPr>
          <w:rFonts w:hint="eastAsia" w:ascii="宋体" w:hAnsi="宋体" w:eastAsia="宋体" w:cs="宋体"/>
          <w:color w:val="auto"/>
          <w:sz w:val="21"/>
          <w:szCs w:val="21"/>
          <w:highlight w:val="none"/>
          <w:lang w:eastAsia="zh-CN"/>
        </w:rPr>
        <w:t>。</w:t>
      </w:r>
    </w:p>
    <w:p>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本合同项下联系方式同时作为有效的司法送达地址。邮寄送达的，以签收日或寄出后第 5 日（先到的时间为准）为送达日；传真或电子邮件送达的，以成功发送之日为送达日。任何一方变更送达地址的，应提前 3 日书面通知对方，否则由此导致的送达不能后果由该方自行承担。</w:t>
      </w:r>
    </w:p>
    <w:p>
      <w:pPr>
        <w:keepNext w:val="0"/>
        <w:keepLines w:val="0"/>
        <w:pageBreakBefore w:val="0"/>
        <w:kinsoku/>
        <w:overflowPunct/>
        <w:topLinePunct w:val="0"/>
        <w:autoSpaceDE w:val="0"/>
        <w:autoSpaceDN/>
        <w:bidi w:val="0"/>
        <w:adjustRightInd/>
        <w:snapToGrid w:val="0"/>
        <w:spacing w:line="38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第十七条  合同生效及其它</w:t>
      </w:r>
    </w:p>
    <w:p>
      <w:pPr>
        <w:pStyle w:val="16"/>
        <w:keepNext w:val="0"/>
        <w:keepLines w:val="0"/>
        <w:pageBreakBefore w:val="0"/>
        <w:kinsoku/>
        <w:overflowPunct/>
        <w:topLinePunct w:val="0"/>
        <w:autoSpaceDE w:val="0"/>
        <w:autoSpaceDN/>
        <w:bidi w:val="0"/>
        <w:adjustRightInd/>
        <w:spacing w:line="380" w:lineRule="exact"/>
        <w:ind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1、本合同自双方法定代表人或委托代理人签字或盖章并加盖单位公章或合同章之日起生效。</w:t>
      </w:r>
    </w:p>
    <w:p>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2、合同执行中涉及采购资金和采购内容修改或补充的，须</w:t>
      </w:r>
      <w:r>
        <w:rPr>
          <w:rFonts w:hint="eastAsia" w:ascii="宋体" w:hAnsi="宋体" w:eastAsia="宋体" w:cs="宋体"/>
          <w:bCs/>
          <w:color w:val="auto"/>
          <w:sz w:val="21"/>
          <w:szCs w:val="21"/>
          <w:highlight w:val="none"/>
          <w:lang w:val="en-US" w:eastAsia="zh-CN"/>
        </w:rPr>
        <w:t>签订</w:t>
      </w:r>
      <w:r>
        <w:rPr>
          <w:rFonts w:hint="eastAsia" w:ascii="宋体" w:hAnsi="宋体" w:eastAsia="宋体" w:cs="宋体"/>
          <w:bCs/>
          <w:color w:val="auto"/>
          <w:sz w:val="21"/>
          <w:szCs w:val="21"/>
          <w:highlight w:val="none"/>
        </w:rPr>
        <w:t>书面补充协议报财政部门备案，方可作为主合同不可分割的一部分。</w:t>
      </w:r>
    </w:p>
    <w:p>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3、双方的</w:t>
      </w:r>
      <w:r>
        <w:rPr>
          <w:rFonts w:hint="eastAsia" w:ascii="宋体" w:hAnsi="宋体" w:eastAsia="宋体" w:cs="宋体"/>
          <w:color w:val="auto"/>
          <w:sz w:val="21"/>
          <w:szCs w:val="21"/>
          <w:highlight w:val="none"/>
          <w:lang w:val="en-US" w:eastAsia="zh-CN"/>
        </w:rPr>
        <w:t>权利</w:t>
      </w:r>
      <w:r>
        <w:rPr>
          <w:rFonts w:hint="eastAsia" w:ascii="宋体" w:hAnsi="宋体" w:eastAsia="宋体" w:cs="宋体"/>
          <w:color w:val="auto"/>
          <w:sz w:val="21"/>
          <w:szCs w:val="21"/>
          <w:highlight w:val="none"/>
        </w:rPr>
        <w:t>和义务以本合同打印内容为准，除签名和日期以外，任何以手写、口头或者其他形式对本合同进行的修改或者补充均视为无效，双方经友好协商共同签订的补充协议除外。</w:t>
      </w:r>
    </w:p>
    <w:p>
      <w:pPr>
        <w:keepNext w:val="0"/>
        <w:keepLines w:val="0"/>
        <w:pageBreakBefore w:val="0"/>
        <w:kinsoku/>
        <w:overflowPunct/>
        <w:topLinePunct w:val="0"/>
        <w:autoSpaceDE w:val="0"/>
        <w:autoSpaceDN/>
        <w:bidi w:val="0"/>
        <w:adjustRightInd/>
        <w:snapToGrid w:val="0"/>
        <w:spacing w:line="38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4、本合同未尽事宜，遵照《中华人民共和国民法典》有关条文执行。</w:t>
      </w:r>
    </w:p>
    <w:p>
      <w:pPr>
        <w:keepNext w:val="0"/>
        <w:keepLines w:val="0"/>
        <w:pageBreakBefore w:val="0"/>
        <w:kinsoku/>
        <w:overflowPunct/>
        <w:topLinePunct w:val="0"/>
        <w:autoSpaceDE w:val="0"/>
        <w:autoSpaceDN/>
        <w:bidi w:val="0"/>
        <w:adjustRightInd/>
        <w:snapToGrid w:val="0"/>
        <w:spacing w:line="38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第十八条 合同的变更、终止与转让</w:t>
      </w:r>
    </w:p>
    <w:p>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1、除《中华人民共和国政府采购法》第五十条规定的情形外，本合同一经签订，甲乙双方不得擅自变更、中止或终止。</w:t>
      </w:r>
    </w:p>
    <w:p>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2、乙方不得擅自转让（无进口资格的供应商委托进口货物除外）其应履行的合同义务。</w:t>
      </w:r>
    </w:p>
    <w:p>
      <w:pPr>
        <w:pStyle w:val="16"/>
        <w:keepNext w:val="0"/>
        <w:keepLines w:val="0"/>
        <w:pageBreakBefore w:val="0"/>
        <w:kinsoku/>
        <w:overflowPunct/>
        <w:topLinePunct w:val="0"/>
        <w:autoSpaceDN/>
        <w:bidi w:val="0"/>
        <w:adjustRightInd/>
        <w:spacing w:line="38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第十九条 以下文件作为本合同的重要组成部分</w:t>
      </w:r>
    </w:p>
    <w:p>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1、政府采购文件；</w:t>
      </w:r>
    </w:p>
    <w:p>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2、乙方提供的响应文件；</w:t>
      </w:r>
    </w:p>
    <w:p>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最后报价表</w:t>
      </w:r>
    </w:p>
    <w:p>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成交通知书；</w:t>
      </w:r>
    </w:p>
    <w:p>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Cs w:val="21"/>
          <w:highlight w:val="none"/>
        </w:rPr>
        <w:t>响应函</w:t>
      </w:r>
      <w:r>
        <w:rPr>
          <w:rFonts w:hint="eastAsia" w:ascii="宋体" w:hAnsi="宋体" w:eastAsia="宋体" w:cs="宋体"/>
          <w:color w:val="auto"/>
          <w:sz w:val="21"/>
          <w:szCs w:val="21"/>
          <w:highlight w:val="none"/>
        </w:rPr>
        <w:t>；</w:t>
      </w:r>
    </w:p>
    <w:p>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、药械购销廉洁购销协议</w:t>
      </w:r>
      <w:r>
        <w:rPr>
          <w:rFonts w:hint="eastAsia" w:ascii="宋体" w:hAnsi="宋体" w:eastAsia="宋体" w:cs="宋体"/>
          <w:color w:val="auto"/>
          <w:sz w:val="21"/>
          <w:szCs w:val="21"/>
          <w:highlight w:val="none"/>
          <w:lang w:val="en-US" w:eastAsia="zh-CN"/>
        </w:rPr>
        <w:t>书</w:t>
      </w:r>
      <w:r>
        <w:rPr>
          <w:rFonts w:hint="eastAsia" w:ascii="宋体" w:hAnsi="宋体" w:eastAsia="宋体" w:cs="宋体"/>
          <w:color w:val="auto"/>
          <w:sz w:val="21"/>
          <w:szCs w:val="21"/>
          <w:highlight w:val="none"/>
        </w:rPr>
        <w:t>。</w:t>
      </w:r>
    </w:p>
    <w:p>
      <w:pPr>
        <w:keepNext w:val="0"/>
        <w:keepLines w:val="0"/>
        <w:pageBreakBefore w:val="0"/>
        <w:kinsoku/>
        <w:overflowPunct/>
        <w:topLinePunct w:val="0"/>
        <w:autoSpaceDE w:val="0"/>
        <w:autoSpaceDN/>
        <w:bidi w:val="0"/>
        <w:adjustRightInd/>
        <w:snapToGrid w:val="0"/>
        <w:spacing w:line="38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 xml:space="preserve">第二十条 </w:t>
      </w:r>
      <w:r>
        <w:rPr>
          <w:rFonts w:hint="eastAsia" w:ascii="宋体" w:hAnsi="宋体" w:eastAsia="宋体" w:cs="宋体"/>
          <w:color w:val="auto"/>
          <w:sz w:val="21"/>
          <w:szCs w:val="21"/>
          <w:highlight w:val="none"/>
        </w:rPr>
        <w:t>本合同一式</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份，具有同等法律效力，甲方执二份，</w:t>
      </w:r>
      <w:r>
        <w:rPr>
          <w:rFonts w:hint="eastAsia" w:ascii="宋体" w:hAnsi="宋体" w:eastAsia="宋体" w:cs="宋体"/>
          <w:color w:val="auto"/>
          <w:spacing w:val="4"/>
          <w:sz w:val="21"/>
          <w:szCs w:val="21"/>
          <w:highlight w:val="none"/>
        </w:rPr>
        <w:t>采购代理机构执一份、</w:t>
      </w:r>
      <w:r>
        <w:rPr>
          <w:rFonts w:hint="eastAsia" w:ascii="宋体" w:hAnsi="宋体" w:eastAsia="宋体" w:cs="宋体"/>
          <w:color w:val="auto"/>
          <w:sz w:val="21"/>
          <w:szCs w:val="21"/>
          <w:highlight w:val="none"/>
        </w:rPr>
        <w:t>乙方执</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份。</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3"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甲方（章） 广西医科大学附属武鸣医院          </w:t>
            </w:r>
          </w:p>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p>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p>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p>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p>
          <w:p>
            <w:pPr>
              <w:keepNext w:val="0"/>
              <w:keepLines w:val="0"/>
              <w:pageBreakBefore w:val="0"/>
              <w:kinsoku/>
              <w:overflowPunct/>
              <w:topLinePunct w:val="0"/>
              <w:autoSpaceDE w:val="0"/>
              <w:autoSpaceDN/>
              <w:bidi w:val="0"/>
              <w:adjustRightInd/>
              <w:snapToGrid w:val="0"/>
              <w:spacing w:line="380" w:lineRule="exact"/>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c>
          <w:tcPr>
            <w:tcW w:w="48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乙方（章）              </w:t>
            </w:r>
          </w:p>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p>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p>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p>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p>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单位地址：广西南宁市武鸣区永宁路26号</w:t>
            </w:r>
          </w:p>
        </w:tc>
        <w:tc>
          <w:tcPr>
            <w:tcW w:w="48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法定代表人（签字或盖章）：</w:t>
            </w:r>
          </w:p>
        </w:tc>
        <w:tc>
          <w:tcPr>
            <w:tcW w:w="48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委托代理人（签字或盖章）：</w:t>
            </w:r>
          </w:p>
        </w:tc>
        <w:tc>
          <w:tcPr>
            <w:tcW w:w="48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委托代理人（签字或盖章）：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电话：0771-6222411</w:t>
            </w:r>
          </w:p>
        </w:tc>
        <w:tc>
          <w:tcPr>
            <w:tcW w:w="48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电子邮箱：gxmuwmfy@163.com</w:t>
            </w:r>
          </w:p>
        </w:tc>
        <w:tc>
          <w:tcPr>
            <w:tcW w:w="48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开户银行：中国工商银行股份有限公司南宁市武鸣支行</w:t>
            </w:r>
          </w:p>
        </w:tc>
        <w:tc>
          <w:tcPr>
            <w:tcW w:w="48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账号：2102117009300236704</w:t>
            </w:r>
          </w:p>
        </w:tc>
        <w:tc>
          <w:tcPr>
            <w:tcW w:w="48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纳税人识别号或统一社会信用代码：1245011049858978X4</w:t>
            </w:r>
          </w:p>
        </w:tc>
        <w:tc>
          <w:tcPr>
            <w:tcW w:w="48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纳税人识别号或统一社会信用代码：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邮政编码：530199</w:t>
            </w:r>
          </w:p>
        </w:tc>
        <w:tc>
          <w:tcPr>
            <w:tcW w:w="48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r>
    </w:tbl>
    <w:p>
      <w:pPr>
        <w:rPr>
          <w:rFonts w:hint="eastAsia"/>
          <w:color w:val="auto"/>
          <w:szCs w:val="21"/>
          <w:highlight w:val="none"/>
        </w:rPr>
      </w:pPr>
      <w:r>
        <w:rPr>
          <w:color w:val="auto"/>
          <w:highlight w:val="none"/>
        </w:rPr>
        <w:t xml:space="preserve"> </w:t>
      </w:r>
    </w:p>
    <w:p>
      <w:pPr>
        <w:keepNext w:val="0"/>
        <w:keepLines w:val="0"/>
        <w:pageBreakBefore/>
        <w:widowControl/>
        <w:kinsoku/>
        <w:wordWrap/>
        <w:overflowPunct/>
        <w:topLinePunct w:val="0"/>
        <w:autoSpaceDE/>
        <w:autoSpaceDN/>
        <w:bidi w:val="0"/>
        <w:adjustRightInd/>
        <w:snapToGrid/>
        <w:jc w:val="center"/>
        <w:textAlignment w:val="auto"/>
        <w:rPr>
          <w:rFonts w:ascii="宋体" w:hAnsi="宋体" w:eastAsia="宋体"/>
          <w:color w:val="auto"/>
          <w:kern w:val="0"/>
          <w:sz w:val="24"/>
          <w:highlight w:val="none"/>
        </w:rPr>
      </w:pPr>
      <w:r>
        <w:rPr>
          <w:rFonts w:hint="eastAsia" w:ascii="宋体" w:hAnsi="宋体" w:eastAsia="宋体" w:cs="宋体"/>
          <w:b/>
          <w:bCs/>
          <w:color w:val="auto"/>
          <w:kern w:val="0"/>
          <w:sz w:val="44"/>
          <w:szCs w:val="44"/>
          <w:highlight w:val="none"/>
        </w:rPr>
        <w:t>药械购销廉洁协议书</w:t>
      </w:r>
    </w:p>
    <w:p>
      <w:pPr>
        <w:widowControl/>
        <w:jc w:val="left"/>
        <w:outlineLvl w:val="0"/>
        <w:rPr>
          <w:rFonts w:hint="eastAsia" w:ascii="宋体" w:hAnsi="宋体" w:eastAsia="宋体" w:cs="宋体"/>
          <w:b/>
          <w:bCs/>
          <w:color w:val="auto"/>
          <w:kern w:val="0"/>
          <w:sz w:val="28"/>
          <w:szCs w:val="28"/>
          <w:highlight w:val="none"/>
        </w:rPr>
      </w:pPr>
      <w:bookmarkStart w:id="170" w:name="_Toc4358"/>
    </w:p>
    <w:p>
      <w:pPr>
        <w:widowControl/>
        <w:jc w:val="left"/>
        <w:outlineLvl w:val="0"/>
        <w:rPr>
          <w:rFonts w:hint="eastAsia" w:ascii="宋体" w:hAnsi="宋体" w:eastAsia="宋体"/>
          <w:color w:val="auto"/>
          <w:sz w:val="24"/>
          <w:szCs w:val="22"/>
          <w:highlight w:val="none"/>
        </w:rPr>
      </w:pPr>
      <w:r>
        <w:rPr>
          <w:rFonts w:hint="eastAsia" w:ascii="宋体" w:hAnsi="宋体" w:eastAsia="宋体" w:cs="宋体"/>
          <w:b/>
          <w:bCs/>
          <w:color w:val="auto"/>
          <w:kern w:val="0"/>
          <w:sz w:val="28"/>
          <w:szCs w:val="28"/>
          <w:highlight w:val="none"/>
        </w:rPr>
        <w:t>甲方：</w:t>
      </w:r>
      <w:r>
        <w:rPr>
          <w:rFonts w:hint="eastAsia" w:ascii="宋体" w:hAnsi="宋体" w:eastAsia="宋体"/>
          <w:color w:val="auto"/>
          <w:sz w:val="24"/>
          <w:szCs w:val="22"/>
          <w:highlight w:val="none"/>
        </w:rPr>
        <w:t>广西医科大学附属武鸣医院</w:t>
      </w:r>
      <w:bookmarkEnd w:id="170"/>
    </w:p>
    <w:p>
      <w:pPr>
        <w:widowControl/>
        <w:jc w:val="left"/>
        <w:rPr>
          <w:rFonts w:hint="eastAsia" w:ascii="宋体" w:hAnsi="宋体" w:eastAsia="宋体"/>
          <w:color w:val="auto"/>
          <w:sz w:val="24"/>
          <w:highlight w:val="none"/>
        </w:rPr>
      </w:pPr>
      <w:r>
        <w:rPr>
          <w:rFonts w:hint="eastAsia" w:ascii="宋体" w:hAnsi="宋体" w:eastAsia="宋体" w:cs="宋体"/>
          <w:b/>
          <w:bCs/>
          <w:color w:val="auto"/>
          <w:kern w:val="0"/>
          <w:sz w:val="28"/>
          <w:szCs w:val="28"/>
          <w:highlight w:val="none"/>
        </w:rPr>
        <w:t>乙方：</w:t>
      </w:r>
    </w:p>
    <w:p>
      <w:pPr>
        <w:spacing w:line="440" w:lineRule="exact"/>
        <w:ind w:firstLine="480" w:firstLineChars="200"/>
        <w:rPr>
          <w:rFonts w:ascii="宋体" w:hAnsi="宋体" w:eastAsia="宋体"/>
          <w:color w:val="auto"/>
          <w:sz w:val="24"/>
          <w:szCs w:val="22"/>
          <w:highlight w:val="none"/>
        </w:rPr>
      </w:pPr>
      <w:r>
        <w:rPr>
          <w:rFonts w:hint="eastAsia" w:ascii="宋体" w:hAnsi="宋体" w:eastAsia="宋体"/>
          <w:color w:val="auto"/>
          <w:sz w:val="24"/>
          <w:szCs w:val="22"/>
          <w:highlight w:val="none"/>
        </w:rPr>
        <w:t>根据《关于规范医疗卫生机构医药购销行为的预警规定》（桂卫办[2013]39号）、《规范医药代表在医疗机构推广药品行为的规定（试行）》（桂卫办[2013] 8号）、《关于建立医药购销领域商业贿赂不良记录实施办法》（桂卫办[2013]38号）等文件精神，为进一步规范医药器械购销行为，维护正常的医疗秩序和医药器械产品经营秩序，建立健全防治商业贿赂长效机制，</w:t>
      </w:r>
      <w:r>
        <w:rPr>
          <w:rFonts w:hint="eastAsia" w:ascii="宋体" w:hAnsi="宋体" w:eastAsia="宋体" w:cs="Arial"/>
          <w:color w:val="auto"/>
          <w:sz w:val="24"/>
          <w:szCs w:val="22"/>
          <w:highlight w:val="none"/>
        </w:rPr>
        <w:t>维护患者、医院和</w:t>
      </w:r>
      <w:r>
        <w:rPr>
          <w:rFonts w:hint="eastAsia" w:ascii="宋体" w:hAnsi="宋体" w:eastAsia="宋体"/>
          <w:color w:val="auto"/>
          <w:sz w:val="24"/>
          <w:szCs w:val="22"/>
          <w:highlight w:val="none"/>
        </w:rPr>
        <w:t>医疗器械生产、经营企业的</w:t>
      </w:r>
      <w:r>
        <w:rPr>
          <w:rFonts w:hint="eastAsia" w:ascii="宋体" w:hAnsi="宋体" w:eastAsia="宋体" w:cs="Arial"/>
          <w:color w:val="auto"/>
          <w:sz w:val="24"/>
          <w:szCs w:val="22"/>
          <w:highlight w:val="none"/>
        </w:rPr>
        <w:t>利益，</w:t>
      </w:r>
      <w:r>
        <w:rPr>
          <w:rFonts w:hint="eastAsia" w:ascii="宋体" w:hAnsi="宋体" w:eastAsia="宋体"/>
          <w:color w:val="auto"/>
          <w:sz w:val="24"/>
          <w:szCs w:val="22"/>
          <w:highlight w:val="none"/>
        </w:rPr>
        <w:t>经甲、乙双方协商，签订本廉洁协议书并共同遵守：</w:t>
      </w:r>
    </w:p>
    <w:p>
      <w:pPr>
        <w:spacing w:line="440" w:lineRule="exact"/>
        <w:ind w:firstLine="570"/>
        <w:rPr>
          <w:rFonts w:ascii="宋体" w:hAnsi="宋体" w:eastAsia="宋体"/>
          <w:color w:val="auto"/>
          <w:sz w:val="24"/>
          <w:szCs w:val="22"/>
          <w:highlight w:val="none"/>
        </w:rPr>
      </w:pPr>
      <w:r>
        <w:rPr>
          <w:rFonts w:hint="eastAsia" w:ascii="宋体" w:hAnsi="宋体" w:eastAsia="宋体"/>
          <w:color w:val="auto"/>
          <w:sz w:val="24"/>
          <w:szCs w:val="22"/>
          <w:highlight w:val="none"/>
        </w:rPr>
        <w:t>一、甲方购进医药器械、医用卫生材料（含药品、医用耗材、医疗设备、试剂等，下同）等产品，不得以任何方式向乙方索取回扣，或者索要、收受乙方产品发票价外的赞助，不得要求乙方代支付任何费用开支。</w:t>
      </w:r>
    </w:p>
    <w:p>
      <w:pPr>
        <w:spacing w:line="440" w:lineRule="exact"/>
        <w:ind w:firstLine="570"/>
        <w:rPr>
          <w:rFonts w:ascii="宋体" w:hAnsi="宋体" w:eastAsia="宋体"/>
          <w:color w:val="auto"/>
          <w:sz w:val="24"/>
          <w:szCs w:val="22"/>
          <w:highlight w:val="none"/>
        </w:rPr>
      </w:pPr>
      <w:r>
        <w:rPr>
          <w:rFonts w:hint="eastAsia" w:ascii="宋体" w:hAnsi="宋体" w:eastAsia="宋体"/>
          <w:color w:val="auto"/>
          <w:sz w:val="24"/>
          <w:szCs w:val="22"/>
          <w:highlight w:val="none"/>
        </w:rPr>
        <w:t>二、甲方工作人员不得以暗示或其他任何形式索要回扣、提成、有价证券、现金等。如甲方工作人员暗示或索要，乙方应予拒绝，并有责任如实向甲方纪检监察部门反映情况。</w:t>
      </w:r>
    </w:p>
    <w:p>
      <w:pPr>
        <w:spacing w:line="440" w:lineRule="exact"/>
        <w:ind w:firstLine="570"/>
        <w:rPr>
          <w:rFonts w:ascii="宋体" w:hAnsi="宋体" w:eastAsia="宋体"/>
          <w:color w:val="auto"/>
          <w:sz w:val="24"/>
          <w:szCs w:val="22"/>
          <w:highlight w:val="none"/>
        </w:rPr>
      </w:pPr>
      <w:r>
        <w:rPr>
          <w:rFonts w:hint="eastAsia" w:ascii="宋体" w:hAnsi="宋体" w:eastAsia="宋体"/>
          <w:color w:val="auto"/>
          <w:sz w:val="24"/>
          <w:szCs w:val="22"/>
          <w:highlight w:val="none"/>
        </w:rPr>
        <w:t>三、甲方工作人员不得替乙方非法统计医药器械销售价格、数量等有关信息。</w:t>
      </w:r>
    </w:p>
    <w:p>
      <w:pPr>
        <w:spacing w:line="440" w:lineRule="exact"/>
        <w:ind w:firstLine="570"/>
        <w:rPr>
          <w:rFonts w:ascii="宋体" w:hAnsi="宋体" w:eastAsia="宋体"/>
          <w:color w:val="auto"/>
          <w:sz w:val="24"/>
          <w:szCs w:val="22"/>
          <w:highlight w:val="none"/>
        </w:rPr>
      </w:pPr>
      <w:r>
        <w:rPr>
          <w:rFonts w:hint="eastAsia" w:ascii="宋体" w:hAnsi="宋体" w:eastAsia="宋体"/>
          <w:color w:val="auto"/>
          <w:sz w:val="24"/>
          <w:szCs w:val="22"/>
          <w:highlight w:val="none"/>
        </w:rPr>
        <w:t>四、乙方不得暗中给予甲方回扣，</w:t>
      </w:r>
      <w:r>
        <w:rPr>
          <w:rFonts w:ascii="宋体" w:hAnsi="宋体" w:eastAsia="宋体"/>
          <w:color w:val="auto"/>
          <w:sz w:val="24"/>
          <w:szCs w:val="22"/>
          <w:highlight w:val="none"/>
        </w:rPr>
        <w:t>不</w:t>
      </w:r>
      <w:r>
        <w:rPr>
          <w:rFonts w:hint="eastAsia" w:ascii="宋体" w:hAnsi="宋体" w:eastAsia="宋体"/>
          <w:color w:val="auto"/>
          <w:sz w:val="24"/>
          <w:szCs w:val="22"/>
          <w:highlight w:val="none"/>
        </w:rPr>
        <w:t>得</w:t>
      </w:r>
      <w:r>
        <w:rPr>
          <w:rFonts w:ascii="宋体" w:hAnsi="宋体" w:eastAsia="宋体"/>
          <w:color w:val="auto"/>
          <w:sz w:val="24"/>
          <w:szCs w:val="22"/>
          <w:highlight w:val="none"/>
        </w:rPr>
        <w:t>以任何理由为</w:t>
      </w:r>
      <w:r>
        <w:rPr>
          <w:rFonts w:hint="eastAsia" w:ascii="宋体" w:hAnsi="宋体" w:eastAsia="宋体"/>
          <w:color w:val="auto"/>
          <w:sz w:val="24"/>
          <w:szCs w:val="22"/>
          <w:highlight w:val="none"/>
        </w:rPr>
        <w:t>甲</w:t>
      </w:r>
      <w:r>
        <w:rPr>
          <w:rFonts w:ascii="宋体" w:hAnsi="宋体" w:eastAsia="宋体"/>
          <w:color w:val="auto"/>
          <w:sz w:val="24"/>
          <w:szCs w:val="22"/>
          <w:highlight w:val="none"/>
        </w:rPr>
        <w:t>方工作人员报销应由其个人支付的费用</w:t>
      </w:r>
      <w:r>
        <w:rPr>
          <w:rFonts w:hint="eastAsia" w:ascii="宋体" w:hAnsi="宋体" w:eastAsia="宋体"/>
          <w:color w:val="auto"/>
          <w:sz w:val="24"/>
          <w:szCs w:val="22"/>
          <w:highlight w:val="none"/>
        </w:rPr>
        <w:t>，不得以提成和赠送有价证券、现金、信用卡、宴请、娱乐以及提供学术活动等手段影响甲方使用医药器械产品的选择权。</w:t>
      </w:r>
    </w:p>
    <w:p>
      <w:pPr>
        <w:spacing w:line="440" w:lineRule="exact"/>
        <w:ind w:firstLine="570"/>
        <w:rPr>
          <w:rFonts w:ascii="宋体" w:hAnsi="宋体" w:eastAsia="宋体"/>
          <w:color w:val="auto"/>
          <w:sz w:val="24"/>
          <w:szCs w:val="22"/>
          <w:highlight w:val="none"/>
        </w:rPr>
      </w:pPr>
      <w:r>
        <w:rPr>
          <w:rFonts w:hint="eastAsia" w:ascii="宋体" w:hAnsi="宋体" w:eastAsia="宋体"/>
          <w:color w:val="auto"/>
          <w:sz w:val="24"/>
          <w:szCs w:val="22"/>
          <w:highlight w:val="none"/>
        </w:rPr>
        <w:t>五、乙方不得进入甲方的医药器械库房、临床科室、微机室等工作场所了解产品销售信息和库存情况。</w:t>
      </w:r>
    </w:p>
    <w:p>
      <w:pPr>
        <w:spacing w:line="440" w:lineRule="exact"/>
        <w:ind w:firstLine="570"/>
        <w:rPr>
          <w:rFonts w:ascii="宋体" w:hAnsi="宋体" w:eastAsia="宋体"/>
          <w:color w:val="auto"/>
          <w:sz w:val="24"/>
          <w:szCs w:val="22"/>
          <w:highlight w:val="none"/>
        </w:rPr>
      </w:pPr>
      <w:r>
        <w:rPr>
          <w:rFonts w:hint="eastAsia" w:ascii="宋体" w:hAnsi="宋体" w:eastAsia="宋体"/>
          <w:color w:val="auto"/>
          <w:sz w:val="24"/>
          <w:szCs w:val="22"/>
          <w:highlight w:val="none"/>
        </w:rPr>
        <w:t>六、乙方洽谈业务，必须在工作时间到甲方指定的科室联系商谈；不得私自到临床、医技等科室推销产品。乙方必须经甲方的相关部门登记和许可才能进入甲方指定的场所进行医</w:t>
      </w:r>
      <w:r>
        <w:rPr>
          <w:rFonts w:ascii="宋体" w:hAnsi="宋体" w:eastAsia="宋体"/>
          <w:color w:val="auto"/>
          <w:sz w:val="24"/>
          <w:szCs w:val="22"/>
          <w:highlight w:val="none"/>
        </w:rPr>
        <w:t>药器械宣传、</w:t>
      </w:r>
      <w:r>
        <w:rPr>
          <w:rFonts w:hint="eastAsia" w:ascii="宋体" w:hAnsi="宋体" w:eastAsia="宋体"/>
          <w:color w:val="auto"/>
          <w:sz w:val="24"/>
          <w:szCs w:val="22"/>
          <w:highlight w:val="none"/>
        </w:rPr>
        <w:t>专题知识</w:t>
      </w:r>
      <w:r>
        <w:rPr>
          <w:rFonts w:ascii="宋体" w:hAnsi="宋体" w:eastAsia="宋体"/>
          <w:color w:val="auto"/>
          <w:sz w:val="24"/>
          <w:szCs w:val="22"/>
          <w:highlight w:val="none"/>
        </w:rPr>
        <w:t>讲座、</w:t>
      </w:r>
      <w:r>
        <w:rPr>
          <w:rFonts w:hint="eastAsia" w:ascii="宋体" w:hAnsi="宋体" w:eastAsia="宋体"/>
          <w:color w:val="auto"/>
          <w:sz w:val="24"/>
          <w:szCs w:val="22"/>
          <w:highlight w:val="none"/>
        </w:rPr>
        <w:t>召开座谈会等甲方同意的业务活动。</w:t>
      </w:r>
    </w:p>
    <w:p>
      <w:pPr>
        <w:spacing w:line="440" w:lineRule="exact"/>
        <w:ind w:firstLine="570"/>
        <w:rPr>
          <w:rFonts w:ascii="宋体" w:hAnsi="宋体" w:eastAsia="宋体"/>
          <w:color w:val="auto"/>
          <w:sz w:val="24"/>
          <w:szCs w:val="22"/>
          <w:highlight w:val="none"/>
        </w:rPr>
      </w:pPr>
      <w:r>
        <w:rPr>
          <w:rFonts w:hint="eastAsia" w:ascii="宋体" w:hAnsi="宋体" w:eastAsia="宋体"/>
          <w:color w:val="auto"/>
          <w:sz w:val="24"/>
          <w:szCs w:val="22"/>
          <w:highlight w:val="none"/>
        </w:rPr>
        <w:t>七、乙方在销售活动中，要自觉遵守国家和地方的有关法律、法规，严格执行合同条款，不得以次充好，不能降低产品质量，做到诚信经营。</w:t>
      </w:r>
    </w:p>
    <w:p>
      <w:pPr>
        <w:spacing w:line="440" w:lineRule="exact"/>
        <w:ind w:firstLine="570"/>
        <w:rPr>
          <w:rFonts w:ascii="宋体" w:hAnsi="宋体" w:eastAsia="宋体"/>
          <w:color w:val="auto"/>
          <w:sz w:val="24"/>
          <w:szCs w:val="22"/>
          <w:highlight w:val="none"/>
        </w:rPr>
      </w:pPr>
      <w:r>
        <w:rPr>
          <w:rFonts w:hint="eastAsia" w:ascii="宋体" w:hAnsi="宋体" w:eastAsia="宋体"/>
          <w:color w:val="auto"/>
          <w:sz w:val="24"/>
          <w:szCs w:val="22"/>
          <w:highlight w:val="none"/>
        </w:rPr>
        <w:t>八、甲、乙双方应共同遵守职业道德，友好合作，杜绝弄虚作假、商业欺诈，不利用非法手段谋取不正当利益，公平公正处理业务。</w:t>
      </w:r>
    </w:p>
    <w:p>
      <w:pPr>
        <w:spacing w:line="440" w:lineRule="exact"/>
        <w:ind w:firstLine="570"/>
        <w:rPr>
          <w:rFonts w:ascii="宋体" w:hAnsi="宋体" w:eastAsia="宋体"/>
          <w:color w:val="auto"/>
          <w:sz w:val="24"/>
          <w:szCs w:val="22"/>
          <w:highlight w:val="none"/>
        </w:rPr>
      </w:pPr>
      <w:r>
        <w:rPr>
          <w:rFonts w:hint="eastAsia" w:ascii="宋体" w:hAnsi="宋体" w:eastAsia="宋体"/>
          <w:color w:val="auto"/>
          <w:sz w:val="24"/>
          <w:szCs w:val="22"/>
          <w:highlight w:val="none"/>
        </w:rPr>
        <w:t>九、甲方人员违反本协议，按国家有关法律法规及医院有关规定制度处理，情节严重涉嫌犯罪的，移交司法机关处理。</w:t>
      </w:r>
    </w:p>
    <w:p>
      <w:pPr>
        <w:spacing w:line="440" w:lineRule="exact"/>
        <w:ind w:firstLine="570"/>
        <w:rPr>
          <w:rFonts w:ascii="宋体" w:hAnsi="宋体" w:eastAsia="宋体"/>
          <w:color w:val="auto"/>
          <w:sz w:val="24"/>
          <w:szCs w:val="22"/>
          <w:highlight w:val="none"/>
        </w:rPr>
      </w:pPr>
      <w:r>
        <w:rPr>
          <w:rFonts w:hint="eastAsia" w:ascii="宋体" w:hAnsi="宋体" w:eastAsia="宋体"/>
          <w:color w:val="auto"/>
          <w:sz w:val="24"/>
          <w:szCs w:val="22"/>
          <w:highlight w:val="none"/>
        </w:rPr>
        <w:t>十、乙方违反上述条款，经核实后，甲方给予警告，情节严重的，甲方有权终止购销合同，并</w:t>
      </w:r>
      <w:r>
        <w:rPr>
          <w:rFonts w:eastAsia="宋体"/>
          <w:color w:val="auto"/>
          <w:sz w:val="24"/>
          <w:szCs w:val="22"/>
          <w:highlight w:val="none"/>
        </w:rPr>
        <w:t>将</w:t>
      </w:r>
      <w:r>
        <w:rPr>
          <w:rFonts w:hint="eastAsia" w:eastAsia="宋体"/>
          <w:color w:val="auto"/>
          <w:sz w:val="24"/>
          <w:szCs w:val="22"/>
          <w:highlight w:val="none"/>
        </w:rPr>
        <w:t>乙方</w:t>
      </w:r>
      <w:r>
        <w:rPr>
          <w:rFonts w:eastAsia="宋体"/>
          <w:color w:val="auto"/>
          <w:sz w:val="24"/>
          <w:szCs w:val="22"/>
          <w:highlight w:val="none"/>
        </w:rPr>
        <w:t>违法违规行为报送上级有关部门</w:t>
      </w:r>
      <w:r>
        <w:rPr>
          <w:rFonts w:hint="eastAsia" w:ascii="宋体" w:hAnsi="宋体" w:eastAsia="宋体"/>
          <w:color w:val="auto"/>
          <w:sz w:val="24"/>
          <w:szCs w:val="22"/>
          <w:highlight w:val="none"/>
        </w:rPr>
        <w:t>，列入不良记录，两年内不得在甲方进行医药器械销售，造成经济损失的，乙方需承担赔偿责任，涉嫌违法的，交由司法机关处理。</w:t>
      </w:r>
    </w:p>
    <w:p>
      <w:pPr>
        <w:spacing w:line="440" w:lineRule="exact"/>
        <w:ind w:firstLine="570"/>
        <w:rPr>
          <w:rFonts w:hint="eastAsia" w:ascii="宋体" w:hAnsi="宋体" w:eastAsia="宋体"/>
          <w:color w:val="auto"/>
          <w:sz w:val="24"/>
          <w:szCs w:val="22"/>
          <w:highlight w:val="none"/>
        </w:rPr>
      </w:pPr>
      <w:r>
        <w:rPr>
          <w:rFonts w:hint="eastAsia" w:ascii="宋体" w:hAnsi="宋体" w:eastAsia="宋体"/>
          <w:color w:val="auto"/>
          <w:sz w:val="24"/>
          <w:szCs w:val="22"/>
          <w:highlight w:val="none"/>
        </w:rPr>
        <w:t>十一、本协议作为合同的附件，一式二份，甲、乙双方各执一份，协议自双方法定代表人或委托代理人签字或盖章并加盖单位公章或合同章之日起生效。</w:t>
      </w:r>
    </w:p>
    <w:p>
      <w:pPr>
        <w:ind w:firstLine="480"/>
        <w:rPr>
          <w:rFonts w:hint="eastAsia" w:ascii="宋体" w:hAnsi="宋体" w:eastAsia="宋体" w:cs="宋体"/>
          <w:color w:val="auto"/>
          <w:sz w:val="24"/>
          <w:highlight w:val="none"/>
        </w:rPr>
      </w:pPr>
    </w:p>
    <w:p>
      <w:pPr>
        <w:widowControl/>
        <w:ind w:firstLine="241" w:firstLineChars="100"/>
        <w:jc w:val="left"/>
        <w:rPr>
          <w:rFonts w:hint="eastAsia" w:ascii="宋体" w:hAnsi="宋体" w:eastAsia="宋体"/>
          <w:color w:val="auto"/>
          <w:sz w:val="24"/>
          <w:highlight w:val="none"/>
        </w:rPr>
      </w:pPr>
      <w:r>
        <w:rPr>
          <w:rFonts w:hint="eastAsia" w:ascii="宋体" w:hAnsi="宋体" w:eastAsia="宋体" w:cs="宋体"/>
          <w:b/>
          <w:color w:val="auto"/>
          <w:sz w:val="24"/>
          <w:highlight w:val="none"/>
        </w:rPr>
        <w:t>甲方</w:t>
      </w:r>
      <w:r>
        <w:rPr>
          <w:rFonts w:hint="eastAsia" w:ascii="宋体" w:hAnsi="宋体" w:eastAsia="宋体" w:cs="宋体"/>
          <w:color w:val="auto"/>
          <w:sz w:val="24"/>
          <w:highlight w:val="none"/>
        </w:rPr>
        <w:t>（章）：</w:t>
      </w:r>
      <w:r>
        <w:rPr>
          <w:rFonts w:hint="eastAsia" w:ascii="宋体" w:hAnsi="宋体" w:eastAsia="宋体" w:cs="宋体"/>
          <w:bCs/>
          <w:color w:val="auto"/>
          <w:sz w:val="24"/>
          <w:highlight w:val="none"/>
        </w:rPr>
        <w:t>广西医科大学附属武鸣医院</w:t>
      </w:r>
      <w:r>
        <w:rPr>
          <w:rFonts w:hint="eastAsia" w:ascii="宋体" w:hAnsi="宋体" w:eastAsia="宋体" w:cs="宋体"/>
          <w:color w:val="auto"/>
          <w:sz w:val="24"/>
          <w:highlight w:val="none"/>
        </w:rPr>
        <w:t xml:space="preserve">     </w:t>
      </w:r>
      <w:r>
        <w:rPr>
          <w:rFonts w:hint="eastAsia" w:ascii="宋体" w:hAnsi="宋体" w:eastAsia="宋体" w:cs="宋体"/>
          <w:b/>
          <w:color w:val="auto"/>
          <w:sz w:val="24"/>
          <w:highlight w:val="none"/>
        </w:rPr>
        <w:t>乙方</w:t>
      </w:r>
      <w:r>
        <w:rPr>
          <w:rFonts w:hint="eastAsia" w:ascii="宋体" w:hAnsi="宋体" w:eastAsia="宋体" w:cs="宋体"/>
          <w:color w:val="auto"/>
          <w:sz w:val="24"/>
          <w:highlight w:val="none"/>
        </w:rPr>
        <w:t>（</w:t>
      </w:r>
      <w:r>
        <w:rPr>
          <w:rFonts w:hint="eastAsia" w:ascii="宋体" w:hAnsi="宋体" w:eastAsia="宋体" w:cs="宋体"/>
          <w:bCs/>
          <w:color w:val="auto"/>
          <w:sz w:val="24"/>
          <w:highlight w:val="none"/>
        </w:rPr>
        <w:t>章</w:t>
      </w:r>
      <w:r>
        <w:rPr>
          <w:rFonts w:hint="eastAsia" w:ascii="宋体" w:hAnsi="宋体" w:eastAsia="宋体" w:cs="宋体"/>
          <w:color w:val="auto"/>
          <w:sz w:val="24"/>
          <w:highlight w:val="none"/>
        </w:rPr>
        <w:t>）：</w:t>
      </w:r>
    </w:p>
    <w:p>
      <w:pPr>
        <w:ind w:firstLine="482"/>
        <w:rPr>
          <w:rFonts w:ascii="宋体" w:hAnsi="宋体" w:eastAsia="宋体" w:cs="宋体"/>
          <w:b/>
          <w:color w:val="auto"/>
          <w:sz w:val="24"/>
          <w:highlight w:val="none"/>
        </w:rPr>
      </w:pPr>
      <w:r>
        <w:rPr>
          <w:rFonts w:hint="eastAsia" w:ascii="宋体" w:hAnsi="宋体" w:eastAsia="宋体" w:cs="宋体"/>
          <w:bCs/>
          <w:color w:val="auto"/>
          <w:sz w:val="24"/>
          <w:highlight w:val="none"/>
        </w:rPr>
        <w:t xml:space="preserve">                                                 </w:t>
      </w:r>
      <w:r>
        <w:rPr>
          <w:rFonts w:hint="eastAsia" w:ascii="宋体" w:hAnsi="宋体" w:eastAsia="宋体" w:cs="宋体"/>
          <w:b/>
          <w:color w:val="auto"/>
          <w:sz w:val="24"/>
          <w:highlight w:val="none"/>
        </w:rPr>
        <w:t xml:space="preserve">         </w:t>
      </w:r>
    </w:p>
    <w:p>
      <w:pPr>
        <w:ind w:firstLine="482"/>
        <w:rPr>
          <w:rFonts w:ascii="宋体" w:hAnsi="宋体" w:eastAsia="宋体" w:cs="宋体"/>
          <w:b/>
          <w:color w:val="auto"/>
          <w:sz w:val="24"/>
          <w:highlight w:val="none"/>
        </w:rPr>
      </w:pPr>
    </w:p>
    <w:p>
      <w:pPr>
        <w:ind w:firstLine="482"/>
        <w:rPr>
          <w:rFonts w:ascii="宋体" w:hAnsi="宋体" w:eastAsia="宋体" w:cs="宋体"/>
          <w:b/>
          <w:color w:val="auto"/>
          <w:sz w:val="24"/>
          <w:highlight w:val="none"/>
        </w:rPr>
      </w:pPr>
      <w:r>
        <w:rPr>
          <w:rFonts w:hint="eastAsia" w:ascii="宋体" w:hAnsi="宋体" w:eastAsia="宋体" w:cs="宋体"/>
          <w:b/>
          <w:color w:val="auto"/>
          <w:sz w:val="24"/>
          <w:highlight w:val="none"/>
        </w:rPr>
        <w:t>法定代表人：                          法定代表人：</w:t>
      </w:r>
    </w:p>
    <w:p>
      <w:pPr>
        <w:rPr>
          <w:rFonts w:ascii="宋体" w:hAnsi="宋体" w:eastAsia="宋体" w:cs="宋体"/>
          <w:b/>
          <w:color w:val="auto"/>
          <w:sz w:val="24"/>
          <w:highlight w:val="none"/>
        </w:rPr>
      </w:pPr>
    </w:p>
    <w:p>
      <w:pPr>
        <w:ind w:firstLine="482"/>
        <w:rPr>
          <w:rFonts w:ascii="宋体" w:hAnsi="宋体" w:eastAsia="宋体" w:cs="宋体"/>
          <w:color w:val="auto"/>
          <w:sz w:val="24"/>
          <w:highlight w:val="none"/>
        </w:rPr>
      </w:pPr>
      <w:r>
        <w:rPr>
          <w:rFonts w:hint="eastAsia" w:ascii="宋体" w:hAnsi="宋体" w:eastAsia="宋体" w:cs="宋体"/>
          <w:b/>
          <w:color w:val="auto"/>
          <w:sz w:val="24"/>
          <w:highlight w:val="none"/>
        </w:rPr>
        <w:t>（或）委托代理人</w:t>
      </w:r>
      <w:r>
        <w:rPr>
          <w:rFonts w:hint="eastAsia" w:ascii="宋体" w:hAnsi="宋体" w:eastAsia="宋体" w:cs="宋体"/>
          <w:color w:val="auto"/>
          <w:sz w:val="24"/>
          <w:highlight w:val="none"/>
        </w:rPr>
        <w:t xml:space="preserve">：           </w:t>
      </w:r>
      <w:r>
        <w:rPr>
          <w:rFonts w:hint="eastAsia" w:ascii="宋体" w:hAnsi="宋体" w:eastAsia="宋体" w:cs="宋体"/>
          <w:b/>
          <w:color w:val="auto"/>
          <w:sz w:val="24"/>
          <w:highlight w:val="none"/>
        </w:rPr>
        <w:t xml:space="preserve">         （或）委托代理人</w:t>
      </w:r>
      <w:r>
        <w:rPr>
          <w:rFonts w:hint="eastAsia" w:ascii="宋体" w:hAnsi="宋体" w:eastAsia="宋体" w:cs="宋体"/>
          <w:color w:val="auto"/>
          <w:sz w:val="24"/>
          <w:highlight w:val="none"/>
        </w:rPr>
        <w:t>：</w:t>
      </w:r>
    </w:p>
    <w:p>
      <w:pPr>
        <w:ind w:firstLine="480"/>
        <w:rPr>
          <w:rFonts w:ascii="宋体" w:hAnsi="宋体" w:eastAsia="宋体" w:cs="宋体"/>
          <w:color w:val="auto"/>
          <w:sz w:val="24"/>
          <w:highlight w:val="none"/>
          <w:u w:val="single"/>
        </w:rPr>
      </w:pPr>
    </w:p>
    <w:p>
      <w:pPr>
        <w:ind w:firstLine="480"/>
        <w:rPr>
          <w:rFonts w:ascii="宋体" w:hAnsi="宋体" w:eastAsia="宋体" w:cs="宋体"/>
          <w:color w:val="auto"/>
          <w:sz w:val="24"/>
          <w:highlight w:val="none"/>
          <w:u w:val="single"/>
        </w:rPr>
      </w:pPr>
      <w:r>
        <w:rPr>
          <w:rFonts w:hint="eastAsia" w:ascii="宋体" w:hAnsi="宋体" w:eastAsia="宋体" w:cs="宋体"/>
          <w:color w:val="auto"/>
          <w:sz w:val="24"/>
          <w:highlight w:val="none"/>
          <w:u w:val="single"/>
        </w:rPr>
        <w:t>202</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r>
        <w:rPr>
          <w:rFonts w:hint="eastAsia" w:ascii="宋体" w:hAnsi="宋体" w:eastAsia="宋体" w:cs="宋体"/>
          <w:color w:val="auto"/>
          <w:sz w:val="24"/>
          <w:highlight w:val="none"/>
          <w:u w:val="single"/>
        </w:rPr>
        <w:t>202</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tabs>
          <w:tab w:val="left" w:pos="7380"/>
        </w:tabs>
        <w:spacing w:line="360" w:lineRule="auto"/>
        <w:jc w:val="center"/>
        <w:rPr>
          <w:rFonts w:ascii="宋体" w:hAnsi="宋体" w:cs="仿宋_GB2312"/>
          <w:b/>
          <w:color w:val="auto"/>
          <w:sz w:val="44"/>
          <w:szCs w:val="44"/>
          <w:highlight w:val="none"/>
        </w:rPr>
      </w:pPr>
    </w:p>
    <w:p>
      <w:pPr>
        <w:spacing w:line="360" w:lineRule="auto"/>
        <w:jc w:val="center"/>
        <w:rPr>
          <w:rFonts w:hint="eastAsia" w:ascii="宋体" w:hAnsi="宋体" w:eastAsia="宋体" w:cs="宋体"/>
          <w:b/>
          <w:color w:val="auto"/>
          <w:szCs w:val="21"/>
          <w:highlight w:val="none"/>
        </w:rPr>
      </w:pPr>
    </w:p>
    <w:p>
      <w:pPr>
        <w:spacing w:line="360" w:lineRule="auto"/>
        <w:jc w:val="center"/>
        <w:rPr>
          <w:rFonts w:hint="eastAsia" w:ascii="宋体" w:hAnsi="宋体" w:eastAsia="宋体" w:cs="宋体"/>
          <w:b/>
          <w:color w:val="auto"/>
          <w:szCs w:val="21"/>
          <w:highlight w:val="none"/>
        </w:rPr>
      </w:pPr>
    </w:p>
    <w:p>
      <w:pPr>
        <w:spacing w:line="360" w:lineRule="auto"/>
        <w:jc w:val="center"/>
        <w:rPr>
          <w:rFonts w:hint="eastAsia" w:ascii="宋体" w:hAnsi="宋体" w:eastAsia="宋体" w:cs="宋体"/>
          <w:b/>
          <w:color w:val="auto"/>
          <w:szCs w:val="21"/>
          <w:highlight w:val="none"/>
        </w:rPr>
      </w:pPr>
    </w:p>
    <w:p>
      <w:pPr>
        <w:spacing w:line="360" w:lineRule="auto"/>
        <w:jc w:val="center"/>
        <w:rPr>
          <w:rFonts w:hint="eastAsia" w:ascii="宋体" w:hAnsi="宋体" w:eastAsia="宋体" w:cs="宋体"/>
          <w:b/>
          <w:color w:val="auto"/>
          <w:szCs w:val="21"/>
          <w:highlight w:val="none"/>
        </w:rPr>
      </w:pPr>
    </w:p>
    <w:p>
      <w:pPr>
        <w:spacing w:line="360" w:lineRule="auto"/>
        <w:jc w:val="center"/>
        <w:rPr>
          <w:rFonts w:hint="eastAsia" w:ascii="宋体" w:hAnsi="宋体" w:eastAsia="宋体" w:cs="宋体"/>
          <w:b/>
          <w:color w:val="auto"/>
          <w:szCs w:val="21"/>
          <w:highlight w:val="none"/>
        </w:rPr>
      </w:pPr>
    </w:p>
    <w:p>
      <w:pPr>
        <w:spacing w:line="360" w:lineRule="auto"/>
        <w:jc w:val="center"/>
        <w:rPr>
          <w:rFonts w:hint="eastAsia" w:ascii="宋体" w:hAnsi="宋体" w:eastAsia="宋体" w:cs="宋体"/>
          <w:b/>
          <w:color w:val="auto"/>
          <w:szCs w:val="21"/>
          <w:highlight w:val="none"/>
        </w:rPr>
      </w:pPr>
    </w:p>
    <w:p>
      <w:pPr>
        <w:spacing w:line="360" w:lineRule="auto"/>
        <w:jc w:val="center"/>
        <w:rPr>
          <w:rFonts w:hint="eastAsia" w:ascii="宋体" w:hAnsi="宋体" w:eastAsia="宋体" w:cs="宋体"/>
          <w:b/>
          <w:color w:val="auto"/>
          <w:szCs w:val="21"/>
          <w:highlight w:val="none"/>
        </w:rPr>
      </w:pPr>
    </w:p>
    <w:p>
      <w:pPr>
        <w:spacing w:line="360" w:lineRule="auto"/>
        <w:jc w:val="center"/>
        <w:rPr>
          <w:rFonts w:hint="eastAsia" w:ascii="宋体" w:hAnsi="宋体" w:eastAsia="宋体" w:cs="宋体"/>
          <w:b/>
          <w:color w:val="auto"/>
          <w:szCs w:val="21"/>
          <w:highlight w:val="none"/>
        </w:rPr>
      </w:pPr>
    </w:p>
    <w:p>
      <w:pPr>
        <w:spacing w:line="360" w:lineRule="auto"/>
        <w:jc w:val="center"/>
        <w:rPr>
          <w:rFonts w:hint="eastAsia" w:ascii="宋体" w:hAnsi="宋体" w:eastAsia="宋体" w:cs="宋体"/>
          <w:b/>
          <w:color w:val="auto"/>
          <w:szCs w:val="21"/>
          <w:highlight w:val="none"/>
        </w:rPr>
      </w:pPr>
    </w:p>
    <w:p>
      <w:pPr>
        <w:spacing w:line="360" w:lineRule="auto"/>
        <w:jc w:val="center"/>
        <w:rPr>
          <w:rFonts w:hint="eastAsia" w:ascii="宋体" w:hAnsi="宋体" w:eastAsia="宋体" w:cs="宋体"/>
          <w:b/>
          <w:color w:val="auto"/>
          <w:szCs w:val="21"/>
          <w:highlight w:val="none"/>
        </w:rPr>
      </w:pPr>
    </w:p>
    <w:p>
      <w:pPr>
        <w:spacing w:line="360" w:lineRule="auto"/>
        <w:jc w:val="center"/>
        <w:rPr>
          <w:rFonts w:hint="eastAsia" w:ascii="宋体" w:hAnsi="宋体" w:eastAsia="宋体" w:cs="宋体"/>
          <w:b/>
          <w:color w:val="auto"/>
          <w:szCs w:val="21"/>
          <w:highlight w:val="none"/>
        </w:rPr>
      </w:pPr>
    </w:p>
    <w:p>
      <w:pPr>
        <w:spacing w:line="360" w:lineRule="auto"/>
        <w:jc w:val="center"/>
        <w:rPr>
          <w:rFonts w:hint="eastAsia" w:ascii="宋体" w:hAnsi="宋体" w:eastAsia="宋体" w:cs="宋体"/>
          <w:b/>
          <w:color w:val="auto"/>
          <w:szCs w:val="21"/>
          <w:highlight w:val="none"/>
        </w:rPr>
      </w:pPr>
    </w:p>
    <w:p>
      <w:pPr>
        <w:spacing w:line="360" w:lineRule="auto"/>
        <w:jc w:val="center"/>
        <w:rPr>
          <w:rFonts w:hint="eastAsia" w:ascii="宋体" w:hAnsi="宋体" w:eastAsia="宋体" w:cs="宋体"/>
          <w:b/>
          <w:color w:val="auto"/>
          <w:szCs w:val="21"/>
          <w:highlight w:val="none"/>
        </w:rPr>
      </w:pPr>
    </w:p>
    <w:p>
      <w:pPr>
        <w:spacing w:line="360" w:lineRule="auto"/>
        <w:jc w:val="center"/>
        <w:rPr>
          <w:rFonts w:hint="eastAsia" w:ascii="宋体" w:hAnsi="宋体" w:eastAsia="宋体" w:cs="宋体"/>
          <w:b/>
          <w:color w:val="auto"/>
          <w:szCs w:val="21"/>
          <w:highlight w:val="none"/>
        </w:rPr>
      </w:pPr>
    </w:p>
    <w:p>
      <w:pPr>
        <w:spacing w:line="360" w:lineRule="auto"/>
        <w:jc w:val="center"/>
        <w:rPr>
          <w:rFonts w:hint="eastAsia" w:ascii="宋体" w:hAnsi="宋体" w:eastAsia="宋体" w:cs="宋体"/>
          <w:b/>
          <w:color w:val="auto"/>
          <w:szCs w:val="21"/>
          <w:highlight w:val="none"/>
        </w:rPr>
      </w:pPr>
    </w:p>
    <w:p>
      <w:pPr>
        <w:spacing w:line="360" w:lineRule="auto"/>
        <w:jc w:val="both"/>
        <w:rPr>
          <w:rFonts w:hint="eastAsia" w:ascii="宋体" w:hAnsi="宋体" w:eastAsia="宋体" w:cs="宋体"/>
          <w:b/>
          <w:color w:val="auto"/>
          <w:szCs w:val="21"/>
          <w:highlight w:val="none"/>
        </w:rPr>
      </w:pPr>
    </w:p>
    <w:p>
      <w:pPr>
        <w:spacing w:line="360" w:lineRule="auto"/>
        <w:jc w:val="center"/>
        <w:rPr>
          <w:rFonts w:hint="eastAsia" w:ascii="宋体" w:hAnsi="宋体" w:eastAsia="宋体" w:cs="宋体"/>
          <w:b/>
          <w:color w:val="auto"/>
          <w:szCs w:val="21"/>
          <w:highlight w:val="none"/>
        </w:rPr>
      </w:pPr>
    </w:p>
    <w:p>
      <w:pPr>
        <w:spacing w:line="360" w:lineRule="auto"/>
        <w:jc w:val="center"/>
        <w:rPr>
          <w:rFonts w:hint="eastAsia" w:ascii="宋体" w:hAnsi="宋体" w:eastAsia="宋体" w:cs="宋体"/>
          <w:b/>
          <w:color w:val="auto"/>
          <w:szCs w:val="21"/>
          <w:highlight w:val="none"/>
        </w:rPr>
      </w:pPr>
    </w:p>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 w:val="24"/>
          <w:szCs w:val="24"/>
          <w:highlight w:val="none"/>
        </w:rPr>
        <w:t>合 同 附 件</w:t>
      </w:r>
    </w:p>
    <w:p>
      <w:pPr>
        <w:spacing w:line="360" w:lineRule="auto"/>
        <w:ind w:firstLine="720"/>
        <w:rPr>
          <w:rFonts w:ascii="宋体" w:hAnsi="宋体" w:eastAsia="宋体" w:cs="宋体"/>
          <w:color w:val="auto"/>
          <w:szCs w:val="21"/>
          <w:highlight w:val="none"/>
        </w:rPr>
      </w:pPr>
      <w:r>
        <w:rPr>
          <w:rFonts w:hint="eastAsia" w:ascii="宋体" w:hAnsi="宋体" w:eastAsia="宋体" w:cs="宋体"/>
          <w:color w:val="auto"/>
          <w:szCs w:val="21"/>
          <w:highlight w:val="none"/>
        </w:rPr>
        <w:t>一般货物类</w:t>
      </w:r>
    </w:p>
    <w:tbl>
      <w:tblPr>
        <w:tblStyle w:val="44"/>
        <w:tblW w:w="8522" w:type="dxa"/>
        <w:jc w:val="center"/>
        <w:tblLayout w:type="fixed"/>
        <w:tblCellMar>
          <w:top w:w="0" w:type="dxa"/>
          <w:left w:w="108" w:type="dxa"/>
          <w:bottom w:w="0" w:type="dxa"/>
          <w:right w:w="108" w:type="dxa"/>
        </w:tblCellMar>
      </w:tblPr>
      <w:tblGrid>
        <w:gridCol w:w="4263"/>
        <w:gridCol w:w="4259"/>
      </w:tblGrid>
      <w:tr>
        <w:tblPrEx>
          <w:tblCellMar>
            <w:top w:w="0" w:type="dxa"/>
            <w:left w:w="108" w:type="dxa"/>
            <w:bottom w:w="0" w:type="dxa"/>
            <w:right w:w="108" w:type="dxa"/>
          </w:tblCellMar>
        </w:tblPrEx>
        <w:trPr>
          <w:trHeight w:val="1226" w:hRule="atLeast"/>
          <w:jc w:val="center"/>
        </w:trPr>
        <w:tc>
          <w:tcPr>
            <w:tcW w:w="8522" w:type="dxa"/>
            <w:gridSpan w:val="2"/>
            <w:tcBorders>
              <w:top w:val="single" w:color="auto" w:sz="4" w:space="0"/>
              <w:left w:val="single" w:color="auto" w:sz="4" w:space="0"/>
              <w:right w:val="single" w:color="auto" w:sz="4" w:space="0"/>
            </w:tcBorders>
          </w:tcPr>
          <w:p>
            <w:pPr>
              <w:spacing w:line="360" w:lineRule="auto"/>
              <w:rPr>
                <w:rFonts w:ascii="宋体" w:hAnsi="宋体" w:eastAsia="宋体" w:cs="宋体"/>
                <w:b/>
                <w:color w:val="auto"/>
                <w:szCs w:val="21"/>
                <w:highlight w:val="none"/>
              </w:rPr>
            </w:pPr>
            <w:r>
              <w:rPr>
                <w:rFonts w:hint="eastAsia" w:ascii="宋体" w:hAnsi="宋体" w:eastAsia="宋体" w:cs="宋体"/>
                <w:b/>
                <w:color w:val="auto"/>
                <w:szCs w:val="21"/>
                <w:highlight w:val="none"/>
              </w:rPr>
              <w:t>1. 供应商承诺具体事项：</w:t>
            </w:r>
          </w:p>
        </w:tc>
      </w:tr>
      <w:tr>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tcPr>
          <w:p>
            <w:pPr>
              <w:spacing w:line="360" w:lineRule="auto"/>
              <w:rPr>
                <w:rFonts w:ascii="宋体" w:hAnsi="宋体" w:eastAsia="宋体" w:cs="宋体"/>
                <w:b/>
                <w:color w:val="auto"/>
                <w:szCs w:val="21"/>
                <w:highlight w:val="none"/>
              </w:rPr>
            </w:pPr>
            <w:r>
              <w:rPr>
                <w:rFonts w:hint="eastAsia" w:ascii="宋体" w:hAnsi="宋体" w:eastAsia="宋体" w:cs="宋体"/>
                <w:b/>
                <w:color w:val="auto"/>
                <w:szCs w:val="21"/>
                <w:highlight w:val="none"/>
              </w:rPr>
              <w:t>2. 售后服务具体事项：</w:t>
            </w:r>
          </w:p>
        </w:tc>
      </w:tr>
      <w:tr>
        <w:tblPrEx>
          <w:tblCellMar>
            <w:top w:w="0" w:type="dxa"/>
            <w:left w:w="108" w:type="dxa"/>
            <w:bottom w:w="0" w:type="dxa"/>
            <w:right w:w="108" w:type="dxa"/>
          </w:tblCellMar>
        </w:tblPrEx>
        <w:trPr>
          <w:trHeight w:val="1088" w:hRule="atLeast"/>
          <w:jc w:val="center"/>
        </w:trPr>
        <w:tc>
          <w:tcPr>
            <w:tcW w:w="8522" w:type="dxa"/>
            <w:gridSpan w:val="2"/>
            <w:tcBorders>
              <w:top w:val="single" w:color="auto" w:sz="4" w:space="0"/>
              <w:left w:val="single" w:color="auto" w:sz="4" w:space="0"/>
              <w:right w:val="single" w:color="auto" w:sz="4" w:space="0"/>
            </w:tcBorders>
          </w:tcPr>
          <w:p>
            <w:pPr>
              <w:spacing w:line="360" w:lineRule="auto"/>
              <w:rPr>
                <w:rFonts w:ascii="宋体" w:hAnsi="宋体" w:eastAsia="宋体" w:cs="宋体"/>
                <w:b/>
                <w:color w:val="auto"/>
                <w:szCs w:val="21"/>
                <w:highlight w:val="none"/>
              </w:rPr>
            </w:pPr>
            <w:r>
              <w:rPr>
                <w:rFonts w:hint="eastAsia" w:ascii="宋体" w:hAnsi="宋体" w:eastAsia="宋体" w:cs="宋体"/>
                <w:b/>
                <w:color w:val="auto"/>
                <w:szCs w:val="21"/>
                <w:highlight w:val="none"/>
              </w:rPr>
              <w:t>3. 保修期责任：</w:t>
            </w:r>
          </w:p>
        </w:tc>
      </w:tr>
      <w:tr>
        <w:tblPrEx>
          <w:tblCellMar>
            <w:top w:w="0" w:type="dxa"/>
            <w:left w:w="108" w:type="dxa"/>
            <w:bottom w:w="0" w:type="dxa"/>
            <w:right w:w="108" w:type="dxa"/>
          </w:tblCellMar>
        </w:tblPrEx>
        <w:trPr>
          <w:trHeight w:val="1360" w:hRule="atLeast"/>
          <w:jc w:val="center"/>
        </w:trPr>
        <w:tc>
          <w:tcPr>
            <w:tcW w:w="8522" w:type="dxa"/>
            <w:gridSpan w:val="2"/>
            <w:tcBorders>
              <w:top w:val="single" w:color="auto" w:sz="4" w:space="0"/>
              <w:left w:val="single" w:color="auto" w:sz="4" w:space="0"/>
              <w:right w:val="single" w:color="auto" w:sz="4" w:space="0"/>
            </w:tcBorders>
          </w:tcPr>
          <w:p>
            <w:pPr>
              <w:spacing w:line="360" w:lineRule="auto"/>
              <w:rPr>
                <w:rFonts w:ascii="宋体" w:hAnsi="宋体" w:eastAsia="宋体" w:cs="宋体"/>
                <w:b/>
                <w:color w:val="auto"/>
                <w:szCs w:val="21"/>
                <w:highlight w:val="none"/>
              </w:rPr>
            </w:pPr>
            <w:r>
              <w:rPr>
                <w:rFonts w:hint="eastAsia" w:ascii="宋体" w:hAnsi="宋体" w:eastAsia="宋体" w:cs="宋体"/>
                <w:b/>
                <w:color w:val="auto"/>
                <w:szCs w:val="21"/>
                <w:highlight w:val="none"/>
              </w:rPr>
              <w:t>4. 其他具体事项：</w:t>
            </w:r>
          </w:p>
        </w:tc>
      </w:tr>
      <w:tr>
        <w:tblPrEx>
          <w:tblCellMar>
            <w:top w:w="0" w:type="dxa"/>
            <w:left w:w="108" w:type="dxa"/>
            <w:bottom w:w="0" w:type="dxa"/>
            <w:right w:w="108" w:type="dxa"/>
          </w:tblCellMar>
        </w:tblPrEx>
        <w:trPr>
          <w:trHeight w:val="1703" w:hRule="atLeast"/>
          <w:jc w:val="center"/>
        </w:trPr>
        <w:tc>
          <w:tcPr>
            <w:tcW w:w="426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宋体"/>
                <w:b/>
                <w:color w:val="auto"/>
                <w:szCs w:val="21"/>
                <w:highlight w:val="none"/>
              </w:rPr>
            </w:pPr>
            <w:r>
              <w:rPr>
                <w:rFonts w:hint="eastAsia" w:ascii="宋体" w:hAnsi="宋体" w:eastAsia="宋体" w:cs="宋体"/>
                <w:b/>
                <w:color w:val="auto"/>
                <w:szCs w:val="21"/>
                <w:highlight w:val="none"/>
              </w:rPr>
              <w:t>甲方（章）</w:t>
            </w:r>
          </w:p>
          <w:p>
            <w:pPr>
              <w:spacing w:line="360" w:lineRule="auto"/>
              <w:ind w:firstLine="482"/>
              <w:rPr>
                <w:rFonts w:ascii="宋体" w:hAnsi="宋体" w:eastAsia="宋体" w:cs="宋体"/>
                <w:b/>
                <w:color w:val="auto"/>
                <w:szCs w:val="21"/>
                <w:highlight w:val="none"/>
              </w:rPr>
            </w:pPr>
          </w:p>
          <w:p>
            <w:pPr>
              <w:spacing w:line="360" w:lineRule="auto"/>
              <w:rPr>
                <w:rFonts w:ascii="宋体" w:hAnsi="宋体" w:eastAsia="宋体" w:cs="宋体"/>
                <w:b/>
                <w:color w:val="auto"/>
                <w:szCs w:val="21"/>
                <w:highlight w:val="none"/>
              </w:rPr>
            </w:pPr>
          </w:p>
          <w:p>
            <w:pPr>
              <w:spacing w:line="360" w:lineRule="auto"/>
              <w:ind w:firstLine="482"/>
              <w:rPr>
                <w:rFonts w:ascii="宋体" w:hAnsi="宋体" w:eastAsia="宋体" w:cs="宋体"/>
                <w:b/>
                <w:color w:val="auto"/>
                <w:szCs w:val="21"/>
                <w:highlight w:val="none"/>
              </w:rPr>
            </w:pPr>
            <w:r>
              <w:rPr>
                <w:rFonts w:hint="eastAsia" w:ascii="宋体" w:hAnsi="宋体" w:eastAsia="宋体" w:cs="宋体"/>
                <w:b/>
                <w:color w:val="auto"/>
                <w:szCs w:val="21"/>
                <w:highlight w:val="none"/>
              </w:rPr>
              <w:t xml:space="preserve">               年   月   日 </w:t>
            </w:r>
          </w:p>
        </w:tc>
        <w:tc>
          <w:tcPr>
            <w:tcW w:w="42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宋体"/>
                <w:b/>
                <w:color w:val="auto"/>
                <w:szCs w:val="21"/>
                <w:highlight w:val="none"/>
              </w:rPr>
            </w:pPr>
            <w:r>
              <w:rPr>
                <w:rFonts w:hint="eastAsia" w:ascii="宋体" w:hAnsi="宋体" w:eastAsia="宋体" w:cs="宋体"/>
                <w:b/>
                <w:color w:val="auto"/>
                <w:szCs w:val="21"/>
                <w:highlight w:val="none"/>
              </w:rPr>
              <w:t>乙方（章）</w:t>
            </w:r>
          </w:p>
          <w:p>
            <w:pPr>
              <w:spacing w:line="360" w:lineRule="auto"/>
              <w:ind w:firstLine="482"/>
              <w:rPr>
                <w:rFonts w:ascii="宋体" w:hAnsi="宋体" w:eastAsia="宋体" w:cs="宋体"/>
                <w:b/>
                <w:color w:val="auto"/>
                <w:szCs w:val="21"/>
                <w:highlight w:val="none"/>
              </w:rPr>
            </w:pPr>
          </w:p>
          <w:p>
            <w:pPr>
              <w:spacing w:line="360" w:lineRule="auto"/>
              <w:rPr>
                <w:rFonts w:ascii="宋体" w:hAnsi="宋体" w:eastAsia="宋体" w:cs="宋体"/>
                <w:b/>
                <w:color w:val="auto"/>
                <w:szCs w:val="21"/>
                <w:highlight w:val="none"/>
              </w:rPr>
            </w:pPr>
          </w:p>
          <w:p>
            <w:pPr>
              <w:spacing w:line="360" w:lineRule="auto"/>
              <w:ind w:firstLine="482"/>
              <w:rPr>
                <w:rFonts w:ascii="宋体" w:hAnsi="宋体" w:eastAsia="宋体" w:cs="宋体"/>
                <w:b/>
                <w:color w:val="auto"/>
                <w:szCs w:val="21"/>
                <w:highlight w:val="none"/>
              </w:rPr>
            </w:pPr>
            <w:r>
              <w:rPr>
                <w:rFonts w:hint="eastAsia" w:ascii="宋体" w:hAnsi="宋体" w:eastAsia="宋体" w:cs="宋体"/>
                <w:b/>
                <w:color w:val="auto"/>
                <w:szCs w:val="21"/>
                <w:highlight w:val="none"/>
              </w:rPr>
              <w:t xml:space="preserve">                 年   月   日</w:t>
            </w:r>
          </w:p>
        </w:tc>
      </w:tr>
    </w:tbl>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注：售后服务事项填不下时可另加附页</w:t>
      </w:r>
    </w:p>
    <w:p>
      <w:pPr>
        <w:rPr>
          <w:rFonts w:ascii="宋体" w:hAnsi="宋体" w:eastAsia="宋体" w:cs="宋体"/>
          <w:color w:val="auto"/>
          <w:szCs w:val="21"/>
          <w:highlight w:val="none"/>
        </w:rPr>
      </w:pPr>
      <w:r>
        <w:rPr>
          <w:rFonts w:hint="eastAsia" w:ascii="宋体" w:hAnsi="宋体" w:eastAsia="宋体" w:cs="宋体"/>
          <w:color w:val="auto"/>
          <w:szCs w:val="21"/>
          <w:highlight w:val="none"/>
        </w:rPr>
        <w:br w:type="page"/>
      </w:r>
    </w:p>
    <w:p>
      <w:pPr>
        <w:pStyle w:val="284"/>
        <w:rPr>
          <w:rFonts w:ascii="宋体" w:hAnsi="宋体" w:eastAsia="宋体" w:cs="宋体"/>
          <w:color w:val="auto"/>
          <w:sz w:val="21"/>
          <w:szCs w:val="21"/>
          <w:highlight w:val="none"/>
        </w:rPr>
        <w:sectPr>
          <w:pgSz w:w="11906" w:h="16838"/>
          <w:pgMar w:top="1440" w:right="1440" w:bottom="1440" w:left="1587" w:header="851" w:footer="992" w:gutter="0"/>
          <w:cols w:space="720" w:num="1"/>
          <w:titlePg/>
          <w:docGrid w:type="lines" w:linePitch="312" w:charSpace="0"/>
        </w:sectPr>
      </w:pPr>
    </w:p>
    <w:p>
      <w:pPr>
        <w:keepNext/>
        <w:keepLines/>
        <w:spacing w:before="340" w:after="330" w:line="578" w:lineRule="auto"/>
        <w:jc w:val="center"/>
        <w:outlineLvl w:val="0"/>
        <w:rPr>
          <w:rFonts w:ascii="宋体" w:hAnsi="宋体" w:eastAsia="宋体" w:cs="宋体"/>
          <w:bCs/>
          <w:color w:val="auto"/>
          <w:sz w:val="44"/>
          <w:szCs w:val="44"/>
          <w:highlight w:val="none"/>
          <w:lang w:val="zh-CN"/>
        </w:rPr>
      </w:pPr>
    </w:p>
    <w:p>
      <w:pPr>
        <w:keepNext/>
        <w:keepLines/>
        <w:spacing w:before="340" w:after="330" w:line="578" w:lineRule="auto"/>
        <w:jc w:val="center"/>
        <w:outlineLvl w:val="0"/>
        <w:rPr>
          <w:rFonts w:ascii="宋体" w:hAnsi="宋体" w:eastAsia="宋体" w:cs="宋体"/>
          <w:bCs/>
          <w:color w:val="auto"/>
          <w:sz w:val="44"/>
          <w:szCs w:val="44"/>
          <w:highlight w:val="none"/>
          <w:lang w:val="zh-CN"/>
        </w:rPr>
      </w:pPr>
      <w:bookmarkStart w:id="171" w:name="_Toc80205947"/>
      <w:bookmarkStart w:id="172" w:name="_Toc31751"/>
    </w:p>
    <w:p>
      <w:pPr>
        <w:keepNext/>
        <w:keepLines/>
        <w:spacing w:before="340" w:after="330" w:line="578" w:lineRule="auto"/>
        <w:jc w:val="center"/>
        <w:outlineLvl w:val="0"/>
        <w:rPr>
          <w:rFonts w:ascii="宋体" w:hAnsi="宋体" w:eastAsia="宋体" w:cs="宋体"/>
          <w:bCs/>
          <w:color w:val="auto"/>
          <w:sz w:val="44"/>
          <w:szCs w:val="44"/>
          <w:highlight w:val="none"/>
          <w:lang w:val="zh-CN"/>
        </w:rPr>
      </w:pPr>
    </w:p>
    <w:p>
      <w:pPr>
        <w:keepNext/>
        <w:keepLines/>
        <w:spacing w:before="340" w:after="330" w:line="578" w:lineRule="auto"/>
        <w:jc w:val="center"/>
        <w:outlineLvl w:val="0"/>
        <w:rPr>
          <w:rFonts w:ascii="宋体" w:hAnsi="宋体" w:eastAsia="宋体" w:cs="宋体"/>
          <w:b/>
          <w:bCs w:val="0"/>
          <w:color w:val="auto"/>
          <w:sz w:val="44"/>
          <w:szCs w:val="44"/>
          <w:highlight w:val="none"/>
          <w:lang w:val="zh-CN"/>
        </w:rPr>
        <w:sectPr>
          <w:pgSz w:w="11910" w:h="16840"/>
          <w:pgMar w:top="1134" w:right="1134" w:bottom="1134" w:left="1134" w:header="720" w:footer="720" w:gutter="0"/>
          <w:cols w:space="720" w:num="1"/>
        </w:sectPr>
      </w:pPr>
      <w:bookmarkStart w:id="173" w:name="_Toc32254"/>
      <w:bookmarkStart w:id="174" w:name="_Toc25054"/>
      <w:bookmarkStart w:id="175" w:name="_Toc5523"/>
      <w:bookmarkStart w:id="176" w:name="_Toc27629"/>
      <w:bookmarkStart w:id="177" w:name="_Toc24483"/>
      <w:bookmarkStart w:id="178" w:name="_Toc6393"/>
      <w:bookmarkStart w:id="179" w:name="_Toc2169"/>
      <w:r>
        <w:rPr>
          <w:rFonts w:hint="eastAsia" w:ascii="宋体" w:hAnsi="宋体" w:eastAsia="宋体" w:cs="宋体"/>
          <w:b/>
          <w:bCs w:val="0"/>
          <w:color w:val="auto"/>
          <w:sz w:val="44"/>
          <w:szCs w:val="44"/>
          <w:highlight w:val="none"/>
          <w:lang w:val="zh-CN"/>
        </w:rPr>
        <w:t>第七章 质疑、投诉材料格式</w:t>
      </w:r>
      <w:bookmarkEnd w:id="171"/>
      <w:bookmarkEnd w:id="172"/>
      <w:bookmarkEnd w:id="173"/>
      <w:bookmarkEnd w:id="174"/>
      <w:bookmarkEnd w:id="175"/>
      <w:bookmarkEnd w:id="176"/>
      <w:bookmarkEnd w:id="177"/>
      <w:bookmarkEnd w:id="178"/>
      <w:bookmarkEnd w:id="179"/>
    </w:p>
    <w:p>
      <w:pPr>
        <w:spacing w:line="360" w:lineRule="auto"/>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pPr>
        <w:spacing w:line="360" w:lineRule="auto"/>
        <w:ind w:firstLine="482"/>
        <w:contextualSpacing/>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一、质疑供应商基本信息：</w:t>
      </w:r>
    </w:p>
    <w:p>
      <w:pPr>
        <w:spacing w:line="360" w:lineRule="auto"/>
        <w:ind w:firstLine="480"/>
        <w:contextualSpacing/>
        <w:rPr>
          <w:rFonts w:ascii="宋体" w:hAnsi="宋体" w:eastAsia="宋体" w:cs="宋体"/>
          <w:bCs/>
          <w:color w:val="auto"/>
          <w:sz w:val="24"/>
          <w:szCs w:val="24"/>
          <w:highlight w:val="none"/>
          <w:u w:val="single"/>
          <w:lang w:val="zh-CN"/>
        </w:rPr>
      </w:pPr>
      <w:r>
        <w:rPr>
          <w:rFonts w:hint="eastAsia" w:ascii="宋体" w:hAnsi="宋体" w:eastAsia="宋体" w:cs="宋体"/>
          <w:bCs/>
          <w:color w:val="auto"/>
          <w:sz w:val="24"/>
          <w:szCs w:val="24"/>
          <w:highlight w:val="none"/>
          <w:lang w:val="zh-CN"/>
        </w:rPr>
        <w:t>质疑供应商：</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lang w:val="zh-CN"/>
        </w:rPr>
        <w:t xml:space="preserve">                 </w:t>
      </w:r>
    </w:p>
    <w:p>
      <w:pPr>
        <w:spacing w:line="360" w:lineRule="auto"/>
        <w:ind w:firstLine="480"/>
        <w:contextualSpacing/>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地址：</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lang w:val="zh-CN"/>
        </w:rPr>
        <w:t>邮编：</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lang w:val="zh-CN"/>
        </w:rPr>
        <w:t xml:space="preserve">                 </w:t>
      </w:r>
    </w:p>
    <w:p>
      <w:pPr>
        <w:spacing w:line="360" w:lineRule="auto"/>
        <w:ind w:firstLine="480"/>
        <w:contextualSpacing/>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联系人：</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lang w:val="zh-CN"/>
        </w:rPr>
        <w:t>联系电话：</w:t>
      </w:r>
      <w:r>
        <w:rPr>
          <w:rFonts w:hint="eastAsia" w:ascii="宋体" w:hAnsi="宋体" w:eastAsia="宋体" w:cs="宋体"/>
          <w:bCs/>
          <w:color w:val="auto"/>
          <w:sz w:val="24"/>
          <w:szCs w:val="24"/>
          <w:highlight w:val="none"/>
          <w:u w:val="single"/>
          <w:lang w:val="zh-CN"/>
        </w:rPr>
        <w:t xml:space="preserve">                 </w:t>
      </w:r>
    </w:p>
    <w:p>
      <w:pPr>
        <w:spacing w:line="360" w:lineRule="auto"/>
        <w:ind w:firstLine="480"/>
        <w:contextualSpacing/>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授权代表：</w:t>
      </w:r>
      <w:r>
        <w:rPr>
          <w:rFonts w:hint="eastAsia" w:ascii="宋体" w:hAnsi="宋体" w:eastAsia="宋体" w:cs="宋体"/>
          <w:bCs/>
          <w:color w:val="auto"/>
          <w:sz w:val="24"/>
          <w:szCs w:val="24"/>
          <w:highlight w:val="none"/>
          <w:u w:val="single"/>
          <w:lang w:val="zh-CN"/>
        </w:rPr>
        <w:t xml:space="preserve">                      </w:t>
      </w:r>
    </w:p>
    <w:p>
      <w:pPr>
        <w:spacing w:line="360" w:lineRule="auto"/>
        <w:ind w:firstLine="480"/>
        <w:contextualSpacing/>
        <w:rPr>
          <w:rFonts w:ascii="宋体" w:hAnsi="宋体" w:eastAsia="宋体" w:cs="宋体"/>
          <w:bCs/>
          <w:color w:val="auto"/>
          <w:sz w:val="24"/>
          <w:szCs w:val="24"/>
          <w:highlight w:val="none"/>
          <w:u w:val="single"/>
          <w:lang w:val="zh-CN"/>
        </w:rPr>
      </w:pPr>
      <w:r>
        <w:rPr>
          <w:rFonts w:hint="eastAsia" w:ascii="宋体" w:hAnsi="宋体" w:eastAsia="宋体" w:cs="宋体"/>
          <w:bCs/>
          <w:color w:val="auto"/>
          <w:sz w:val="24"/>
          <w:szCs w:val="24"/>
          <w:highlight w:val="none"/>
          <w:lang w:val="zh-CN"/>
        </w:rPr>
        <w:t>联系电话：</w:t>
      </w:r>
      <w:r>
        <w:rPr>
          <w:rFonts w:hint="eastAsia" w:ascii="宋体" w:hAnsi="宋体" w:eastAsia="宋体" w:cs="宋体"/>
          <w:bCs/>
          <w:color w:val="auto"/>
          <w:sz w:val="24"/>
          <w:szCs w:val="24"/>
          <w:highlight w:val="none"/>
          <w:u w:val="single"/>
          <w:lang w:val="zh-CN"/>
        </w:rPr>
        <w:t xml:space="preserve">                      </w:t>
      </w:r>
    </w:p>
    <w:p>
      <w:pPr>
        <w:spacing w:line="360" w:lineRule="auto"/>
        <w:ind w:firstLine="480"/>
        <w:contextualSpacing/>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地址：</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lang w:val="zh-CN"/>
        </w:rPr>
        <w:t>邮编：</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lang w:val="zh-CN"/>
        </w:rPr>
        <w:t xml:space="preserve">     </w:t>
      </w:r>
    </w:p>
    <w:p>
      <w:pPr>
        <w:spacing w:line="360" w:lineRule="auto"/>
        <w:ind w:firstLine="482"/>
        <w:contextualSpacing/>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二、质疑项目基本情况：</w:t>
      </w:r>
    </w:p>
    <w:p>
      <w:pPr>
        <w:spacing w:line="360" w:lineRule="auto"/>
        <w:ind w:left="25" w:firstLine="472"/>
        <w:contextualSpacing/>
        <w:rPr>
          <w:rFonts w:ascii="宋体" w:hAnsi="宋体" w:eastAsia="宋体" w:cs="宋体"/>
          <w:color w:val="auto"/>
          <w:sz w:val="24"/>
          <w:szCs w:val="24"/>
          <w:highlight w:val="none"/>
          <w:lang w:val="zh-CN"/>
        </w:rPr>
      </w:pPr>
      <w:r>
        <w:rPr>
          <w:rFonts w:hint="eastAsia" w:ascii="宋体" w:hAnsi="宋体" w:eastAsia="宋体" w:cs="宋体"/>
          <w:bCs/>
          <w:color w:val="auto"/>
          <w:sz w:val="24"/>
          <w:szCs w:val="24"/>
          <w:highlight w:val="none"/>
          <w:lang w:val="zh-CN"/>
        </w:rPr>
        <w:t>质疑</w:t>
      </w:r>
      <w:r>
        <w:rPr>
          <w:rFonts w:hint="eastAsia" w:ascii="宋体" w:hAnsi="宋体" w:eastAsia="宋体" w:cs="宋体"/>
          <w:color w:val="auto"/>
          <w:sz w:val="24"/>
          <w:szCs w:val="24"/>
          <w:highlight w:val="none"/>
          <w:lang w:val="zh-CN"/>
        </w:rPr>
        <w:t>项目的名称：</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zh-CN"/>
        </w:rPr>
        <w:t xml:space="preserve"> </w:t>
      </w:r>
    </w:p>
    <w:p>
      <w:pPr>
        <w:spacing w:line="360" w:lineRule="auto"/>
        <w:ind w:left="25" w:firstLine="472"/>
        <w:contextualSpacing/>
        <w:rPr>
          <w:rFonts w:ascii="宋体" w:hAnsi="宋体" w:eastAsia="宋体" w:cs="宋体"/>
          <w:color w:val="auto"/>
          <w:sz w:val="24"/>
          <w:szCs w:val="24"/>
          <w:highlight w:val="none"/>
          <w:lang w:val="zh-CN"/>
        </w:rPr>
      </w:pPr>
      <w:r>
        <w:rPr>
          <w:rFonts w:hint="eastAsia" w:ascii="宋体" w:hAnsi="宋体" w:eastAsia="宋体" w:cs="宋体"/>
          <w:bCs/>
          <w:color w:val="auto"/>
          <w:sz w:val="24"/>
          <w:szCs w:val="24"/>
          <w:highlight w:val="none"/>
          <w:lang w:val="zh-CN"/>
        </w:rPr>
        <w:t>质疑</w:t>
      </w:r>
      <w:r>
        <w:rPr>
          <w:rFonts w:hint="eastAsia" w:ascii="宋体" w:hAnsi="宋体" w:eastAsia="宋体" w:cs="宋体"/>
          <w:color w:val="auto"/>
          <w:sz w:val="24"/>
          <w:szCs w:val="24"/>
          <w:highlight w:val="none"/>
          <w:lang w:val="zh-CN"/>
        </w:rPr>
        <w:t>项目的编号：</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zh-CN"/>
        </w:rPr>
        <w:t xml:space="preserve"> </w:t>
      </w:r>
    </w:p>
    <w:p>
      <w:pPr>
        <w:spacing w:line="360" w:lineRule="auto"/>
        <w:ind w:left="25" w:firstLine="472"/>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采购人名称：</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zh-CN"/>
        </w:rPr>
        <w:t xml:space="preserve"> </w:t>
      </w:r>
    </w:p>
    <w:p>
      <w:pPr>
        <w:spacing w:line="360" w:lineRule="auto"/>
        <w:ind w:left="25" w:firstLine="472"/>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质疑事项：</w:t>
      </w:r>
    </w:p>
    <w:p>
      <w:pPr>
        <w:spacing w:line="360" w:lineRule="auto"/>
        <w:ind w:left="25" w:firstLine="352"/>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□采购文件   采购文件获取日期：</w:t>
      </w:r>
      <w:r>
        <w:rPr>
          <w:rFonts w:hint="eastAsia" w:ascii="宋体" w:hAnsi="宋体" w:eastAsia="宋体" w:cs="宋体"/>
          <w:bCs/>
          <w:color w:val="auto"/>
          <w:sz w:val="24"/>
          <w:szCs w:val="24"/>
          <w:highlight w:val="none"/>
          <w:u w:val="single"/>
          <w:lang w:val="zh-CN"/>
        </w:rPr>
        <w:t xml:space="preserve">                                   </w:t>
      </w:r>
    </w:p>
    <w:p>
      <w:pPr>
        <w:spacing w:line="360" w:lineRule="auto"/>
        <w:ind w:left="25" w:firstLine="352"/>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□采购过程   </w:t>
      </w:r>
    </w:p>
    <w:p>
      <w:pPr>
        <w:spacing w:line="360" w:lineRule="auto"/>
        <w:ind w:left="25" w:firstLine="352"/>
        <w:contextualSpacing/>
        <w:rPr>
          <w:rFonts w:ascii="宋体" w:hAnsi="宋体" w:eastAsia="宋体" w:cs="宋体"/>
          <w:bCs/>
          <w:color w:val="auto"/>
          <w:sz w:val="24"/>
          <w:szCs w:val="24"/>
          <w:highlight w:val="none"/>
          <w:u w:val="single"/>
          <w:lang w:val="zh-CN"/>
        </w:rPr>
      </w:pPr>
      <w:r>
        <w:rPr>
          <w:rFonts w:hint="eastAsia" w:ascii="宋体" w:hAnsi="宋体" w:eastAsia="宋体" w:cs="宋体"/>
          <w:color w:val="auto"/>
          <w:sz w:val="24"/>
          <w:szCs w:val="24"/>
          <w:highlight w:val="none"/>
          <w:lang w:val="zh-CN"/>
        </w:rPr>
        <w:t xml:space="preserve">□成交结果   </w:t>
      </w:r>
    </w:p>
    <w:p>
      <w:pPr>
        <w:spacing w:line="360" w:lineRule="auto"/>
        <w:ind w:left="25" w:firstLine="472"/>
        <w:contextualSpacing/>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三、质疑事项具体内容</w:t>
      </w:r>
    </w:p>
    <w:p>
      <w:pPr>
        <w:spacing w:line="360" w:lineRule="auto"/>
        <w:ind w:left="25" w:firstLine="472"/>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质疑事项1：</w:t>
      </w:r>
      <w:r>
        <w:rPr>
          <w:rFonts w:hint="eastAsia" w:ascii="宋体" w:hAnsi="宋体" w:eastAsia="宋体" w:cs="宋体"/>
          <w:bCs/>
          <w:color w:val="auto"/>
          <w:sz w:val="24"/>
          <w:szCs w:val="24"/>
          <w:highlight w:val="none"/>
          <w:u w:val="single"/>
          <w:lang w:val="zh-CN"/>
        </w:rPr>
        <w:t xml:space="preserve">                                                                    </w:t>
      </w:r>
    </w:p>
    <w:p>
      <w:pPr>
        <w:spacing w:line="360" w:lineRule="auto"/>
        <w:ind w:left="25" w:firstLine="472"/>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事实依据：</w:t>
      </w:r>
      <w:r>
        <w:rPr>
          <w:rFonts w:hint="eastAsia" w:ascii="宋体" w:hAnsi="宋体" w:eastAsia="宋体" w:cs="宋体"/>
          <w:bCs/>
          <w:color w:val="auto"/>
          <w:sz w:val="24"/>
          <w:szCs w:val="24"/>
          <w:highlight w:val="none"/>
          <w:u w:val="single"/>
          <w:lang w:val="zh-CN"/>
        </w:rPr>
        <w:t xml:space="preserve">                                                                      </w:t>
      </w:r>
    </w:p>
    <w:p>
      <w:pPr>
        <w:spacing w:line="360" w:lineRule="auto"/>
        <w:ind w:left="25" w:firstLine="472"/>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法律依据：</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bCs/>
          <w:color w:val="auto"/>
          <w:sz w:val="24"/>
          <w:szCs w:val="24"/>
          <w:highlight w:val="none"/>
          <w:u w:val="single"/>
          <w:lang w:val="zh-CN"/>
        </w:rPr>
        <w:t xml:space="preserve">               </w:t>
      </w:r>
    </w:p>
    <w:p>
      <w:pPr>
        <w:spacing w:line="360" w:lineRule="auto"/>
        <w:ind w:left="25" w:firstLine="472"/>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质疑事项2</w:t>
      </w:r>
    </w:p>
    <w:p>
      <w:pPr>
        <w:spacing w:line="360" w:lineRule="auto"/>
        <w:ind w:left="25" w:firstLine="472"/>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p>
    <w:p>
      <w:pPr>
        <w:spacing w:line="360" w:lineRule="auto"/>
        <w:ind w:left="25" w:firstLine="472"/>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四、与质疑事项相关的质疑请求：</w:t>
      </w:r>
    </w:p>
    <w:p>
      <w:pPr>
        <w:spacing w:line="360" w:lineRule="auto"/>
        <w:ind w:left="25" w:firstLine="472"/>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请求：</w:t>
      </w:r>
      <w:r>
        <w:rPr>
          <w:rFonts w:hint="eastAsia" w:ascii="宋体" w:hAnsi="宋体" w:eastAsia="宋体" w:cs="宋体"/>
          <w:bCs/>
          <w:color w:val="auto"/>
          <w:sz w:val="24"/>
          <w:szCs w:val="24"/>
          <w:highlight w:val="none"/>
          <w:u w:val="single"/>
          <w:lang w:val="zh-CN"/>
        </w:rPr>
        <w:t xml:space="preserve">                                                                </w:t>
      </w:r>
    </w:p>
    <w:p>
      <w:pPr>
        <w:spacing w:line="360" w:lineRule="auto"/>
        <w:ind w:left="25" w:firstLine="352"/>
        <w:contextualSpacing/>
        <w:rPr>
          <w:rFonts w:ascii="宋体" w:hAnsi="宋体" w:eastAsia="宋体" w:cs="宋体"/>
          <w:color w:val="auto"/>
          <w:sz w:val="24"/>
          <w:szCs w:val="24"/>
          <w:highlight w:val="none"/>
          <w:lang w:val="zh-CN"/>
        </w:rPr>
      </w:pPr>
    </w:p>
    <w:p>
      <w:pPr>
        <w:spacing w:line="360" w:lineRule="auto"/>
        <w:ind w:left="25" w:firstLine="472"/>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签字（签章）：                                       公章：</w:t>
      </w:r>
    </w:p>
    <w:p>
      <w:pPr>
        <w:spacing w:line="360" w:lineRule="auto"/>
        <w:ind w:left="25" w:firstLine="352"/>
        <w:contextualSpacing/>
        <w:rPr>
          <w:rFonts w:ascii="宋体" w:hAnsi="宋体" w:eastAsia="宋体" w:cs="宋体"/>
          <w:color w:val="auto"/>
          <w:sz w:val="24"/>
          <w:szCs w:val="24"/>
          <w:highlight w:val="none"/>
          <w:lang w:val="zh-CN"/>
        </w:rPr>
      </w:pPr>
    </w:p>
    <w:p>
      <w:pPr>
        <w:spacing w:line="360" w:lineRule="auto"/>
        <w:ind w:left="25" w:firstLine="472"/>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w:t>
      </w:r>
    </w:p>
    <w:p>
      <w:pPr>
        <w:spacing w:line="360" w:lineRule="auto"/>
        <w:contextualSpacing/>
        <w:rPr>
          <w:rFonts w:ascii="宋体" w:hAnsi="宋体" w:eastAsia="宋体" w:cs="宋体"/>
          <w:b/>
          <w:color w:val="auto"/>
          <w:sz w:val="24"/>
          <w:szCs w:val="24"/>
          <w:highlight w:val="none"/>
          <w:lang w:val="zh-CN"/>
        </w:rPr>
      </w:pPr>
    </w:p>
    <w:p>
      <w:pPr>
        <w:spacing w:line="360" w:lineRule="auto"/>
        <w:contextualSpacing/>
        <w:rPr>
          <w:rFonts w:ascii="宋体" w:hAnsi="宋体" w:eastAsia="宋体" w:cs="宋体"/>
          <w:b/>
          <w:color w:val="auto"/>
          <w:sz w:val="24"/>
          <w:szCs w:val="24"/>
          <w:highlight w:val="none"/>
          <w:lang w:val="zh-CN"/>
        </w:rPr>
      </w:pPr>
    </w:p>
    <w:p>
      <w:pPr>
        <w:spacing w:line="360" w:lineRule="auto"/>
        <w:contextualSpacing/>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说明：</w:t>
      </w:r>
    </w:p>
    <w:p>
      <w:pPr>
        <w:spacing w:line="360" w:lineRule="auto"/>
        <w:ind w:left="25" w:firstLine="354"/>
        <w:contextualSpacing/>
        <w:rPr>
          <w:rFonts w:ascii="宋体" w:hAnsi="宋体" w:eastAsia="宋体" w:cs="宋体"/>
          <w:b/>
          <w:bCs/>
          <w:color w:val="auto"/>
          <w:sz w:val="24"/>
          <w:szCs w:val="24"/>
          <w:highlight w:val="none"/>
          <w:lang w:val="zh-CN"/>
        </w:rPr>
      </w:pPr>
      <w:r>
        <w:rPr>
          <w:rFonts w:hint="eastAsia" w:ascii="宋体" w:hAnsi="宋体" w:eastAsia="宋体" w:cs="宋体"/>
          <w:b/>
          <w:color w:val="auto"/>
          <w:sz w:val="24"/>
          <w:szCs w:val="24"/>
          <w:highlight w:val="none"/>
          <w:lang w:val="zh-CN"/>
        </w:rPr>
        <w:t>1.供应商提出质疑时，应提交质疑函和必要的证明材料</w:t>
      </w:r>
      <w:r>
        <w:rPr>
          <w:rFonts w:hint="eastAsia" w:ascii="宋体" w:hAnsi="宋体" w:eastAsia="宋体" w:cs="宋体"/>
          <w:b/>
          <w:bCs/>
          <w:color w:val="auto"/>
          <w:sz w:val="24"/>
          <w:szCs w:val="24"/>
          <w:highlight w:val="none"/>
          <w:lang w:val="zh-CN"/>
        </w:rPr>
        <w:t>。</w:t>
      </w:r>
    </w:p>
    <w:p>
      <w:pPr>
        <w:spacing w:line="360" w:lineRule="auto"/>
        <w:ind w:left="25" w:firstLine="354"/>
        <w:contextualSpacing/>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spacing w:line="360" w:lineRule="auto"/>
        <w:ind w:left="25" w:firstLine="354"/>
        <w:contextualSpacing/>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3.质疑函的质疑事项应具体、明确，并有必要的事实依据和法律依据。</w:t>
      </w:r>
    </w:p>
    <w:p>
      <w:pPr>
        <w:spacing w:line="360" w:lineRule="auto"/>
        <w:ind w:left="25" w:firstLine="354"/>
        <w:contextualSpacing/>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4.质疑函的质疑请求应与质疑事项相关。</w:t>
      </w:r>
    </w:p>
    <w:p>
      <w:pPr>
        <w:spacing w:line="360" w:lineRule="auto"/>
        <w:ind w:left="25" w:firstLine="354"/>
        <w:contextualSpacing/>
        <w:rPr>
          <w:rFonts w:ascii="宋体" w:hAnsi="宋体" w:eastAsia="宋体" w:cs="宋体"/>
          <w:b/>
          <w:color w:val="auto"/>
          <w:sz w:val="20"/>
          <w:szCs w:val="21"/>
          <w:highlight w:val="none"/>
          <w:lang w:val="zh-CN"/>
        </w:rPr>
      </w:pPr>
      <w:r>
        <w:rPr>
          <w:rFonts w:hint="eastAsia" w:ascii="宋体" w:hAnsi="宋体" w:eastAsia="宋体" w:cs="宋体"/>
          <w:b/>
          <w:color w:val="auto"/>
          <w:sz w:val="24"/>
          <w:szCs w:val="24"/>
          <w:highlight w:val="none"/>
          <w:lang w:val="zh-CN"/>
        </w:rPr>
        <w:t>5.质疑供应商为法人或者其他组织的，质疑函应由法定代表人、主要负责人，或者其授权代表签字或者盖章，并加盖公章。</w:t>
      </w:r>
    </w:p>
    <w:p>
      <w:pPr>
        <w:rPr>
          <w:rFonts w:ascii="宋体" w:hAnsi="宋体" w:eastAsia="宋体" w:cs="宋体"/>
          <w:b/>
          <w:color w:val="auto"/>
          <w:sz w:val="24"/>
          <w:szCs w:val="24"/>
          <w:highlight w:val="none"/>
          <w:lang w:val="zh-CN"/>
        </w:rPr>
      </w:pPr>
    </w:p>
    <w:p>
      <w:pPr>
        <w:spacing w:line="460" w:lineRule="exact"/>
        <w:jc w:val="center"/>
        <w:rPr>
          <w:rFonts w:ascii="宋体" w:hAnsi="宋体" w:eastAsia="宋体" w:cs="宋体"/>
          <w:color w:val="auto"/>
          <w:sz w:val="44"/>
          <w:szCs w:val="24"/>
          <w:highlight w:val="none"/>
        </w:rPr>
      </w:pPr>
      <w:r>
        <w:rPr>
          <w:rFonts w:hint="eastAsia" w:ascii="宋体" w:hAnsi="宋体" w:eastAsia="宋体" w:cs="宋体"/>
          <w:color w:val="auto"/>
          <w:sz w:val="44"/>
          <w:szCs w:val="24"/>
          <w:highlight w:val="none"/>
        </w:rPr>
        <w:br w:type="page" w:clear="all"/>
      </w:r>
    </w:p>
    <w:p>
      <w:pPr>
        <w:spacing w:line="360" w:lineRule="auto"/>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投诉书（格式）</w:t>
      </w:r>
    </w:p>
    <w:p>
      <w:pPr>
        <w:spacing w:line="360" w:lineRule="auto"/>
        <w:ind w:firstLine="482"/>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一、投诉相关主体基本情况：</w:t>
      </w:r>
    </w:p>
    <w:p>
      <w:pPr>
        <w:spacing w:line="360" w:lineRule="auto"/>
        <w:ind w:firstLine="480"/>
        <w:rPr>
          <w:rFonts w:ascii="宋体" w:hAnsi="宋体" w:eastAsia="宋体" w:cs="宋体"/>
          <w:bCs/>
          <w:color w:val="auto"/>
          <w:sz w:val="24"/>
          <w:szCs w:val="24"/>
          <w:highlight w:val="none"/>
          <w:u w:val="single"/>
          <w:lang w:val="zh-CN"/>
        </w:rPr>
      </w:pPr>
      <w:r>
        <w:rPr>
          <w:rFonts w:hint="eastAsia" w:ascii="宋体" w:hAnsi="宋体" w:eastAsia="宋体" w:cs="宋体"/>
          <w:bCs/>
          <w:color w:val="auto"/>
          <w:sz w:val="24"/>
          <w:szCs w:val="24"/>
          <w:highlight w:val="none"/>
          <w:lang w:val="zh-CN"/>
        </w:rPr>
        <w:t>供应商：</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lang w:val="zh-CN"/>
        </w:rPr>
        <w:t xml:space="preserve">                 </w:t>
      </w:r>
    </w:p>
    <w:p>
      <w:pPr>
        <w:spacing w:line="360" w:lineRule="auto"/>
        <w:ind w:firstLine="48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地址：</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lang w:val="zh-CN"/>
        </w:rPr>
        <w:t>邮编：</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lang w:val="zh-CN"/>
        </w:rPr>
        <w:t xml:space="preserve">                 </w:t>
      </w:r>
    </w:p>
    <w:p>
      <w:pPr>
        <w:spacing w:line="360" w:lineRule="auto"/>
        <w:ind w:firstLine="480"/>
        <w:rPr>
          <w:rFonts w:ascii="宋体" w:hAnsi="宋体" w:eastAsia="宋体" w:cs="宋体"/>
          <w:bCs/>
          <w:color w:val="auto"/>
          <w:sz w:val="24"/>
          <w:szCs w:val="24"/>
          <w:highlight w:val="none"/>
          <w:u w:val="single"/>
          <w:lang w:val="zh-CN"/>
        </w:rPr>
      </w:pPr>
      <w:r>
        <w:rPr>
          <w:rFonts w:hint="eastAsia" w:ascii="宋体" w:hAnsi="宋体" w:eastAsia="宋体" w:cs="宋体"/>
          <w:bCs/>
          <w:color w:val="auto"/>
          <w:sz w:val="24"/>
          <w:szCs w:val="24"/>
          <w:highlight w:val="none"/>
          <w:lang w:val="zh-CN"/>
        </w:rPr>
        <w:t>法定代表人/主要负责人：</w:t>
      </w:r>
      <w:r>
        <w:rPr>
          <w:rFonts w:hint="eastAsia" w:ascii="宋体" w:hAnsi="宋体" w:eastAsia="宋体" w:cs="宋体"/>
          <w:bCs/>
          <w:color w:val="auto"/>
          <w:sz w:val="24"/>
          <w:szCs w:val="24"/>
          <w:highlight w:val="none"/>
          <w:u w:val="single"/>
          <w:lang w:val="zh-CN"/>
        </w:rPr>
        <w:t xml:space="preserve">                                                         </w:t>
      </w:r>
    </w:p>
    <w:p>
      <w:pPr>
        <w:spacing w:line="360" w:lineRule="auto"/>
        <w:ind w:firstLine="48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联系电话：</w:t>
      </w:r>
      <w:r>
        <w:rPr>
          <w:rFonts w:hint="eastAsia" w:ascii="宋体" w:hAnsi="宋体" w:eastAsia="宋体" w:cs="宋体"/>
          <w:bCs/>
          <w:color w:val="auto"/>
          <w:sz w:val="24"/>
          <w:szCs w:val="24"/>
          <w:highlight w:val="none"/>
          <w:u w:val="single"/>
          <w:lang w:val="zh-CN"/>
        </w:rPr>
        <w:t xml:space="preserve">                                         </w:t>
      </w:r>
    </w:p>
    <w:p>
      <w:pPr>
        <w:spacing w:line="360" w:lineRule="auto"/>
        <w:ind w:firstLine="480"/>
        <w:rPr>
          <w:rFonts w:ascii="宋体" w:hAnsi="宋体" w:eastAsia="宋体" w:cs="宋体"/>
          <w:bCs/>
          <w:color w:val="auto"/>
          <w:sz w:val="24"/>
          <w:szCs w:val="24"/>
          <w:highlight w:val="none"/>
          <w:u w:val="single"/>
          <w:lang w:val="zh-CN"/>
        </w:rPr>
      </w:pPr>
      <w:r>
        <w:rPr>
          <w:rFonts w:hint="eastAsia" w:ascii="宋体" w:hAnsi="宋体" w:eastAsia="宋体" w:cs="宋体"/>
          <w:bCs/>
          <w:color w:val="auto"/>
          <w:sz w:val="24"/>
          <w:szCs w:val="24"/>
          <w:highlight w:val="none"/>
          <w:lang w:val="zh-CN"/>
        </w:rPr>
        <w:t>授权代表：</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lang w:val="zh-CN"/>
        </w:rPr>
        <w:t>联系电话：</w:t>
      </w:r>
      <w:r>
        <w:rPr>
          <w:rFonts w:hint="eastAsia" w:ascii="宋体" w:hAnsi="宋体" w:eastAsia="宋体" w:cs="宋体"/>
          <w:bCs/>
          <w:color w:val="auto"/>
          <w:sz w:val="24"/>
          <w:szCs w:val="24"/>
          <w:highlight w:val="none"/>
          <w:u w:val="single"/>
          <w:lang w:val="zh-CN"/>
        </w:rPr>
        <w:t xml:space="preserve">                   </w:t>
      </w:r>
    </w:p>
    <w:p>
      <w:pPr>
        <w:spacing w:line="360" w:lineRule="auto"/>
        <w:ind w:firstLine="480"/>
        <w:rPr>
          <w:rFonts w:ascii="宋体" w:hAnsi="宋体" w:eastAsia="宋体" w:cs="宋体"/>
          <w:bCs/>
          <w:color w:val="auto"/>
          <w:sz w:val="24"/>
          <w:szCs w:val="24"/>
          <w:highlight w:val="none"/>
          <w:u w:val="single"/>
          <w:lang w:val="zh-CN"/>
        </w:rPr>
      </w:pPr>
      <w:r>
        <w:rPr>
          <w:rFonts w:hint="eastAsia" w:ascii="宋体" w:hAnsi="宋体" w:eastAsia="宋体" w:cs="宋体"/>
          <w:bCs/>
          <w:color w:val="auto"/>
          <w:sz w:val="24"/>
          <w:szCs w:val="24"/>
          <w:highlight w:val="none"/>
          <w:lang w:val="zh-CN"/>
        </w:rPr>
        <w:t>地址：</w:t>
      </w:r>
      <w:r>
        <w:rPr>
          <w:rFonts w:hint="eastAsia" w:ascii="宋体" w:hAnsi="宋体" w:eastAsia="宋体" w:cs="宋体"/>
          <w:bCs/>
          <w:color w:val="auto"/>
          <w:sz w:val="24"/>
          <w:szCs w:val="24"/>
          <w:highlight w:val="none"/>
          <w:u w:val="single"/>
          <w:lang w:val="zh-CN"/>
        </w:rPr>
        <w:t xml:space="preserve">                                                            </w:t>
      </w:r>
    </w:p>
    <w:p>
      <w:pPr>
        <w:spacing w:line="360" w:lineRule="auto"/>
        <w:ind w:firstLine="48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邮编：</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lang w:val="zh-CN"/>
        </w:rPr>
        <w:t xml:space="preserve">   </w:t>
      </w:r>
    </w:p>
    <w:p>
      <w:pPr>
        <w:spacing w:line="360" w:lineRule="auto"/>
        <w:ind w:firstLine="48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被投诉人1：</w:t>
      </w:r>
    </w:p>
    <w:p>
      <w:pPr>
        <w:spacing w:line="360" w:lineRule="auto"/>
        <w:ind w:firstLine="480"/>
        <w:rPr>
          <w:rFonts w:ascii="宋体" w:hAnsi="宋体" w:eastAsia="宋体" w:cs="宋体"/>
          <w:bCs/>
          <w:color w:val="auto"/>
          <w:sz w:val="24"/>
          <w:szCs w:val="24"/>
          <w:highlight w:val="none"/>
          <w:u w:val="single"/>
          <w:lang w:val="zh-CN"/>
        </w:rPr>
      </w:pPr>
      <w:r>
        <w:rPr>
          <w:rFonts w:hint="eastAsia" w:ascii="宋体" w:hAnsi="宋体" w:eastAsia="宋体" w:cs="宋体"/>
          <w:bCs/>
          <w:color w:val="auto"/>
          <w:sz w:val="24"/>
          <w:szCs w:val="24"/>
          <w:highlight w:val="none"/>
          <w:lang w:val="zh-CN"/>
        </w:rPr>
        <w:t>地址：</w:t>
      </w:r>
      <w:r>
        <w:rPr>
          <w:rFonts w:hint="eastAsia" w:ascii="宋体" w:hAnsi="宋体" w:eastAsia="宋体" w:cs="宋体"/>
          <w:bCs/>
          <w:color w:val="auto"/>
          <w:sz w:val="24"/>
          <w:szCs w:val="24"/>
          <w:highlight w:val="none"/>
          <w:u w:val="single"/>
          <w:lang w:val="zh-CN"/>
        </w:rPr>
        <w:t xml:space="preserve">                                                            </w:t>
      </w:r>
    </w:p>
    <w:p>
      <w:pPr>
        <w:spacing w:line="360" w:lineRule="auto"/>
        <w:ind w:firstLine="48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邮编：</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lang w:val="zh-CN"/>
        </w:rPr>
        <w:t xml:space="preserve">  </w:t>
      </w:r>
    </w:p>
    <w:p>
      <w:pPr>
        <w:spacing w:line="360" w:lineRule="auto"/>
        <w:ind w:firstLine="480"/>
        <w:rPr>
          <w:rFonts w:ascii="宋体" w:hAnsi="宋体" w:eastAsia="宋体" w:cs="宋体"/>
          <w:bCs/>
          <w:color w:val="auto"/>
          <w:sz w:val="24"/>
          <w:szCs w:val="24"/>
          <w:highlight w:val="none"/>
          <w:u w:val="single"/>
          <w:lang w:val="zh-CN"/>
        </w:rPr>
      </w:pPr>
      <w:r>
        <w:rPr>
          <w:rFonts w:hint="eastAsia" w:ascii="宋体" w:hAnsi="宋体" w:eastAsia="宋体" w:cs="宋体"/>
          <w:bCs/>
          <w:color w:val="auto"/>
          <w:sz w:val="24"/>
          <w:szCs w:val="24"/>
          <w:highlight w:val="none"/>
          <w:lang w:val="zh-CN"/>
        </w:rPr>
        <w:t>联系人：</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lang w:val="zh-CN"/>
        </w:rPr>
        <w:t>联系电话：</w:t>
      </w:r>
      <w:r>
        <w:rPr>
          <w:rFonts w:hint="eastAsia" w:ascii="宋体" w:hAnsi="宋体" w:eastAsia="宋体" w:cs="宋体"/>
          <w:bCs/>
          <w:color w:val="auto"/>
          <w:sz w:val="24"/>
          <w:szCs w:val="24"/>
          <w:highlight w:val="none"/>
          <w:u w:val="single"/>
          <w:lang w:val="zh-CN"/>
        </w:rPr>
        <w:t xml:space="preserve">                </w:t>
      </w:r>
    </w:p>
    <w:p>
      <w:pPr>
        <w:spacing w:line="360" w:lineRule="auto"/>
        <w:ind w:firstLine="48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被投诉人2：</w:t>
      </w:r>
    </w:p>
    <w:p>
      <w:pPr>
        <w:spacing w:line="360" w:lineRule="auto"/>
        <w:ind w:firstLine="48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w:t>
      </w:r>
    </w:p>
    <w:p>
      <w:pPr>
        <w:spacing w:line="360" w:lineRule="auto"/>
        <w:ind w:firstLine="480"/>
        <w:rPr>
          <w:rFonts w:ascii="宋体" w:hAnsi="宋体" w:eastAsia="宋体" w:cs="宋体"/>
          <w:bCs/>
          <w:color w:val="auto"/>
          <w:sz w:val="24"/>
          <w:szCs w:val="24"/>
          <w:highlight w:val="none"/>
          <w:u w:val="single"/>
          <w:lang w:val="zh-CN"/>
        </w:rPr>
      </w:pPr>
      <w:r>
        <w:rPr>
          <w:rFonts w:hint="eastAsia" w:ascii="宋体" w:hAnsi="宋体" w:eastAsia="宋体" w:cs="宋体"/>
          <w:bCs/>
          <w:color w:val="auto"/>
          <w:sz w:val="24"/>
          <w:szCs w:val="24"/>
          <w:highlight w:val="none"/>
          <w:lang w:val="zh-CN"/>
        </w:rPr>
        <w:t>相关供应商：</w:t>
      </w:r>
      <w:r>
        <w:rPr>
          <w:rFonts w:hint="eastAsia" w:ascii="宋体" w:hAnsi="宋体" w:eastAsia="宋体" w:cs="宋体"/>
          <w:bCs/>
          <w:color w:val="auto"/>
          <w:sz w:val="24"/>
          <w:szCs w:val="24"/>
          <w:highlight w:val="none"/>
          <w:u w:val="single"/>
          <w:lang w:val="zh-CN"/>
        </w:rPr>
        <w:t xml:space="preserve">                                                                       </w:t>
      </w:r>
    </w:p>
    <w:p>
      <w:pPr>
        <w:spacing w:line="360" w:lineRule="auto"/>
        <w:ind w:firstLine="480"/>
        <w:rPr>
          <w:rFonts w:ascii="宋体" w:hAnsi="宋体" w:eastAsia="宋体" w:cs="宋体"/>
          <w:bCs/>
          <w:color w:val="auto"/>
          <w:sz w:val="24"/>
          <w:szCs w:val="24"/>
          <w:highlight w:val="none"/>
          <w:u w:val="single"/>
          <w:lang w:val="zh-CN"/>
        </w:rPr>
      </w:pPr>
      <w:r>
        <w:rPr>
          <w:rFonts w:hint="eastAsia" w:ascii="宋体" w:hAnsi="宋体" w:eastAsia="宋体" w:cs="宋体"/>
          <w:bCs/>
          <w:color w:val="auto"/>
          <w:sz w:val="24"/>
          <w:szCs w:val="24"/>
          <w:highlight w:val="none"/>
          <w:lang w:val="zh-CN"/>
        </w:rPr>
        <w:t>地址：</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lang w:val="zh-CN"/>
        </w:rPr>
        <w:t>邮编：</w:t>
      </w:r>
      <w:r>
        <w:rPr>
          <w:rFonts w:hint="eastAsia" w:ascii="宋体" w:hAnsi="宋体" w:eastAsia="宋体" w:cs="宋体"/>
          <w:bCs/>
          <w:color w:val="auto"/>
          <w:sz w:val="24"/>
          <w:szCs w:val="24"/>
          <w:highlight w:val="none"/>
          <w:u w:val="single"/>
          <w:lang w:val="zh-CN"/>
        </w:rPr>
        <w:t xml:space="preserve">                         </w:t>
      </w:r>
    </w:p>
    <w:p>
      <w:pPr>
        <w:spacing w:line="360" w:lineRule="auto"/>
        <w:ind w:firstLine="48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联系人：</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lang w:val="zh-CN"/>
        </w:rPr>
        <w:t>联系电话：</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lang w:val="zh-CN"/>
        </w:rPr>
        <w:t xml:space="preserve">                </w:t>
      </w:r>
    </w:p>
    <w:p>
      <w:pPr>
        <w:spacing w:line="360" w:lineRule="auto"/>
        <w:ind w:firstLine="482"/>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二、投诉项目基本情况：</w:t>
      </w:r>
    </w:p>
    <w:p>
      <w:pPr>
        <w:spacing w:line="360" w:lineRule="auto"/>
        <w:ind w:left="25" w:firstLine="472"/>
        <w:rPr>
          <w:rFonts w:ascii="宋体" w:hAnsi="宋体" w:eastAsia="宋体" w:cs="宋体"/>
          <w:color w:val="auto"/>
          <w:sz w:val="24"/>
          <w:szCs w:val="24"/>
          <w:highlight w:val="none"/>
          <w:lang w:val="zh-CN"/>
        </w:rPr>
      </w:pPr>
      <w:r>
        <w:rPr>
          <w:rFonts w:hint="eastAsia" w:ascii="宋体" w:hAnsi="宋体" w:eastAsia="宋体" w:cs="宋体"/>
          <w:bCs/>
          <w:color w:val="auto"/>
          <w:sz w:val="24"/>
          <w:szCs w:val="24"/>
          <w:highlight w:val="none"/>
          <w:lang w:val="zh-CN"/>
        </w:rPr>
        <w:t>采购</w:t>
      </w:r>
      <w:r>
        <w:rPr>
          <w:rFonts w:hint="eastAsia" w:ascii="宋体" w:hAnsi="宋体" w:eastAsia="宋体" w:cs="宋体"/>
          <w:color w:val="auto"/>
          <w:sz w:val="24"/>
          <w:szCs w:val="24"/>
          <w:highlight w:val="none"/>
          <w:lang w:val="zh-CN"/>
        </w:rPr>
        <w:t>项目的名称：</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zh-CN"/>
        </w:rPr>
        <w:t xml:space="preserve"> </w:t>
      </w:r>
    </w:p>
    <w:p>
      <w:pPr>
        <w:spacing w:line="360" w:lineRule="auto"/>
        <w:ind w:left="25" w:firstLine="472"/>
        <w:rPr>
          <w:rFonts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zh-CN"/>
        </w:rPr>
        <w:t>采购</w:t>
      </w:r>
      <w:r>
        <w:rPr>
          <w:rFonts w:hint="eastAsia" w:ascii="宋体" w:hAnsi="宋体" w:eastAsia="宋体" w:cs="宋体"/>
          <w:color w:val="auto"/>
          <w:sz w:val="24"/>
          <w:szCs w:val="24"/>
          <w:highlight w:val="none"/>
          <w:lang w:val="zh-CN"/>
        </w:rPr>
        <w:t>项目的编号：</w:t>
      </w:r>
      <w:r>
        <w:rPr>
          <w:rFonts w:hint="eastAsia" w:ascii="宋体" w:hAnsi="宋体" w:eastAsia="宋体" w:cs="宋体"/>
          <w:bCs/>
          <w:color w:val="auto"/>
          <w:sz w:val="24"/>
          <w:szCs w:val="24"/>
          <w:highlight w:val="none"/>
          <w:u w:val="single"/>
        </w:rPr>
        <w:t xml:space="preserve">                 </w:t>
      </w:r>
    </w:p>
    <w:p>
      <w:pPr>
        <w:spacing w:line="360" w:lineRule="auto"/>
        <w:ind w:left="25" w:firstLine="472"/>
        <w:rPr>
          <w:rFonts w:ascii="宋体" w:hAnsi="宋体" w:eastAsia="宋体" w:cs="宋体"/>
          <w:bCs/>
          <w:color w:val="auto"/>
          <w:sz w:val="24"/>
          <w:szCs w:val="24"/>
          <w:highlight w:val="none"/>
          <w:u w:val="single"/>
          <w:lang w:val="zh-CN"/>
        </w:rPr>
      </w:pPr>
      <w:r>
        <w:rPr>
          <w:rFonts w:hint="eastAsia" w:ascii="宋体" w:hAnsi="宋体" w:eastAsia="宋体" w:cs="宋体"/>
          <w:color w:val="auto"/>
          <w:sz w:val="24"/>
          <w:szCs w:val="24"/>
          <w:highlight w:val="none"/>
          <w:lang w:val="zh-CN"/>
        </w:rPr>
        <w:t>采购人名称：</w:t>
      </w:r>
      <w:r>
        <w:rPr>
          <w:rFonts w:hint="eastAsia" w:ascii="宋体" w:hAnsi="宋体" w:eastAsia="宋体" w:cs="宋体"/>
          <w:bCs/>
          <w:color w:val="auto"/>
          <w:sz w:val="24"/>
          <w:szCs w:val="24"/>
          <w:highlight w:val="none"/>
          <w:u w:val="single"/>
          <w:lang w:val="zh-CN"/>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zh-CN"/>
        </w:rPr>
        <w:t xml:space="preserve">  </w:t>
      </w:r>
    </w:p>
    <w:p>
      <w:pPr>
        <w:spacing w:line="360" w:lineRule="auto"/>
        <w:ind w:left="25" w:firstLine="472"/>
        <w:rPr>
          <w:rFonts w:ascii="宋体" w:hAnsi="宋体" w:eastAsia="宋体" w:cs="宋体"/>
          <w:bCs/>
          <w:color w:val="auto"/>
          <w:sz w:val="24"/>
          <w:szCs w:val="24"/>
          <w:highlight w:val="none"/>
          <w:u w:val="single"/>
          <w:lang w:val="zh-CN"/>
        </w:rPr>
      </w:pPr>
      <w:r>
        <w:rPr>
          <w:rFonts w:hint="eastAsia" w:ascii="宋体" w:hAnsi="宋体" w:eastAsia="宋体" w:cs="宋体"/>
          <w:color w:val="auto"/>
          <w:sz w:val="24"/>
          <w:szCs w:val="24"/>
          <w:highlight w:val="none"/>
          <w:lang w:val="zh-CN"/>
        </w:rPr>
        <w:t>代理机构名称：</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zh-CN"/>
        </w:rPr>
        <w:t xml:space="preserve"> </w:t>
      </w:r>
    </w:p>
    <w:p>
      <w:pPr>
        <w:spacing w:line="360" w:lineRule="auto"/>
        <w:ind w:left="25" w:firstLine="472"/>
        <w:rPr>
          <w:rFonts w:ascii="宋体" w:hAnsi="宋体" w:eastAsia="宋体" w:cs="宋体"/>
          <w:bCs/>
          <w:color w:val="auto"/>
          <w:sz w:val="24"/>
          <w:szCs w:val="24"/>
          <w:highlight w:val="none"/>
          <w:u w:val="single"/>
          <w:lang w:val="zh-CN"/>
        </w:rPr>
      </w:pPr>
      <w:r>
        <w:rPr>
          <w:rFonts w:hint="eastAsia" w:ascii="宋体" w:hAnsi="宋体" w:eastAsia="宋体" w:cs="宋体"/>
          <w:bCs/>
          <w:color w:val="auto"/>
          <w:sz w:val="24"/>
          <w:szCs w:val="24"/>
          <w:highlight w:val="none"/>
        </w:rPr>
        <w:t>采购</w:t>
      </w:r>
      <w:r>
        <w:rPr>
          <w:rFonts w:hint="eastAsia" w:ascii="宋体" w:hAnsi="宋体" w:eastAsia="宋体" w:cs="宋体"/>
          <w:bCs/>
          <w:color w:val="auto"/>
          <w:sz w:val="24"/>
          <w:szCs w:val="24"/>
          <w:highlight w:val="none"/>
          <w:lang w:val="zh-CN"/>
        </w:rPr>
        <w:t>文件公告：</w:t>
      </w:r>
      <w:r>
        <w:rPr>
          <w:rFonts w:hint="eastAsia" w:ascii="宋体" w:hAnsi="宋体" w:eastAsia="宋体" w:cs="宋体"/>
          <w:bCs/>
          <w:color w:val="auto"/>
          <w:sz w:val="24"/>
          <w:szCs w:val="24"/>
          <w:highlight w:val="none"/>
          <w:u w:val="single"/>
          <w:lang w:val="zh-CN"/>
        </w:rPr>
        <w:t>是/否</w:t>
      </w:r>
      <w:r>
        <w:rPr>
          <w:rFonts w:hint="eastAsia" w:ascii="宋体" w:hAnsi="宋体" w:eastAsia="宋体" w:cs="宋体"/>
          <w:bCs/>
          <w:color w:val="auto"/>
          <w:sz w:val="24"/>
          <w:szCs w:val="24"/>
          <w:highlight w:val="none"/>
          <w:lang w:val="zh-CN"/>
        </w:rPr>
        <w:t>公告期限：</w:t>
      </w:r>
      <w:r>
        <w:rPr>
          <w:rFonts w:hint="eastAsia" w:ascii="宋体" w:hAnsi="宋体" w:eastAsia="宋体" w:cs="宋体"/>
          <w:bCs/>
          <w:color w:val="auto"/>
          <w:sz w:val="24"/>
          <w:szCs w:val="24"/>
          <w:highlight w:val="none"/>
          <w:u w:val="single"/>
          <w:lang w:val="zh-CN"/>
        </w:rPr>
        <w:t xml:space="preserve">                                                       </w:t>
      </w:r>
    </w:p>
    <w:p>
      <w:pPr>
        <w:spacing w:line="360" w:lineRule="auto"/>
        <w:ind w:left="25" w:firstLine="472"/>
        <w:rPr>
          <w:rFonts w:ascii="宋体" w:hAnsi="宋体" w:eastAsia="宋体" w:cs="宋体"/>
          <w:b/>
          <w:color w:val="auto"/>
          <w:sz w:val="24"/>
          <w:szCs w:val="24"/>
          <w:highlight w:val="none"/>
          <w:lang w:val="zh-CN"/>
        </w:rPr>
      </w:pPr>
      <w:r>
        <w:rPr>
          <w:rFonts w:hint="eastAsia" w:ascii="宋体" w:hAnsi="宋体" w:eastAsia="宋体" w:cs="宋体"/>
          <w:bCs/>
          <w:color w:val="auto"/>
          <w:sz w:val="24"/>
          <w:szCs w:val="24"/>
          <w:highlight w:val="none"/>
          <w:lang w:val="zh-CN"/>
        </w:rPr>
        <w:t>采购结果公告：</w:t>
      </w:r>
      <w:r>
        <w:rPr>
          <w:rFonts w:hint="eastAsia" w:ascii="宋体" w:hAnsi="宋体" w:eastAsia="宋体" w:cs="宋体"/>
          <w:bCs/>
          <w:color w:val="auto"/>
          <w:sz w:val="24"/>
          <w:szCs w:val="24"/>
          <w:highlight w:val="none"/>
          <w:u w:val="single"/>
          <w:lang w:val="zh-CN"/>
        </w:rPr>
        <w:t>是/否</w:t>
      </w:r>
      <w:r>
        <w:rPr>
          <w:rFonts w:hint="eastAsia" w:ascii="宋体" w:hAnsi="宋体" w:eastAsia="宋体" w:cs="宋体"/>
          <w:bCs/>
          <w:color w:val="auto"/>
          <w:sz w:val="24"/>
          <w:szCs w:val="24"/>
          <w:highlight w:val="none"/>
          <w:lang w:val="zh-CN"/>
        </w:rPr>
        <w:t>公告期限：</w:t>
      </w:r>
      <w:r>
        <w:rPr>
          <w:rFonts w:hint="eastAsia" w:ascii="宋体" w:hAnsi="宋体" w:eastAsia="宋体" w:cs="宋体"/>
          <w:bCs/>
          <w:color w:val="auto"/>
          <w:sz w:val="24"/>
          <w:szCs w:val="24"/>
          <w:highlight w:val="none"/>
          <w:u w:val="single"/>
          <w:lang w:val="zh-CN"/>
        </w:rPr>
        <w:t xml:space="preserve">                                                       </w:t>
      </w:r>
    </w:p>
    <w:p>
      <w:pPr>
        <w:spacing w:line="360" w:lineRule="auto"/>
        <w:ind w:left="25" w:firstLine="472"/>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三、质疑基本情况</w:t>
      </w:r>
    </w:p>
    <w:p>
      <w:pPr>
        <w:spacing w:line="360" w:lineRule="auto"/>
        <w:ind w:firstLine="48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投诉人于</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年</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月</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日，向</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提出质疑，质疑事项为：</w:t>
      </w:r>
    </w:p>
    <w:p>
      <w:pPr>
        <w:spacing w:line="360" w:lineRule="auto"/>
        <w:ind w:firstLine="241"/>
        <w:rPr>
          <w:rFonts w:ascii="宋体" w:hAnsi="宋体" w:eastAsia="宋体" w:cs="宋体"/>
          <w:bCs/>
          <w:color w:val="auto"/>
          <w:sz w:val="24"/>
          <w:szCs w:val="24"/>
          <w:highlight w:val="none"/>
          <w:u w:val="single"/>
          <w:lang w:val="zh-CN"/>
        </w:rPr>
      </w:pPr>
      <w:r>
        <w:rPr>
          <w:rFonts w:hint="eastAsia" w:ascii="宋体" w:hAnsi="宋体" w:eastAsia="宋体" w:cs="宋体"/>
          <w:color w:val="auto"/>
          <w:sz w:val="24"/>
          <w:szCs w:val="24"/>
          <w:highlight w:val="none"/>
          <w:lang w:val="zh-CN"/>
        </w:rPr>
        <w:t xml:space="preserve">    </w:t>
      </w:r>
      <w:r>
        <w:rPr>
          <w:rFonts w:hint="eastAsia" w:ascii="宋体" w:hAnsi="宋体" w:eastAsia="宋体" w:cs="宋体"/>
          <w:bCs/>
          <w:color w:val="auto"/>
          <w:sz w:val="24"/>
          <w:szCs w:val="24"/>
          <w:highlight w:val="none"/>
          <w:u w:val="single"/>
          <w:lang w:val="zh-CN"/>
        </w:rPr>
        <w:t xml:space="preserve">                                                                                      </w:t>
      </w:r>
    </w:p>
    <w:p>
      <w:pPr>
        <w:spacing w:line="360" w:lineRule="auto"/>
        <w:ind w:firstLine="241"/>
        <w:rPr>
          <w:rFonts w:ascii="宋体" w:hAnsi="宋体" w:eastAsia="宋体" w:cs="宋体"/>
          <w:bCs/>
          <w:color w:val="auto"/>
          <w:sz w:val="24"/>
          <w:szCs w:val="24"/>
          <w:highlight w:val="none"/>
          <w:u w:val="single"/>
          <w:lang w:val="zh-CN"/>
        </w:rPr>
      </w:pPr>
      <w:r>
        <w:rPr>
          <w:rFonts w:hint="eastAsia" w:ascii="宋体" w:hAnsi="宋体" w:eastAsia="宋体" w:cs="宋体"/>
          <w:bCs/>
          <w:color w:val="auto"/>
          <w:sz w:val="24"/>
          <w:szCs w:val="24"/>
          <w:highlight w:val="none"/>
          <w:lang w:val="zh-CN"/>
        </w:rPr>
        <w:t xml:space="preserve">    </w:t>
      </w:r>
      <w:r>
        <w:rPr>
          <w:rFonts w:hint="eastAsia" w:ascii="宋体" w:hAnsi="宋体" w:eastAsia="宋体" w:cs="宋体"/>
          <w:bCs/>
          <w:color w:val="auto"/>
          <w:sz w:val="24"/>
          <w:szCs w:val="24"/>
          <w:highlight w:val="none"/>
          <w:u w:val="single"/>
          <w:lang w:val="zh-CN"/>
        </w:rPr>
        <w:t xml:space="preserve">                                                                                      </w:t>
      </w:r>
    </w:p>
    <w:p>
      <w:pPr>
        <w:spacing w:line="360" w:lineRule="auto"/>
        <w:ind w:firstLine="480"/>
        <w:rPr>
          <w:rFonts w:ascii="宋体" w:hAnsi="宋体" w:eastAsia="宋体" w:cs="宋体"/>
          <w:color w:val="auto"/>
          <w:sz w:val="24"/>
          <w:szCs w:val="24"/>
          <w:highlight w:val="none"/>
          <w:lang w:val="zh-CN"/>
        </w:rPr>
      </w:pPr>
      <w:r>
        <w:rPr>
          <w:rFonts w:hint="eastAsia" w:ascii="宋体" w:hAnsi="宋体" w:eastAsia="宋体" w:cs="宋体"/>
          <w:bCs/>
          <w:color w:val="auto"/>
          <w:sz w:val="24"/>
          <w:szCs w:val="24"/>
          <w:highlight w:val="none"/>
          <w:u w:val="single"/>
          <w:lang w:val="zh-CN"/>
        </w:rPr>
        <w:t>采购人/代理机构</w:t>
      </w:r>
      <w:r>
        <w:rPr>
          <w:rFonts w:hint="eastAsia" w:ascii="宋体" w:hAnsi="宋体" w:eastAsia="宋体" w:cs="宋体"/>
          <w:bCs/>
          <w:color w:val="auto"/>
          <w:sz w:val="24"/>
          <w:szCs w:val="24"/>
          <w:highlight w:val="none"/>
          <w:lang w:val="zh-CN"/>
        </w:rPr>
        <w:t>于</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年</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月</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日，</w:t>
      </w:r>
      <w:r>
        <w:rPr>
          <w:rFonts w:hint="eastAsia" w:ascii="宋体" w:hAnsi="宋体" w:eastAsia="宋体" w:cs="宋体"/>
          <w:bCs/>
          <w:color w:val="auto"/>
          <w:sz w:val="24"/>
          <w:szCs w:val="24"/>
          <w:highlight w:val="none"/>
          <w:lang w:val="zh-CN"/>
        </w:rPr>
        <w:t xml:space="preserve">就质疑事项作出了答复/没有在法定期限内作出答复。                                                                                             </w:t>
      </w:r>
    </w:p>
    <w:p>
      <w:pPr>
        <w:spacing w:line="360" w:lineRule="auto"/>
        <w:ind w:left="25" w:firstLine="472"/>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四、投诉事项具体内容</w:t>
      </w:r>
    </w:p>
    <w:p>
      <w:pPr>
        <w:spacing w:line="360" w:lineRule="auto"/>
        <w:ind w:left="25" w:firstLine="472"/>
        <w:rPr>
          <w:rFonts w:ascii="宋体" w:hAnsi="宋体" w:eastAsia="宋体" w:cs="宋体"/>
          <w:bCs/>
          <w:color w:val="auto"/>
          <w:sz w:val="24"/>
          <w:szCs w:val="24"/>
          <w:highlight w:val="none"/>
          <w:u w:val="single"/>
          <w:lang w:val="zh-CN"/>
        </w:rPr>
      </w:pPr>
      <w:r>
        <w:rPr>
          <w:rFonts w:hint="eastAsia" w:ascii="宋体" w:hAnsi="宋体" w:eastAsia="宋体" w:cs="宋体"/>
          <w:color w:val="auto"/>
          <w:sz w:val="24"/>
          <w:szCs w:val="24"/>
          <w:highlight w:val="none"/>
          <w:lang w:val="zh-CN"/>
        </w:rPr>
        <w:t>投诉事项1：</w:t>
      </w:r>
      <w:r>
        <w:rPr>
          <w:rFonts w:hint="eastAsia" w:ascii="宋体" w:hAnsi="宋体" w:eastAsia="宋体" w:cs="宋体"/>
          <w:bCs/>
          <w:color w:val="auto"/>
          <w:sz w:val="24"/>
          <w:szCs w:val="24"/>
          <w:highlight w:val="none"/>
          <w:u w:val="single"/>
          <w:lang w:val="zh-CN"/>
        </w:rPr>
        <w:t xml:space="preserve">                                                                           </w:t>
      </w:r>
    </w:p>
    <w:p>
      <w:pPr>
        <w:spacing w:line="360" w:lineRule="auto"/>
        <w:ind w:firstLine="480"/>
        <w:rPr>
          <w:rFonts w:ascii="宋体" w:hAnsi="宋体" w:eastAsia="宋体" w:cs="宋体"/>
          <w:bCs/>
          <w:color w:val="auto"/>
          <w:sz w:val="24"/>
          <w:szCs w:val="24"/>
          <w:highlight w:val="none"/>
          <w:u w:val="single"/>
          <w:lang w:val="zh-CN"/>
        </w:rPr>
      </w:pPr>
      <w:r>
        <w:rPr>
          <w:rFonts w:hint="eastAsia" w:ascii="宋体" w:hAnsi="宋体" w:eastAsia="宋体" w:cs="宋体"/>
          <w:bCs/>
          <w:color w:val="auto"/>
          <w:sz w:val="24"/>
          <w:szCs w:val="24"/>
          <w:highlight w:val="none"/>
          <w:lang w:val="zh-CN"/>
        </w:rPr>
        <w:t>事实依据：</w:t>
      </w:r>
      <w:r>
        <w:rPr>
          <w:rFonts w:hint="eastAsia" w:ascii="宋体" w:hAnsi="宋体" w:eastAsia="宋体" w:cs="宋体"/>
          <w:color w:val="auto"/>
          <w:sz w:val="24"/>
          <w:szCs w:val="24"/>
          <w:highlight w:val="none"/>
          <w:lang w:val="zh-CN"/>
        </w:rPr>
        <w:t xml:space="preserve"> </w:t>
      </w:r>
      <w:r>
        <w:rPr>
          <w:rFonts w:hint="eastAsia" w:ascii="宋体" w:hAnsi="宋体" w:eastAsia="宋体" w:cs="宋体"/>
          <w:bCs/>
          <w:color w:val="auto"/>
          <w:sz w:val="24"/>
          <w:szCs w:val="24"/>
          <w:highlight w:val="none"/>
          <w:u w:val="single"/>
          <w:lang w:val="zh-CN"/>
        </w:rPr>
        <w:t xml:space="preserve">                                                                                      </w:t>
      </w:r>
    </w:p>
    <w:p>
      <w:pPr>
        <w:spacing w:line="360" w:lineRule="auto"/>
        <w:ind w:left="25" w:firstLine="472"/>
        <w:rPr>
          <w:rFonts w:ascii="宋体" w:hAnsi="宋体" w:eastAsia="宋体" w:cs="宋体"/>
          <w:color w:val="auto"/>
          <w:sz w:val="24"/>
          <w:szCs w:val="24"/>
          <w:highlight w:val="none"/>
          <w:lang w:val="zh-CN"/>
        </w:rPr>
      </w:pPr>
      <w:r>
        <w:rPr>
          <w:rFonts w:hint="eastAsia" w:ascii="宋体" w:hAnsi="宋体" w:eastAsia="宋体" w:cs="宋体"/>
          <w:bCs/>
          <w:color w:val="auto"/>
          <w:sz w:val="24"/>
          <w:szCs w:val="24"/>
          <w:highlight w:val="none"/>
          <w:u w:val="single"/>
          <w:lang w:val="zh-CN"/>
        </w:rPr>
        <w:t xml:space="preserve">                                                                                        </w:t>
      </w:r>
    </w:p>
    <w:p>
      <w:pPr>
        <w:spacing w:line="360" w:lineRule="auto"/>
        <w:ind w:firstLine="480"/>
        <w:rPr>
          <w:rFonts w:ascii="宋体" w:hAnsi="宋体" w:eastAsia="宋体" w:cs="宋体"/>
          <w:bCs/>
          <w:color w:val="auto"/>
          <w:sz w:val="24"/>
          <w:szCs w:val="24"/>
          <w:highlight w:val="none"/>
          <w:u w:val="single"/>
          <w:lang w:val="zh-CN"/>
        </w:rPr>
      </w:pPr>
      <w:r>
        <w:rPr>
          <w:rFonts w:hint="eastAsia" w:ascii="宋体" w:hAnsi="宋体" w:eastAsia="宋体" w:cs="宋体"/>
          <w:bCs/>
          <w:color w:val="auto"/>
          <w:sz w:val="24"/>
          <w:szCs w:val="24"/>
          <w:highlight w:val="none"/>
          <w:lang w:val="zh-CN"/>
        </w:rPr>
        <w:t>法律依据：</w:t>
      </w:r>
      <w:r>
        <w:rPr>
          <w:rFonts w:hint="eastAsia" w:ascii="宋体" w:hAnsi="宋体" w:eastAsia="宋体" w:cs="宋体"/>
          <w:color w:val="auto"/>
          <w:sz w:val="24"/>
          <w:szCs w:val="24"/>
          <w:highlight w:val="none"/>
          <w:lang w:val="zh-CN"/>
        </w:rPr>
        <w:t xml:space="preserve"> </w:t>
      </w:r>
      <w:r>
        <w:rPr>
          <w:rFonts w:hint="eastAsia" w:ascii="宋体" w:hAnsi="宋体" w:eastAsia="宋体" w:cs="宋体"/>
          <w:bCs/>
          <w:color w:val="auto"/>
          <w:sz w:val="24"/>
          <w:szCs w:val="24"/>
          <w:highlight w:val="none"/>
          <w:u w:val="single"/>
          <w:lang w:val="zh-CN"/>
        </w:rPr>
        <w:t xml:space="preserve">                                                                                      </w:t>
      </w:r>
    </w:p>
    <w:p>
      <w:pPr>
        <w:spacing w:line="360" w:lineRule="auto"/>
        <w:ind w:left="25" w:firstLine="352"/>
        <w:rPr>
          <w:rFonts w:ascii="宋体" w:hAnsi="宋体" w:eastAsia="宋体" w:cs="宋体"/>
          <w:bCs/>
          <w:color w:val="auto"/>
          <w:sz w:val="24"/>
          <w:szCs w:val="24"/>
          <w:highlight w:val="none"/>
          <w:u w:val="single"/>
          <w:lang w:val="zh-CN"/>
        </w:rPr>
      </w:pPr>
      <w:r>
        <w:rPr>
          <w:rFonts w:hint="eastAsia" w:ascii="宋体" w:hAnsi="宋体" w:eastAsia="宋体" w:cs="宋体"/>
          <w:bCs/>
          <w:color w:val="auto"/>
          <w:sz w:val="24"/>
          <w:szCs w:val="24"/>
          <w:highlight w:val="none"/>
          <w:lang w:val="zh-CN"/>
        </w:rPr>
        <w:t xml:space="preserve"> </w:t>
      </w:r>
      <w:r>
        <w:rPr>
          <w:rFonts w:hint="eastAsia" w:ascii="宋体" w:hAnsi="宋体" w:eastAsia="宋体" w:cs="宋体"/>
          <w:bCs/>
          <w:color w:val="auto"/>
          <w:sz w:val="24"/>
          <w:szCs w:val="24"/>
          <w:highlight w:val="none"/>
          <w:u w:val="single"/>
          <w:lang w:val="zh-CN"/>
        </w:rPr>
        <w:t xml:space="preserve">                                                                                        </w:t>
      </w:r>
    </w:p>
    <w:p>
      <w:pPr>
        <w:spacing w:line="360" w:lineRule="auto"/>
        <w:ind w:left="25" w:firstLine="472"/>
        <w:rPr>
          <w:rFonts w:ascii="宋体" w:hAnsi="宋体" w:eastAsia="宋体" w:cs="宋体"/>
          <w:bCs/>
          <w:color w:val="auto"/>
          <w:sz w:val="24"/>
          <w:szCs w:val="24"/>
          <w:highlight w:val="none"/>
          <w:lang w:val="zh-CN"/>
        </w:rPr>
      </w:pPr>
      <w:r>
        <w:rPr>
          <w:rFonts w:hint="eastAsia" w:ascii="宋体" w:hAnsi="宋体" w:eastAsia="宋体" w:cs="宋体"/>
          <w:color w:val="auto"/>
          <w:sz w:val="24"/>
          <w:szCs w:val="24"/>
          <w:highlight w:val="none"/>
          <w:lang w:val="zh-CN"/>
        </w:rPr>
        <w:t xml:space="preserve">投诉事项2  </w:t>
      </w:r>
      <w:r>
        <w:rPr>
          <w:rFonts w:hint="eastAsia" w:ascii="宋体" w:hAnsi="宋体" w:eastAsia="宋体" w:cs="宋体"/>
          <w:bCs/>
          <w:color w:val="auto"/>
          <w:sz w:val="24"/>
          <w:szCs w:val="24"/>
          <w:highlight w:val="none"/>
          <w:lang w:val="zh-CN"/>
        </w:rPr>
        <w:t xml:space="preserve">   </w:t>
      </w:r>
    </w:p>
    <w:p>
      <w:pPr>
        <w:spacing w:line="360" w:lineRule="auto"/>
        <w:ind w:left="25" w:firstLine="472"/>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w:t>
      </w:r>
    </w:p>
    <w:p>
      <w:pPr>
        <w:spacing w:line="360" w:lineRule="auto"/>
        <w:ind w:left="25" w:firstLine="472"/>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五、与投诉事项相关的投诉请求：</w:t>
      </w:r>
    </w:p>
    <w:p>
      <w:pPr>
        <w:spacing w:line="360" w:lineRule="auto"/>
        <w:ind w:left="25" w:firstLine="472"/>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请求：</w:t>
      </w:r>
      <w:r>
        <w:rPr>
          <w:rFonts w:hint="eastAsia" w:ascii="宋体" w:hAnsi="宋体" w:eastAsia="宋体" w:cs="宋体"/>
          <w:bCs/>
          <w:color w:val="auto"/>
          <w:sz w:val="24"/>
          <w:szCs w:val="24"/>
          <w:highlight w:val="none"/>
          <w:u w:val="single"/>
          <w:lang w:val="zh-CN"/>
        </w:rPr>
        <w:t xml:space="preserve">                                                                                 </w:t>
      </w:r>
    </w:p>
    <w:p>
      <w:pPr>
        <w:spacing w:line="360" w:lineRule="auto"/>
        <w:ind w:left="25" w:firstLine="352"/>
        <w:rPr>
          <w:rFonts w:ascii="宋体" w:hAnsi="宋体" w:eastAsia="宋体" w:cs="宋体"/>
          <w:color w:val="auto"/>
          <w:sz w:val="24"/>
          <w:szCs w:val="24"/>
          <w:highlight w:val="none"/>
          <w:lang w:val="zh-CN"/>
        </w:rPr>
      </w:pPr>
    </w:p>
    <w:p>
      <w:pPr>
        <w:spacing w:line="360" w:lineRule="auto"/>
        <w:ind w:left="25" w:firstLine="472"/>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签字（签章）：                                       公章：</w:t>
      </w:r>
    </w:p>
    <w:p>
      <w:pPr>
        <w:spacing w:line="360" w:lineRule="auto"/>
        <w:ind w:left="25" w:firstLine="352"/>
        <w:rPr>
          <w:rFonts w:ascii="宋体" w:hAnsi="宋体" w:eastAsia="宋体" w:cs="宋体"/>
          <w:color w:val="auto"/>
          <w:sz w:val="24"/>
          <w:szCs w:val="24"/>
          <w:highlight w:val="none"/>
          <w:lang w:val="zh-CN"/>
        </w:rPr>
      </w:pPr>
    </w:p>
    <w:p>
      <w:pPr>
        <w:spacing w:line="360" w:lineRule="auto"/>
        <w:ind w:left="25" w:firstLine="472"/>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w:t>
      </w:r>
    </w:p>
    <w:p>
      <w:pPr>
        <w:spacing w:line="360" w:lineRule="auto"/>
        <w:ind w:left="25" w:firstLine="472"/>
        <w:rPr>
          <w:rFonts w:ascii="宋体" w:hAnsi="宋体" w:eastAsia="宋体" w:cs="宋体"/>
          <w:color w:val="auto"/>
          <w:sz w:val="24"/>
          <w:szCs w:val="24"/>
          <w:highlight w:val="none"/>
          <w:lang w:val="zh-CN"/>
        </w:rPr>
      </w:pPr>
      <w:r>
        <w:rPr>
          <w:rFonts w:hint="eastAsia" w:ascii="宋体" w:hAnsi="宋体" w:eastAsia="宋体" w:cs="宋体"/>
          <w:bCs/>
          <w:color w:val="auto"/>
          <w:sz w:val="24"/>
          <w:szCs w:val="24"/>
          <w:highlight w:val="none"/>
          <w:lang w:val="zh-CN"/>
        </w:rPr>
        <w:t xml:space="preserve">                                                                                 </w:t>
      </w:r>
    </w:p>
    <w:p>
      <w:pPr>
        <w:spacing w:line="360" w:lineRule="auto"/>
        <w:rPr>
          <w:rFonts w:ascii="宋体" w:hAnsi="宋体" w:eastAsia="宋体" w:cs="宋体"/>
          <w:b/>
          <w:color w:val="auto"/>
          <w:sz w:val="24"/>
          <w:szCs w:val="24"/>
          <w:highlight w:val="none"/>
          <w:lang w:val="zh-CN"/>
        </w:rPr>
      </w:pPr>
    </w:p>
    <w:p>
      <w:pPr>
        <w:spacing w:line="360" w:lineRule="auto"/>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说明：</w:t>
      </w:r>
    </w:p>
    <w:p>
      <w:pPr>
        <w:spacing w:line="360" w:lineRule="auto"/>
        <w:ind w:left="25" w:firstLine="354"/>
        <w:rPr>
          <w:rFonts w:ascii="宋体" w:hAnsi="宋体" w:eastAsia="宋体" w:cs="宋体"/>
          <w:b/>
          <w:bCs/>
          <w:color w:val="auto"/>
          <w:sz w:val="24"/>
          <w:szCs w:val="24"/>
          <w:highlight w:val="none"/>
          <w:lang w:val="zh-CN"/>
        </w:rPr>
      </w:pPr>
      <w:r>
        <w:rPr>
          <w:rFonts w:hint="eastAsia" w:ascii="宋体" w:hAnsi="宋体" w:eastAsia="宋体" w:cs="宋体"/>
          <w:b/>
          <w:color w:val="auto"/>
          <w:sz w:val="24"/>
          <w:szCs w:val="24"/>
          <w:highlight w:val="none"/>
          <w:lang w:val="zh-CN"/>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lang w:val="zh-CN"/>
        </w:rPr>
        <w:t>。</w:t>
      </w:r>
    </w:p>
    <w:p>
      <w:pPr>
        <w:spacing w:line="360" w:lineRule="auto"/>
        <w:ind w:left="25" w:firstLine="354"/>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spacing w:line="360" w:lineRule="auto"/>
        <w:ind w:left="25" w:firstLine="354"/>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3.投诉书应简要列明质疑事项，质疑函、质疑答复等作为附件材料提供。</w:t>
      </w:r>
    </w:p>
    <w:p>
      <w:pPr>
        <w:spacing w:line="360" w:lineRule="auto"/>
        <w:ind w:left="25" w:firstLine="354"/>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4.投诉书的投诉事项应具体、明确，并有必要的事实依据和法律依据。</w:t>
      </w:r>
    </w:p>
    <w:p>
      <w:pPr>
        <w:spacing w:line="360" w:lineRule="auto"/>
        <w:ind w:left="25" w:firstLine="354"/>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5.投诉书的投诉请求应与投诉事项相关。</w:t>
      </w:r>
    </w:p>
    <w:p>
      <w:pPr>
        <w:spacing w:line="360" w:lineRule="auto"/>
        <w:ind w:left="25" w:firstLine="354"/>
        <w:rPr>
          <w:rFonts w:ascii="宋体" w:hAnsi="宋体" w:eastAsia="宋体" w:cs="宋体"/>
          <w:b/>
          <w:color w:val="auto"/>
          <w:sz w:val="20"/>
          <w:szCs w:val="21"/>
          <w:highlight w:val="none"/>
          <w:lang w:val="zh-CN"/>
        </w:rPr>
      </w:pPr>
      <w:r>
        <w:rPr>
          <w:rFonts w:hint="eastAsia" w:ascii="宋体" w:hAnsi="宋体" w:eastAsia="宋体" w:cs="宋体"/>
          <w:b/>
          <w:color w:val="auto"/>
          <w:sz w:val="24"/>
          <w:szCs w:val="24"/>
          <w:highlight w:val="none"/>
          <w:lang w:val="zh-CN"/>
        </w:rPr>
        <w:t>6.投诉人为法人或者其他组织的，投诉书应由法定代表人、主要负责人，或者其授权代表签字或者盖章，并加盖公章。</w:t>
      </w:r>
    </w:p>
    <w:p>
      <w:pPr>
        <w:rPr>
          <w:rFonts w:ascii="宋体" w:hAnsi="宋体" w:eastAsia="宋体" w:cs="宋体"/>
          <w:color w:val="auto"/>
          <w:szCs w:val="24"/>
          <w:highlight w:val="none"/>
          <w:lang w:val="zh-CN"/>
        </w:rPr>
      </w:pPr>
    </w:p>
    <w:p>
      <w:pPr>
        <w:rPr>
          <w:rFonts w:ascii="宋体" w:hAnsi="宋体" w:eastAsia="宋体" w:cs="宋体"/>
          <w:color w:val="auto"/>
          <w:szCs w:val="24"/>
          <w:highlight w:val="none"/>
        </w:rPr>
      </w:pPr>
    </w:p>
    <w:p>
      <w:pPr>
        <w:rPr>
          <w:rFonts w:ascii="宋体" w:hAnsi="宋体" w:eastAsia="宋体" w:cs="宋体"/>
          <w:color w:val="auto"/>
          <w:highlight w:val="none"/>
        </w:rPr>
      </w:pPr>
    </w:p>
    <w:sectPr>
      <w:footerReference r:id="rId11" w:type="first"/>
      <w:footerReference r:id="rId10"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462CFDB-DBE3-4EE3-9B0F-767D9397EB18}"/>
  </w:font>
  <w:font w:name="黑体">
    <w:panose1 w:val="02010609060101010101"/>
    <w:charset w:val="86"/>
    <w:family w:val="auto"/>
    <w:pitch w:val="default"/>
    <w:sig w:usb0="800002BF" w:usb1="38CF7CFA" w:usb2="00000016" w:usb3="00000000" w:csb0="00040001" w:csb1="00000000"/>
    <w:embedRegular r:id="rId2" w:fontKey="{3C7A945A-E9B8-44D5-94F1-675C1A5A62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3" w:fontKey="{337AB0CC-0435-4F7C-840C-58D1C94C7838}"/>
  </w:font>
  <w:font w:name="@宋体">
    <w:panose1 w:val="02010600030101010101"/>
    <w:charset w:val="86"/>
    <w:family w:val="auto"/>
    <w:pitch w:val="default"/>
    <w:sig w:usb0="00000203" w:usb1="288F0000" w:usb2="00000006" w:usb3="00000000" w:csb0="00040001"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tabs>
        <w:tab w:val="center" w:pos="4439"/>
        <w:tab w:val="clear" w:pos="4153"/>
      </w:tabs>
      <w:jc w:val="both"/>
    </w:pPr>
  </w:p>
  <w:p>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tabs>
        <w:tab w:val="center" w:pos="4439"/>
        <w:tab w:val="clear" w:pos="4153"/>
      </w:tabs>
    </w:pPr>
    <w:r>
      <w:rPr>
        <w:lang w:val="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txbxContent>
                    </wps:txbx>
                    <wps:bodyPr rot="0" vert="horz" wrap="none" lIns="0" tIns="0" rIns="0" bIns="0" anchor="t" anchorCtr="0" upright="1">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IikywcEAgAABQQAAA4AAAAAAAAAAQAgAAAAHgEAAGRycy9lMm9E&#10;b2MueG1sUEsFBgAAAAAGAAYAWQEAAJQFAAAAAA==&#10;">
              <v:fill on="f" focussize="0,0"/>
              <v:stroke on="f"/>
              <v:imagedata o:title=""/>
              <o:lock v:ext="edit" aspectratio="f"/>
              <v:textbox inset="0mm,0mm,0mm,0mm" style="mso-fit-shape-to-text:t;">
                <w:txbxConten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tabs>
        <w:tab w:val="center" w:pos="4439"/>
        <w:tab w:val="clear" w:pos="4153"/>
      </w:tabs>
      <w:jc w:val="both"/>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BmfhYg2AgAAYwQAAA4AAAAAAAAAAQAgAAAAHwEAAGRycy9lMm9Eb2MueG1s&#10;UEsFBgAAAAAGAAYAWQEAAMcFAAAAAA==&#10;">
              <v:fill on="f" focussize="0,0"/>
              <v:stroke on="f" weight="0.5pt"/>
              <v:imagedata o:title=""/>
              <o:lock v:ext="edit" aspectratio="f"/>
              <v:textbox inset="0mm,0mm,0mm,0mm" style="mso-fit-shape-to-text:t;">
                <w:txbxContent>
                  <w:p>
                    <w:pPr>
                      <w:pStyle w:val="28"/>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p>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tabs>
        <w:tab w:val="center" w:pos="4439"/>
        <w:tab w:val="clear" w:pos="4153"/>
      </w:tabs>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TjceWNwIAAGMEAAAOAAAAAAAAAAEAIAAAAB8BAABkcnMvZTJvRG9jLnht&#10;bFBLBQYAAAAABgAGAFkBAADIBQAAAAA=&#10;">
              <v:fill on="f" focussize="0,0"/>
              <v:stroke on="f" weight="0.5pt"/>
              <v:imagedata o:title=""/>
              <o:lock v:ext="edit" aspectratio="f"/>
              <v:textbox inset="0mm,0mm,0mm,0mm" style="mso-fit-shape-to-text:t;">
                <w:txbxContent>
                  <w:p>
                    <w:pPr>
                      <w:pStyle w:val="28"/>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r>
      <w:rPr>
        <w:lang w:val="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Ob2TXoEAgAABAQAAA4AAAAAAAAAAQAgAAAAHgEAAGRycy9lMm9E&#10;b2MueG1sUEsFBgAAAAAGAAYAWQEAAJQFAAAAAA==&#10;">
              <v:fill on="f" focussize="0,0"/>
              <v:stroke on="f"/>
              <v:imagedata o:title=""/>
              <o:lock v:ext="edit" aspectratio="f"/>
              <v:textbox inset="0mm,0mm,0mm,0mm" style="mso-fit-shape-to-text:t;">
                <w:txbxContent>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left="420" w:hanging="420"/>
      <w:jc w:val="center"/>
    </w:pPr>
    <w:r>
      <w:rPr>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28"/>
                            <w:ind w:left="420" w:hanging="420"/>
                            <w:jc w:val="center"/>
                          </w:pPr>
                          <w:r>
                            <w:rPr>
                              <w:rFonts w:hint="eastAsia"/>
                            </w:rPr>
                            <w:fldChar w:fldCharType="begin"/>
                          </w:r>
                          <w:r>
                            <w:rPr>
                              <w:rFonts w:hint="eastAsia"/>
                            </w:rPr>
                            <w:instrText xml:space="preserve"> PAGE  \* MERGEFORMAT </w:instrText>
                          </w:r>
                          <w:r>
                            <w:rPr>
                              <w:rFonts w:hint="eastAsia"/>
                            </w:rPr>
                            <w:fldChar w:fldCharType="separate"/>
                          </w:r>
                          <w:r>
                            <w:rPr>
                              <w:rFonts w:hint="eastAsia"/>
                            </w:rPr>
                            <w:t>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GJXpIgkCAAATBAAADgAAAAAAAAABACAAAAAeAQAAZHJz&#10;L2Uyb0RvYy54bWxQSwUGAAAAAAYABgBZAQAAmQUAAAAA&#10;">
              <v:fill on="f" focussize="0,0"/>
              <v:stroke on="f"/>
              <v:imagedata o:title=""/>
              <o:lock v:ext="edit" aspectratio="f"/>
              <v:textbox inset="0mm,0mm,0mm,0mm" style="mso-fit-shape-to-text:t;">
                <w:txbxContent>
                  <w:p>
                    <w:pPr>
                      <w:pStyle w:val="28"/>
                      <w:ind w:left="420" w:hanging="420"/>
                      <w:jc w:val="center"/>
                    </w:pPr>
                    <w:r>
                      <w:rPr>
                        <w:rFonts w:hint="eastAsia"/>
                      </w:rPr>
                      <w:fldChar w:fldCharType="begin"/>
                    </w:r>
                    <w:r>
                      <w:rPr>
                        <w:rFonts w:hint="eastAsia"/>
                      </w:rPr>
                      <w:instrText xml:space="preserve"> PAGE  \* MERGEFORMAT </w:instrText>
                    </w:r>
                    <w:r>
                      <w:rPr>
                        <w:rFonts w:hint="eastAsia"/>
                      </w:rPr>
                      <w:fldChar w:fldCharType="separate"/>
                    </w:r>
                    <w:r>
                      <w:rPr>
                        <w:rFonts w:hint="eastAsia"/>
                      </w:rPr>
                      <w:t>0</w:t>
                    </w:r>
                    <w:r>
                      <w:rPr>
                        <w:rFonts w:hint="eastAsia"/>
                      </w:rPr>
                      <w:fldChar w:fldCharType="end"/>
                    </w:r>
                  </w:p>
                </w:txbxContent>
              </v:textbox>
            </v:shape>
          </w:pict>
        </mc:Fallback>
      </mc:AlternateContent>
    </w:r>
  </w:p>
  <w:p>
    <w:pPr>
      <w:pStyle w:val="28"/>
      <w:ind w:left="420" w:hanging="4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pPr>
    <w:r>
      <w:rPr>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28"/>
                            <w:jc w:val="center"/>
                          </w:pPr>
                          <w:r>
                            <w:rPr>
                              <w:rFonts w:hint="eastAsia"/>
                            </w:rPr>
                            <w:fldChar w:fldCharType="begin"/>
                          </w:r>
                          <w:r>
                            <w:rPr>
                              <w:rFonts w:hint="eastAsia"/>
                            </w:rPr>
                            <w:instrText xml:space="preserve"> PAGE  \* MERGEFORMAT </w:instrText>
                          </w:r>
                          <w:r>
                            <w:rPr>
                              <w:rFonts w:hint="eastAsia"/>
                            </w:rPr>
                            <w:fldChar w:fldCharType="separate"/>
                          </w:r>
                          <w:r>
                            <w:rPr>
                              <w:rFonts w:hint="eastAsia"/>
                            </w:rPr>
                            <w:t>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mj60+wkCAAATBAAADgAAAAAAAAABACAAAAAeAQAAZHJz&#10;L2Uyb0RvYy54bWxQSwUGAAAAAAYABgBZAQAAmQUAAAAA&#10;">
              <v:fill on="f" focussize="0,0"/>
              <v:stroke on="f"/>
              <v:imagedata o:title=""/>
              <o:lock v:ext="edit" aspectratio="f"/>
              <v:textbox inset="0mm,0mm,0mm,0mm" style="mso-fit-shape-to-text:t;">
                <w:txbxContent>
                  <w:p>
                    <w:pPr>
                      <w:pStyle w:val="28"/>
                      <w:jc w:val="center"/>
                    </w:pPr>
                    <w:r>
                      <w:rPr>
                        <w:rFonts w:hint="eastAsia"/>
                      </w:rPr>
                      <w:fldChar w:fldCharType="begin"/>
                    </w:r>
                    <w:r>
                      <w:rPr>
                        <w:rFonts w:hint="eastAsia"/>
                      </w:rPr>
                      <w:instrText xml:space="preserve"> PAGE  \* MERGEFORMAT </w:instrText>
                    </w:r>
                    <w:r>
                      <w:rPr>
                        <w:rFonts w:hint="eastAsia"/>
                      </w:rPr>
                      <w:fldChar w:fldCharType="separate"/>
                    </w:r>
                    <w:r>
                      <w:rPr>
                        <w:rFonts w:hint="eastAsia"/>
                      </w:rPr>
                      <w:t>0</w:t>
                    </w:r>
                    <w:r>
                      <w:rPr>
                        <w:rFonts w:hint="eastAsia"/>
                      </w:rPr>
                      <w:fldChar w:fldCharType="end"/>
                    </w:r>
                  </w:p>
                </w:txbxContent>
              </v:textbox>
            </v:shape>
          </w:pict>
        </mc:Fallback>
      </mc:AlternateContent>
    </w:r>
  </w:p>
  <w:p>
    <w:pPr>
      <w:pStyle w:val="2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w:rPr>
        <w:lang w:val="en-US"/>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28"/>
                          </w:pPr>
                          <w:r>
                            <w:rPr>
                              <w:rFonts w:hint="eastAsia"/>
                            </w:rPr>
                            <w:fldChar w:fldCharType="begin"/>
                          </w:r>
                          <w:r>
                            <w:rPr>
                              <w:rFonts w:hint="eastAsia"/>
                            </w:rPr>
                            <w:instrText xml:space="preserve"> PAGE  \* MERGEFORMAT </w:instrText>
                          </w:r>
                          <w:r>
                            <w:rPr>
                              <w:rFonts w:hint="eastAsia"/>
                            </w:rPr>
                            <w:fldChar w:fldCharType="separate"/>
                          </w:r>
                          <w:r>
                            <w:rPr>
                              <w:lang w:val="en-US"/>
                            </w:rP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ql5uc8AAAAFAQAADwAAAAAAAAABACAAAAAiAAAAZHJzL2Rv&#10;d25yZXYueG1sUEsBAhQAFAAAAAgAh07iQH4AKQoKAgAAEwQAAA4AAAAAAAAAAQAgAAAAHgEAAGRy&#10;cy9lMm9Eb2MueG1sUEsFBgAAAAAGAAYAWQEAAJoFAAAAAA==&#10;">
              <v:fill on="f" focussize="0,0"/>
              <v:stroke on="f"/>
              <v:imagedata o:title=""/>
              <o:lock v:ext="edit" aspectratio="f"/>
              <v:textbox inset="0mm,0mm,0mm,0mm" style="mso-fit-shape-to-text:t;">
                <w:txbxContent>
                  <w:p>
                    <w:pPr>
                      <w:pStyle w:val="28"/>
                    </w:pPr>
                    <w:r>
                      <w:rPr>
                        <w:rFonts w:hint="eastAsia"/>
                      </w:rPr>
                      <w:fldChar w:fldCharType="begin"/>
                    </w:r>
                    <w:r>
                      <w:rPr>
                        <w:rFonts w:hint="eastAsia"/>
                      </w:rPr>
                      <w:instrText xml:space="preserve"> PAGE  \* MERGEFORMAT </w:instrText>
                    </w:r>
                    <w:r>
                      <w:rPr>
                        <w:rFonts w:hint="eastAsia"/>
                      </w:rPr>
                      <w:fldChar w:fldCharType="separate"/>
                    </w:r>
                    <w:r>
                      <w:rPr>
                        <w:lang w:val="en-US"/>
                      </w:rP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D62ECE"/>
    <w:multiLevelType w:val="multilevel"/>
    <w:tmpl w:val="03D62ECE"/>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5E3153A6"/>
    <w:multiLevelType w:val="multilevel"/>
    <w:tmpl w:val="5E3153A6"/>
    <w:lvl w:ilvl="0" w:tentative="0">
      <w:start w:val="1"/>
      <w:numFmt w:val="decimal"/>
      <w:lvlText w:val="%1、"/>
      <w:lvlJc w:val="left"/>
      <w:pPr>
        <w:tabs>
          <w:tab w:val="left" w:pos="0"/>
        </w:tabs>
        <w:ind w:left="795" w:hanging="360"/>
      </w:pPr>
      <w:rPr>
        <w:rFonts w:hint="default" w:ascii="Times New Roman" w:hAnsi="Times New Roman" w:cs="Times New Roman"/>
      </w:rPr>
    </w:lvl>
    <w:lvl w:ilvl="1" w:tentative="0">
      <w:start w:val="1"/>
      <w:numFmt w:val="lowerLetter"/>
      <w:lvlText w:val="%2)"/>
      <w:lvlJc w:val="left"/>
      <w:pPr>
        <w:tabs>
          <w:tab w:val="left" w:pos="0"/>
        </w:tabs>
        <w:ind w:left="1275" w:hanging="420"/>
      </w:pPr>
      <w:rPr>
        <w:rFonts w:hint="default" w:ascii="Times New Roman" w:hAnsi="Times New Roman" w:cs="Times New Roman"/>
      </w:rPr>
    </w:lvl>
    <w:lvl w:ilvl="2" w:tentative="0">
      <w:start w:val="1"/>
      <w:numFmt w:val="lowerRoman"/>
      <w:lvlText w:val="%3."/>
      <w:lvlJc w:val="right"/>
      <w:pPr>
        <w:tabs>
          <w:tab w:val="left" w:pos="0"/>
        </w:tabs>
        <w:ind w:left="1695" w:hanging="420"/>
      </w:pPr>
      <w:rPr>
        <w:rFonts w:hint="default" w:ascii="Times New Roman" w:hAnsi="Times New Roman" w:cs="Times New Roman"/>
      </w:rPr>
    </w:lvl>
    <w:lvl w:ilvl="3" w:tentative="0">
      <w:start w:val="1"/>
      <w:numFmt w:val="decimal"/>
      <w:lvlText w:val="%4."/>
      <w:lvlJc w:val="left"/>
      <w:pPr>
        <w:tabs>
          <w:tab w:val="left" w:pos="0"/>
        </w:tabs>
        <w:ind w:left="2115" w:hanging="420"/>
      </w:pPr>
      <w:rPr>
        <w:rFonts w:hint="default" w:ascii="Times New Roman" w:hAnsi="Times New Roman" w:cs="Times New Roman"/>
      </w:rPr>
    </w:lvl>
    <w:lvl w:ilvl="4" w:tentative="0">
      <w:start w:val="1"/>
      <w:numFmt w:val="lowerLetter"/>
      <w:lvlText w:val="%5)"/>
      <w:lvlJc w:val="left"/>
      <w:pPr>
        <w:tabs>
          <w:tab w:val="left" w:pos="0"/>
        </w:tabs>
        <w:ind w:left="2535" w:hanging="420"/>
      </w:pPr>
      <w:rPr>
        <w:rFonts w:hint="default" w:ascii="Times New Roman" w:hAnsi="Times New Roman" w:cs="Times New Roman"/>
      </w:rPr>
    </w:lvl>
    <w:lvl w:ilvl="5" w:tentative="0">
      <w:start w:val="1"/>
      <w:numFmt w:val="lowerRoman"/>
      <w:lvlText w:val="%6."/>
      <w:lvlJc w:val="right"/>
      <w:pPr>
        <w:tabs>
          <w:tab w:val="left" w:pos="0"/>
        </w:tabs>
        <w:ind w:left="2955" w:hanging="420"/>
      </w:pPr>
      <w:rPr>
        <w:rFonts w:hint="default" w:ascii="Times New Roman" w:hAnsi="Times New Roman" w:cs="Times New Roman"/>
      </w:rPr>
    </w:lvl>
    <w:lvl w:ilvl="6" w:tentative="0">
      <w:start w:val="1"/>
      <w:numFmt w:val="decimal"/>
      <w:lvlText w:val="%7."/>
      <w:lvlJc w:val="left"/>
      <w:pPr>
        <w:tabs>
          <w:tab w:val="left" w:pos="0"/>
        </w:tabs>
        <w:ind w:left="3375" w:hanging="420"/>
      </w:pPr>
      <w:rPr>
        <w:rFonts w:hint="default" w:ascii="Times New Roman" w:hAnsi="Times New Roman" w:cs="Times New Roman"/>
      </w:rPr>
    </w:lvl>
    <w:lvl w:ilvl="7" w:tentative="0">
      <w:start w:val="1"/>
      <w:numFmt w:val="lowerLetter"/>
      <w:lvlText w:val="%8)"/>
      <w:lvlJc w:val="left"/>
      <w:pPr>
        <w:tabs>
          <w:tab w:val="left" w:pos="0"/>
        </w:tabs>
        <w:ind w:left="3795" w:hanging="420"/>
      </w:pPr>
      <w:rPr>
        <w:rFonts w:hint="default" w:ascii="Times New Roman" w:hAnsi="Times New Roman" w:cs="Times New Roman"/>
      </w:rPr>
    </w:lvl>
    <w:lvl w:ilvl="8" w:tentative="0">
      <w:start w:val="1"/>
      <w:numFmt w:val="lowerRoman"/>
      <w:lvlText w:val="%9."/>
      <w:lvlJc w:val="right"/>
      <w:pPr>
        <w:tabs>
          <w:tab w:val="left" w:pos="0"/>
        </w:tabs>
        <w:ind w:left="4215" w:hanging="420"/>
      </w:pPr>
      <w:rPr>
        <w:rFonts w:hint="default" w:ascii="Times New Roman" w:hAnsi="Times New Roman"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hideSpellingErrors/>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NhODFkODNlNjgyOGRiZjM0NGExMDlhMzkzODVlZDMifQ=="/>
  </w:docVars>
  <w:rsids>
    <w:rsidRoot w:val="00EF0FD5"/>
    <w:rsid w:val="00083BCE"/>
    <w:rsid w:val="00343977"/>
    <w:rsid w:val="003752C8"/>
    <w:rsid w:val="003F5F2A"/>
    <w:rsid w:val="00410CC1"/>
    <w:rsid w:val="005F4712"/>
    <w:rsid w:val="008C1F8F"/>
    <w:rsid w:val="00AA4D5D"/>
    <w:rsid w:val="00BA2BF6"/>
    <w:rsid w:val="00BB3D87"/>
    <w:rsid w:val="00C5147F"/>
    <w:rsid w:val="00D82554"/>
    <w:rsid w:val="00EF0FD5"/>
    <w:rsid w:val="00F97CDB"/>
    <w:rsid w:val="010030EE"/>
    <w:rsid w:val="01101675"/>
    <w:rsid w:val="016F283F"/>
    <w:rsid w:val="01914ABF"/>
    <w:rsid w:val="01BB2E56"/>
    <w:rsid w:val="01DB2C49"/>
    <w:rsid w:val="01FB40D3"/>
    <w:rsid w:val="023274D6"/>
    <w:rsid w:val="02340FD6"/>
    <w:rsid w:val="025263E9"/>
    <w:rsid w:val="028916DF"/>
    <w:rsid w:val="02963DFC"/>
    <w:rsid w:val="02B413CC"/>
    <w:rsid w:val="0306041D"/>
    <w:rsid w:val="034877EC"/>
    <w:rsid w:val="036363D4"/>
    <w:rsid w:val="03960557"/>
    <w:rsid w:val="03D50610"/>
    <w:rsid w:val="03E72B61"/>
    <w:rsid w:val="03F46EBB"/>
    <w:rsid w:val="044004C3"/>
    <w:rsid w:val="05383F82"/>
    <w:rsid w:val="056E1EAE"/>
    <w:rsid w:val="05D53AD5"/>
    <w:rsid w:val="05F96B7B"/>
    <w:rsid w:val="06055520"/>
    <w:rsid w:val="06CE0E4D"/>
    <w:rsid w:val="06D21D6E"/>
    <w:rsid w:val="07061F30"/>
    <w:rsid w:val="0726771F"/>
    <w:rsid w:val="073836D3"/>
    <w:rsid w:val="074B3407"/>
    <w:rsid w:val="079100A3"/>
    <w:rsid w:val="07AB20F7"/>
    <w:rsid w:val="07BF007D"/>
    <w:rsid w:val="07C65F69"/>
    <w:rsid w:val="08184FA4"/>
    <w:rsid w:val="0822685D"/>
    <w:rsid w:val="08335BAA"/>
    <w:rsid w:val="085B280D"/>
    <w:rsid w:val="08752E31"/>
    <w:rsid w:val="08C20CCF"/>
    <w:rsid w:val="08FC21F4"/>
    <w:rsid w:val="09043DBF"/>
    <w:rsid w:val="09077801"/>
    <w:rsid w:val="09341002"/>
    <w:rsid w:val="09397F6B"/>
    <w:rsid w:val="09A50D8A"/>
    <w:rsid w:val="09AF4121"/>
    <w:rsid w:val="0A00672A"/>
    <w:rsid w:val="0A7A5911"/>
    <w:rsid w:val="0A967038"/>
    <w:rsid w:val="0B0B35D9"/>
    <w:rsid w:val="0B6251C3"/>
    <w:rsid w:val="0B8033F4"/>
    <w:rsid w:val="0BBC0D77"/>
    <w:rsid w:val="0BCA25A9"/>
    <w:rsid w:val="0C01678A"/>
    <w:rsid w:val="0C191BB3"/>
    <w:rsid w:val="0C523489"/>
    <w:rsid w:val="0C7F66AE"/>
    <w:rsid w:val="0C934531"/>
    <w:rsid w:val="0CE82491"/>
    <w:rsid w:val="0D1F336B"/>
    <w:rsid w:val="0D261E54"/>
    <w:rsid w:val="0DD10C05"/>
    <w:rsid w:val="0E323572"/>
    <w:rsid w:val="0E690100"/>
    <w:rsid w:val="0EE46973"/>
    <w:rsid w:val="0F007E04"/>
    <w:rsid w:val="0F144A26"/>
    <w:rsid w:val="0F680A54"/>
    <w:rsid w:val="0FFB1C8B"/>
    <w:rsid w:val="10567156"/>
    <w:rsid w:val="107F794E"/>
    <w:rsid w:val="10F04E65"/>
    <w:rsid w:val="11082369"/>
    <w:rsid w:val="11166833"/>
    <w:rsid w:val="11C444E1"/>
    <w:rsid w:val="1205673F"/>
    <w:rsid w:val="120970E1"/>
    <w:rsid w:val="121F796A"/>
    <w:rsid w:val="12207292"/>
    <w:rsid w:val="125A6BF4"/>
    <w:rsid w:val="1300779B"/>
    <w:rsid w:val="13487E5A"/>
    <w:rsid w:val="13511DA5"/>
    <w:rsid w:val="13A22600"/>
    <w:rsid w:val="13EE5846"/>
    <w:rsid w:val="14316687"/>
    <w:rsid w:val="147A17CF"/>
    <w:rsid w:val="14885A24"/>
    <w:rsid w:val="14AE3227"/>
    <w:rsid w:val="14B57438"/>
    <w:rsid w:val="15063063"/>
    <w:rsid w:val="1534525F"/>
    <w:rsid w:val="154E2DFB"/>
    <w:rsid w:val="159D39C7"/>
    <w:rsid w:val="15CC338C"/>
    <w:rsid w:val="15F0776C"/>
    <w:rsid w:val="160E6E0D"/>
    <w:rsid w:val="16A504C6"/>
    <w:rsid w:val="16E24AD0"/>
    <w:rsid w:val="175579C2"/>
    <w:rsid w:val="17935CA0"/>
    <w:rsid w:val="17A64C0F"/>
    <w:rsid w:val="17AF5585"/>
    <w:rsid w:val="17FB1924"/>
    <w:rsid w:val="18115DF3"/>
    <w:rsid w:val="182448CB"/>
    <w:rsid w:val="186D7A69"/>
    <w:rsid w:val="18787DD4"/>
    <w:rsid w:val="188B3505"/>
    <w:rsid w:val="188F7A9E"/>
    <w:rsid w:val="18C662FD"/>
    <w:rsid w:val="18E9167E"/>
    <w:rsid w:val="18ED07C2"/>
    <w:rsid w:val="19616ABA"/>
    <w:rsid w:val="19680B2A"/>
    <w:rsid w:val="1993036C"/>
    <w:rsid w:val="19A73398"/>
    <w:rsid w:val="1A18363D"/>
    <w:rsid w:val="1A331DE5"/>
    <w:rsid w:val="1A3B730B"/>
    <w:rsid w:val="1A3F53E4"/>
    <w:rsid w:val="1A812E24"/>
    <w:rsid w:val="1B43291B"/>
    <w:rsid w:val="1B6805D3"/>
    <w:rsid w:val="1BCC2276"/>
    <w:rsid w:val="1BD71AB5"/>
    <w:rsid w:val="1C1442B7"/>
    <w:rsid w:val="1C391B7E"/>
    <w:rsid w:val="1C4B6BE5"/>
    <w:rsid w:val="1C812E5D"/>
    <w:rsid w:val="1CC932F4"/>
    <w:rsid w:val="1D6A4BE5"/>
    <w:rsid w:val="1D6E17A5"/>
    <w:rsid w:val="1DC76601"/>
    <w:rsid w:val="1DD00CE1"/>
    <w:rsid w:val="1DF27B8C"/>
    <w:rsid w:val="1E60426B"/>
    <w:rsid w:val="1EB06519"/>
    <w:rsid w:val="1EB64E6E"/>
    <w:rsid w:val="1ECD4970"/>
    <w:rsid w:val="1F200BB9"/>
    <w:rsid w:val="1F21442B"/>
    <w:rsid w:val="1F281DCF"/>
    <w:rsid w:val="1FC90811"/>
    <w:rsid w:val="1FDC6BEA"/>
    <w:rsid w:val="20097292"/>
    <w:rsid w:val="20142AD8"/>
    <w:rsid w:val="202C1BA1"/>
    <w:rsid w:val="2059498F"/>
    <w:rsid w:val="2079747B"/>
    <w:rsid w:val="20893E06"/>
    <w:rsid w:val="209F7F61"/>
    <w:rsid w:val="20B56069"/>
    <w:rsid w:val="210C2AEE"/>
    <w:rsid w:val="212A1E87"/>
    <w:rsid w:val="218C7F8D"/>
    <w:rsid w:val="21B32CE8"/>
    <w:rsid w:val="21C55AD7"/>
    <w:rsid w:val="21ED538F"/>
    <w:rsid w:val="21FC7CC7"/>
    <w:rsid w:val="222677C6"/>
    <w:rsid w:val="22561186"/>
    <w:rsid w:val="22934188"/>
    <w:rsid w:val="22C81119"/>
    <w:rsid w:val="230F54FA"/>
    <w:rsid w:val="23256DAA"/>
    <w:rsid w:val="235D02F2"/>
    <w:rsid w:val="23D85AC8"/>
    <w:rsid w:val="23F944BF"/>
    <w:rsid w:val="24C820E3"/>
    <w:rsid w:val="254672A4"/>
    <w:rsid w:val="259C009E"/>
    <w:rsid w:val="25A718F0"/>
    <w:rsid w:val="25C32FD6"/>
    <w:rsid w:val="26176E7E"/>
    <w:rsid w:val="2628108B"/>
    <w:rsid w:val="26560798"/>
    <w:rsid w:val="2677791D"/>
    <w:rsid w:val="268C053F"/>
    <w:rsid w:val="26DE6C18"/>
    <w:rsid w:val="26EC290F"/>
    <w:rsid w:val="27AC0D39"/>
    <w:rsid w:val="287609A1"/>
    <w:rsid w:val="287B1A70"/>
    <w:rsid w:val="288D39BF"/>
    <w:rsid w:val="29153EDA"/>
    <w:rsid w:val="29A84740"/>
    <w:rsid w:val="29B238F6"/>
    <w:rsid w:val="29C40D0E"/>
    <w:rsid w:val="29DB47CF"/>
    <w:rsid w:val="29E0196D"/>
    <w:rsid w:val="29E11C7D"/>
    <w:rsid w:val="2A007C29"/>
    <w:rsid w:val="2A0E1578"/>
    <w:rsid w:val="2A351FC9"/>
    <w:rsid w:val="2AA50EFC"/>
    <w:rsid w:val="2B8C79C6"/>
    <w:rsid w:val="2C2674A1"/>
    <w:rsid w:val="2C6438F8"/>
    <w:rsid w:val="2C6B3A80"/>
    <w:rsid w:val="2CBC04A2"/>
    <w:rsid w:val="2D57196B"/>
    <w:rsid w:val="2E0F7678"/>
    <w:rsid w:val="2E666BF4"/>
    <w:rsid w:val="2E801BF1"/>
    <w:rsid w:val="2EDF2503"/>
    <w:rsid w:val="2F744F03"/>
    <w:rsid w:val="2F860BD0"/>
    <w:rsid w:val="2FBA0A7A"/>
    <w:rsid w:val="2FD41A10"/>
    <w:rsid w:val="30204B81"/>
    <w:rsid w:val="30973C6C"/>
    <w:rsid w:val="30D54010"/>
    <w:rsid w:val="30F92908"/>
    <w:rsid w:val="31275097"/>
    <w:rsid w:val="319C292D"/>
    <w:rsid w:val="31AD7FF9"/>
    <w:rsid w:val="31D420C7"/>
    <w:rsid w:val="320467B6"/>
    <w:rsid w:val="32313DE1"/>
    <w:rsid w:val="325925CC"/>
    <w:rsid w:val="32DD7BBA"/>
    <w:rsid w:val="33082597"/>
    <w:rsid w:val="33694A91"/>
    <w:rsid w:val="33FB4AD5"/>
    <w:rsid w:val="341C1B03"/>
    <w:rsid w:val="342777B9"/>
    <w:rsid w:val="34384B8F"/>
    <w:rsid w:val="34727975"/>
    <w:rsid w:val="34D2328A"/>
    <w:rsid w:val="351346C8"/>
    <w:rsid w:val="353510CF"/>
    <w:rsid w:val="35956011"/>
    <w:rsid w:val="35A617E1"/>
    <w:rsid w:val="364F1E29"/>
    <w:rsid w:val="36961191"/>
    <w:rsid w:val="36A71B58"/>
    <w:rsid w:val="374605D2"/>
    <w:rsid w:val="37B3452D"/>
    <w:rsid w:val="38506549"/>
    <w:rsid w:val="38A87E0A"/>
    <w:rsid w:val="38FB3B56"/>
    <w:rsid w:val="38FF5DE7"/>
    <w:rsid w:val="39033292"/>
    <w:rsid w:val="396458BD"/>
    <w:rsid w:val="39783913"/>
    <w:rsid w:val="39C46B5B"/>
    <w:rsid w:val="39F52FDB"/>
    <w:rsid w:val="39F86444"/>
    <w:rsid w:val="3A19507F"/>
    <w:rsid w:val="3A306341"/>
    <w:rsid w:val="3A6A3F6F"/>
    <w:rsid w:val="3B40768F"/>
    <w:rsid w:val="3B697D24"/>
    <w:rsid w:val="3B847DCB"/>
    <w:rsid w:val="3B8D4A18"/>
    <w:rsid w:val="3B9D1A42"/>
    <w:rsid w:val="3BA04309"/>
    <w:rsid w:val="3C0308DB"/>
    <w:rsid w:val="3C4045A6"/>
    <w:rsid w:val="3C4A1903"/>
    <w:rsid w:val="3C5F08F3"/>
    <w:rsid w:val="3CA91485"/>
    <w:rsid w:val="3CBB635D"/>
    <w:rsid w:val="3CD15B81"/>
    <w:rsid w:val="3CDD2778"/>
    <w:rsid w:val="3DA23079"/>
    <w:rsid w:val="3DE00F04"/>
    <w:rsid w:val="3DEC0798"/>
    <w:rsid w:val="3DF71617"/>
    <w:rsid w:val="3E037B09"/>
    <w:rsid w:val="3E1321C9"/>
    <w:rsid w:val="3E524A9F"/>
    <w:rsid w:val="3E6B47DB"/>
    <w:rsid w:val="3F746C97"/>
    <w:rsid w:val="3F7A243C"/>
    <w:rsid w:val="3F7B1DD4"/>
    <w:rsid w:val="3FC964D8"/>
    <w:rsid w:val="3FED72D4"/>
    <w:rsid w:val="3FFF2E13"/>
    <w:rsid w:val="40621D3A"/>
    <w:rsid w:val="407D392A"/>
    <w:rsid w:val="41A21103"/>
    <w:rsid w:val="41C6300E"/>
    <w:rsid w:val="41CA7043"/>
    <w:rsid w:val="41E24A68"/>
    <w:rsid w:val="41F222D7"/>
    <w:rsid w:val="420625A2"/>
    <w:rsid w:val="421B1525"/>
    <w:rsid w:val="425C5EED"/>
    <w:rsid w:val="429A1FD5"/>
    <w:rsid w:val="42D55C9F"/>
    <w:rsid w:val="42DC527F"/>
    <w:rsid w:val="42E36CC4"/>
    <w:rsid w:val="43284021"/>
    <w:rsid w:val="438C3F40"/>
    <w:rsid w:val="43982048"/>
    <w:rsid w:val="439B47F3"/>
    <w:rsid w:val="43B104BA"/>
    <w:rsid w:val="43BB30E7"/>
    <w:rsid w:val="43EA7528"/>
    <w:rsid w:val="43F90FC3"/>
    <w:rsid w:val="43FA1D07"/>
    <w:rsid w:val="442944F4"/>
    <w:rsid w:val="44873867"/>
    <w:rsid w:val="44BC0F21"/>
    <w:rsid w:val="45091C30"/>
    <w:rsid w:val="451924DA"/>
    <w:rsid w:val="451E1B7F"/>
    <w:rsid w:val="45905EAD"/>
    <w:rsid w:val="45C67B21"/>
    <w:rsid w:val="462B1CB2"/>
    <w:rsid w:val="4646138E"/>
    <w:rsid w:val="46A377BC"/>
    <w:rsid w:val="470C1A21"/>
    <w:rsid w:val="475F022D"/>
    <w:rsid w:val="478030B6"/>
    <w:rsid w:val="478A7058"/>
    <w:rsid w:val="478C7274"/>
    <w:rsid w:val="47DC187E"/>
    <w:rsid w:val="47E735F0"/>
    <w:rsid w:val="47E80223"/>
    <w:rsid w:val="49375232"/>
    <w:rsid w:val="49995230"/>
    <w:rsid w:val="4A7E52E5"/>
    <w:rsid w:val="4A824726"/>
    <w:rsid w:val="4A8A3D1C"/>
    <w:rsid w:val="4AD73C7C"/>
    <w:rsid w:val="4ADF590D"/>
    <w:rsid w:val="4AFC70B5"/>
    <w:rsid w:val="4B1A4B97"/>
    <w:rsid w:val="4B4B2D9C"/>
    <w:rsid w:val="4BBC5C4E"/>
    <w:rsid w:val="4C3434D6"/>
    <w:rsid w:val="4C8D3147"/>
    <w:rsid w:val="4C902B28"/>
    <w:rsid w:val="4C9819F6"/>
    <w:rsid w:val="4CAF3A27"/>
    <w:rsid w:val="4CB936C1"/>
    <w:rsid w:val="4CD11005"/>
    <w:rsid w:val="4D54229C"/>
    <w:rsid w:val="4DFB461A"/>
    <w:rsid w:val="4E212C95"/>
    <w:rsid w:val="4E9B161D"/>
    <w:rsid w:val="4EA824BA"/>
    <w:rsid w:val="4F427062"/>
    <w:rsid w:val="4F451D18"/>
    <w:rsid w:val="50231868"/>
    <w:rsid w:val="50795EBC"/>
    <w:rsid w:val="51056328"/>
    <w:rsid w:val="510E130B"/>
    <w:rsid w:val="515E48D1"/>
    <w:rsid w:val="51A406B5"/>
    <w:rsid w:val="51BB2504"/>
    <w:rsid w:val="51FF0643"/>
    <w:rsid w:val="53144422"/>
    <w:rsid w:val="531E2D4A"/>
    <w:rsid w:val="536B2E30"/>
    <w:rsid w:val="53874D93"/>
    <w:rsid w:val="53892516"/>
    <w:rsid w:val="539A3E54"/>
    <w:rsid w:val="543C6AC9"/>
    <w:rsid w:val="545B6043"/>
    <w:rsid w:val="546E1AAF"/>
    <w:rsid w:val="54C4039A"/>
    <w:rsid w:val="54CC340E"/>
    <w:rsid w:val="54F75437"/>
    <w:rsid w:val="55065314"/>
    <w:rsid w:val="55992B5C"/>
    <w:rsid w:val="55AF2380"/>
    <w:rsid w:val="55E464CD"/>
    <w:rsid w:val="562C577E"/>
    <w:rsid w:val="563357D9"/>
    <w:rsid w:val="565E4DBB"/>
    <w:rsid w:val="56EC2985"/>
    <w:rsid w:val="57075FA5"/>
    <w:rsid w:val="571663F0"/>
    <w:rsid w:val="572D21B4"/>
    <w:rsid w:val="577D2735"/>
    <w:rsid w:val="57874821"/>
    <w:rsid w:val="57B15747"/>
    <w:rsid w:val="581667FF"/>
    <w:rsid w:val="581D519C"/>
    <w:rsid w:val="58511B64"/>
    <w:rsid w:val="587A6B76"/>
    <w:rsid w:val="58C24D8B"/>
    <w:rsid w:val="58DE2CA8"/>
    <w:rsid w:val="59236CE8"/>
    <w:rsid w:val="598103A2"/>
    <w:rsid w:val="59A64AA0"/>
    <w:rsid w:val="59BE353E"/>
    <w:rsid w:val="5A137381"/>
    <w:rsid w:val="5A492DA3"/>
    <w:rsid w:val="5A9261C2"/>
    <w:rsid w:val="5A963B0E"/>
    <w:rsid w:val="5B413A7A"/>
    <w:rsid w:val="5B4377F2"/>
    <w:rsid w:val="5B5A2FF5"/>
    <w:rsid w:val="5B5E74C8"/>
    <w:rsid w:val="5BC836E8"/>
    <w:rsid w:val="5C2A6C04"/>
    <w:rsid w:val="5CBA3AE4"/>
    <w:rsid w:val="5CEA11E9"/>
    <w:rsid w:val="5D775059"/>
    <w:rsid w:val="5DB06C95"/>
    <w:rsid w:val="5DFB2606"/>
    <w:rsid w:val="5E174F66"/>
    <w:rsid w:val="5E2751A9"/>
    <w:rsid w:val="5E442F56"/>
    <w:rsid w:val="5EAC3900"/>
    <w:rsid w:val="5EF71BB2"/>
    <w:rsid w:val="5F742670"/>
    <w:rsid w:val="5FF53C6F"/>
    <w:rsid w:val="6030721C"/>
    <w:rsid w:val="60347A9D"/>
    <w:rsid w:val="60511905"/>
    <w:rsid w:val="608368E3"/>
    <w:rsid w:val="60A31449"/>
    <w:rsid w:val="60EC26DA"/>
    <w:rsid w:val="610417D1"/>
    <w:rsid w:val="611B5BCB"/>
    <w:rsid w:val="615C7814"/>
    <w:rsid w:val="61616C24"/>
    <w:rsid w:val="61DB25A1"/>
    <w:rsid w:val="62113437"/>
    <w:rsid w:val="6235097C"/>
    <w:rsid w:val="62740BD9"/>
    <w:rsid w:val="629B6E10"/>
    <w:rsid w:val="634D0566"/>
    <w:rsid w:val="63FB7B56"/>
    <w:rsid w:val="63FB7E15"/>
    <w:rsid w:val="641721D9"/>
    <w:rsid w:val="643B7C00"/>
    <w:rsid w:val="64A137DB"/>
    <w:rsid w:val="64B13A1E"/>
    <w:rsid w:val="64BF6D54"/>
    <w:rsid w:val="652561BA"/>
    <w:rsid w:val="6599167B"/>
    <w:rsid w:val="65AC0E0D"/>
    <w:rsid w:val="65D13C66"/>
    <w:rsid w:val="661E4B5C"/>
    <w:rsid w:val="66605415"/>
    <w:rsid w:val="66652D12"/>
    <w:rsid w:val="66FB5425"/>
    <w:rsid w:val="677E1BB2"/>
    <w:rsid w:val="67D6379C"/>
    <w:rsid w:val="67DD6CD8"/>
    <w:rsid w:val="67E61C31"/>
    <w:rsid w:val="67F3434E"/>
    <w:rsid w:val="689773CF"/>
    <w:rsid w:val="689F6284"/>
    <w:rsid w:val="68DA66A7"/>
    <w:rsid w:val="68EA445F"/>
    <w:rsid w:val="693A7F09"/>
    <w:rsid w:val="69557A4E"/>
    <w:rsid w:val="69D230CB"/>
    <w:rsid w:val="6A445335"/>
    <w:rsid w:val="6A4D55EB"/>
    <w:rsid w:val="6B772B53"/>
    <w:rsid w:val="6BDA7C51"/>
    <w:rsid w:val="6C0C50EE"/>
    <w:rsid w:val="6C6C46CF"/>
    <w:rsid w:val="6C726189"/>
    <w:rsid w:val="6C743198"/>
    <w:rsid w:val="6C780237"/>
    <w:rsid w:val="6C88775B"/>
    <w:rsid w:val="6C9F6852"/>
    <w:rsid w:val="6D1523B2"/>
    <w:rsid w:val="6D212C33"/>
    <w:rsid w:val="6D212FCB"/>
    <w:rsid w:val="6D91263F"/>
    <w:rsid w:val="6DA07B3F"/>
    <w:rsid w:val="6DC347C2"/>
    <w:rsid w:val="6DC82691"/>
    <w:rsid w:val="6DFA650F"/>
    <w:rsid w:val="6E3631E6"/>
    <w:rsid w:val="6E4B6C92"/>
    <w:rsid w:val="6E72198E"/>
    <w:rsid w:val="6EA7284F"/>
    <w:rsid w:val="6ECB31A7"/>
    <w:rsid w:val="6F5D2C01"/>
    <w:rsid w:val="6F6E0C45"/>
    <w:rsid w:val="6F87343F"/>
    <w:rsid w:val="6FAB4D15"/>
    <w:rsid w:val="6FDA2CCF"/>
    <w:rsid w:val="6FE04C3C"/>
    <w:rsid w:val="703D260A"/>
    <w:rsid w:val="70817FC6"/>
    <w:rsid w:val="70AE7531"/>
    <w:rsid w:val="70B11D49"/>
    <w:rsid w:val="712D267F"/>
    <w:rsid w:val="71341C5F"/>
    <w:rsid w:val="715F7D1E"/>
    <w:rsid w:val="71D84CE0"/>
    <w:rsid w:val="72030D2C"/>
    <w:rsid w:val="721C3014"/>
    <w:rsid w:val="722E2B52"/>
    <w:rsid w:val="725720F8"/>
    <w:rsid w:val="72596C87"/>
    <w:rsid w:val="727A5D97"/>
    <w:rsid w:val="72874010"/>
    <w:rsid w:val="72CD2FE3"/>
    <w:rsid w:val="73E33899"/>
    <w:rsid w:val="740022CC"/>
    <w:rsid w:val="748142F7"/>
    <w:rsid w:val="74A72C17"/>
    <w:rsid w:val="74DB208E"/>
    <w:rsid w:val="7501454E"/>
    <w:rsid w:val="75020DDE"/>
    <w:rsid w:val="752E5F56"/>
    <w:rsid w:val="754737CF"/>
    <w:rsid w:val="755C09F2"/>
    <w:rsid w:val="75C613A5"/>
    <w:rsid w:val="75D9283F"/>
    <w:rsid w:val="75EB36BF"/>
    <w:rsid w:val="75FC2F67"/>
    <w:rsid w:val="761C0F14"/>
    <w:rsid w:val="765C68D8"/>
    <w:rsid w:val="7664431D"/>
    <w:rsid w:val="767D1683"/>
    <w:rsid w:val="769E1052"/>
    <w:rsid w:val="76D23D36"/>
    <w:rsid w:val="76F534DE"/>
    <w:rsid w:val="774F06F8"/>
    <w:rsid w:val="776E2F57"/>
    <w:rsid w:val="77BF3969"/>
    <w:rsid w:val="77CA726F"/>
    <w:rsid w:val="77F9150C"/>
    <w:rsid w:val="78D45AD6"/>
    <w:rsid w:val="78EA2558"/>
    <w:rsid w:val="78EE4DE9"/>
    <w:rsid w:val="79065229"/>
    <w:rsid w:val="790742C7"/>
    <w:rsid w:val="791660EE"/>
    <w:rsid w:val="792706E3"/>
    <w:rsid w:val="798E2128"/>
    <w:rsid w:val="7A2F7467"/>
    <w:rsid w:val="7ACF755D"/>
    <w:rsid w:val="7AE51583"/>
    <w:rsid w:val="7B3F6952"/>
    <w:rsid w:val="7B4927AB"/>
    <w:rsid w:val="7B610C8A"/>
    <w:rsid w:val="7BA268EC"/>
    <w:rsid w:val="7C1152C9"/>
    <w:rsid w:val="7C1A7CA3"/>
    <w:rsid w:val="7C484810"/>
    <w:rsid w:val="7CB41A93"/>
    <w:rsid w:val="7CEF621E"/>
    <w:rsid w:val="7D6E02A7"/>
    <w:rsid w:val="7D6F68C2"/>
    <w:rsid w:val="7D843A8D"/>
    <w:rsid w:val="7E192908"/>
    <w:rsid w:val="7E9360F3"/>
    <w:rsid w:val="7EA139E5"/>
    <w:rsid w:val="7EEF18BB"/>
    <w:rsid w:val="7F0013D2"/>
    <w:rsid w:val="7F062625"/>
    <w:rsid w:val="7F082813"/>
    <w:rsid w:val="7F78540D"/>
    <w:rsid w:val="7F8152F6"/>
    <w:rsid w:val="7F981CAA"/>
    <w:rsid w:val="7FA574BC"/>
    <w:rsid w:val="7FAC7547"/>
    <w:rsid w:val="7FB126CD"/>
    <w:rsid w:val="7FC478B1"/>
    <w:rsid w:val="7FE93E1C"/>
    <w:rsid w:val="7FF01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nhideWhenUsed="0" w:uiPriority="9" w:semiHidden="0" w:name="heading 5"/>
    <w:lsdException w:qFormat="1" w:uiPriority="9" w:semiHidden="0" w:name="heading 6"/>
    <w:lsdException w:qFormat="1"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name="toc 1"/>
    <w:lsdException w:qFormat="1" w:uiPriority="39" w:name="toc 2"/>
    <w:lsdException w:qFormat="1" w:uiPriority="39"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1"/>
    <w:next w:val="1"/>
    <w:link w:val="213"/>
    <w:autoRedefine/>
    <w:qFormat/>
    <w:uiPriority w:val="9"/>
    <w:pPr>
      <w:keepNext/>
      <w:keepLines/>
      <w:spacing w:before="340" w:after="330" w:line="578" w:lineRule="auto"/>
      <w:outlineLvl w:val="0"/>
    </w:pPr>
    <w:rPr>
      <w:rFonts w:ascii="Times New Roman" w:hAnsi="Times New Roman" w:eastAsia="宋体" w:cs="Times New Roman"/>
      <w:b/>
      <w:bCs/>
      <w:sz w:val="44"/>
      <w:szCs w:val="44"/>
      <w:lang w:val="zh-CN"/>
    </w:rPr>
  </w:style>
  <w:style w:type="paragraph" w:styleId="3">
    <w:name w:val="heading 2"/>
    <w:basedOn w:val="1"/>
    <w:next w:val="1"/>
    <w:link w:val="214"/>
    <w:autoRedefine/>
    <w:qFormat/>
    <w:uiPriority w:val="9"/>
    <w:pPr>
      <w:keepNext/>
      <w:keepLines/>
      <w:spacing w:before="260" w:after="260" w:line="416" w:lineRule="auto"/>
      <w:outlineLvl w:val="1"/>
    </w:pPr>
    <w:rPr>
      <w:rFonts w:ascii="Cambria" w:hAnsi="Cambria" w:eastAsia="宋体" w:cs="Times New Roman"/>
      <w:b/>
      <w:bCs/>
      <w:sz w:val="32"/>
      <w:szCs w:val="32"/>
      <w:lang w:val="zh-CN"/>
    </w:rPr>
  </w:style>
  <w:style w:type="paragraph" w:styleId="4">
    <w:name w:val="heading 3"/>
    <w:basedOn w:val="1"/>
    <w:next w:val="1"/>
    <w:link w:val="215"/>
    <w:autoRedefine/>
    <w:qFormat/>
    <w:uiPriority w:val="9"/>
    <w:pPr>
      <w:keepNext/>
      <w:keepLines/>
      <w:spacing w:before="260" w:after="260" w:line="416" w:lineRule="auto"/>
      <w:outlineLvl w:val="2"/>
    </w:pPr>
    <w:rPr>
      <w:rFonts w:ascii="Times New Roman" w:hAnsi="Times New Roman" w:eastAsia="宋体" w:cs="Times New Roman"/>
      <w:b/>
      <w:bCs/>
      <w:sz w:val="32"/>
      <w:szCs w:val="32"/>
      <w:lang w:val="zh-CN"/>
    </w:rPr>
  </w:style>
  <w:style w:type="paragraph" w:styleId="5">
    <w:name w:val="heading 4"/>
    <w:basedOn w:val="1"/>
    <w:next w:val="1"/>
    <w:link w:val="185"/>
    <w:autoRedefine/>
    <w:unhideWhenUsed/>
    <w:qFormat/>
    <w:uiPriority w:val="9"/>
    <w:pPr>
      <w:keepNext/>
      <w:keepLines/>
      <w:spacing w:before="80" w:after="40"/>
      <w:outlineLvl w:val="3"/>
    </w:pPr>
    <w:rPr>
      <w:rFonts w:ascii="Arial" w:hAnsi="Arial" w:eastAsia="Arial" w:cs="Arial"/>
      <w:i/>
      <w:iCs/>
      <w:color w:val="2E75B6" w:themeColor="accent1" w:themeShade="BF"/>
    </w:rPr>
  </w:style>
  <w:style w:type="paragraph" w:styleId="6">
    <w:name w:val="heading 5"/>
    <w:basedOn w:val="1"/>
    <w:next w:val="7"/>
    <w:link w:val="216"/>
    <w:autoRedefine/>
    <w:qFormat/>
    <w:uiPriority w:val="9"/>
    <w:pPr>
      <w:keepNext/>
      <w:keepLines/>
      <w:spacing w:before="280" w:after="290" w:line="376" w:lineRule="auto"/>
      <w:outlineLvl w:val="4"/>
    </w:pPr>
    <w:rPr>
      <w:rFonts w:ascii="Times New Roman" w:hAnsi="Times New Roman" w:eastAsia="宋体" w:cs="Times New Roman"/>
      <w:b/>
      <w:bCs/>
      <w:sz w:val="28"/>
      <w:szCs w:val="28"/>
      <w:lang w:val="zh-CN"/>
    </w:rPr>
  </w:style>
  <w:style w:type="paragraph" w:styleId="8">
    <w:name w:val="heading 6"/>
    <w:basedOn w:val="1"/>
    <w:next w:val="1"/>
    <w:link w:val="187"/>
    <w:autoRedefine/>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188"/>
    <w:autoRedefine/>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17"/>
    <w:autoRedefine/>
    <w:qFormat/>
    <w:uiPriority w:val="9"/>
    <w:pPr>
      <w:keepNext/>
      <w:keepLines/>
      <w:spacing w:before="240" w:after="64" w:line="320" w:lineRule="auto"/>
      <w:outlineLvl w:val="7"/>
    </w:pPr>
    <w:rPr>
      <w:rFonts w:ascii="等线 Light" w:hAnsi="等线 Light" w:eastAsia="等线 Light" w:cs="Times New Roman"/>
      <w:sz w:val="24"/>
      <w:szCs w:val="24"/>
      <w:lang w:val="zh-CN"/>
    </w:rPr>
  </w:style>
  <w:style w:type="paragraph" w:styleId="11">
    <w:name w:val="heading 9"/>
    <w:basedOn w:val="1"/>
    <w:next w:val="1"/>
    <w:link w:val="218"/>
    <w:autoRedefine/>
    <w:qFormat/>
    <w:uiPriority w:val="9"/>
    <w:pPr>
      <w:keepNext/>
      <w:keepLines/>
      <w:spacing w:before="240" w:after="64" w:line="320" w:lineRule="auto"/>
      <w:outlineLvl w:val="8"/>
    </w:pPr>
    <w:rPr>
      <w:rFonts w:ascii="Cambria" w:hAnsi="Cambria" w:eastAsia="宋体" w:cs="Times New Roman"/>
      <w:szCs w:val="21"/>
      <w:lang w:val="zh-CN"/>
    </w:rPr>
  </w:style>
  <w:style w:type="character" w:default="1" w:styleId="46">
    <w:name w:val="Default Paragraph Font"/>
    <w:autoRedefine/>
    <w:semiHidden/>
    <w:unhideWhenUsed/>
    <w:qFormat/>
    <w:uiPriority w:val="1"/>
  </w:style>
  <w:style w:type="table" w:default="1" w:styleId="44">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0"/>
    </w:pPr>
    <w:rPr>
      <w:rFonts w:ascii="Times New Roman" w:hAnsi="Times New Roman" w:eastAsia="宋体" w:cs="Times New Roman"/>
      <w:szCs w:val="20"/>
    </w:rPr>
  </w:style>
  <w:style w:type="paragraph" w:styleId="12">
    <w:name w:val="toc 7"/>
    <w:basedOn w:val="1"/>
    <w:next w:val="1"/>
    <w:autoRedefine/>
    <w:unhideWhenUsed/>
    <w:qFormat/>
    <w:uiPriority w:val="39"/>
    <w:pPr>
      <w:spacing w:after="100"/>
      <w:ind w:left="1320"/>
    </w:pPr>
  </w:style>
  <w:style w:type="paragraph" w:styleId="13">
    <w:name w:val="index 8"/>
    <w:basedOn w:val="1"/>
    <w:next w:val="1"/>
    <w:autoRedefine/>
    <w:qFormat/>
    <w:uiPriority w:val="0"/>
    <w:pPr>
      <w:ind w:left="2940"/>
    </w:pPr>
  </w:style>
  <w:style w:type="paragraph" w:styleId="14">
    <w:name w:val="List Number"/>
    <w:basedOn w:val="1"/>
    <w:autoRedefine/>
    <w:qFormat/>
    <w:uiPriority w:val="0"/>
    <w:pPr>
      <w:widowControl/>
      <w:tabs>
        <w:tab w:val="left" w:pos="454"/>
        <w:tab w:val="left" w:pos="720"/>
        <w:tab w:val="left" w:pos="840"/>
      </w:tabs>
      <w:spacing w:after="50"/>
      <w:ind w:left="454" w:hanging="284"/>
      <w:jc w:val="left"/>
    </w:pPr>
    <w:rPr>
      <w:rFonts w:ascii="Times New Roman" w:hAnsi="Times New Roman" w:eastAsia="宋体" w:cs="Times New Roman"/>
      <w:sz w:val="24"/>
      <w:szCs w:val="20"/>
    </w:rPr>
  </w:style>
  <w:style w:type="paragraph" w:styleId="15">
    <w:name w:val="caption"/>
    <w:basedOn w:val="1"/>
    <w:next w:val="1"/>
    <w:autoRedefine/>
    <w:unhideWhenUsed/>
    <w:qFormat/>
    <w:uiPriority w:val="35"/>
    <w:pPr>
      <w:spacing w:after="200"/>
    </w:pPr>
    <w:rPr>
      <w:i/>
      <w:iCs/>
      <w:color w:val="44546A" w:themeColor="text2"/>
      <w:sz w:val="18"/>
      <w:szCs w:val="18"/>
      <w14:textFill>
        <w14:solidFill>
          <w14:schemeClr w14:val="tx2"/>
        </w14:solidFill>
      </w14:textFill>
    </w:rPr>
  </w:style>
  <w:style w:type="paragraph" w:styleId="16">
    <w:name w:val="annotation text"/>
    <w:basedOn w:val="1"/>
    <w:link w:val="220"/>
    <w:autoRedefine/>
    <w:qFormat/>
    <w:uiPriority w:val="0"/>
    <w:pPr>
      <w:jc w:val="left"/>
    </w:pPr>
    <w:rPr>
      <w:rFonts w:ascii="Times New Roman" w:hAnsi="Times New Roman" w:eastAsia="宋体" w:cs="Times New Roman"/>
      <w:szCs w:val="24"/>
      <w:lang w:val="zh-CN"/>
    </w:rPr>
  </w:style>
  <w:style w:type="paragraph" w:styleId="17">
    <w:name w:val="Body Text 3"/>
    <w:basedOn w:val="1"/>
    <w:link w:val="222"/>
    <w:autoRedefine/>
    <w:unhideWhenUsed/>
    <w:qFormat/>
    <w:uiPriority w:val="99"/>
    <w:pPr>
      <w:spacing w:after="120"/>
    </w:pPr>
    <w:rPr>
      <w:rFonts w:ascii="Times New Roman" w:hAnsi="Times New Roman" w:eastAsia="宋体" w:cs="Times New Roman"/>
      <w:sz w:val="16"/>
      <w:szCs w:val="16"/>
      <w:lang w:val="zh-CN"/>
    </w:rPr>
  </w:style>
  <w:style w:type="paragraph" w:styleId="18">
    <w:name w:val="Body Text"/>
    <w:basedOn w:val="1"/>
    <w:link w:val="224"/>
    <w:autoRedefine/>
    <w:unhideWhenUsed/>
    <w:qFormat/>
    <w:uiPriority w:val="0"/>
    <w:pPr>
      <w:spacing w:after="120"/>
    </w:pPr>
    <w:rPr>
      <w:rFonts w:ascii="Times New Roman" w:hAnsi="Times New Roman" w:eastAsia="宋体" w:cs="Times New Roman"/>
      <w:szCs w:val="24"/>
      <w:lang w:val="zh-CN"/>
    </w:rPr>
  </w:style>
  <w:style w:type="paragraph" w:styleId="19">
    <w:name w:val="Body Text Indent"/>
    <w:basedOn w:val="1"/>
    <w:link w:val="226"/>
    <w:autoRedefine/>
    <w:qFormat/>
    <w:uiPriority w:val="0"/>
    <w:pPr>
      <w:ind w:firstLine="830"/>
    </w:pPr>
    <w:rPr>
      <w:rFonts w:ascii="仿宋_GB2312" w:hAnsi="Times New Roman" w:eastAsia="仿宋_GB2312" w:cs="Times New Roman"/>
      <w:sz w:val="32"/>
      <w:szCs w:val="20"/>
      <w:lang w:val="zh-CN"/>
    </w:rPr>
  </w:style>
  <w:style w:type="paragraph" w:styleId="20">
    <w:name w:val="List 2"/>
    <w:basedOn w:val="1"/>
    <w:autoRedefine/>
    <w:unhideWhenUsed/>
    <w:qFormat/>
    <w:uiPriority w:val="99"/>
    <w:pPr>
      <w:ind w:left="100" w:hanging="200"/>
      <w:contextualSpacing/>
    </w:pPr>
    <w:rPr>
      <w:rFonts w:ascii="Times New Roman" w:hAnsi="Times New Roman" w:eastAsia="宋体" w:cs="Times New Roman"/>
      <w:szCs w:val="24"/>
    </w:rPr>
  </w:style>
  <w:style w:type="paragraph" w:styleId="21">
    <w:name w:val="toc 5"/>
    <w:basedOn w:val="1"/>
    <w:next w:val="1"/>
    <w:autoRedefine/>
    <w:unhideWhenUsed/>
    <w:qFormat/>
    <w:uiPriority w:val="39"/>
    <w:pPr>
      <w:spacing w:after="100"/>
      <w:ind w:left="880"/>
    </w:pPr>
  </w:style>
  <w:style w:type="paragraph" w:styleId="22">
    <w:name w:val="toc 3"/>
    <w:basedOn w:val="1"/>
    <w:next w:val="1"/>
    <w:autoRedefine/>
    <w:semiHidden/>
    <w:unhideWhenUsed/>
    <w:qFormat/>
    <w:uiPriority w:val="39"/>
    <w:pPr>
      <w:ind w:left="840"/>
    </w:pPr>
  </w:style>
  <w:style w:type="paragraph" w:styleId="23">
    <w:name w:val="Plain Text"/>
    <w:basedOn w:val="1"/>
    <w:next w:val="13"/>
    <w:link w:val="230"/>
    <w:autoRedefine/>
    <w:qFormat/>
    <w:uiPriority w:val="0"/>
    <w:rPr>
      <w:rFonts w:ascii="宋体" w:hAnsi="Courier New" w:eastAsia="宋体" w:cs="Times New Roman"/>
      <w:sz w:val="20"/>
      <w:szCs w:val="21"/>
      <w:lang w:val="zh-CN"/>
    </w:rPr>
  </w:style>
  <w:style w:type="paragraph" w:styleId="24">
    <w:name w:val="toc 8"/>
    <w:basedOn w:val="1"/>
    <w:next w:val="1"/>
    <w:autoRedefine/>
    <w:unhideWhenUsed/>
    <w:qFormat/>
    <w:uiPriority w:val="39"/>
    <w:pPr>
      <w:spacing w:after="100"/>
      <w:ind w:left="1540"/>
    </w:pPr>
  </w:style>
  <w:style w:type="paragraph" w:styleId="25">
    <w:name w:val="Date"/>
    <w:basedOn w:val="1"/>
    <w:next w:val="1"/>
    <w:link w:val="232"/>
    <w:autoRedefine/>
    <w:unhideWhenUsed/>
    <w:qFormat/>
    <w:uiPriority w:val="99"/>
    <w:pPr>
      <w:ind w:left="100"/>
    </w:pPr>
    <w:rPr>
      <w:rFonts w:ascii="Times New Roman" w:hAnsi="Times New Roman" w:eastAsia="宋体" w:cs="Times New Roman"/>
      <w:szCs w:val="24"/>
      <w:lang w:val="zh-CN"/>
    </w:rPr>
  </w:style>
  <w:style w:type="paragraph" w:styleId="26">
    <w:name w:val="endnote text"/>
    <w:basedOn w:val="1"/>
    <w:link w:val="206"/>
    <w:autoRedefine/>
    <w:semiHidden/>
    <w:unhideWhenUsed/>
    <w:qFormat/>
    <w:uiPriority w:val="99"/>
    <w:rPr>
      <w:sz w:val="20"/>
      <w:szCs w:val="20"/>
    </w:rPr>
  </w:style>
  <w:style w:type="paragraph" w:styleId="27">
    <w:name w:val="Balloon Text"/>
    <w:basedOn w:val="1"/>
    <w:link w:val="268"/>
    <w:autoRedefine/>
    <w:semiHidden/>
    <w:qFormat/>
    <w:uiPriority w:val="0"/>
    <w:rPr>
      <w:rFonts w:ascii="Times New Roman" w:hAnsi="Times New Roman" w:eastAsia="宋体" w:cs="Times New Roman"/>
      <w:sz w:val="18"/>
      <w:szCs w:val="18"/>
    </w:rPr>
  </w:style>
  <w:style w:type="paragraph" w:styleId="28">
    <w:name w:val="footer"/>
    <w:basedOn w:val="1"/>
    <w:next w:val="1"/>
    <w:link w:val="235"/>
    <w:autoRedefine/>
    <w:unhideWhenUsed/>
    <w:qFormat/>
    <w:uiPriority w:val="0"/>
    <w:pPr>
      <w:tabs>
        <w:tab w:val="center" w:pos="4153"/>
        <w:tab w:val="right" w:pos="8306"/>
      </w:tabs>
      <w:jc w:val="left"/>
    </w:pPr>
    <w:rPr>
      <w:rFonts w:ascii="Times New Roman" w:hAnsi="Times New Roman" w:eastAsia="宋体" w:cs="Times New Roman"/>
      <w:sz w:val="18"/>
      <w:szCs w:val="18"/>
      <w:lang w:val="zh-CN"/>
    </w:rPr>
  </w:style>
  <w:style w:type="paragraph" w:styleId="29">
    <w:name w:val="header"/>
    <w:basedOn w:val="1"/>
    <w:next w:val="30"/>
    <w:link w:val="237"/>
    <w:autoRedefine/>
    <w:unhideWhenUsed/>
    <w:qFormat/>
    <w:uiPriority w:val="0"/>
    <w:pPr>
      <w:pBdr>
        <w:bottom w:val="single" w:color="000000" w:sz="6" w:space="1"/>
      </w:pBdr>
      <w:tabs>
        <w:tab w:val="center" w:pos="4153"/>
        <w:tab w:val="right" w:pos="8306"/>
      </w:tabs>
      <w:jc w:val="center"/>
    </w:pPr>
    <w:rPr>
      <w:rFonts w:ascii="Times New Roman" w:hAnsi="Times New Roman" w:eastAsia="宋体" w:cs="Times New Roman"/>
      <w:sz w:val="18"/>
      <w:szCs w:val="18"/>
      <w:lang w:val="zh-CN"/>
    </w:rPr>
  </w:style>
  <w:style w:type="paragraph" w:styleId="30">
    <w:name w:val="Body Text First Indent"/>
    <w:basedOn w:val="18"/>
    <w:next w:val="7"/>
    <w:autoRedefine/>
    <w:qFormat/>
    <w:uiPriority w:val="0"/>
    <w:pPr>
      <w:spacing w:line="360" w:lineRule="auto"/>
      <w:ind w:firstLine="420"/>
    </w:pPr>
    <w:rPr>
      <w:rFonts w:ascii="宋体" w:hAnsi="宋体"/>
      <w:sz w:val="24"/>
    </w:rPr>
  </w:style>
  <w:style w:type="paragraph" w:styleId="31">
    <w:name w:val="toc 1"/>
    <w:basedOn w:val="1"/>
    <w:next w:val="1"/>
    <w:autoRedefine/>
    <w:semiHidden/>
    <w:unhideWhenUsed/>
    <w:qFormat/>
    <w:uiPriority w:val="39"/>
  </w:style>
  <w:style w:type="paragraph" w:styleId="32">
    <w:name w:val="toc 4"/>
    <w:basedOn w:val="1"/>
    <w:next w:val="1"/>
    <w:autoRedefine/>
    <w:unhideWhenUsed/>
    <w:qFormat/>
    <w:uiPriority w:val="39"/>
    <w:pPr>
      <w:spacing w:after="100"/>
      <w:ind w:left="660"/>
    </w:pPr>
  </w:style>
  <w:style w:type="paragraph" w:styleId="33">
    <w:name w:val="Subtitle"/>
    <w:basedOn w:val="1"/>
    <w:next w:val="1"/>
    <w:link w:val="192"/>
    <w:autoRedefine/>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4">
    <w:name w:val="List"/>
    <w:basedOn w:val="1"/>
    <w:autoRedefine/>
    <w:unhideWhenUsed/>
    <w:qFormat/>
    <w:uiPriority w:val="99"/>
    <w:pPr>
      <w:ind w:left="200" w:hanging="200"/>
      <w:contextualSpacing/>
    </w:pPr>
    <w:rPr>
      <w:rFonts w:ascii="Times New Roman" w:hAnsi="Times New Roman" w:eastAsia="宋体" w:cs="Times New Roman"/>
      <w:szCs w:val="24"/>
    </w:rPr>
  </w:style>
  <w:style w:type="paragraph" w:styleId="35">
    <w:name w:val="footnote text"/>
    <w:basedOn w:val="1"/>
    <w:link w:val="205"/>
    <w:autoRedefine/>
    <w:semiHidden/>
    <w:unhideWhenUsed/>
    <w:qFormat/>
    <w:uiPriority w:val="99"/>
    <w:rPr>
      <w:sz w:val="20"/>
      <w:szCs w:val="20"/>
    </w:rPr>
  </w:style>
  <w:style w:type="paragraph" w:styleId="36">
    <w:name w:val="toc 6"/>
    <w:basedOn w:val="1"/>
    <w:next w:val="1"/>
    <w:autoRedefine/>
    <w:unhideWhenUsed/>
    <w:qFormat/>
    <w:uiPriority w:val="39"/>
    <w:pPr>
      <w:spacing w:after="100"/>
      <w:ind w:left="1100"/>
    </w:pPr>
  </w:style>
  <w:style w:type="paragraph" w:styleId="37">
    <w:name w:val="table of figures"/>
    <w:basedOn w:val="1"/>
    <w:next w:val="1"/>
    <w:autoRedefine/>
    <w:unhideWhenUsed/>
    <w:qFormat/>
    <w:uiPriority w:val="99"/>
  </w:style>
  <w:style w:type="paragraph" w:styleId="38">
    <w:name w:val="toc 2"/>
    <w:basedOn w:val="1"/>
    <w:next w:val="1"/>
    <w:autoRedefine/>
    <w:semiHidden/>
    <w:unhideWhenUsed/>
    <w:qFormat/>
    <w:uiPriority w:val="39"/>
    <w:pPr>
      <w:ind w:left="420"/>
    </w:pPr>
  </w:style>
  <w:style w:type="paragraph" w:styleId="39">
    <w:name w:val="toc 9"/>
    <w:basedOn w:val="1"/>
    <w:next w:val="1"/>
    <w:autoRedefine/>
    <w:unhideWhenUsed/>
    <w:qFormat/>
    <w:uiPriority w:val="39"/>
    <w:pPr>
      <w:spacing w:after="100"/>
      <w:ind w:left="1760"/>
    </w:pPr>
  </w:style>
  <w:style w:type="paragraph" w:styleId="40">
    <w:name w:val="Normal (Web)"/>
    <w:basedOn w:val="1"/>
    <w:autoRedefine/>
    <w:unhideWhenUsed/>
    <w:qFormat/>
    <w:uiPriority w:val="99"/>
    <w:rPr>
      <w:rFonts w:ascii="Calibri" w:hAnsi="Calibri" w:eastAsia="宋体" w:cs="Times New Roman"/>
      <w:sz w:val="24"/>
      <w:szCs w:val="24"/>
    </w:rPr>
  </w:style>
  <w:style w:type="paragraph" w:styleId="41">
    <w:name w:val="Title"/>
    <w:basedOn w:val="1"/>
    <w:next w:val="1"/>
    <w:link w:val="239"/>
    <w:autoRedefine/>
    <w:qFormat/>
    <w:uiPriority w:val="10"/>
    <w:pPr>
      <w:widowControl/>
      <w:jc w:val="center"/>
    </w:pPr>
    <w:rPr>
      <w:rFonts w:ascii="Cambria" w:hAnsi="Cambria" w:eastAsia="宋体" w:cs="Times New Roman"/>
      <w:b/>
      <w:bCs/>
      <w:sz w:val="32"/>
      <w:szCs w:val="32"/>
      <w:lang w:val="zh-CN"/>
    </w:rPr>
  </w:style>
  <w:style w:type="paragraph" w:styleId="42">
    <w:name w:val="annotation subject"/>
    <w:basedOn w:val="16"/>
    <w:next w:val="16"/>
    <w:link w:val="241"/>
    <w:autoRedefine/>
    <w:qFormat/>
    <w:uiPriority w:val="99"/>
    <w:rPr>
      <w:b/>
      <w:bCs/>
    </w:rPr>
  </w:style>
  <w:style w:type="paragraph" w:styleId="43">
    <w:name w:val="Body Text First Indent 2"/>
    <w:basedOn w:val="1"/>
    <w:next w:val="1"/>
    <w:link w:val="277"/>
    <w:autoRedefine/>
    <w:semiHidden/>
    <w:unhideWhenUsed/>
    <w:qFormat/>
    <w:uiPriority w:val="99"/>
    <w:pPr>
      <w:spacing w:after="120"/>
      <w:ind w:left="420" w:firstLine="420"/>
    </w:pPr>
    <w:rPr>
      <w:rFonts w:ascii="Times New Roman" w:eastAsia="宋体"/>
      <w:szCs w:val="24"/>
    </w:rPr>
  </w:style>
  <w:style w:type="table" w:styleId="45">
    <w:name w:val="Table Grid"/>
    <w:basedOn w:val="44"/>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7">
    <w:name w:val="Strong"/>
    <w:basedOn w:val="46"/>
    <w:autoRedefine/>
    <w:qFormat/>
    <w:uiPriority w:val="0"/>
    <w:rPr>
      <w:b/>
    </w:rPr>
  </w:style>
  <w:style w:type="character" w:styleId="48">
    <w:name w:val="endnote reference"/>
    <w:autoRedefine/>
    <w:unhideWhenUsed/>
    <w:qFormat/>
    <w:uiPriority w:val="99"/>
    <w:rPr>
      <w:vertAlign w:val="superscript"/>
    </w:rPr>
  </w:style>
  <w:style w:type="character" w:styleId="49">
    <w:name w:val="page number"/>
    <w:autoRedefine/>
    <w:qFormat/>
    <w:uiPriority w:val="0"/>
    <w:rPr>
      <w:rFonts w:ascii="Arial" w:hAnsi="Arial" w:eastAsia="黑体" w:cs="Arial"/>
      <w:szCs w:val="21"/>
    </w:rPr>
  </w:style>
  <w:style w:type="character" w:styleId="50">
    <w:name w:val="FollowedHyperlink"/>
    <w:basedOn w:val="46"/>
    <w:autoRedefine/>
    <w:unhideWhenUsed/>
    <w:qFormat/>
    <w:uiPriority w:val="99"/>
    <w:rPr>
      <w:color w:val="800080"/>
      <w:u w:val="single"/>
    </w:rPr>
  </w:style>
  <w:style w:type="character" w:styleId="51">
    <w:name w:val="Emphasis"/>
    <w:basedOn w:val="46"/>
    <w:autoRedefine/>
    <w:qFormat/>
    <w:uiPriority w:val="0"/>
    <w:rPr>
      <w:i/>
    </w:rPr>
  </w:style>
  <w:style w:type="character" w:styleId="52">
    <w:name w:val="Hyperlink"/>
    <w:autoRedefine/>
    <w:unhideWhenUsed/>
    <w:qFormat/>
    <w:uiPriority w:val="99"/>
    <w:rPr>
      <w:color w:val="0000FF"/>
      <w:u w:val="single"/>
    </w:rPr>
  </w:style>
  <w:style w:type="character" w:styleId="53">
    <w:name w:val="annotation reference"/>
    <w:autoRedefine/>
    <w:qFormat/>
    <w:uiPriority w:val="99"/>
    <w:rPr>
      <w:sz w:val="21"/>
      <w:szCs w:val="21"/>
    </w:rPr>
  </w:style>
  <w:style w:type="character" w:styleId="54">
    <w:name w:val="footnote reference"/>
    <w:basedOn w:val="46"/>
    <w:autoRedefine/>
    <w:semiHidden/>
    <w:unhideWhenUsed/>
    <w:qFormat/>
    <w:uiPriority w:val="99"/>
    <w:rPr>
      <w:vertAlign w:val="superscript"/>
    </w:rPr>
  </w:style>
  <w:style w:type="character" w:styleId="55">
    <w:name w:val="HTML Sample"/>
    <w:basedOn w:val="46"/>
    <w:autoRedefine/>
    <w:semiHidden/>
    <w:unhideWhenUsed/>
    <w:qFormat/>
    <w:uiPriority w:val="99"/>
    <w:rPr>
      <w:rFonts w:ascii="Courier New" w:hAnsi="Courier New"/>
    </w:rPr>
  </w:style>
  <w:style w:type="paragraph" w:customStyle="1" w:styleId="56">
    <w:name w:val="Default"/>
    <w:basedOn w:val="41"/>
    <w:autoRedefine/>
    <w:qFormat/>
    <w:uiPriority w:val="0"/>
    <w:pPr>
      <w:widowControl w:val="0"/>
    </w:pPr>
    <w:rPr>
      <w:rFonts w:ascii="@宋体" w:hAnsi="@宋体" w:cs="@宋体"/>
      <w:color w:val="000000"/>
      <w:sz w:val="24"/>
      <w:szCs w:val="24"/>
      <w:lang w:val="en-US"/>
    </w:rPr>
  </w:style>
  <w:style w:type="table" w:customStyle="1" w:styleId="57">
    <w:name w:val="Table Grid Light"/>
    <w:basedOn w:val="44"/>
    <w:autoRedefine/>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58">
    <w:name w:val="无格式表格 11"/>
    <w:basedOn w:val="44"/>
    <w:autoRedefine/>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9">
    <w:name w:val="无格式表格 21"/>
    <w:basedOn w:val="44"/>
    <w:autoRedefine/>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0">
    <w:name w:val="无格式表格 31"/>
    <w:basedOn w:val="44"/>
    <w:autoRedefine/>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无格式表格 41"/>
    <w:basedOn w:val="44"/>
    <w:autoRedefine/>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无格式表格 51"/>
    <w:basedOn w:val="44"/>
    <w:autoRedefine/>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3">
    <w:name w:val="网格表 1 浅色1"/>
    <w:basedOn w:val="44"/>
    <w:autoRedefine/>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4">
    <w:name w:val="Grid Table 1 Light - Accent 1"/>
    <w:basedOn w:val="44"/>
    <w:autoRedefine/>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65">
    <w:name w:val="Grid Table 1 Light - Accent 2"/>
    <w:basedOn w:val="44"/>
    <w:autoRedefine/>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66">
    <w:name w:val="Grid Table 1 Light - Accent 3"/>
    <w:basedOn w:val="44"/>
    <w:autoRedefine/>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67">
    <w:name w:val="Grid Table 1 Light - Accent 4"/>
    <w:basedOn w:val="44"/>
    <w:autoRedefine/>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68">
    <w:name w:val="Grid Table 1 Light - Accent 5"/>
    <w:basedOn w:val="44"/>
    <w:autoRedefine/>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69">
    <w:name w:val="Grid Table 1 Light - Accent 6"/>
    <w:basedOn w:val="44"/>
    <w:autoRedefine/>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70">
    <w:name w:val="网格表 21"/>
    <w:basedOn w:val="44"/>
    <w:autoRedefine/>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1">
    <w:name w:val="Grid Table 2 - Accent 1"/>
    <w:basedOn w:val="44"/>
    <w:autoRedefine/>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2">
    <w:name w:val="Grid Table 2 - Accent 2"/>
    <w:basedOn w:val="44"/>
    <w:autoRedefine/>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73">
    <w:name w:val="Grid Table 2 - Accent 3"/>
    <w:basedOn w:val="44"/>
    <w:autoRedefine/>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74">
    <w:name w:val="Grid Table 2 - Accent 4"/>
    <w:basedOn w:val="44"/>
    <w:autoRedefine/>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75">
    <w:name w:val="Grid Table 2 - Accent 5"/>
    <w:basedOn w:val="44"/>
    <w:autoRedefine/>
    <w:qFormat/>
    <w:uiPriority w:val="99"/>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76">
    <w:name w:val="Grid Table 2 - Accent 6"/>
    <w:basedOn w:val="44"/>
    <w:autoRedefine/>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77">
    <w:name w:val="网格表 31"/>
    <w:basedOn w:val="44"/>
    <w:autoRedefine/>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8">
    <w:name w:val="Grid Table 3 - Accent 1"/>
    <w:basedOn w:val="44"/>
    <w:autoRedefine/>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9">
    <w:name w:val="Grid Table 3 - Accent 2"/>
    <w:basedOn w:val="44"/>
    <w:autoRedefine/>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80">
    <w:name w:val="Grid Table 3 - Accent 3"/>
    <w:basedOn w:val="44"/>
    <w:autoRedefine/>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1">
    <w:name w:val="Grid Table 3 - Accent 4"/>
    <w:basedOn w:val="44"/>
    <w:autoRedefine/>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2">
    <w:name w:val="Grid Table 3 - Accent 5"/>
    <w:basedOn w:val="44"/>
    <w:autoRedefine/>
    <w:qFormat/>
    <w:uiPriority w:val="99"/>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83">
    <w:name w:val="Grid Table 3 - Accent 6"/>
    <w:basedOn w:val="44"/>
    <w:autoRedefine/>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84">
    <w:name w:val="网格表 41"/>
    <w:basedOn w:val="44"/>
    <w:autoRedefine/>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5">
    <w:name w:val="Grid Table 4 - Accent 1"/>
    <w:basedOn w:val="44"/>
    <w:autoRedefine/>
    <w:qFormat/>
    <w:uiPriority w:val="5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1Horz">
      <w:rPr>
        <w:rFonts w:ascii="Arial" w:hAnsi="Arial"/>
        <w:color w:val="404040"/>
        <w:sz w:val="22"/>
      </w:rPr>
      <w:tcPr>
        <w:shd w:val="clear" w:color="DEEBF6" w:themeColor="accent1" w:themeTint="32" w:fill="DEEBF6" w:themeFill="accent1" w:themeFillTint="32"/>
      </w:tcPr>
    </w:tblStylePr>
  </w:style>
  <w:style w:type="table" w:customStyle="1" w:styleId="86">
    <w:name w:val="Grid Table 4 - Accent 2"/>
    <w:basedOn w:val="44"/>
    <w:autoRedefine/>
    <w:qFormat/>
    <w:uiPriority w:val="5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87">
    <w:name w:val="Grid Table 4 - Accent 3"/>
    <w:basedOn w:val="44"/>
    <w:autoRedefine/>
    <w:qFormat/>
    <w:uiPriority w:val="5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8">
    <w:name w:val="Grid Table 4 - Accent 4"/>
    <w:basedOn w:val="44"/>
    <w:autoRedefine/>
    <w:qFormat/>
    <w:uiPriority w:val="5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9">
    <w:name w:val="Grid Table 4 - Accent 5"/>
    <w:basedOn w:val="44"/>
    <w:autoRedefine/>
    <w:qFormat/>
    <w:uiPriority w:val="5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90">
    <w:name w:val="Grid Table 4 - Accent 6"/>
    <w:basedOn w:val="44"/>
    <w:autoRedefine/>
    <w:qFormat/>
    <w:uiPriority w:val="5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91">
    <w:name w:val="网格表 5 深色1"/>
    <w:basedOn w:val="44"/>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2">
    <w:name w:val="Grid Table 5 Dark- Accent 1"/>
    <w:basedOn w:val="44"/>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1Horz">
      <w:tcPr>
        <w:shd w:val="clear" w:color="B3D1EB" w:themeColor="accent1" w:themeTint="75" w:fill="B3D1EB" w:themeFill="accent1" w:themeFillTint="75"/>
      </w:tcPr>
    </w:tblStylePr>
  </w:style>
  <w:style w:type="table" w:customStyle="1" w:styleId="93">
    <w:name w:val="Grid Table 5 Dark - Accent 2"/>
    <w:basedOn w:val="44"/>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94">
    <w:name w:val="Grid Table 5 Dark - Accent 3"/>
    <w:basedOn w:val="44"/>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95">
    <w:name w:val="Grid Table 5 Dark- Accent 4"/>
    <w:basedOn w:val="44"/>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96">
    <w:name w:val="Grid Table 5 Dark - Accent 5"/>
    <w:basedOn w:val="44"/>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1Horz">
      <w:tcPr>
        <w:shd w:val="clear" w:color="A9BEE3" w:themeColor="accent5" w:themeTint="75" w:fill="A9BEE3" w:themeFill="accent5" w:themeFillTint="75"/>
      </w:tcPr>
    </w:tblStylePr>
  </w:style>
  <w:style w:type="table" w:customStyle="1" w:styleId="97">
    <w:name w:val="Grid Table 5 Dark - Accent 6"/>
    <w:basedOn w:val="44"/>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98">
    <w:name w:val="网格表 6 彩色1"/>
    <w:basedOn w:val="44"/>
    <w:autoRedefine/>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9">
    <w:name w:val="Grid Table 6 Colorful - Accent 1"/>
    <w:basedOn w:val="44"/>
    <w:autoRedefine/>
    <w:qFormat/>
    <w:uiPriority w:val="99"/>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00">
    <w:name w:val="Grid Table 6 Colorful - Accent 2"/>
    <w:basedOn w:val="44"/>
    <w:autoRedefine/>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1">
    <w:name w:val="Grid Table 6 Colorful - Accent 3"/>
    <w:basedOn w:val="44"/>
    <w:autoRedefine/>
    <w:qFormat/>
    <w:uiPriority w:val="99"/>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14:textFill>
          <w14:solidFill>
            <w14:schemeClr w14:val="accent3"/>
          </w14:solidFill>
        </w14:textFill>
      </w:rPr>
      <w:tcPr>
        <w:tcBorders>
          <w:bottom w:val="single" w:color="A5A5A5" w:themeColor="accent3" w:themeTint="FE" w:sz="12" w:space="0"/>
        </w:tcBorders>
      </w:tcPr>
    </w:tblStylePr>
    <w:tblStylePr w:type="lastRow">
      <w:rPr>
        <w:b/>
        <w:color w:val="A5A5A5" w:themeColor="accent3"/>
        <w14:textFill>
          <w14:solidFill>
            <w14:schemeClr w14:val="accent3"/>
          </w14:solidFill>
        </w14:textFill>
      </w:rPr>
    </w:tblStylePr>
    <w:tblStylePr w:type="firstCol">
      <w:rPr>
        <w:b/>
        <w:color w:val="A5A5A5" w:themeColor="accent3"/>
        <w14:textFill>
          <w14:solidFill>
            <w14:schemeClr w14:val="accent3"/>
          </w14:solidFill>
        </w14:textFill>
      </w:rPr>
    </w:tblStylePr>
    <w:tblStylePr w:type="lastCol">
      <w:rPr>
        <w:b/>
        <w:color w:val="A5A5A5" w:themeColor="accent3"/>
        <w14:textFill>
          <w14:solidFill>
            <w14:schemeClr w14:val="accent3"/>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102">
    <w:name w:val="Grid Table 6 Colorful - Accent 4"/>
    <w:basedOn w:val="44"/>
    <w:autoRedefine/>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3">
    <w:name w:val="Grid Table 6 Colorful - Accent 5"/>
    <w:basedOn w:val="44"/>
    <w:autoRedefine/>
    <w:qFormat/>
    <w:uiPriority w:val="99"/>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04">
    <w:name w:val="Grid Table 6 Colorful - Accent 6"/>
    <w:basedOn w:val="44"/>
    <w:autoRedefine/>
    <w:qFormat/>
    <w:uiPriority w:val="99"/>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style>
  <w:style w:type="table" w:customStyle="1" w:styleId="105">
    <w:name w:val="网格表 7 彩色1"/>
    <w:basedOn w:val="44"/>
    <w:autoRedefine/>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6">
    <w:name w:val="Grid Table 7 Colorful - Accent 1"/>
    <w:basedOn w:val="44"/>
    <w:autoRedefine/>
    <w:qFormat/>
    <w:uiPriority w:val="99"/>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07">
    <w:name w:val="Grid Table 7 Colorful - Accent 2"/>
    <w:basedOn w:val="44"/>
    <w:autoRedefine/>
    <w:qFormat/>
    <w:uiPriority w:val="99"/>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8">
    <w:name w:val="Grid Table 7 Colorful - Accent 3"/>
    <w:basedOn w:val="44"/>
    <w:autoRedefine/>
    <w:qFormat/>
    <w:uiPriority w:val="99"/>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sz w:val="22"/>
        <w14:textFill>
          <w14:solidFill>
            <w14:schemeClr w14:val="accent3"/>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sz w:val="22"/>
        <w14:textFill>
          <w14:solidFill>
            <w14:schemeClr w14:val="accent3"/>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14:textFill>
          <w14:solidFill>
            <w14:schemeClr w14:val="accent3"/>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sz w:val="22"/>
        <w14:textFill>
          <w14:solidFill>
            <w14:schemeClr w14:val="accent3"/>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109">
    <w:name w:val="Grid Table 7 Colorful - Accent 4"/>
    <w:basedOn w:val="44"/>
    <w:autoRedefine/>
    <w:qFormat/>
    <w:uiPriority w:val="99"/>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10">
    <w:name w:val="Grid Table 7 Colorful - Accent 5"/>
    <w:basedOn w:val="44"/>
    <w:autoRedefine/>
    <w:qFormat/>
    <w:uiPriority w:val="99"/>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11">
    <w:name w:val="Grid Table 7 Colorful - Accent 6"/>
    <w:basedOn w:val="44"/>
    <w:autoRedefine/>
    <w:qFormat/>
    <w:uiPriority w:val="99"/>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12">
    <w:name w:val="清单表 1 浅色1"/>
    <w:basedOn w:val="44"/>
    <w:autoRedefine/>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3">
    <w:name w:val="List Table 1 Light - Accent 1"/>
    <w:basedOn w:val="44"/>
    <w:autoRedefine/>
    <w:qFormat/>
    <w:uiPriority w:val="99"/>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1Horz">
      <w:tcPr>
        <w:shd w:val="clear" w:color="D5E5F4" w:themeColor="accent1" w:themeTint="40" w:fill="D5E5F4" w:themeFill="accent1" w:themeFillTint="40"/>
      </w:tcPr>
    </w:tblStylePr>
  </w:style>
  <w:style w:type="table" w:customStyle="1" w:styleId="114">
    <w:name w:val="List Table 1 Light - Accent 2"/>
    <w:basedOn w:val="44"/>
    <w:autoRedefine/>
    <w:qFormat/>
    <w:uiPriority w:val="99"/>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15">
    <w:name w:val="List Table 1 Light - Accent 3"/>
    <w:basedOn w:val="44"/>
    <w:autoRedefine/>
    <w:qFormat/>
    <w:uiPriority w:val="99"/>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16">
    <w:name w:val="List Table 1 Light - Accent 4"/>
    <w:basedOn w:val="44"/>
    <w:autoRedefine/>
    <w:qFormat/>
    <w:uiPriority w:val="99"/>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17">
    <w:name w:val="List Table 1 Light - Accent 5"/>
    <w:basedOn w:val="44"/>
    <w:autoRedefine/>
    <w:qFormat/>
    <w:uiPriority w:val="99"/>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1Horz">
      <w:tcPr>
        <w:shd w:val="clear" w:color="D0DBF0" w:themeColor="accent5" w:themeTint="40" w:fill="D0DBF0" w:themeFill="accent5" w:themeFillTint="40"/>
      </w:tcPr>
    </w:tblStylePr>
  </w:style>
  <w:style w:type="table" w:customStyle="1" w:styleId="118">
    <w:name w:val="List Table 1 Light - Accent 6"/>
    <w:basedOn w:val="44"/>
    <w:autoRedefine/>
    <w:qFormat/>
    <w:uiPriority w:val="99"/>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19">
    <w:name w:val="清单表 21"/>
    <w:basedOn w:val="44"/>
    <w:autoRedefine/>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0">
    <w:name w:val="List Table 2 - Accent 1"/>
    <w:basedOn w:val="44"/>
    <w:autoRedefine/>
    <w:qFormat/>
    <w:uiPriority w:val="99"/>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21">
    <w:name w:val="List Table 2 - Accent 2"/>
    <w:basedOn w:val="44"/>
    <w:autoRedefine/>
    <w:qFormat/>
    <w:uiPriority w:val="99"/>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22">
    <w:name w:val="List Table 2 - Accent 3"/>
    <w:basedOn w:val="44"/>
    <w:autoRedefine/>
    <w:qFormat/>
    <w:uiPriority w:val="99"/>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23">
    <w:name w:val="List Table 2 - Accent 4"/>
    <w:basedOn w:val="44"/>
    <w:autoRedefine/>
    <w:qFormat/>
    <w:uiPriority w:val="99"/>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24">
    <w:name w:val="List Table 2 - Accent 5"/>
    <w:basedOn w:val="44"/>
    <w:autoRedefine/>
    <w:qFormat/>
    <w:uiPriority w:val="99"/>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25">
    <w:name w:val="List Table 2 - Accent 6"/>
    <w:basedOn w:val="44"/>
    <w:autoRedefine/>
    <w:qFormat/>
    <w:uiPriority w:val="99"/>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26">
    <w:name w:val="清单表 31"/>
    <w:basedOn w:val="44"/>
    <w:autoRedefine/>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7">
    <w:name w:val="List Table 3 - Accent 1"/>
    <w:basedOn w:val="44"/>
    <w:autoRedefine/>
    <w:qFormat/>
    <w:uiPriority w:val="99"/>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customStyle="1" w:styleId="128">
    <w:name w:val="List Table 3 - Accent 2"/>
    <w:basedOn w:val="44"/>
    <w:autoRedefine/>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29">
    <w:name w:val="List Table 3 - Accent 3"/>
    <w:basedOn w:val="44"/>
    <w:autoRedefine/>
    <w:qFormat/>
    <w:uiPriority w:val="99"/>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30">
    <w:name w:val="List Table 3 - Accent 4"/>
    <w:basedOn w:val="44"/>
    <w:autoRedefine/>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31">
    <w:name w:val="List Table 3 - Accent 5"/>
    <w:basedOn w:val="44"/>
    <w:autoRedefine/>
    <w:qFormat/>
    <w:uiPriority w:val="99"/>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style>
  <w:style w:type="table" w:customStyle="1" w:styleId="132">
    <w:name w:val="List Table 3 - Accent 6"/>
    <w:basedOn w:val="44"/>
    <w:autoRedefine/>
    <w:qFormat/>
    <w:uiPriority w:val="99"/>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33">
    <w:name w:val="清单表 41"/>
    <w:basedOn w:val="44"/>
    <w:autoRedefine/>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4">
    <w:name w:val="List Table 4 - Accent 1"/>
    <w:basedOn w:val="44"/>
    <w:autoRedefine/>
    <w:qFormat/>
    <w:uiPriority w:val="9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35">
    <w:name w:val="List Table 4 - Accent 2"/>
    <w:basedOn w:val="44"/>
    <w:autoRedefine/>
    <w:qFormat/>
    <w:uiPriority w:val="9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36">
    <w:name w:val="List Table 4 - Accent 3"/>
    <w:basedOn w:val="44"/>
    <w:autoRedefine/>
    <w:qFormat/>
    <w:uiPriority w:val="9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37">
    <w:name w:val="List Table 4 - Accent 4"/>
    <w:basedOn w:val="44"/>
    <w:autoRedefine/>
    <w:qFormat/>
    <w:uiPriority w:val="9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38">
    <w:name w:val="List Table 4 - Accent 5"/>
    <w:basedOn w:val="44"/>
    <w:autoRedefine/>
    <w:qFormat/>
    <w:uiPriority w:val="9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39">
    <w:name w:val="List Table 4 - Accent 6"/>
    <w:basedOn w:val="44"/>
    <w:autoRedefine/>
    <w:qFormat/>
    <w:uiPriority w:val="9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40">
    <w:name w:val="清单表 5 深色1"/>
    <w:basedOn w:val="44"/>
    <w:autoRedefine/>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1">
    <w:name w:val="List Table 5 Dark - Accent 1"/>
    <w:basedOn w:val="44"/>
    <w:autoRedefine/>
    <w:qFormat/>
    <w:uiPriority w:val="99"/>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style>
  <w:style w:type="table" w:customStyle="1" w:styleId="142">
    <w:name w:val="List Table 5 Dark - Accent 2"/>
    <w:basedOn w:val="44"/>
    <w:autoRedefine/>
    <w:qFormat/>
    <w:uiPriority w:val="99"/>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43">
    <w:name w:val="List Table 5 Dark - Accent 3"/>
    <w:basedOn w:val="44"/>
    <w:autoRedefine/>
    <w:qFormat/>
    <w:uiPriority w:val="99"/>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44">
    <w:name w:val="List Table 5 Dark - Accent 4"/>
    <w:basedOn w:val="44"/>
    <w:autoRedefine/>
    <w:qFormat/>
    <w:uiPriority w:val="99"/>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45">
    <w:name w:val="List Table 5 Dark - Accent 5"/>
    <w:basedOn w:val="44"/>
    <w:autoRedefine/>
    <w:qFormat/>
    <w:uiPriority w:val="99"/>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style>
  <w:style w:type="table" w:customStyle="1" w:styleId="146">
    <w:name w:val="List Table 5 Dark - Accent 6"/>
    <w:basedOn w:val="44"/>
    <w:autoRedefine/>
    <w:qFormat/>
    <w:uiPriority w:val="99"/>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47">
    <w:name w:val="清单表 6 彩色1"/>
    <w:basedOn w:val="44"/>
    <w:autoRedefine/>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8">
    <w:name w:val="List Table 6 Colorful - Accent 1"/>
    <w:basedOn w:val="44"/>
    <w:autoRedefine/>
    <w:qFormat/>
    <w:uiPriority w:val="99"/>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49">
    <w:name w:val="List Table 6 Colorful - Accent 2"/>
    <w:basedOn w:val="44"/>
    <w:autoRedefine/>
    <w:qFormat/>
    <w:uiPriority w:val="99"/>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0">
    <w:name w:val="List Table 6 Colorful - Accent 3"/>
    <w:basedOn w:val="44"/>
    <w:autoRedefine/>
    <w:qFormat/>
    <w:uiPriority w:val="99"/>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1">
    <w:name w:val="List Table 6 Colorful - Accent 4"/>
    <w:basedOn w:val="44"/>
    <w:autoRedefine/>
    <w:qFormat/>
    <w:uiPriority w:val="99"/>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2">
    <w:name w:val="List Table 6 Colorful - Accent 5"/>
    <w:basedOn w:val="44"/>
    <w:autoRedefine/>
    <w:qFormat/>
    <w:uiPriority w:val="99"/>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3">
    <w:name w:val="List Table 6 Colorful - Accent 6"/>
    <w:basedOn w:val="44"/>
    <w:autoRedefine/>
    <w:qFormat/>
    <w:uiPriority w:val="99"/>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54">
    <w:name w:val="清单表 7 彩色1"/>
    <w:basedOn w:val="44"/>
    <w:autoRedefine/>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5">
    <w:name w:val="List Table 7 Colorful - Accent 1"/>
    <w:basedOn w:val="44"/>
    <w:autoRedefine/>
    <w:qFormat/>
    <w:uiPriority w:val="99"/>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56">
    <w:name w:val="List Table 7 Colorful - Accent 2"/>
    <w:basedOn w:val="44"/>
    <w:autoRedefine/>
    <w:qFormat/>
    <w:uiPriority w:val="99"/>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7">
    <w:name w:val="List Table 7 Colorful - Accent 3"/>
    <w:basedOn w:val="44"/>
    <w:autoRedefine/>
    <w:qFormat/>
    <w:uiPriority w:val="99"/>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8">
    <w:name w:val="List Table 7 Colorful - Accent 4"/>
    <w:basedOn w:val="44"/>
    <w:autoRedefine/>
    <w:qFormat/>
    <w:uiPriority w:val="99"/>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9">
    <w:name w:val="List Table 7 Colorful - Accent 5"/>
    <w:basedOn w:val="44"/>
    <w:autoRedefine/>
    <w:qFormat/>
    <w:uiPriority w:val="99"/>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60">
    <w:name w:val="List Table 7 Colorful - Accent 6"/>
    <w:basedOn w:val="44"/>
    <w:autoRedefine/>
    <w:qFormat/>
    <w:uiPriority w:val="99"/>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61">
    <w:name w:val="Lined - Accent"/>
    <w:basedOn w:val="44"/>
    <w:autoRedefine/>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2">
    <w:name w:val="Lined - Accent 1"/>
    <w:basedOn w:val="44"/>
    <w:autoRedefine/>
    <w:qFormat/>
    <w:uiPriority w:val="99"/>
    <w:rPr>
      <w:color w:val="404040"/>
    </w:r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63">
    <w:name w:val="Lined - Accent 2"/>
    <w:basedOn w:val="44"/>
    <w:autoRedefine/>
    <w:qFormat/>
    <w:uiPriority w:val="99"/>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64">
    <w:name w:val="Lined - Accent 3"/>
    <w:basedOn w:val="44"/>
    <w:autoRedefine/>
    <w:qFormat/>
    <w:uiPriority w:val="99"/>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65">
    <w:name w:val="Lined - Accent 4"/>
    <w:basedOn w:val="44"/>
    <w:autoRedefine/>
    <w:qFormat/>
    <w:uiPriority w:val="99"/>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66">
    <w:name w:val="Lined - Accent 5"/>
    <w:basedOn w:val="44"/>
    <w:autoRedefine/>
    <w:qFormat/>
    <w:uiPriority w:val="99"/>
    <w:rPr>
      <w:color w:val="404040"/>
    </w:r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67">
    <w:name w:val="Lined - Accent 6"/>
    <w:basedOn w:val="44"/>
    <w:autoRedefine/>
    <w:qFormat/>
    <w:uiPriority w:val="99"/>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68">
    <w:name w:val="Bordered &amp; Lined - Accent"/>
    <w:basedOn w:val="44"/>
    <w:autoRedefine/>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9">
    <w:name w:val="Bordered &amp; Lined - Accent 1"/>
    <w:basedOn w:val="44"/>
    <w:autoRedefine/>
    <w:qFormat/>
    <w:uiPriority w:val="99"/>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70">
    <w:name w:val="Bordered &amp; Lined - Accent 2"/>
    <w:basedOn w:val="44"/>
    <w:autoRedefine/>
    <w:qFormat/>
    <w:uiPriority w:val="99"/>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71">
    <w:name w:val="Bordered &amp; Lined - Accent 3"/>
    <w:basedOn w:val="44"/>
    <w:autoRedefine/>
    <w:qFormat/>
    <w:uiPriority w:val="99"/>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72">
    <w:name w:val="Bordered &amp; Lined - Accent 4"/>
    <w:basedOn w:val="44"/>
    <w:autoRedefine/>
    <w:qFormat/>
    <w:uiPriority w:val="99"/>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73">
    <w:name w:val="Bordered &amp; Lined - Accent 5"/>
    <w:basedOn w:val="44"/>
    <w:autoRedefine/>
    <w:qFormat/>
    <w:uiPriority w:val="99"/>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74">
    <w:name w:val="Bordered &amp; Lined - Accent 6"/>
    <w:basedOn w:val="44"/>
    <w:autoRedefine/>
    <w:qFormat/>
    <w:uiPriority w:val="99"/>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75">
    <w:name w:val="Bordered"/>
    <w:basedOn w:val="44"/>
    <w:autoRedefine/>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6">
    <w:name w:val="Bordered - Accent 1"/>
    <w:basedOn w:val="44"/>
    <w:autoRedefine/>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177">
    <w:name w:val="Bordered - Accent 2"/>
    <w:basedOn w:val="44"/>
    <w:autoRedefine/>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78">
    <w:name w:val="Bordered - Accent 3"/>
    <w:basedOn w:val="44"/>
    <w:autoRedefine/>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79">
    <w:name w:val="Bordered - Accent 4"/>
    <w:basedOn w:val="44"/>
    <w:autoRedefine/>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80">
    <w:name w:val="Bordered - Accent 5"/>
    <w:basedOn w:val="44"/>
    <w:autoRedefine/>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181">
    <w:name w:val="Bordered - Accent 6"/>
    <w:basedOn w:val="44"/>
    <w:autoRedefine/>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182">
    <w:name w:val="Heading 1 Char"/>
    <w:basedOn w:val="46"/>
    <w:autoRedefine/>
    <w:qFormat/>
    <w:uiPriority w:val="9"/>
    <w:rPr>
      <w:rFonts w:ascii="Arial" w:hAnsi="Arial" w:eastAsia="Arial" w:cs="Arial"/>
      <w:color w:val="2E75B6" w:themeColor="accent1" w:themeShade="BF"/>
      <w:sz w:val="40"/>
      <w:szCs w:val="40"/>
    </w:rPr>
  </w:style>
  <w:style w:type="character" w:customStyle="1" w:styleId="183">
    <w:name w:val="Heading 2 Char"/>
    <w:basedOn w:val="46"/>
    <w:autoRedefine/>
    <w:qFormat/>
    <w:uiPriority w:val="9"/>
    <w:rPr>
      <w:rFonts w:ascii="Arial" w:hAnsi="Arial" w:eastAsia="Arial" w:cs="Arial"/>
      <w:color w:val="2E75B6" w:themeColor="accent1" w:themeShade="BF"/>
      <w:sz w:val="32"/>
      <w:szCs w:val="32"/>
    </w:rPr>
  </w:style>
  <w:style w:type="character" w:customStyle="1" w:styleId="184">
    <w:name w:val="Heading 3 Char"/>
    <w:basedOn w:val="46"/>
    <w:autoRedefine/>
    <w:qFormat/>
    <w:uiPriority w:val="9"/>
    <w:rPr>
      <w:rFonts w:ascii="Arial" w:hAnsi="Arial" w:eastAsia="Arial" w:cs="Arial"/>
      <w:color w:val="2E75B6" w:themeColor="accent1" w:themeShade="BF"/>
      <w:sz w:val="28"/>
      <w:szCs w:val="28"/>
    </w:rPr>
  </w:style>
  <w:style w:type="character" w:customStyle="1" w:styleId="185">
    <w:name w:val="标题 4 字符"/>
    <w:basedOn w:val="46"/>
    <w:link w:val="5"/>
    <w:autoRedefine/>
    <w:qFormat/>
    <w:uiPriority w:val="9"/>
    <w:rPr>
      <w:rFonts w:ascii="Arial" w:hAnsi="Arial" w:eastAsia="Arial" w:cs="Arial"/>
      <w:i/>
      <w:iCs/>
      <w:color w:val="2E75B6" w:themeColor="accent1" w:themeShade="BF"/>
    </w:rPr>
  </w:style>
  <w:style w:type="character" w:customStyle="1" w:styleId="186">
    <w:name w:val="Heading 5 Char"/>
    <w:basedOn w:val="46"/>
    <w:autoRedefine/>
    <w:qFormat/>
    <w:uiPriority w:val="9"/>
    <w:rPr>
      <w:rFonts w:ascii="Arial" w:hAnsi="Arial" w:eastAsia="Arial" w:cs="Arial"/>
      <w:color w:val="2E75B6" w:themeColor="accent1" w:themeShade="BF"/>
    </w:rPr>
  </w:style>
  <w:style w:type="character" w:customStyle="1" w:styleId="187">
    <w:name w:val="标题 6 字符"/>
    <w:basedOn w:val="46"/>
    <w:link w:val="8"/>
    <w:autoRedefine/>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88">
    <w:name w:val="标题 7 字符"/>
    <w:basedOn w:val="46"/>
    <w:link w:val="9"/>
    <w:autoRedefine/>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89">
    <w:name w:val="Heading 8 Char"/>
    <w:basedOn w:val="46"/>
    <w:autoRedefine/>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0">
    <w:name w:val="Heading 9 Char"/>
    <w:basedOn w:val="46"/>
    <w:autoRedefine/>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1">
    <w:name w:val="Title Char"/>
    <w:basedOn w:val="46"/>
    <w:autoRedefine/>
    <w:qFormat/>
    <w:uiPriority w:val="10"/>
    <w:rPr>
      <w:rFonts w:ascii="Arial" w:hAnsi="Arial" w:eastAsia="Arial" w:cs="Arial"/>
      <w:spacing w:val="-10"/>
      <w:sz w:val="56"/>
      <w:szCs w:val="56"/>
    </w:rPr>
  </w:style>
  <w:style w:type="character" w:customStyle="1" w:styleId="192">
    <w:name w:val="副标题 字符"/>
    <w:basedOn w:val="46"/>
    <w:link w:val="33"/>
    <w:autoRedefine/>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93">
    <w:name w:val="Quote"/>
    <w:basedOn w:val="1"/>
    <w:next w:val="1"/>
    <w:link w:val="194"/>
    <w:autoRedefine/>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94">
    <w:name w:val="引用 字符"/>
    <w:basedOn w:val="46"/>
    <w:link w:val="193"/>
    <w:autoRedefine/>
    <w:qFormat/>
    <w:uiPriority w:val="29"/>
    <w:rPr>
      <w:i/>
      <w:iCs/>
      <w:color w:val="404040" w:themeColor="text1" w:themeTint="BF"/>
      <w14:textFill>
        <w14:solidFill>
          <w14:schemeClr w14:val="tx1">
            <w14:lumMod w14:val="75000"/>
            <w14:lumOff w14:val="25000"/>
          </w14:schemeClr>
        </w14:solidFill>
      </w14:textFill>
    </w:rPr>
  </w:style>
  <w:style w:type="character" w:customStyle="1" w:styleId="195">
    <w:name w:val="明显强调1"/>
    <w:basedOn w:val="46"/>
    <w:autoRedefine/>
    <w:qFormat/>
    <w:uiPriority w:val="21"/>
    <w:rPr>
      <w:i/>
      <w:iCs/>
      <w:color w:val="2E75B6" w:themeColor="accent1" w:themeShade="BF"/>
    </w:rPr>
  </w:style>
  <w:style w:type="paragraph" w:styleId="196">
    <w:name w:val="Intense Quote"/>
    <w:basedOn w:val="1"/>
    <w:next w:val="1"/>
    <w:link w:val="197"/>
    <w:autoRedefine/>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197">
    <w:name w:val="明显引用 字符"/>
    <w:basedOn w:val="46"/>
    <w:link w:val="196"/>
    <w:autoRedefine/>
    <w:qFormat/>
    <w:uiPriority w:val="30"/>
    <w:rPr>
      <w:i/>
      <w:iCs/>
      <w:color w:val="2E75B6" w:themeColor="accent1" w:themeShade="BF"/>
    </w:rPr>
  </w:style>
  <w:style w:type="character" w:customStyle="1" w:styleId="198">
    <w:name w:val="明显参考1"/>
    <w:basedOn w:val="46"/>
    <w:autoRedefine/>
    <w:qFormat/>
    <w:uiPriority w:val="32"/>
    <w:rPr>
      <w:b/>
      <w:bCs/>
      <w:smallCaps/>
      <w:color w:val="2E75B6" w:themeColor="accent1" w:themeShade="BF"/>
      <w:spacing w:val="5"/>
    </w:rPr>
  </w:style>
  <w:style w:type="paragraph" w:styleId="199">
    <w:name w:val="No Spacing"/>
    <w:basedOn w:val="1"/>
    <w:autoRedefine/>
    <w:qFormat/>
    <w:uiPriority w:val="1"/>
  </w:style>
  <w:style w:type="character" w:customStyle="1" w:styleId="200">
    <w:name w:val="不明显强调1"/>
    <w:basedOn w:val="46"/>
    <w:autoRedefine/>
    <w:qFormat/>
    <w:uiPriority w:val="19"/>
    <w:rPr>
      <w:i/>
      <w:iCs/>
      <w:color w:val="404040" w:themeColor="text1" w:themeTint="BF"/>
      <w14:textFill>
        <w14:solidFill>
          <w14:schemeClr w14:val="tx1">
            <w14:lumMod w14:val="75000"/>
            <w14:lumOff w14:val="25000"/>
          </w14:schemeClr>
        </w14:solidFill>
      </w14:textFill>
    </w:rPr>
  </w:style>
  <w:style w:type="character" w:customStyle="1" w:styleId="201">
    <w:name w:val="不明显参考1"/>
    <w:basedOn w:val="46"/>
    <w:autoRedefine/>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02">
    <w:name w:val="书籍标题1"/>
    <w:basedOn w:val="46"/>
    <w:autoRedefine/>
    <w:qFormat/>
    <w:uiPriority w:val="33"/>
    <w:rPr>
      <w:b/>
      <w:bCs/>
      <w:i/>
      <w:iCs/>
      <w:spacing w:val="5"/>
    </w:rPr>
  </w:style>
  <w:style w:type="character" w:customStyle="1" w:styleId="203">
    <w:name w:val="Header Char"/>
    <w:basedOn w:val="46"/>
    <w:autoRedefine/>
    <w:qFormat/>
    <w:uiPriority w:val="99"/>
  </w:style>
  <w:style w:type="character" w:customStyle="1" w:styleId="204">
    <w:name w:val="Footer Char"/>
    <w:basedOn w:val="46"/>
    <w:autoRedefine/>
    <w:qFormat/>
    <w:uiPriority w:val="99"/>
  </w:style>
  <w:style w:type="character" w:customStyle="1" w:styleId="205">
    <w:name w:val="脚注文本 字符"/>
    <w:basedOn w:val="46"/>
    <w:link w:val="35"/>
    <w:autoRedefine/>
    <w:semiHidden/>
    <w:qFormat/>
    <w:uiPriority w:val="99"/>
    <w:rPr>
      <w:sz w:val="20"/>
      <w:szCs w:val="20"/>
    </w:rPr>
  </w:style>
  <w:style w:type="character" w:customStyle="1" w:styleId="206">
    <w:name w:val="尾注文本 字符"/>
    <w:basedOn w:val="46"/>
    <w:link w:val="26"/>
    <w:autoRedefine/>
    <w:semiHidden/>
    <w:qFormat/>
    <w:uiPriority w:val="99"/>
    <w:rPr>
      <w:sz w:val="20"/>
      <w:szCs w:val="20"/>
    </w:rPr>
  </w:style>
  <w:style w:type="character" w:customStyle="1" w:styleId="207">
    <w:name w:val="标题 1 Char"/>
    <w:basedOn w:val="46"/>
    <w:autoRedefine/>
    <w:qFormat/>
    <w:uiPriority w:val="9"/>
    <w:rPr>
      <w:b/>
      <w:bCs/>
      <w:sz w:val="44"/>
      <w:szCs w:val="44"/>
    </w:rPr>
  </w:style>
  <w:style w:type="character" w:customStyle="1" w:styleId="208">
    <w:name w:val="标题 2 Char"/>
    <w:basedOn w:val="46"/>
    <w:autoRedefine/>
    <w:qFormat/>
    <w:uiPriority w:val="9"/>
    <w:rPr>
      <w:rFonts w:asciiTheme="majorHAnsi" w:hAnsiTheme="majorHAnsi" w:eastAsiaTheme="majorEastAsia" w:cstheme="majorBidi"/>
      <w:b/>
      <w:bCs/>
      <w:sz w:val="32"/>
      <w:szCs w:val="32"/>
    </w:rPr>
  </w:style>
  <w:style w:type="character" w:customStyle="1" w:styleId="209">
    <w:name w:val="标题 3 Char"/>
    <w:basedOn w:val="46"/>
    <w:autoRedefine/>
    <w:qFormat/>
    <w:uiPriority w:val="9"/>
    <w:rPr>
      <w:b/>
      <w:bCs/>
      <w:sz w:val="32"/>
      <w:szCs w:val="32"/>
    </w:rPr>
  </w:style>
  <w:style w:type="character" w:customStyle="1" w:styleId="210">
    <w:name w:val="标题 5 Char"/>
    <w:basedOn w:val="46"/>
    <w:autoRedefine/>
    <w:qFormat/>
    <w:uiPriority w:val="9"/>
    <w:rPr>
      <w:b/>
      <w:bCs/>
      <w:sz w:val="28"/>
      <w:szCs w:val="28"/>
    </w:rPr>
  </w:style>
  <w:style w:type="character" w:customStyle="1" w:styleId="211">
    <w:name w:val="标题 8 Char"/>
    <w:basedOn w:val="46"/>
    <w:autoRedefine/>
    <w:qFormat/>
    <w:uiPriority w:val="0"/>
    <w:rPr>
      <w:rFonts w:asciiTheme="majorHAnsi" w:hAnsiTheme="majorHAnsi" w:eastAsiaTheme="majorEastAsia" w:cstheme="majorBidi"/>
      <w:sz w:val="24"/>
      <w:szCs w:val="24"/>
    </w:rPr>
  </w:style>
  <w:style w:type="character" w:customStyle="1" w:styleId="212">
    <w:name w:val="标题 9 Char"/>
    <w:basedOn w:val="46"/>
    <w:autoRedefine/>
    <w:semiHidden/>
    <w:qFormat/>
    <w:uiPriority w:val="9"/>
    <w:rPr>
      <w:rFonts w:asciiTheme="majorHAnsi" w:hAnsiTheme="majorHAnsi" w:eastAsiaTheme="majorEastAsia" w:cstheme="majorBidi"/>
      <w:szCs w:val="21"/>
    </w:rPr>
  </w:style>
  <w:style w:type="character" w:customStyle="1" w:styleId="213">
    <w:name w:val="标题 1 字符"/>
    <w:link w:val="2"/>
    <w:autoRedefine/>
    <w:qFormat/>
    <w:uiPriority w:val="9"/>
    <w:rPr>
      <w:rFonts w:ascii="Times New Roman" w:hAnsi="Times New Roman" w:eastAsia="宋体" w:cs="Times New Roman"/>
      <w:b/>
      <w:bCs/>
      <w:sz w:val="44"/>
      <w:szCs w:val="44"/>
      <w:lang w:val="zh-CN" w:eastAsia="zh-CN"/>
    </w:rPr>
  </w:style>
  <w:style w:type="character" w:customStyle="1" w:styleId="214">
    <w:name w:val="标题 2 字符"/>
    <w:link w:val="3"/>
    <w:autoRedefine/>
    <w:qFormat/>
    <w:uiPriority w:val="9"/>
    <w:rPr>
      <w:rFonts w:ascii="Cambria" w:hAnsi="Cambria" w:eastAsia="宋体" w:cs="Times New Roman"/>
      <w:b/>
      <w:bCs/>
      <w:sz w:val="32"/>
      <w:szCs w:val="32"/>
      <w:lang w:val="zh-CN" w:eastAsia="zh-CN"/>
    </w:rPr>
  </w:style>
  <w:style w:type="character" w:customStyle="1" w:styleId="215">
    <w:name w:val="标题 3 字符"/>
    <w:link w:val="4"/>
    <w:autoRedefine/>
    <w:qFormat/>
    <w:uiPriority w:val="9"/>
    <w:rPr>
      <w:rFonts w:ascii="Times New Roman" w:hAnsi="Times New Roman" w:eastAsia="宋体" w:cs="Times New Roman"/>
      <w:b/>
      <w:bCs/>
      <w:sz w:val="32"/>
      <w:szCs w:val="32"/>
      <w:lang w:val="zh-CN" w:eastAsia="zh-CN"/>
    </w:rPr>
  </w:style>
  <w:style w:type="character" w:customStyle="1" w:styleId="216">
    <w:name w:val="标题 5 字符"/>
    <w:link w:val="6"/>
    <w:autoRedefine/>
    <w:qFormat/>
    <w:uiPriority w:val="9"/>
    <w:rPr>
      <w:rFonts w:ascii="Times New Roman" w:hAnsi="Times New Roman" w:eastAsia="宋体" w:cs="Times New Roman"/>
      <w:b/>
      <w:bCs/>
      <w:sz w:val="28"/>
      <w:szCs w:val="28"/>
      <w:lang w:val="zh-CN" w:eastAsia="zh-CN"/>
    </w:rPr>
  </w:style>
  <w:style w:type="character" w:customStyle="1" w:styleId="217">
    <w:name w:val="标题 8 字符"/>
    <w:link w:val="10"/>
    <w:autoRedefine/>
    <w:qFormat/>
    <w:uiPriority w:val="9"/>
    <w:rPr>
      <w:rFonts w:ascii="等线 Light" w:hAnsi="等线 Light" w:eastAsia="等线 Light" w:cs="Times New Roman"/>
      <w:sz w:val="24"/>
      <w:szCs w:val="24"/>
      <w:lang w:val="zh-CN" w:eastAsia="zh-CN"/>
    </w:rPr>
  </w:style>
  <w:style w:type="character" w:customStyle="1" w:styleId="218">
    <w:name w:val="标题 9 字符"/>
    <w:link w:val="11"/>
    <w:autoRedefine/>
    <w:qFormat/>
    <w:uiPriority w:val="9"/>
    <w:rPr>
      <w:rFonts w:ascii="Cambria" w:hAnsi="Cambria" w:eastAsia="宋体" w:cs="Times New Roman"/>
      <w:szCs w:val="21"/>
      <w:lang w:val="zh-CN" w:eastAsia="zh-CN"/>
    </w:rPr>
  </w:style>
  <w:style w:type="character" w:customStyle="1" w:styleId="219">
    <w:name w:val="批注文字 Char"/>
    <w:basedOn w:val="46"/>
    <w:autoRedefine/>
    <w:qFormat/>
    <w:uiPriority w:val="0"/>
  </w:style>
  <w:style w:type="character" w:customStyle="1" w:styleId="220">
    <w:name w:val="批注文字 字符2"/>
    <w:link w:val="16"/>
    <w:autoRedefine/>
    <w:qFormat/>
    <w:uiPriority w:val="0"/>
    <w:rPr>
      <w:rFonts w:ascii="Times New Roman" w:hAnsi="Times New Roman" w:eastAsia="宋体" w:cs="Times New Roman"/>
      <w:szCs w:val="24"/>
      <w:lang w:val="zh-CN" w:eastAsia="zh-CN"/>
    </w:rPr>
  </w:style>
  <w:style w:type="character" w:customStyle="1" w:styleId="221">
    <w:name w:val="正文文本 3 Char"/>
    <w:basedOn w:val="46"/>
    <w:autoRedefine/>
    <w:qFormat/>
    <w:uiPriority w:val="99"/>
    <w:rPr>
      <w:sz w:val="16"/>
      <w:szCs w:val="16"/>
    </w:rPr>
  </w:style>
  <w:style w:type="character" w:customStyle="1" w:styleId="222">
    <w:name w:val="正文文本 3 字符"/>
    <w:link w:val="17"/>
    <w:autoRedefine/>
    <w:qFormat/>
    <w:uiPriority w:val="99"/>
    <w:rPr>
      <w:rFonts w:ascii="Times New Roman" w:hAnsi="Times New Roman" w:eastAsia="宋体" w:cs="Times New Roman"/>
      <w:sz w:val="16"/>
      <w:szCs w:val="16"/>
      <w:lang w:val="zh-CN" w:eastAsia="zh-CN"/>
    </w:rPr>
  </w:style>
  <w:style w:type="character" w:customStyle="1" w:styleId="223">
    <w:name w:val="正文文本 Char"/>
    <w:basedOn w:val="46"/>
    <w:autoRedefine/>
    <w:qFormat/>
    <w:uiPriority w:val="0"/>
  </w:style>
  <w:style w:type="character" w:customStyle="1" w:styleId="224">
    <w:name w:val="正文文本 字符1"/>
    <w:link w:val="18"/>
    <w:autoRedefine/>
    <w:qFormat/>
    <w:uiPriority w:val="0"/>
    <w:rPr>
      <w:rFonts w:ascii="Times New Roman" w:hAnsi="Times New Roman" w:eastAsia="宋体" w:cs="Times New Roman"/>
      <w:szCs w:val="24"/>
      <w:lang w:val="zh-CN" w:eastAsia="zh-CN"/>
    </w:rPr>
  </w:style>
  <w:style w:type="character" w:customStyle="1" w:styleId="225">
    <w:name w:val="正文文本缩进 Char"/>
    <w:basedOn w:val="46"/>
    <w:autoRedefine/>
    <w:qFormat/>
    <w:uiPriority w:val="0"/>
  </w:style>
  <w:style w:type="character" w:customStyle="1" w:styleId="226">
    <w:name w:val="正文文本缩进 字符1"/>
    <w:link w:val="19"/>
    <w:autoRedefine/>
    <w:qFormat/>
    <w:uiPriority w:val="0"/>
    <w:rPr>
      <w:rFonts w:ascii="仿宋_GB2312" w:hAnsi="Times New Roman" w:eastAsia="仿宋_GB2312" w:cs="Times New Roman"/>
      <w:sz w:val="32"/>
      <w:szCs w:val="20"/>
      <w:lang w:val="zh-CN" w:eastAsia="zh-CN"/>
    </w:rPr>
  </w:style>
  <w:style w:type="paragraph" w:customStyle="1" w:styleId="227">
    <w:name w:val="_Style 36"/>
    <w:basedOn w:val="1"/>
    <w:next w:val="228"/>
    <w:autoRedefine/>
    <w:qFormat/>
    <w:uiPriority w:val="99"/>
    <w:pPr>
      <w:ind w:firstLine="420"/>
    </w:pPr>
    <w:rPr>
      <w:rFonts w:ascii="Times New Roman" w:hAnsi="Times New Roman" w:eastAsia="宋体" w:cs="Times New Roman"/>
      <w:szCs w:val="24"/>
    </w:rPr>
  </w:style>
  <w:style w:type="paragraph" w:styleId="228">
    <w:name w:val="List Paragraph"/>
    <w:basedOn w:val="1"/>
    <w:autoRedefine/>
    <w:qFormat/>
    <w:uiPriority w:val="34"/>
    <w:pPr>
      <w:ind w:firstLine="420"/>
    </w:pPr>
    <w:rPr>
      <w:rFonts w:ascii="Times New Roman" w:hAnsi="Times New Roman" w:eastAsia="宋体" w:cs="Times New Roman"/>
      <w:szCs w:val="24"/>
    </w:rPr>
  </w:style>
  <w:style w:type="character" w:customStyle="1" w:styleId="229">
    <w:name w:val="纯文本 Char"/>
    <w:basedOn w:val="46"/>
    <w:autoRedefine/>
    <w:qFormat/>
    <w:uiPriority w:val="0"/>
    <w:rPr>
      <w:rFonts w:ascii="宋体" w:hAnsi="Courier New" w:eastAsia="宋体" w:cs="Courier New"/>
      <w:szCs w:val="21"/>
    </w:rPr>
  </w:style>
  <w:style w:type="character" w:customStyle="1" w:styleId="230">
    <w:name w:val="纯文本 字符3"/>
    <w:link w:val="23"/>
    <w:autoRedefine/>
    <w:qFormat/>
    <w:uiPriority w:val="0"/>
    <w:rPr>
      <w:rFonts w:ascii="宋体" w:hAnsi="Courier New" w:eastAsia="宋体" w:cs="Times New Roman"/>
      <w:sz w:val="20"/>
      <w:szCs w:val="21"/>
      <w:lang w:val="zh-CN" w:eastAsia="zh-CN"/>
    </w:rPr>
  </w:style>
  <w:style w:type="character" w:customStyle="1" w:styleId="231">
    <w:name w:val="日期 Char"/>
    <w:basedOn w:val="46"/>
    <w:autoRedefine/>
    <w:qFormat/>
    <w:uiPriority w:val="99"/>
  </w:style>
  <w:style w:type="character" w:customStyle="1" w:styleId="232">
    <w:name w:val="日期 字符"/>
    <w:link w:val="25"/>
    <w:autoRedefine/>
    <w:qFormat/>
    <w:uiPriority w:val="99"/>
    <w:rPr>
      <w:rFonts w:ascii="Times New Roman" w:hAnsi="Times New Roman" w:eastAsia="宋体" w:cs="Times New Roman"/>
      <w:szCs w:val="24"/>
      <w:lang w:val="zh-CN" w:eastAsia="zh-CN"/>
    </w:rPr>
  </w:style>
  <w:style w:type="character" w:customStyle="1" w:styleId="233">
    <w:name w:val="批注框文本 Char"/>
    <w:basedOn w:val="46"/>
    <w:autoRedefine/>
    <w:semiHidden/>
    <w:qFormat/>
    <w:uiPriority w:val="0"/>
    <w:rPr>
      <w:sz w:val="18"/>
      <w:szCs w:val="18"/>
    </w:rPr>
  </w:style>
  <w:style w:type="character" w:customStyle="1" w:styleId="234">
    <w:name w:val="页脚 Char"/>
    <w:basedOn w:val="46"/>
    <w:autoRedefine/>
    <w:qFormat/>
    <w:uiPriority w:val="99"/>
    <w:rPr>
      <w:sz w:val="18"/>
      <w:szCs w:val="18"/>
    </w:rPr>
  </w:style>
  <w:style w:type="character" w:customStyle="1" w:styleId="235">
    <w:name w:val="页脚 字符"/>
    <w:link w:val="28"/>
    <w:autoRedefine/>
    <w:qFormat/>
    <w:uiPriority w:val="0"/>
    <w:rPr>
      <w:rFonts w:ascii="Times New Roman" w:hAnsi="Times New Roman" w:eastAsia="宋体" w:cs="Times New Roman"/>
      <w:sz w:val="18"/>
      <w:szCs w:val="18"/>
      <w:lang w:val="zh-CN" w:eastAsia="zh-CN"/>
    </w:rPr>
  </w:style>
  <w:style w:type="character" w:customStyle="1" w:styleId="236">
    <w:name w:val="页眉 Char"/>
    <w:basedOn w:val="46"/>
    <w:autoRedefine/>
    <w:qFormat/>
    <w:uiPriority w:val="99"/>
    <w:rPr>
      <w:sz w:val="18"/>
      <w:szCs w:val="18"/>
    </w:rPr>
  </w:style>
  <w:style w:type="character" w:customStyle="1" w:styleId="237">
    <w:name w:val="页眉 字符"/>
    <w:link w:val="29"/>
    <w:autoRedefine/>
    <w:qFormat/>
    <w:uiPriority w:val="0"/>
    <w:rPr>
      <w:rFonts w:ascii="Times New Roman" w:hAnsi="Times New Roman" w:eastAsia="宋体" w:cs="Times New Roman"/>
      <w:sz w:val="18"/>
      <w:szCs w:val="18"/>
      <w:lang w:val="zh-CN" w:eastAsia="zh-CN"/>
    </w:rPr>
  </w:style>
  <w:style w:type="character" w:customStyle="1" w:styleId="238">
    <w:name w:val="标题 Char"/>
    <w:basedOn w:val="46"/>
    <w:autoRedefine/>
    <w:qFormat/>
    <w:uiPriority w:val="10"/>
    <w:rPr>
      <w:rFonts w:eastAsia="宋体" w:asciiTheme="majorHAnsi" w:hAnsiTheme="majorHAnsi" w:cstheme="majorBidi"/>
      <w:b/>
      <w:bCs/>
      <w:sz w:val="32"/>
      <w:szCs w:val="32"/>
    </w:rPr>
  </w:style>
  <w:style w:type="character" w:customStyle="1" w:styleId="239">
    <w:name w:val="标题 字符"/>
    <w:link w:val="41"/>
    <w:autoRedefine/>
    <w:qFormat/>
    <w:uiPriority w:val="10"/>
    <w:rPr>
      <w:rFonts w:ascii="Cambria" w:hAnsi="Cambria" w:eastAsia="宋体" w:cs="Times New Roman"/>
      <w:b/>
      <w:bCs/>
      <w:sz w:val="32"/>
      <w:szCs w:val="32"/>
      <w:lang w:val="zh-CN" w:eastAsia="zh-CN"/>
    </w:rPr>
  </w:style>
  <w:style w:type="character" w:customStyle="1" w:styleId="240">
    <w:name w:val="批注主题 Char"/>
    <w:basedOn w:val="219"/>
    <w:autoRedefine/>
    <w:qFormat/>
    <w:uiPriority w:val="99"/>
    <w:rPr>
      <w:b/>
      <w:bCs/>
    </w:rPr>
  </w:style>
  <w:style w:type="character" w:customStyle="1" w:styleId="241">
    <w:name w:val="批注主题 字符"/>
    <w:link w:val="42"/>
    <w:autoRedefine/>
    <w:qFormat/>
    <w:uiPriority w:val="99"/>
    <w:rPr>
      <w:rFonts w:ascii="Times New Roman" w:hAnsi="Times New Roman" w:eastAsia="宋体" w:cs="Times New Roman"/>
      <w:b/>
      <w:bCs/>
      <w:szCs w:val="24"/>
      <w:lang w:val="zh-CN" w:eastAsia="zh-CN"/>
    </w:rPr>
  </w:style>
  <w:style w:type="character" w:customStyle="1" w:styleId="242">
    <w:name w:val="正文文本首行缩进 2 字符"/>
    <w:autoRedefine/>
    <w:qFormat/>
    <w:uiPriority w:val="99"/>
    <w:rPr>
      <w:sz w:val="21"/>
      <w:szCs w:val="24"/>
    </w:rPr>
  </w:style>
  <w:style w:type="character" w:customStyle="1" w:styleId="243">
    <w:name w:val="标题 Char1"/>
    <w:autoRedefine/>
    <w:qFormat/>
    <w:uiPriority w:val="0"/>
    <w:rPr>
      <w:rFonts w:ascii="Calibri" w:hAnsi="Calibri"/>
      <w:b/>
      <w:sz w:val="24"/>
      <w:lang w:val="en-GB"/>
    </w:rPr>
  </w:style>
  <w:style w:type="character" w:customStyle="1" w:styleId="244">
    <w:name w:val="正文文本 (26) + 间距 0 pt"/>
    <w:autoRedefine/>
    <w:qFormat/>
    <w:uiPriority w:val="0"/>
    <w:rPr>
      <w:rFonts w:ascii="宋体" w:hAnsi="宋体" w:eastAsia="宋体" w:cs="宋体"/>
      <w:color w:val="000000"/>
      <w:spacing w:val="0"/>
      <w:position w:val="0"/>
      <w:sz w:val="22"/>
      <w:szCs w:val="22"/>
      <w:u w:val="none"/>
      <w:lang w:val="zh-CN" w:eastAsia="zh-CN" w:bidi="zh-CN"/>
    </w:rPr>
  </w:style>
  <w:style w:type="character" w:customStyle="1" w:styleId="245">
    <w:name w:val="正文文本 字符"/>
    <w:autoRedefine/>
    <w:qFormat/>
    <w:uiPriority w:val="0"/>
    <w:rPr>
      <w:rFonts w:ascii="Times New Roman" w:hAnsi="Times New Roman"/>
      <w:sz w:val="21"/>
      <w:szCs w:val="24"/>
    </w:rPr>
  </w:style>
  <w:style w:type="character" w:customStyle="1" w:styleId="246">
    <w:name w:val="批注文字 字符1"/>
    <w:autoRedefine/>
    <w:qFormat/>
    <w:uiPriority w:val="0"/>
    <w:rPr>
      <w:rFonts w:ascii="Times New Roman" w:hAnsi="Times New Roman"/>
      <w:sz w:val="21"/>
      <w:szCs w:val="24"/>
    </w:rPr>
  </w:style>
  <w:style w:type="character" w:customStyle="1" w:styleId="247">
    <w:name w:val="批注文字 字符"/>
    <w:autoRedefine/>
    <w:qFormat/>
    <w:uiPriority w:val="0"/>
    <w:rPr>
      <w:rFonts w:ascii="Times New Roman" w:hAnsi="Times New Roman"/>
      <w:sz w:val="21"/>
      <w:szCs w:val="24"/>
    </w:rPr>
  </w:style>
  <w:style w:type="character" w:customStyle="1" w:styleId="248">
    <w:name w:val="未处理的提及1"/>
    <w:autoRedefine/>
    <w:unhideWhenUsed/>
    <w:qFormat/>
    <w:uiPriority w:val="99"/>
    <w:rPr>
      <w:color w:val="605E5C"/>
      <w:shd w:val="clear" w:color="auto" w:fill="E1DFDD"/>
    </w:rPr>
  </w:style>
  <w:style w:type="character" w:customStyle="1" w:styleId="249">
    <w:name w:val="apple-style-span"/>
    <w:autoRedefine/>
    <w:qFormat/>
    <w:uiPriority w:val="0"/>
  </w:style>
  <w:style w:type="character" w:customStyle="1" w:styleId="250">
    <w:name w:val="纯文本 字符2"/>
    <w:autoRedefine/>
    <w:qFormat/>
    <w:uiPriority w:val="0"/>
    <w:rPr>
      <w:rFonts w:ascii="宋体" w:hAnsi="Courier New" w:eastAsia="宋体" w:cs="Courier New"/>
      <w:szCs w:val="21"/>
    </w:rPr>
  </w:style>
  <w:style w:type="character" w:customStyle="1" w:styleId="251">
    <w:name w:val="textcontents"/>
    <w:autoRedefine/>
    <w:qFormat/>
    <w:uiPriority w:val="0"/>
  </w:style>
  <w:style w:type="character" w:customStyle="1" w:styleId="252">
    <w:name w:val="纯文本 字符1"/>
    <w:autoRedefine/>
    <w:qFormat/>
    <w:uiPriority w:val="0"/>
    <w:rPr>
      <w:rFonts w:ascii="宋体" w:hAnsi="Courier New"/>
    </w:rPr>
  </w:style>
  <w:style w:type="character" w:customStyle="1" w:styleId="253">
    <w:name w:val="标题 1 字符1"/>
    <w:autoRedefine/>
    <w:qFormat/>
    <w:uiPriority w:val="0"/>
    <w:rPr>
      <w:b/>
      <w:bCs/>
      <w:sz w:val="44"/>
      <w:szCs w:val="44"/>
    </w:rPr>
  </w:style>
  <w:style w:type="character" w:customStyle="1" w:styleId="254">
    <w:name w:val="纯文本 字符"/>
    <w:autoRedefine/>
    <w:qFormat/>
    <w:uiPriority w:val="0"/>
    <w:rPr>
      <w:rFonts w:ascii="宋体" w:hAnsi="Courier New" w:eastAsia="宋体" w:cs="Courier New"/>
      <w:szCs w:val="21"/>
    </w:rPr>
  </w:style>
  <w:style w:type="paragraph" w:customStyle="1" w:styleId="255">
    <w:name w:val="Char Char Char Char"/>
    <w:basedOn w:val="1"/>
    <w:autoRedefine/>
    <w:qFormat/>
    <w:uiPriority w:val="0"/>
    <w:pPr>
      <w:widowControl/>
      <w:spacing w:after="160" w:line="240" w:lineRule="exact"/>
      <w:jc w:val="left"/>
    </w:pPr>
    <w:rPr>
      <w:rFonts w:ascii="Times New Roman" w:hAnsi="Times New Roman" w:eastAsia="宋体" w:cs="Times New Roman"/>
      <w:szCs w:val="24"/>
    </w:rPr>
  </w:style>
  <w:style w:type="paragraph" w:customStyle="1" w:styleId="256">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257">
    <w:name w:val="TOC 标题1"/>
    <w:basedOn w:val="2"/>
    <w:next w:val="1"/>
    <w:autoRedefine/>
    <w:qFormat/>
    <w:uiPriority w:val="39"/>
    <w:pPr>
      <w:widowControl/>
      <w:spacing w:before="240" w:after="0" w:line="259" w:lineRule="auto"/>
      <w:jc w:val="left"/>
      <w:outlineLvl w:val="9"/>
    </w:pPr>
    <w:rPr>
      <w:rFonts w:ascii="等线 Light" w:hAnsi="等线 Light" w:eastAsia="等线 Light"/>
      <w:b w:val="0"/>
      <w:bCs w:val="0"/>
      <w:color w:val="2F5496"/>
      <w:sz w:val="32"/>
      <w:szCs w:val="32"/>
      <w:lang w:val="en-US"/>
    </w:rPr>
  </w:style>
  <w:style w:type="paragraph" w:customStyle="1" w:styleId="258">
    <w:name w:val="表内文字"/>
    <w:basedOn w:val="1"/>
    <w:autoRedefine/>
    <w:qFormat/>
    <w:uiPriority w:val="0"/>
    <w:pPr>
      <w:spacing w:before="50" w:after="50"/>
      <w:jc w:val="center"/>
    </w:pPr>
    <w:rPr>
      <w:rFonts w:ascii="仿宋_GB2312" w:hAnsi="宋体" w:eastAsia="仿宋_GB2312" w:cs="Times New Roman"/>
      <w:b/>
      <w:color w:val="000000"/>
      <w:sz w:val="32"/>
      <w:szCs w:val="32"/>
    </w:rPr>
  </w:style>
  <w:style w:type="paragraph" w:customStyle="1" w:styleId="259">
    <w:name w:val="Table Paragraph"/>
    <w:basedOn w:val="1"/>
    <w:autoRedefine/>
    <w:qFormat/>
    <w:uiPriority w:val="1"/>
    <w:pPr>
      <w:jc w:val="left"/>
    </w:pPr>
    <w:rPr>
      <w:rFonts w:ascii="Calibri" w:hAnsi="Calibri" w:eastAsia="宋体" w:cs="Times New Roman"/>
      <w:sz w:val="22"/>
      <w:lang w:eastAsia="en-US"/>
    </w:rPr>
  </w:style>
  <w:style w:type="character" w:customStyle="1" w:styleId="260">
    <w:name w:val="正文文本缩进 字符"/>
    <w:autoRedefine/>
    <w:qFormat/>
    <w:uiPriority w:val="0"/>
    <w:rPr>
      <w:rFonts w:ascii="仿宋_GB2312" w:hAnsi="Times New Roman" w:eastAsia="仿宋_GB2312" w:cs="Times New Roman"/>
      <w:sz w:val="32"/>
      <w:szCs w:val="20"/>
    </w:rPr>
  </w:style>
  <w:style w:type="character" w:customStyle="1" w:styleId="261">
    <w:name w:val="正文2 Char Char"/>
    <w:link w:val="262"/>
    <w:autoRedefine/>
    <w:qFormat/>
    <w:uiPriority w:val="0"/>
    <w:rPr>
      <w:sz w:val="24"/>
    </w:rPr>
  </w:style>
  <w:style w:type="paragraph" w:customStyle="1" w:styleId="262">
    <w:name w:val="正文2"/>
    <w:basedOn w:val="1"/>
    <w:link w:val="261"/>
    <w:autoRedefine/>
    <w:qFormat/>
    <w:uiPriority w:val="0"/>
    <w:pPr>
      <w:spacing w:before="156" w:line="360" w:lineRule="auto"/>
      <w:ind w:firstLine="510"/>
    </w:pPr>
    <w:rPr>
      <w:sz w:val="24"/>
    </w:rPr>
  </w:style>
  <w:style w:type="character" w:customStyle="1" w:styleId="263">
    <w:name w:val="纯文本 Char2"/>
    <w:autoRedefine/>
    <w:qFormat/>
    <w:uiPriority w:val="0"/>
    <w:rPr>
      <w:rFonts w:ascii="宋体" w:hAnsi="Courier New" w:cs="Arial"/>
      <w:szCs w:val="21"/>
    </w:rPr>
  </w:style>
  <w:style w:type="paragraph" w:customStyle="1" w:styleId="264">
    <w:name w:val="表格文字"/>
    <w:basedOn w:val="1"/>
    <w:next w:val="18"/>
    <w:autoRedefine/>
    <w:qFormat/>
    <w:uiPriority w:val="0"/>
    <w:pPr>
      <w:spacing w:line="420" w:lineRule="atLeast"/>
      <w:jc w:val="left"/>
    </w:pPr>
    <w:rPr>
      <w:rFonts w:ascii="Times New Roman" w:hAnsi="Times New Roman" w:eastAsia="宋体" w:cs="Times New Roman"/>
      <w:szCs w:val="24"/>
    </w:rPr>
  </w:style>
  <w:style w:type="paragraph" w:customStyle="1" w:styleId="265">
    <w:name w:val="样式5"/>
    <w:basedOn w:val="1"/>
    <w:autoRedefine/>
    <w:qFormat/>
    <w:uiPriority w:val="0"/>
    <w:pPr>
      <w:spacing w:line="440" w:lineRule="exact"/>
      <w:ind w:left="2" w:firstLine="480"/>
    </w:pPr>
    <w:rPr>
      <w:rFonts w:ascii="仿宋_GB2312" w:hAnsi="仿宋" w:eastAsia="仿宋_GB2312" w:cs="Times New Roman"/>
      <w:sz w:val="24"/>
      <w:szCs w:val="24"/>
    </w:rPr>
  </w:style>
  <w:style w:type="paragraph" w:customStyle="1" w:styleId="266">
    <w:name w:val="正文缩进1"/>
    <w:basedOn w:val="1"/>
    <w:next w:val="19"/>
    <w:autoRedefine/>
    <w:qFormat/>
    <w:uiPriority w:val="0"/>
    <w:pPr>
      <w:spacing w:after="120" w:line="360" w:lineRule="auto"/>
      <w:ind w:left="420" w:firstLine="480"/>
    </w:pPr>
    <w:rPr>
      <w:rFonts w:ascii="Times New Roman" w:hAnsi="Times New Roman" w:eastAsia="宋体" w:cs="Times New Roman"/>
      <w:sz w:val="24"/>
      <w:szCs w:val="21"/>
    </w:rPr>
  </w:style>
  <w:style w:type="character" w:customStyle="1" w:styleId="267">
    <w:name w:val="NormalCharacter"/>
    <w:autoRedefine/>
    <w:qFormat/>
    <w:uiPriority w:val="0"/>
  </w:style>
  <w:style w:type="character" w:customStyle="1" w:styleId="268">
    <w:name w:val="批注框文本 字符"/>
    <w:link w:val="27"/>
    <w:autoRedefine/>
    <w:semiHidden/>
    <w:qFormat/>
    <w:uiPriority w:val="0"/>
    <w:rPr>
      <w:rFonts w:ascii="Times New Roman" w:hAnsi="Times New Roman" w:eastAsia="宋体" w:cs="Times New Roman"/>
      <w:sz w:val="18"/>
      <w:szCs w:val="18"/>
    </w:rPr>
  </w:style>
  <w:style w:type="character" w:customStyle="1" w:styleId="269">
    <w:name w:val="正文首行缩进 2 字符"/>
    <w:autoRedefine/>
    <w:qFormat/>
    <w:uiPriority w:val="99"/>
    <w:rPr>
      <w:rFonts w:ascii="仿宋_GB2312" w:hAnsi="Times New Roman" w:eastAsia="仿宋_GB2312" w:cs="Times New Roman"/>
      <w:sz w:val="21"/>
      <w:szCs w:val="24"/>
    </w:rPr>
  </w:style>
  <w:style w:type="character" w:customStyle="1" w:styleId="270">
    <w:name w:val="纯文本 Char1"/>
    <w:autoRedefine/>
    <w:qFormat/>
    <w:uiPriority w:val="0"/>
    <w:rPr>
      <w:rFonts w:ascii="宋体" w:hAnsi="Courier New" w:eastAsia="宋体" w:cs="Times New Roman"/>
      <w:sz w:val="20"/>
      <w:szCs w:val="21"/>
    </w:rPr>
  </w:style>
  <w:style w:type="character" w:customStyle="1" w:styleId="271">
    <w:name w:val="标题 2 Char1"/>
    <w:autoRedefine/>
    <w:qFormat/>
    <w:uiPriority w:val="9"/>
    <w:rPr>
      <w:rFonts w:ascii="Cambria" w:hAnsi="Cambria"/>
      <w:b/>
      <w:bCs/>
      <w:sz w:val="32"/>
      <w:szCs w:val="32"/>
      <w:lang w:val="zh-CN" w:eastAsia="zh-CN"/>
    </w:rPr>
  </w:style>
  <w:style w:type="character" w:customStyle="1" w:styleId="272">
    <w:name w:val="标题 8 Char1"/>
    <w:autoRedefine/>
    <w:qFormat/>
    <w:uiPriority w:val="9"/>
    <w:rPr>
      <w:rFonts w:ascii="等线 Light" w:hAnsi="等线 Light" w:eastAsia="等线 Light"/>
      <w:sz w:val="24"/>
      <w:szCs w:val="24"/>
      <w:lang w:val="zh-CN" w:eastAsia="zh-CN"/>
    </w:rPr>
  </w:style>
  <w:style w:type="character" w:customStyle="1" w:styleId="273">
    <w:name w:val="批注文字 Char1"/>
    <w:autoRedefine/>
    <w:qFormat/>
    <w:uiPriority w:val="0"/>
    <w:rPr>
      <w:sz w:val="21"/>
      <w:szCs w:val="24"/>
      <w:lang w:val="zh-CN" w:eastAsia="zh-CN"/>
    </w:rPr>
  </w:style>
  <w:style w:type="character" w:customStyle="1" w:styleId="274">
    <w:name w:val="正文文本 Char1"/>
    <w:autoRedefine/>
    <w:qFormat/>
    <w:uiPriority w:val="0"/>
    <w:rPr>
      <w:sz w:val="21"/>
      <w:szCs w:val="24"/>
      <w:lang w:val="zh-CN" w:eastAsia="zh-CN"/>
    </w:rPr>
  </w:style>
  <w:style w:type="character" w:customStyle="1" w:styleId="275">
    <w:name w:val="正文首行缩进 2 字符1"/>
    <w:autoRedefine/>
    <w:semiHidden/>
    <w:qFormat/>
    <w:uiPriority w:val="99"/>
    <w:rPr>
      <w:rFonts w:ascii="仿宋_GB2312" w:hAnsi="Times New Roman" w:eastAsia="仿宋_GB2312" w:cs="Times New Roman"/>
      <w:sz w:val="21"/>
      <w:szCs w:val="24"/>
      <w:lang w:val="zh-CN" w:eastAsia="zh-CN"/>
    </w:rPr>
  </w:style>
  <w:style w:type="character" w:customStyle="1" w:styleId="276">
    <w:name w:val="正文首行缩进 2 字符2"/>
    <w:autoRedefine/>
    <w:semiHidden/>
    <w:qFormat/>
    <w:uiPriority w:val="99"/>
    <w:rPr>
      <w:rFonts w:ascii="仿宋_GB2312" w:hAnsi="Times New Roman" w:eastAsia="仿宋_GB2312" w:cs="Times New Roman"/>
      <w:sz w:val="21"/>
      <w:szCs w:val="24"/>
      <w:lang w:val="zh-CN" w:eastAsia="zh-CN"/>
    </w:rPr>
  </w:style>
  <w:style w:type="character" w:customStyle="1" w:styleId="277">
    <w:name w:val="正文文本首行缩进 2 字符1"/>
    <w:basedOn w:val="225"/>
    <w:link w:val="43"/>
    <w:autoRedefine/>
    <w:semiHidden/>
    <w:qFormat/>
    <w:uiPriority w:val="99"/>
    <w:rPr>
      <w:rFonts w:ascii="Times New Roman" w:hAnsi="Times New Roman" w:eastAsia="宋体" w:cs="Times New Roman"/>
      <w:szCs w:val="24"/>
    </w:rPr>
  </w:style>
  <w:style w:type="paragraph" w:customStyle="1" w:styleId="278">
    <w:name w:val="标题 21"/>
    <w:basedOn w:val="1"/>
    <w:next w:val="1"/>
    <w:autoRedefine/>
    <w:qFormat/>
    <w:uiPriority w:val="0"/>
    <w:pPr>
      <w:keepNext/>
      <w:keepLines/>
      <w:spacing w:before="260" w:after="260" w:line="416" w:lineRule="auto"/>
    </w:pPr>
    <w:rPr>
      <w:rFonts w:ascii="Arial" w:hAnsi="Arial" w:eastAsia="黑体" w:cs="Times New Roman"/>
      <w:b/>
      <w:bCs/>
      <w:sz w:val="32"/>
      <w:szCs w:val="32"/>
    </w:rPr>
  </w:style>
  <w:style w:type="paragraph" w:customStyle="1" w:styleId="279">
    <w:name w:val="列表段落1"/>
    <w:basedOn w:val="1"/>
    <w:autoRedefine/>
    <w:qFormat/>
    <w:uiPriority w:val="0"/>
    <w:pPr>
      <w:ind w:firstLine="200"/>
    </w:pPr>
  </w:style>
  <w:style w:type="character" w:customStyle="1" w:styleId="280">
    <w:name w:val="font21"/>
    <w:basedOn w:val="46"/>
    <w:autoRedefine/>
    <w:qFormat/>
    <w:uiPriority w:val="0"/>
    <w:rPr>
      <w:rFonts w:hint="eastAsia" w:ascii="等线" w:hAnsi="等线" w:eastAsia="等线" w:cs="等线"/>
      <w:color w:val="000000"/>
      <w:sz w:val="20"/>
      <w:szCs w:val="20"/>
      <w:u w:val="none"/>
    </w:rPr>
  </w:style>
  <w:style w:type="character" w:customStyle="1" w:styleId="281">
    <w:name w:val="font31"/>
    <w:basedOn w:val="46"/>
    <w:autoRedefine/>
    <w:qFormat/>
    <w:uiPriority w:val="0"/>
    <w:rPr>
      <w:rFonts w:hint="eastAsia" w:ascii="等线" w:hAnsi="等线" w:eastAsia="等线" w:cs="等线"/>
      <w:b/>
      <w:bCs/>
      <w:color w:val="000000"/>
      <w:sz w:val="20"/>
      <w:szCs w:val="20"/>
      <w:u w:val="none"/>
    </w:rPr>
  </w:style>
  <w:style w:type="character" w:customStyle="1" w:styleId="282">
    <w:name w:val="font41"/>
    <w:basedOn w:val="46"/>
    <w:autoRedefine/>
    <w:qFormat/>
    <w:uiPriority w:val="0"/>
    <w:rPr>
      <w:rFonts w:hint="default" w:ascii="Times New Roman" w:hAnsi="Times New Roman" w:cs="Times New Roman"/>
      <w:color w:val="000000"/>
      <w:sz w:val="20"/>
      <w:szCs w:val="20"/>
      <w:u w:val="none"/>
    </w:rPr>
  </w:style>
  <w:style w:type="paragraph" w:customStyle="1" w:styleId="283">
    <w:name w:val="样式 标题 2 + 宋体"/>
    <w:basedOn w:val="3"/>
    <w:autoRedefine/>
    <w:qFormat/>
    <w:uiPriority w:val="99"/>
    <w:rPr>
      <w:rFonts w:ascii="宋体" w:hAnsi="宋体"/>
      <w:sz w:val="30"/>
    </w:rPr>
  </w:style>
  <w:style w:type="paragraph" w:customStyle="1" w:styleId="284">
    <w:name w:val="Heading2"/>
    <w:basedOn w:val="1"/>
    <w:next w:val="1"/>
    <w:autoRedefine/>
    <w:qFormat/>
    <w:uiPriority w:val="0"/>
    <w:pPr>
      <w:keepNext/>
      <w:keepLines/>
      <w:spacing w:before="260" w:after="260" w:line="416" w:lineRule="auto"/>
    </w:pPr>
    <w:rPr>
      <w:rFonts w:ascii="Arial" w:hAnsi="Arial" w:eastAsia="黑体" w:cs="Times New Roman"/>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Arial"/>
      </a:majorFont>
      <a:minorFont>
        <a:latin typeface="Calibri"/>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104</Pages>
  <Words>4465</Words>
  <Characters>5149</Characters>
  <Lines>455</Lines>
  <Paragraphs>128</Paragraphs>
  <TotalTime>3</TotalTime>
  <ScaleCrop>false</ScaleCrop>
  <LinksUpToDate>false</LinksUpToDate>
  <CharactersWithSpaces>5208</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2026-06-15T09:30:00Z</dcterms:created>
  <dc:creator>个人用户</dc:creator>
  <cp:lastModifiedBy>韦雯思</cp:lastModifiedBy>
  <dcterms:modified xsi:type="dcterms:W3CDTF">2026-07-08T10:31:01Z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5588CDC2E6514BB8844C97573677CB84_13</vt:lpwstr>
  </property>
  <property fmtid="{D5CDD505-2E9C-101B-9397-08002B2CF9AE}" pid="4" name="KSOTemplateDocerSaveRecord">
    <vt:lpwstr>eyJoZGlkIjoiY2ZlMGQxNDg1MjQ0NDIzNmU5MTUxOTI1ODBjODk1ZjMiLCJ1c2VySWQiOiIzNzg0ODkwMzkifQ==</vt:lpwstr>
  </property>
</Properties>
</file>