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6A148A">
      <w:pPr>
        <w:spacing w:before="156" w:beforeLines="50" w:line="360" w:lineRule="auto"/>
        <w:jc w:val="center"/>
        <w:rPr>
          <w:rFonts w:hint="eastAsia" w:ascii="仿宋_GB2312" w:hAnsi="宋体" w:eastAsia="仿宋_GB2312" w:cs="Times New Roman"/>
          <w:b/>
          <w:bCs/>
          <w:color w:val="auto"/>
          <w:sz w:val="32"/>
          <w:szCs w:val="32"/>
          <w:highlight w:val="none"/>
        </w:rPr>
      </w:pPr>
    </w:p>
    <w:p w14:paraId="6EAC5B16">
      <w:pPr>
        <w:spacing w:before="156" w:beforeLines="50" w:line="360" w:lineRule="auto"/>
        <w:jc w:val="center"/>
        <w:rPr>
          <w:rFonts w:hint="eastAsia" w:ascii="宋体" w:hAnsi="宋体" w:eastAsia="宋体" w:cs="宋体"/>
          <w:color w:val="auto"/>
          <w:sz w:val="52"/>
          <w:szCs w:val="52"/>
          <w:highlight w:val="none"/>
        </w:rPr>
      </w:pPr>
      <w:r>
        <w:rPr>
          <w:rFonts w:hint="eastAsia" w:ascii="仿宋_GB2312" w:hAnsi="宋体" w:eastAsia="仿宋_GB2312" w:cs="Times New Roman"/>
          <w:b/>
          <w:bCs/>
          <w:color w:val="auto"/>
          <w:sz w:val="72"/>
          <w:szCs w:val="72"/>
          <w:highlight w:val="none"/>
        </w:rPr>
        <w:t>广西科联招标中心有限公司</w:t>
      </w:r>
    </w:p>
    <w:p w14:paraId="225A8A5F">
      <w:pPr>
        <w:snapToGrid w:val="0"/>
        <w:spacing w:before="156" w:beforeLines="50" w:line="360" w:lineRule="auto"/>
        <w:jc w:val="center"/>
        <w:rPr>
          <w:rFonts w:hint="eastAsia" w:ascii="宋体" w:hAnsi="宋体" w:eastAsia="宋体" w:cs="宋体"/>
          <w:color w:val="auto"/>
          <w:sz w:val="36"/>
          <w:szCs w:val="36"/>
          <w:highlight w:val="none"/>
        </w:rPr>
      </w:pPr>
    </w:p>
    <w:p w14:paraId="6B4804DB">
      <w:pPr>
        <w:snapToGrid w:val="0"/>
        <w:spacing w:before="156" w:beforeLines="50"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72"/>
          <w:szCs w:val="72"/>
          <w:highlight w:val="none"/>
        </w:rPr>
        <w:t>竞争性谈判文件</w:t>
      </w:r>
    </w:p>
    <w:p w14:paraId="46FE436A">
      <w:pPr>
        <w:spacing w:before="312" w:beforeLines="100" w:after="156" w:afterLines="5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（全流程电子化评标）</w:t>
      </w:r>
    </w:p>
    <w:p w14:paraId="2D5D131F">
      <w:pPr>
        <w:spacing w:line="360" w:lineRule="auto"/>
        <w:jc w:val="center"/>
        <w:rPr>
          <w:rFonts w:hint="eastAsia" w:ascii="宋体" w:hAnsi="宋体" w:eastAsia="宋体" w:cs="宋体"/>
          <w:b/>
          <w:color w:val="auto"/>
          <w:sz w:val="32"/>
          <w:szCs w:val="32"/>
          <w:highlight w:val="none"/>
        </w:rPr>
      </w:pPr>
    </w:p>
    <w:p w14:paraId="0EE3005C">
      <w:pPr>
        <w:spacing w:line="360" w:lineRule="auto"/>
        <w:jc w:val="center"/>
        <w:rPr>
          <w:rFonts w:hint="eastAsia" w:ascii="宋体" w:hAnsi="宋体" w:eastAsia="宋体" w:cs="宋体"/>
          <w:b/>
          <w:color w:val="auto"/>
          <w:sz w:val="32"/>
          <w:szCs w:val="32"/>
          <w:highlight w:val="none"/>
        </w:rPr>
      </w:pPr>
    </w:p>
    <w:p w14:paraId="44DB5F15">
      <w:pPr>
        <w:snapToGrid w:val="0"/>
        <w:spacing w:before="50" w:after="120" w:line="360" w:lineRule="auto"/>
        <w:jc w:val="center"/>
        <w:rPr>
          <w:rFonts w:hint="eastAsia"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lang w:val="zh-CN"/>
        </w:rPr>
        <w:t>项目</w:t>
      </w:r>
      <w:r>
        <w:rPr>
          <w:rFonts w:hint="eastAsia" w:ascii="宋体" w:hAnsi="宋体" w:eastAsia="宋体" w:cs="宋体"/>
          <w:b/>
          <w:bCs/>
          <w:color w:val="auto"/>
          <w:w w:val="95"/>
          <w:kern w:val="0"/>
          <w:sz w:val="30"/>
          <w:szCs w:val="30"/>
          <w:highlight w:val="none"/>
          <w:lang w:val="zh-CN"/>
        </w:rPr>
        <w:t>名称</w:t>
      </w:r>
      <w:r>
        <w:rPr>
          <w:rFonts w:hint="eastAsia" w:ascii="宋体" w:hAnsi="宋体" w:eastAsia="宋体" w:cs="宋体"/>
          <w:b/>
          <w:bCs/>
          <w:color w:val="auto"/>
          <w:kern w:val="0"/>
          <w:sz w:val="30"/>
          <w:szCs w:val="30"/>
          <w:highlight w:val="none"/>
          <w:lang w:val="zh-CN"/>
        </w:rPr>
        <w:t>：</w:t>
      </w:r>
      <w:r>
        <w:rPr>
          <w:rFonts w:hint="eastAsia" w:ascii="宋体" w:hAnsi="宋体" w:eastAsia="宋体" w:cs="宋体"/>
          <w:b/>
          <w:bCs/>
          <w:color w:val="auto"/>
          <w:kern w:val="0"/>
          <w:sz w:val="30"/>
          <w:szCs w:val="30"/>
          <w:highlight w:val="none"/>
        </w:rPr>
        <w:t>演播室配套供配电设施升级优化项目</w:t>
      </w:r>
    </w:p>
    <w:p w14:paraId="2D30A60A">
      <w:pPr>
        <w:snapToGrid w:val="0"/>
        <w:spacing w:before="156" w:beforeLines="50" w:line="360" w:lineRule="auto"/>
        <w:jc w:val="center"/>
        <w:rPr>
          <w:rFonts w:hint="eastAsia" w:ascii="宋体" w:hAnsi="宋体" w:eastAsia="宋体" w:cs="宋体"/>
          <w:b/>
          <w:color w:val="auto"/>
          <w:sz w:val="30"/>
          <w:szCs w:val="48"/>
          <w:highlight w:val="none"/>
        </w:rPr>
      </w:pPr>
      <w:r>
        <w:rPr>
          <w:rFonts w:hint="eastAsia" w:ascii="宋体" w:hAnsi="宋体" w:eastAsia="宋体" w:cs="宋体"/>
          <w:b/>
          <w:bCs/>
          <w:color w:val="auto"/>
          <w:w w:val="95"/>
          <w:sz w:val="30"/>
          <w:szCs w:val="30"/>
          <w:highlight w:val="none"/>
        </w:rPr>
        <w:t>项目</w:t>
      </w:r>
      <w:r>
        <w:rPr>
          <w:rFonts w:hint="eastAsia" w:ascii="宋体" w:hAnsi="宋体" w:eastAsia="宋体" w:cs="宋体"/>
          <w:b/>
          <w:bCs/>
          <w:color w:val="auto"/>
          <w:sz w:val="30"/>
          <w:szCs w:val="30"/>
          <w:highlight w:val="none"/>
        </w:rPr>
        <w:t>编号</w:t>
      </w:r>
      <w:r>
        <w:rPr>
          <w:rFonts w:hint="eastAsia" w:ascii="宋体" w:hAnsi="宋体" w:eastAsia="宋体" w:cs="宋体"/>
          <w:b/>
          <w:bCs/>
          <w:color w:val="auto"/>
          <w:w w:val="95"/>
          <w:sz w:val="30"/>
          <w:szCs w:val="30"/>
          <w:highlight w:val="none"/>
        </w:rPr>
        <w:t>：</w:t>
      </w:r>
      <w:r>
        <w:rPr>
          <w:rFonts w:hint="eastAsia" w:ascii="宋体" w:hAnsi="宋体" w:eastAsia="宋体" w:cs="宋体"/>
          <w:b/>
          <w:color w:val="auto"/>
          <w:sz w:val="30"/>
          <w:szCs w:val="48"/>
          <w:highlight w:val="none"/>
        </w:rPr>
        <w:t>GXZC2026-J1-002061-GXKL</w:t>
      </w:r>
    </w:p>
    <w:p w14:paraId="5F89045C">
      <w:pPr>
        <w:snapToGrid w:val="0"/>
        <w:spacing w:before="50" w:after="120" w:line="360" w:lineRule="auto"/>
        <w:jc w:val="center"/>
        <w:rPr>
          <w:rFonts w:hint="eastAsia" w:ascii="宋体" w:hAnsi="宋体" w:eastAsia="宋体" w:cs="宋体"/>
          <w:b/>
          <w:bCs/>
          <w:color w:val="auto"/>
          <w:w w:val="95"/>
          <w:kern w:val="0"/>
          <w:sz w:val="30"/>
          <w:szCs w:val="30"/>
          <w:highlight w:val="none"/>
          <w:lang w:val="zh-CN"/>
        </w:rPr>
      </w:pPr>
    </w:p>
    <w:p w14:paraId="2DEFE764">
      <w:pPr>
        <w:snapToGrid w:val="0"/>
        <w:spacing w:before="50" w:after="120" w:line="360" w:lineRule="auto"/>
        <w:jc w:val="center"/>
        <w:rPr>
          <w:rFonts w:hint="eastAsia" w:ascii="宋体" w:hAnsi="宋体" w:eastAsia="宋体" w:cs="宋体"/>
          <w:b/>
          <w:bCs/>
          <w:color w:val="auto"/>
          <w:w w:val="95"/>
          <w:kern w:val="0"/>
          <w:sz w:val="30"/>
          <w:szCs w:val="30"/>
          <w:highlight w:val="none"/>
          <w:lang w:val="zh-CN"/>
        </w:rPr>
      </w:pPr>
    </w:p>
    <w:p w14:paraId="4351E178">
      <w:pPr>
        <w:snapToGrid w:val="0"/>
        <w:spacing w:before="50" w:after="120" w:line="360" w:lineRule="auto"/>
        <w:jc w:val="center"/>
        <w:rPr>
          <w:rFonts w:hint="eastAsia" w:ascii="宋体" w:hAnsi="宋体" w:eastAsia="宋体" w:cs="宋体"/>
          <w:b/>
          <w:bCs/>
          <w:color w:val="auto"/>
          <w:w w:val="95"/>
          <w:kern w:val="0"/>
          <w:sz w:val="30"/>
          <w:szCs w:val="30"/>
          <w:highlight w:val="none"/>
          <w:lang w:val="zh-CN"/>
        </w:rPr>
      </w:pPr>
    </w:p>
    <w:p w14:paraId="2A9F0644">
      <w:pPr>
        <w:snapToGrid w:val="0"/>
        <w:spacing w:before="50" w:after="120" w:line="360" w:lineRule="auto"/>
        <w:jc w:val="center"/>
        <w:rPr>
          <w:rFonts w:hint="eastAsia" w:ascii="宋体" w:hAnsi="宋体" w:eastAsia="宋体" w:cs="宋体"/>
          <w:b/>
          <w:bCs/>
          <w:color w:val="auto"/>
          <w:w w:val="95"/>
          <w:kern w:val="0"/>
          <w:sz w:val="30"/>
          <w:szCs w:val="30"/>
          <w:highlight w:val="none"/>
          <w:lang w:val="zh-CN"/>
        </w:rPr>
      </w:pPr>
      <w:r>
        <w:rPr>
          <w:rFonts w:hint="eastAsia" w:ascii="宋体" w:hAnsi="宋体" w:eastAsia="宋体" w:cs="宋体"/>
          <w:b/>
          <w:bCs/>
          <w:color w:val="auto"/>
          <w:w w:val="95"/>
          <w:kern w:val="0"/>
          <w:sz w:val="30"/>
          <w:szCs w:val="30"/>
          <w:highlight w:val="none"/>
          <w:lang w:val="zh-CN"/>
        </w:rPr>
        <w:t>采购人：广西广播电视台</w:t>
      </w:r>
    </w:p>
    <w:p w14:paraId="66239B89">
      <w:pPr>
        <w:snapToGrid w:val="0"/>
        <w:spacing w:before="50" w:after="120" w:line="360" w:lineRule="auto"/>
        <w:jc w:val="center"/>
        <w:rPr>
          <w:rFonts w:hint="eastAsia" w:ascii="宋体" w:hAnsi="宋体" w:eastAsia="宋体" w:cs="宋体"/>
          <w:b/>
          <w:bCs/>
          <w:color w:val="auto"/>
          <w:w w:val="95"/>
          <w:kern w:val="0"/>
          <w:sz w:val="30"/>
          <w:szCs w:val="30"/>
          <w:highlight w:val="none"/>
          <w:lang w:val="zh-CN"/>
        </w:rPr>
      </w:pPr>
      <w:r>
        <w:rPr>
          <w:rFonts w:hint="eastAsia" w:ascii="宋体" w:hAnsi="宋体" w:eastAsia="宋体" w:cs="宋体"/>
          <w:b/>
          <w:bCs/>
          <w:color w:val="auto"/>
          <w:w w:val="95"/>
          <w:kern w:val="0"/>
          <w:sz w:val="30"/>
          <w:szCs w:val="30"/>
          <w:highlight w:val="none"/>
          <w:lang w:val="zh-CN"/>
        </w:rPr>
        <w:t>采购代理机构：</w:t>
      </w:r>
      <w:bookmarkStart w:id="0" w:name="PO_3000001866_PM031"/>
      <w:r>
        <w:rPr>
          <w:rFonts w:hint="eastAsia" w:ascii="宋体" w:hAnsi="宋体" w:eastAsia="宋体" w:cs="宋体"/>
          <w:b/>
          <w:bCs/>
          <w:color w:val="auto"/>
          <w:w w:val="95"/>
          <w:kern w:val="0"/>
          <w:sz w:val="30"/>
          <w:szCs w:val="30"/>
          <w:highlight w:val="none"/>
          <w:lang w:val="zh-CN"/>
        </w:rPr>
        <w:t>广西科联招标中心有限公司</w:t>
      </w:r>
      <w:bookmarkEnd w:id="0"/>
    </w:p>
    <w:p w14:paraId="2E6691B2">
      <w:pPr>
        <w:spacing w:line="360" w:lineRule="auto"/>
        <w:jc w:val="center"/>
        <w:rPr>
          <w:rFonts w:hint="eastAsia" w:ascii="宋体" w:hAnsi="宋体" w:eastAsia="宋体" w:cs="宋体"/>
          <w:b/>
          <w:color w:val="auto"/>
          <w:sz w:val="32"/>
          <w:szCs w:val="32"/>
          <w:highlight w:val="none"/>
        </w:rPr>
      </w:pPr>
    </w:p>
    <w:p w14:paraId="56575BB2">
      <w:pPr>
        <w:spacing w:line="360" w:lineRule="auto"/>
        <w:jc w:val="cente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2026年</w:t>
      </w:r>
      <w:r>
        <w:rPr>
          <w:rFonts w:hint="eastAsia" w:ascii="宋体" w:hAnsi="宋体" w:eastAsia="宋体" w:cs="宋体"/>
          <w:b/>
          <w:color w:val="auto"/>
          <w:sz w:val="32"/>
          <w:szCs w:val="32"/>
          <w:highlight w:val="none"/>
          <w:lang w:eastAsia="zh-CN"/>
        </w:rPr>
        <w:t>6月30日</w:t>
      </w:r>
    </w:p>
    <w:p w14:paraId="2D703EDA">
      <w:pPr>
        <w:jc w:val="center"/>
        <w:rPr>
          <w:rFonts w:hint="eastAsia" w:ascii="宋体" w:hAnsi="宋体" w:eastAsia="宋体" w:cs="宋体"/>
          <w:b/>
          <w:color w:val="auto"/>
          <w:sz w:val="32"/>
          <w:szCs w:val="32"/>
          <w:highlight w:val="none"/>
          <w:lang w:val="zh-CN"/>
        </w:rPr>
      </w:pPr>
    </w:p>
    <w:p w14:paraId="25DAC2F8">
      <w:pPr>
        <w:jc w:val="center"/>
        <w:rPr>
          <w:rFonts w:hint="eastAsia" w:ascii="宋体" w:hAnsi="宋体" w:eastAsia="宋体" w:cs="宋体"/>
          <w:b/>
          <w:color w:val="auto"/>
          <w:sz w:val="32"/>
          <w:szCs w:val="32"/>
          <w:highlight w:val="none"/>
          <w:lang w:val="zh-CN"/>
        </w:rPr>
        <w:sectPr>
          <w:headerReference r:id="rId4" w:type="first"/>
          <w:footerReference r:id="rId6" w:type="first"/>
          <w:headerReference r:id="rId3" w:type="default"/>
          <w:footerReference r:id="rId5" w:type="default"/>
          <w:pgSz w:w="11906" w:h="16838"/>
          <w:pgMar w:top="1134" w:right="1134" w:bottom="1134" w:left="1134" w:header="851" w:footer="992" w:gutter="0"/>
          <w:pgNumType w:start="0"/>
          <w:cols w:space="720" w:num="1"/>
          <w:titlePg/>
          <w:docGrid w:type="lines" w:linePitch="312" w:charSpace="0"/>
        </w:sectPr>
      </w:pPr>
    </w:p>
    <w:p w14:paraId="2E0E6281">
      <w:pPr>
        <w:spacing w:line="400" w:lineRule="exact"/>
        <w:jc w:val="left"/>
        <w:rPr>
          <w:rFonts w:hint="eastAsia" w:ascii="宋体" w:hAnsi="宋体" w:eastAsia="宋体" w:cs="Times New Roman"/>
          <w:b/>
          <w:color w:val="auto"/>
          <w:sz w:val="32"/>
          <w:szCs w:val="32"/>
          <w:highlight w:val="none"/>
        </w:rPr>
      </w:pPr>
    </w:p>
    <w:p w14:paraId="66D5EDDB">
      <w:pPr>
        <w:spacing w:line="360" w:lineRule="auto"/>
        <w:jc w:val="center"/>
        <w:rPr>
          <w:rFonts w:hint="eastAsia" w:ascii="宋体" w:hAnsi="宋体" w:eastAsia="宋体" w:cs="Times New Roman"/>
          <w:b/>
          <w:color w:val="auto"/>
          <w:sz w:val="44"/>
          <w:szCs w:val="44"/>
          <w:highlight w:val="none"/>
        </w:rPr>
      </w:pPr>
      <w:r>
        <w:rPr>
          <w:rFonts w:hint="eastAsia" w:ascii="宋体" w:hAnsi="宋体" w:eastAsia="宋体" w:cs="Times New Roman"/>
          <w:b/>
          <w:color w:val="auto"/>
          <w:sz w:val="44"/>
          <w:szCs w:val="44"/>
          <w:highlight w:val="none"/>
        </w:rPr>
        <w:t>目   录</w:t>
      </w:r>
    </w:p>
    <w:p w14:paraId="2E46A05B">
      <w:pPr>
        <w:spacing w:line="400" w:lineRule="exact"/>
        <w:jc w:val="center"/>
        <w:rPr>
          <w:rFonts w:hint="eastAsia" w:ascii="宋体" w:hAnsi="宋体" w:eastAsia="宋体" w:cs="Times New Roman"/>
          <w:b/>
          <w:color w:val="auto"/>
          <w:sz w:val="44"/>
          <w:szCs w:val="44"/>
          <w:highlight w:val="none"/>
        </w:rPr>
      </w:pPr>
    </w:p>
    <w:p w14:paraId="7ADD94B2">
      <w:pPr>
        <w:pStyle w:val="24"/>
        <w:tabs>
          <w:tab w:val="right" w:leader="dot" w:pos="8879"/>
        </w:tabs>
        <w:rPr>
          <w:rFonts w:hint="eastAsia" w:ascii="宋体" w:hAnsi="宋体" w:eastAsia="宋体" w:cs="宋体"/>
          <w:b/>
          <w:color w:val="auto"/>
          <w:sz w:val="28"/>
          <w:szCs w:val="28"/>
          <w:highlight w:val="none"/>
        </w:rPr>
      </w:pPr>
    </w:p>
    <w:p w14:paraId="11EE11F3">
      <w:pPr>
        <w:pStyle w:val="24"/>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TOC \o "1-1" \h \u </w:instrText>
      </w:r>
      <w:r>
        <w:rPr>
          <w:rFonts w:hint="eastAsia" w:ascii="宋体" w:hAnsi="宋体" w:eastAsia="宋体" w:cs="宋体"/>
          <w:b/>
          <w:color w:val="auto"/>
          <w:sz w:val="28"/>
          <w:szCs w:val="28"/>
          <w:highlight w:val="none"/>
        </w:rPr>
        <w:fldChar w:fldCharType="separate"/>
      </w:r>
      <w:r>
        <w:rPr>
          <w:color w:val="auto"/>
          <w:highlight w:val="none"/>
        </w:rPr>
        <w:fldChar w:fldCharType="begin"/>
      </w:r>
      <w:r>
        <w:rPr>
          <w:color w:val="auto"/>
          <w:highlight w:val="none"/>
        </w:rPr>
        <w:instrText xml:space="preserve"> HYPERLINK \l "_Toc28468" </w:instrText>
      </w:r>
      <w:r>
        <w:rPr>
          <w:color w:val="auto"/>
          <w:highlight w:val="none"/>
        </w:rPr>
        <w:fldChar w:fldCharType="separate"/>
      </w:r>
      <w:r>
        <w:rPr>
          <w:rFonts w:hint="eastAsia" w:ascii="宋体" w:hAnsi="宋体" w:eastAsia="宋体" w:cs="宋体"/>
          <w:b/>
          <w:bCs/>
          <w:color w:val="auto"/>
          <w:kern w:val="44"/>
          <w:sz w:val="28"/>
          <w:szCs w:val="28"/>
          <w:highlight w:val="none"/>
          <w:lang w:val="zh-CN"/>
        </w:rPr>
        <w:t xml:space="preserve">第一章 </w:t>
      </w:r>
      <w:r>
        <w:rPr>
          <w:rFonts w:hint="eastAsia" w:ascii="宋体" w:hAnsi="宋体" w:eastAsia="宋体" w:cs="宋体"/>
          <w:b/>
          <w:bCs/>
          <w:color w:val="auto"/>
          <w:kern w:val="44"/>
          <w:sz w:val="28"/>
          <w:szCs w:val="28"/>
          <w:highlight w:val="none"/>
        </w:rPr>
        <w:t xml:space="preserve"> </w:t>
      </w:r>
      <w:r>
        <w:rPr>
          <w:rFonts w:hint="eastAsia" w:ascii="宋体" w:hAnsi="宋体" w:eastAsia="宋体" w:cs="宋体"/>
          <w:b/>
          <w:bCs/>
          <w:color w:val="auto"/>
          <w:kern w:val="44"/>
          <w:sz w:val="28"/>
          <w:szCs w:val="28"/>
          <w:highlight w:val="none"/>
          <w:lang w:val="zh-CN"/>
        </w:rPr>
        <w:t>竞争性谈判公告</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_Toc28468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2</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5C989690">
      <w:pPr>
        <w:pStyle w:val="24"/>
        <w:tabs>
          <w:tab w:val="right" w:leader="dot" w:pos="8879"/>
        </w:tabs>
        <w:spacing w:line="600" w:lineRule="auto"/>
        <w:rPr>
          <w:rFonts w:hint="eastAsia" w:ascii="宋体" w:hAnsi="宋体" w:eastAsia="宋体" w:cs="宋体"/>
          <w:b/>
          <w:bCs/>
          <w:color w:val="auto"/>
          <w:sz w:val="28"/>
          <w:szCs w:val="28"/>
          <w:highlight w:val="none"/>
        </w:rPr>
      </w:pPr>
      <w:r>
        <w:rPr>
          <w:color w:val="auto"/>
          <w:highlight w:val="none"/>
        </w:rPr>
        <w:fldChar w:fldCharType="begin"/>
      </w:r>
      <w:r>
        <w:rPr>
          <w:color w:val="auto"/>
          <w:highlight w:val="none"/>
        </w:rPr>
        <w:instrText xml:space="preserve"> HYPERLINK \l "_Toc7676" </w:instrText>
      </w:r>
      <w:r>
        <w:rPr>
          <w:color w:val="auto"/>
          <w:highlight w:val="none"/>
        </w:rPr>
        <w:fldChar w:fldCharType="separate"/>
      </w:r>
      <w:r>
        <w:rPr>
          <w:rFonts w:hint="eastAsia" w:ascii="宋体" w:hAnsi="宋体" w:eastAsia="宋体" w:cs="宋体"/>
          <w:b/>
          <w:bCs/>
          <w:color w:val="auto"/>
          <w:kern w:val="44"/>
          <w:sz w:val="28"/>
          <w:szCs w:val="28"/>
          <w:highlight w:val="none"/>
          <w:lang w:val="zh-CN"/>
        </w:rPr>
        <w:t xml:space="preserve">第二章 </w:t>
      </w:r>
      <w:r>
        <w:rPr>
          <w:rFonts w:hint="eastAsia" w:ascii="宋体" w:hAnsi="宋体" w:eastAsia="宋体" w:cs="宋体"/>
          <w:b/>
          <w:bCs/>
          <w:color w:val="auto"/>
          <w:kern w:val="44"/>
          <w:sz w:val="28"/>
          <w:szCs w:val="28"/>
          <w:highlight w:val="none"/>
        </w:rPr>
        <w:t xml:space="preserve"> </w:t>
      </w:r>
      <w:r>
        <w:rPr>
          <w:rFonts w:hint="eastAsia" w:ascii="宋体" w:hAnsi="宋体" w:eastAsia="宋体" w:cs="宋体"/>
          <w:b/>
          <w:bCs/>
          <w:color w:val="auto"/>
          <w:kern w:val="44"/>
          <w:sz w:val="28"/>
          <w:szCs w:val="28"/>
          <w:highlight w:val="none"/>
          <w:lang w:val="zh-CN"/>
        </w:rPr>
        <w:t>采购需求</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_Toc7676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5</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21740892">
      <w:pPr>
        <w:pStyle w:val="24"/>
        <w:tabs>
          <w:tab w:val="right" w:leader="dot" w:pos="8879"/>
        </w:tabs>
        <w:spacing w:line="600" w:lineRule="auto"/>
        <w:rPr>
          <w:rFonts w:hint="eastAsia" w:ascii="宋体" w:hAnsi="宋体" w:eastAsia="宋体" w:cs="宋体"/>
          <w:b/>
          <w:bCs/>
          <w:color w:val="auto"/>
          <w:sz w:val="28"/>
          <w:szCs w:val="28"/>
          <w:highlight w:val="none"/>
        </w:rPr>
      </w:pPr>
      <w:r>
        <w:rPr>
          <w:color w:val="auto"/>
          <w:highlight w:val="none"/>
        </w:rPr>
        <w:fldChar w:fldCharType="begin"/>
      </w:r>
      <w:r>
        <w:rPr>
          <w:color w:val="auto"/>
          <w:highlight w:val="none"/>
        </w:rPr>
        <w:instrText xml:space="preserve"> HYPERLINK \l "_Toc16363" </w:instrText>
      </w:r>
      <w:r>
        <w:rPr>
          <w:color w:val="auto"/>
          <w:highlight w:val="none"/>
        </w:rPr>
        <w:fldChar w:fldCharType="separate"/>
      </w:r>
      <w:r>
        <w:rPr>
          <w:rFonts w:hint="eastAsia" w:ascii="宋体" w:hAnsi="宋体" w:eastAsia="宋体" w:cs="宋体"/>
          <w:b/>
          <w:bCs/>
          <w:color w:val="auto"/>
          <w:kern w:val="44"/>
          <w:sz w:val="28"/>
          <w:szCs w:val="28"/>
          <w:highlight w:val="none"/>
          <w:lang w:val="zh-CN"/>
        </w:rPr>
        <w:t xml:space="preserve">第三章 </w:t>
      </w:r>
      <w:r>
        <w:rPr>
          <w:rFonts w:hint="eastAsia" w:ascii="宋体" w:hAnsi="宋体" w:eastAsia="宋体" w:cs="宋体"/>
          <w:b/>
          <w:bCs/>
          <w:color w:val="auto"/>
          <w:kern w:val="44"/>
          <w:sz w:val="28"/>
          <w:szCs w:val="28"/>
          <w:highlight w:val="none"/>
        </w:rPr>
        <w:t xml:space="preserve"> </w:t>
      </w:r>
      <w:r>
        <w:rPr>
          <w:rFonts w:hint="eastAsia" w:ascii="宋体" w:hAnsi="宋体" w:eastAsia="宋体" w:cs="宋体"/>
          <w:b/>
          <w:bCs/>
          <w:color w:val="auto"/>
          <w:kern w:val="44"/>
          <w:sz w:val="28"/>
          <w:szCs w:val="28"/>
          <w:highlight w:val="none"/>
          <w:lang w:val="zh-CN"/>
        </w:rPr>
        <w:t>供应商须知</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_Toc16363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35</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1AB4550C">
      <w:pPr>
        <w:pStyle w:val="24"/>
        <w:tabs>
          <w:tab w:val="right" w:leader="dot" w:pos="8879"/>
        </w:tabs>
        <w:spacing w:line="600" w:lineRule="auto"/>
        <w:rPr>
          <w:rFonts w:hint="eastAsia" w:ascii="宋体" w:hAnsi="宋体" w:eastAsia="宋体" w:cs="宋体"/>
          <w:b/>
          <w:bCs/>
          <w:color w:val="auto"/>
          <w:sz w:val="28"/>
          <w:szCs w:val="28"/>
          <w:highlight w:val="none"/>
        </w:rPr>
      </w:pPr>
      <w:r>
        <w:rPr>
          <w:color w:val="auto"/>
          <w:highlight w:val="none"/>
        </w:rPr>
        <w:fldChar w:fldCharType="begin"/>
      </w:r>
      <w:r>
        <w:rPr>
          <w:color w:val="auto"/>
          <w:highlight w:val="none"/>
        </w:rPr>
        <w:instrText xml:space="preserve"> HYPERLINK \l "_Toc17139" </w:instrText>
      </w:r>
      <w:r>
        <w:rPr>
          <w:color w:val="auto"/>
          <w:highlight w:val="none"/>
        </w:rPr>
        <w:fldChar w:fldCharType="separate"/>
      </w:r>
      <w:r>
        <w:rPr>
          <w:rFonts w:hint="eastAsia" w:ascii="宋体" w:hAnsi="宋体" w:eastAsia="宋体" w:cs="宋体"/>
          <w:b/>
          <w:bCs/>
          <w:color w:val="auto"/>
          <w:sz w:val="28"/>
          <w:szCs w:val="28"/>
          <w:highlight w:val="none"/>
          <w:lang w:val="zh-CN"/>
        </w:rPr>
        <w:t xml:space="preserve">第四章 </w:t>
      </w:r>
      <w:r>
        <w:rPr>
          <w:rFonts w:hint="eastAsia" w:ascii="宋体" w:hAnsi="宋体" w:eastAsia="宋体" w:cs="宋体"/>
          <w:b/>
          <w:bCs/>
          <w:color w:val="auto"/>
          <w:sz w:val="28"/>
          <w:szCs w:val="28"/>
          <w:highlight w:val="none"/>
        </w:rPr>
        <w:t xml:space="preserve"> </w:t>
      </w:r>
      <w:r>
        <w:rPr>
          <w:rFonts w:hint="eastAsia" w:ascii="宋体" w:hAnsi="宋体" w:eastAsia="宋体" w:cs="宋体"/>
          <w:b/>
          <w:bCs/>
          <w:color w:val="auto"/>
          <w:sz w:val="28"/>
          <w:szCs w:val="28"/>
          <w:highlight w:val="none"/>
          <w:lang w:val="zh-CN"/>
        </w:rPr>
        <w:t>评审程序、评审方法和成交标准</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_Toc17139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54</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06A12734">
      <w:pPr>
        <w:pStyle w:val="24"/>
        <w:tabs>
          <w:tab w:val="right" w:leader="dot" w:pos="8879"/>
        </w:tabs>
        <w:spacing w:line="600" w:lineRule="auto"/>
        <w:rPr>
          <w:rFonts w:hint="eastAsia" w:ascii="宋体" w:hAnsi="宋体" w:eastAsia="宋体" w:cs="宋体"/>
          <w:b/>
          <w:bCs/>
          <w:color w:val="auto"/>
          <w:sz w:val="28"/>
          <w:szCs w:val="28"/>
          <w:highlight w:val="none"/>
        </w:rPr>
      </w:pPr>
      <w:r>
        <w:rPr>
          <w:color w:val="auto"/>
          <w:highlight w:val="none"/>
        </w:rPr>
        <w:fldChar w:fldCharType="begin"/>
      </w:r>
      <w:r>
        <w:rPr>
          <w:color w:val="auto"/>
          <w:highlight w:val="none"/>
        </w:rPr>
        <w:instrText xml:space="preserve"> HYPERLINK \l "_Toc25678" </w:instrText>
      </w:r>
      <w:r>
        <w:rPr>
          <w:color w:val="auto"/>
          <w:highlight w:val="none"/>
        </w:rPr>
        <w:fldChar w:fldCharType="separate"/>
      </w:r>
      <w:r>
        <w:rPr>
          <w:rFonts w:hint="eastAsia" w:ascii="宋体" w:hAnsi="宋体" w:eastAsia="宋体" w:cs="宋体"/>
          <w:b/>
          <w:bCs/>
          <w:color w:val="auto"/>
          <w:kern w:val="44"/>
          <w:sz w:val="28"/>
          <w:szCs w:val="28"/>
          <w:highlight w:val="none"/>
          <w:lang w:val="zh-CN"/>
        </w:rPr>
        <w:t xml:space="preserve">第五章 </w:t>
      </w:r>
      <w:r>
        <w:rPr>
          <w:rFonts w:hint="eastAsia" w:ascii="宋体" w:hAnsi="宋体" w:eastAsia="宋体" w:cs="宋体"/>
          <w:b/>
          <w:bCs/>
          <w:color w:val="auto"/>
          <w:kern w:val="44"/>
          <w:sz w:val="28"/>
          <w:szCs w:val="28"/>
          <w:highlight w:val="none"/>
        </w:rPr>
        <w:t xml:space="preserve"> </w:t>
      </w:r>
      <w:r>
        <w:rPr>
          <w:rFonts w:hint="eastAsia" w:ascii="宋体" w:hAnsi="宋体" w:eastAsia="宋体" w:cs="宋体"/>
          <w:b/>
          <w:bCs/>
          <w:color w:val="auto"/>
          <w:kern w:val="44"/>
          <w:sz w:val="28"/>
          <w:szCs w:val="28"/>
          <w:highlight w:val="none"/>
          <w:lang w:val="zh-CN"/>
        </w:rPr>
        <w:t>响应文件格式</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_Toc25678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60</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79BE2DC4">
      <w:pPr>
        <w:pStyle w:val="24"/>
        <w:tabs>
          <w:tab w:val="right" w:leader="dot" w:pos="8879"/>
        </w:tabs>
        <w:spacing w:line="600" w:lineRule="auto"/>
        <w:rPr>
          <w:rFonts w:hint="eastAsia" w:ascii="宋体" w:hAnsi="宋体" w:eastAsia="宋体" w:cs="宋体"/>
          <w:b/>
          <w:bCs/>
          <w:color w:val="auto"/>
          <w:sz w:val="28"/>
          <w:szCs w:val="28"/>
          <w:highlight w:val="none"/>
        </w:rPr>
      </w:pPr>
      <w:r>
        <w:rPr>
          <w:color w:val="auto"/>
          <w:highlight w:val="none"/>
        </w:rPr>
        <w:fldChar w:fldCharType="begin"/>
      </w:r>
      <w:r>
        <w:rPr>
          <w:color w:val="auto"/>
          <w:highlight w:val="none"/>
        </w:rPr>
        <w:instrText xml:space="preserve"> HYPERLINK \l "_Toc4631" </w:instrText>
      </w:r>
      <w:r>
        <w:rPr>
          <w:color w:val="auto"/>
          <w:highlight w:val="none"/>
        </w:rPr>
        <w:fldChar w:fldCharType="separate"/>
      </w:r>
      <w:r>
        <w:rPr>
          <w:rFonts w:hint="eastAsia" w:ascii="宋体" w:hAnsi="宋体" w:eastAsia="宋体" w:cs="宋体"/>
          <w:b/>
          <w:bCs/>
          <w:color w:val="auto"/>
          <w:kern w:val="44"/>
          <w:sz w:val="28"/>
          <w:szCs w:val="28"/>
          <w:highlight w:val="none"/>
          <w:lang w:val="zh-CN"/>
        </w:rPr>
        <w:t xml:space="preserve">第六章 </w:t>
      </w:r>
      <w:r>
        <w:rPr>
          <w:rFonts w:hint="eastAsia" w:ascii="宋体" w:hAnsi="宋体" w:eastAsia="宋体" w:cs="宋体"/>
          <w:b/>
          <w:bCs/>
          <w:color w:val="auto"/>
          <w:kern w:val="44"/>
          <w:sz w:val="28"/>
          <w:szCs w:val="28"/>
          <w:highlight w:val="none"/>
        </w:rPr>
        <w:t xml:space="preserve"> </w:t>
      </w:r>
      <w:r>
        <w:rPr>
          <w:rFonts w:hint="eastAsia" w:ascii="宋体" w:hAnsi="宋体" w:eastAsia="宋体" w:cs="宋体"/>
          <w:b/>
          <w:bCs/>
          <w:color w:val="auto"/>
          <w:kern w:val="44"/>
          <w:sz w:val="28"/>
          <w:szCs w:val="28"/>
          <w:highlight w:val="none"/>
          <w:lang w:val="zh-CN"/>
        </w:rPr>
        <w:t>合同文本</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_Toc4631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91</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295159FA">
      <w:pPr>
        <w:pStyle w:val="24"/>
        <w:tabs>
          <w:tab w:val="right" w:leader="dot" w:pos="8879"/>
        </w:tabs>
        <w:spacing w:line="600" w:lineRule="auto"/>
        <w:rPr>
          <w:rFonts w:hint="eastAsia" w:ascii="宋体" w:hAnsi="宋体" w:eastAsia="宋体" w:cs="宋体"/>
          <w:color w:val="auto"/>
          <w:sz w:val="28"/>
          <w:szCs w:val="28"/>
          <w:highlight w:val="none"/>
        </w:rPr>
      </w:pPr>
      <w:r>
        <w:rPr>
          <w:color w:val="auto"/>
          <w:highlight w:val="none"/>
        </w:rPr>
        <w:fldChar w:fldCharType="begin"/>
      </w:r>
      <w:r>
        <w:rPr>
          <w:color w:val="auto"/>
          <w:highlight w:val="none"/>
        </w:rPr>
        <w:instrText xml:space="preserve"> HYPERLINK \l "_Toc24483" </w:instrText>
      </w:r>
      <w:r>
        <w:rPr>
          <w:color w:val="auto"/>
          <w:highlight w:val="none"/>
        </w:rPr>
        <w:fldChar w:fldCharType="separate"/>
      </w:r>
      <w:r>
        <w:rPr>
          <w:rFonts w:hint="eastAsia" w:ascii="宋体" w:hAnsi="宋体" w:eastAsia="宋体" w:cs="宋体"/>
          <w:b/>
          <w:bCs/>
          <w:color w:val="auto"/>
          <w:kern w:val="44"/>
          <w:sz w:val="28"/>
          <w:szCs w:val="28"/>
          <w:highlight w:val="none"/>
          <w:lang w:val="zh-CN"/>
        </w:rPr>
        <w:t xml:space="preserve">第七章 </w:t>
      </w:r>
      <w:r>
        <w:rPr>
          <w:rFonts w:hint="eastAsia" w:ascii="宋体" w:hAnsi="宋体" w:eastAsia="宋体" w:cs="宋体"/>
          <w:b/>
          <w:bCs/>
          <w:color w:val="auto"/>
          <w:kern w:val="44"/>
          <w:sz w:val="28"/>
          <w:szCs w:val="28"/>
          <w:highlight w:val="none"/>
        </w:rPr>
        <w:t xml:space="preserve"> </w:t>
      </w:r>
      <w:r>
        <w:rPr>
          <w:rFonts w:hint="eastAsia" w:ascii="宋体" w:hAnsi="宋体" w:eastAsia="宋体" w:cs="宋体"/>
          <w:b/>
          <w:bCs/>
          <w:color w:val="auto"/>
          <w:kern w:val="44"/>
          <w:sz w:val="28"/>
          <w:szCs w:val="28"/>
          <w:highlight w:val="none"/>
          <w:lang w:val="zh-CN"/>
        </w:rPr>
        <w:t>质疑、投诉材料格式</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_Toc24483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100</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7B3E8CB5">
      <w:pPr>
        <w:spacing w:line="60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8"/>
          <w:szCs w:val="28"/>
          <w:highlight w:val="none"/>
        </w:rPr>
        <w:fldChar w:fldCharType="end"/>
      </w:r>
    </w:p>
    <w:p w14:paraId="24A204E7">
      <w:pPr>
        <w:spacing w:line="400" w:lineRule="exact"/>
        <w:jc w:val="center"/>
        <w:rPr>
          <w:rFonts w:hint="eastAsia" w:ascii="宋体" w:hAnsi="宋体" w:eastAsia="宋体" w:cs="Times New Roman"/>
          <w:b/>
          <w:color w:val="auto"/>
          <w:sz w:val="32"/>
          <w:szCs w:val="32"/>
          <w:highlight w:val="none"/>
        </w:rPr>
      </w:pPr>
    </w:p>
    <w:p w14:paraId="7A469DF5">
      <w:pPr>
        <w:spacing w:line="400" w:lineRule="exact"/>
        <w:jc w:val="center"/>
        <w:rPr>
          <w:rFonts w:hint="eastAsia" w:ascii="宋体" w:hAnsi="宋体" w:eastAsia="宋体" w:cs="Times New Roman"/>
          <w:b/>
          <w:color w:val="auto"/>
          <w:sz w:val="32"/>
          <w:szCs w:val="32"/>
          <w:highlight w:val="none"/>
        </w:rPr>
      </w:pPr>
    </w:p>
    <w:p w14:paraId="5AC21D11">
      <w:pPr>
        <w:spacing w:line="400" w:lineRule="exact"/>
        <w:rPr>
          <w:rFonts w:hint="eastAsia" w:ascii="宋体" w:hAnsi="宋体" w:eastAsia="宋体" w:cs="Times New Roman"/>
          <w:b/>
          <w:color w:val="auto"/>
          <w:sz w:val="32"/>
          <w:szCs w:val="32"/>
          <w:highlight w:val="none"/>
        </w:rPr>
        <w:sectPr>
          <w:footerReference r:id="rId8" w:type="first"/>
          <w:footerReference r:id="rId7" w:type="default"/>
          <w:pgSz w:w="11906" w:h="16838"/>
          <w:pgMar w:top="1134" w:right="1134" w:bottom="1134" w:left="1134" w:header="851" w:footer="992" w:gutter="0"/>
          <w:cols w:space="720" w:num="1"/>
          <w:titlePg/>
          <w:docGrid w:type="lines" w:linePitch="312" w:charSpace="0"/>
        </w:sectPr>
      </w:pPr>
    </w:p>
    <w:p w14:paraId="7B9B9314">
      <w:pPr>
        <w:keepNext/>
        <w:keepLines/>
        <w:spacing w:line="360" w:lineRule="auto"/>
        <w:jc w:val="center"/>
        <w:outlineLvl w:val="0"/>
        <w:rPr>
          <w:rFonts w:ascii="Times New Roman" w:hAnsi="Times New Roman" w:eastAsia="宋体" w:cs="Times New Roman"/>
          <w:b/>
          <w:bCs/>
          <w:color w:val="auto"/>
          <w:kern w:val="44"/>
          <w:sz w:val="44"/>
          <w:szCs w:val="44"/>
          <w:highlight w:val="none"/>
          <w:lang w:val="zh-CN"/>
        </w:rPr>
      </w:pPr>
      <w:bookmarkStart w:id="1" w:name="_Toc21558"/>
      <w:bookmarkStart w:id="2" w:name="_Toc2567"/>
      <w:bookmarkStart w:id="3" w:name="_Toc6626"/>
      <w:bookmarkStart w:id="4" w:name="_Toc15375"/>
      <w:bookmarkStart w:id="5" w:name="_Toc32002"/>
      <w:bookmarkStart w:id="6" w:name="_Toc80205920"/>
      <w:bookmarkStart w:id="7" w:name="_Toc21011"/>
      <w:bookmarkStart w:id="8" w:name="_Toc28468"/>
      <w:bookmarkStart w:id="9" w:name="_Toc7085"/>
      <w:r>
        <w:rPr>
          <w:rFonts w:hint="eastAsia" w:ascii="Times New Roman" w:hAnsi="Times New Roman" w:eastAsia="宋体" w:cs="Times New Roman"/>
          <w:b/>
          <w:bCs/>
          <w:color w:val="auto"/>
          <w:kern w:val="44"/>
          <w:sz w:val="44"/>
          <w:szCs w:val="44"/>
          <w:highlight w:val="none"/>
          <w:lang w:val="zh-CN"/>
        </w:rPr>
        <w:t>第一章 竞争性谈判公告</w:t>
      </w:r>
      <w:bookmarkEnd w:id="1"/>
      <w:bookmarkEnd w:id="2"/>
      <w:bookmarkEnd w:id="3"/>
      <w:bookmarkEnd w:id="4"/>
      <w:bookmarkEnd w:id="5"/>
      <w:bookmarkEnd w:id="6"/>
      <w:bookmarkEnd w:id="7"/>
      <w:bookmarkEnd w:id="8"/>
      <w:bookmarkEnd w:id="9"/>
      <w:bookmarkStart w:id="10" w:name="_Toc35393629"/>
      <w:bookmarkStart w:id="11" w:name="_Toc35393798"/>
      <w:bookmarkStart w:id="12" w:name="_Toc28359089"/>
      <w:bookmarkStart w:id="13" w:name="_Toc28359012"/>
      <w:bookmarkStart w:id="14" w:name="_Toc44229878"/>
      <w:bookmarkStart w:id="15" w:name="_Toc28359081"/>
      <w:bookmarkStart w:id="16" w:name="_Toc35393792"/>
      <w:bookmarkStart w:id="17" w:name="_Toc35393623"/>
      <w:bookmarkStart w:id="18" w:name="_Toc28359004"/>
    </w:p>
    <w:p w14:paraId="6601C58D">
      <w:pPr>
        <w:jc w:val="center"/>
        <w:rPr>
          <w:rFonts w:hint="eastAsia" w:ascii="宋体" w:hAnsi="宋体" w:eastAsia="宋体" w:cs="宋体"/>
          <w:b/>
          <w:bCs/>
          <w:color w:val="auto"/>
          <w:sz w:val="36"/>
          <w:szCs w:val="40"/>
          <w:highlight w:val="none"/>
        </w:rPr>
      </w:pPr>
      <w:r>
        <w:rPr>
          <w:rFonts w:hint="eastAsia" w:ascii="宋体" w:hAnsi="宋体" w:eastAsia="宋体" w:cs="宋体"/>
          <w:b/>
          <w:bCs/>
          <w:color w:val="auto"/>
          <w:sz w:val="36"/>
          <w:szCs w:val="40"/>
          <w:highlight w:val="none"/>
        </w:rPr>
        <w:t>广西科联招标中心有限公司关于演播室配套供配电设施升级优化项目（GXZC2026-J1-002061-GXKL）的竞争性谈判公告</w:t>
      </w:r>
    </w:p>
    <w:tbl>
      <w:tblPr>
        <w:tblStyle w:val="32"/>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9"/>
      </w:tblGrid>
      <w:tr w14:paraId="72F6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859" w:type="dxa"/>
          </w:tcPr>
          <w:p w14:paraId="01A1D22E">
            <w:pPr>
              <w:spacing w:line="400" w:lineRule="exact"/>
              <w:ind w:firstLine="420" w:firstLineChars="200"/>
              <w:rPr>
                <w:color w:val="auto"/>
                <w:szCs w:val="21"/>
                <w:highlight w:val="none"/>
              </w:rPr>
            </w:pPr>
            <w:r>
              <w:rPr>
                <w:rFonts w:hint="eastAsia"/>
                <w:color w:val="auto"/>
                <w:szCs w:val="21"/>
                <w:highlight w:val="none"/>
              </w:rPr>
              <w:t>项目概况</w:t>
            </w:r>
          </w:p>
          <w:p w14:paraId="61E15D2D">
            <w:pPr>
              <w:spacing w:line="400" w:lineRule="exact"/>
              <w:ind w:firstLine="420" w:firstLineChars="200"/>
              <w:rPr>
                <w:rFonts w:hint="eastAsia" w:ascii="黑体" w:hAnsi="黑体" w:eastAsia="黑体" w:cs="宋体"/>
                <w:bCs/>
                <w:color w:val="auto"/>
                <w:sz w:val="24"/>
                <w:highlight w:val="none"/>
              </w:rPr>
            </w:pPr>
            <w:r>
              <w:rPr>
                <w:rFonts w:hint="eastAsia" w:ascii="宋体" w:hAnsi="宋体"/>
                <w:color w:val="auto"/>
                <w:szCs w:val="21"/>
                <w:highlight w:val="none"/>
                <w:u w:val="single"/>
              </w:rPr>
              <w:t>演播室配套供配电设施升级优化项目</w:t>
            </w:r>
            <w:r>
              <w:rPr>
                <w:rFonts w:hint="eastAsia"/>
                <w:color w:val="auto"/>
                <w:szCs w:val="21"/>
                <w:highlight w:val="none"/>
              </w:rPr>
              <w:t>的潜在供应商应在</w:t>
            </w:r>
            <w:r>
              <w:rPr>
                <w:rFonts w:hint="eastAsia" w:ascii="宋体" w:hAnsi="宋体" w:cs="宋体"/>
                <w:color w:val="auto"/>
                <w:szCs w:val="21"/>
                <w:highlight w:val="none"/>
              </w:rPr>
              <w:t>广西政府采购云平台（</w:t>
            </w:r>
            <w:r>
              <w:rPr>
                <w:rStyle w:val="35"/>
                <w:rFonts w:hint="eastAsia" w:ascii="宋体" w:hAnsi="宋体" w:eastAsia="宋体" w:cs="宋体"/>
                <w:b w:val="0"/>
                <w:bCs/>
                <w:color w:val="auto"/>
                <w:szCs w:val="21"/>
                <w:highlight w:val="none"/>
              </w:rPr>
              <w:t>https://www.gcy.zfcg.gxzf.gov.cn/</w:t>
            </w:r>
            <w:r>
              <w:rPr>
                <w:rFonts w:hint="eastAsia" w:ascii="宋体" w:hAnsi="宋体" w:cs="宋体"/>
                <w:color w:val="auto"/>
                <w:szCs w:val="21"/>
                <w:highlight w:val="none"/>
              </w:rPr>
              <w:t>）</w:t>
            </w:r>
            <w:r>
              <w:rPr>
                <w:rFonts w:hint="eastAsia"/>
                <w:color w:val="auto"/>
                <w:szCs w:val="21"/>
                <w:highlight w:val="none"/>
              </w:rPr>
              <w:t>获取采购文件，</w:t>
            </w:r>
            <w:r>
              <w:rPr>
                <w:rFonts w:hint="eastAsia" w:ascii="宋体" w:hAnsi="宋体" w:eastAsia="宋体" w:cs="宋体"/>
                <w:color w:val="auto"/>
                <w:szCs w:val="21"/>
                <w:highlight w:val="none"/>
              </w:rPr>
              <w:t>并于2026年</w:t>
            </w:r>
            <w:r>
              <w:rPr>
                <w:rFonts w:hint="eastAsia" w:ascii="宋体" w:hAnsi="宋体" w:eastAsia="宋体" w:cs="宋体"/>
                <w:color w:val="auto"/>
                <w:szCs w:val="21"/>
                <w:highlight w:val="none"/>
                <w:lang w:eastAsia="zh-CN"/>
              </w:rPr>
              <w:t>7月8日</w:t>
            </w:r>
            <w:r>
              <w:rPr>
                <w:rFonts w:hint="eastAsia" w:ascii="宋体" w:hAnsi="宋体" w:eastAsia="宋体" w:cs="宋体"/>
                <w:color w:val="auto"/>
                <w:szCs w:val="21"/>
                <w:highlight w:val="none"/>
              </w:rPr>
              <w:t>9点00分</w:t>
            </w:r>
            <w:r>
              <w:rPr>
                <w:rFonts w:hint="eastAsia"/>
                <w:color w:val="auto"/>
                <w:szCs w:val="21"/>
                <w:highlight w:val="none"/>
              </w:rPr>
              <w:t>（北京时间）前提交响应文件。</w:t>
            </w:r>
          </w:p>
        </w:tc>
      </w:tr>
    </w:tbl>
    <w:p w14:paraId="2EB934E8">
      <w:pPr>
        <w:spacing w:line="400" w:lineRule="exact"/>
        <w:rPr>
          <w:rFonts w:hint="eastAsia" w:ascii="黑体" w:hAnsi="黑体" w:eastAsia="黑体" w:cs="宋体"/>
          <w:b/>
          <w:color w:val="auto"/>
          <w:sz w:val="24"/>
          <w:szCs w:val="24"/>
          <w:highlight w:val="none"/>
        </w:rPr>
      </w:pPr>
      <w:r>
        <w:rPr>
          <w:rFonts w:hint="eastAsia" w:ascii="黑体" w:hAnsi="黑体" w:eastAsia="黑体" w:cs="宋体"/>
          <w:b/>
          <w:color w:val="auto"/>
          <w:sz w:val="24"/>
          <w:szCs w:val="24"/>
          <w:highlight w:val="none"/>
        </w:rPr>
        <w:t>一、项目基本情况</w:t>
      </w:r>
      <w:bookmarkEnd w:id="10"/>
      <w:bookmarkEnd w:id="11"/>
      <w:bookmarkEnd w:id="12"/>
      <w:bookmarkEnd w:id="13"/>
      <w:bookmarkEnd w:id="14"/>
    </w:p>
    <w:p w14:paraId="352A08DE">
      <w:pPr>
        <w:spacing w:line="40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项目编号：GXZC2026-J1-002061-GXKL</w:t>
      </w:r>
    </w:p>
    <w:p w14:paraId="2CCE826A">
      <w:pPr>
        <w:spacing w:line="40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项目名称：演播室配套供配电设施升级优化项目</w:t>
      </w:r>
    </w:p>
    <w:p w14:paraId="06BC226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采购方式：竞争性谈判</w:t>
      </w:r>
    </w:p>
    <w:p w14:paraId="485BCDC4">
      <w:pPr>
        <w:spacing w:line="40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预算总金额（元）：1521253.00</w:t>
      </w:r>
      <w:r>
        <w:rPr>
          <w:rFonts w:hint="eastAsia" w:ascii="宋体" w:hAnsi="宋体"/>
          <w:color w:val="auto"/>
          <w:szCs w:val="21"/>
          <w:highlight w:val="none"/>
        </w:rPr>
        <w:t>。</w:t>
      </w:r>
    </w:p>
    <w:p w14:paraId="522DD1BF">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采购需求：</w:t>
      </w:r>
    </w:p>
    <w:p w14:paraId="5D8E9032">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标项名称：演播室配套供配电设施升级优化项目</w:t>
      </w:r>
    </w:p>
    <w:p w14:paraId="78ACB58D">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数量：1</w:t>
      </w:r>
    </w:p>
    <w:p w14:paraId="05B4CBB9">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预算金额（元）：1521253.00</w:t>
      </w:r>
    </w:p>
    <w:p w14:paraId="5B586B7F">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简要规格描述或项目基本概况介绍、用途：详见附件《简要采购需求》。</w:t>
      </w:r>
    </w:p>
    <w:p w14:paraId="728D5A48">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最高限价（元）：/</w:t>
      </w:r>
    </w:p>
    <w:p w14:paraId="51DE65BE">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合同履行期限：合同签订后30个工作日内完成供货。</w:t>
      </w:r>
    </w:p>
    <w:p w14:paraId="2731DE60">
      <w:pPr>
        <w:widowControl/>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本标项（否）接受联合体竞标</w:t>
      </w:r>
    </w:p>
    <w:p w14:paraId="19A8445A">
      <w:pPr>
        <w:spacing w:line="400" w:lineRule="exact"/>
        <w:ind w:firstLine="420" w:firstLineChars="200"/>
        <w:rPr>
          <w:rFonts w:hint="eastAsia" w:ascii="宋体" w:hAnsi="宋体" w:eastAsia="宋体" w:cs="Times New Roman"/>
          <w:color w:val="auto"/>
          <w:szCs w:val="21"/>
          <w:highlight w:val="none"/>
        </w:rPr>
      </w:pPr>
      <w:r>
        <w:rPr>
          <w:rFonts w:hint="eastAsia" w:ascii="宋体" w:hAnsi="宋体" w:eastAsia="宋体" w:cs="宋体"/>
          <w:color w:val="auto"/>
          <w:kern w:val="0"/>
          <w:szCs w:val="21"/>
          <w:highlight w:val="none"/>
        </w:rPr>
        <w:t>备注：</w:t>
      </w:r>
    </w:p>
    <w:p w14:paraId="2F156009">
      <w:pPr>
        <w:spacing w:line="400" w:lineRule="exact"/>
        <w:ind w:firstLine="482" w:firstLineChars="200"/>
        <w:rPr>
          <w:rFonts w:hint="eastAsia" w:ascii="黑体" w:hAnsi="黑体" w:eastAsia="黑体" w:cs="宋体"/>
          <w:b/>
          <w:color w:val="auto"/>
          <w:kern w:val="44"/>
          <w:sz w:val="24"/>
          <w:szCs w:val="24"/>
          <w:highlight w:val="none"/>
        </w:rPr>
      </w:pPr>
      <w:bookmarkStart w:id="19" w:name="_Toc35393799"/>
      <w:bookmarkStart w:id="20" w:name="_Toc44229879"/>
      <w:bookmarkStart w:id="21" w:name="_Toc35393630"/>
      <w:bookmarkStart w:id="22" w:name="_Toc28359090"/>
      <w:bookmarkStart w:id="23" w:name="_Toc28359013"/>
      <w:r>
        <w:rPr>
          <w:rFonts w:hint="eastAsia" w:ascii="黑体" w:hAnsi="黑体" w:eastAsia="黑体" w:cs="宋体"/>
          <w:b/>
          <w:color w:val="auto"/>
          <w:kern w:val="44"/>
          <w:sz w:val="24"/>
          <w:szCs w:val="24"/>
          <w:highlight w:val="none"/>
        </w:rPr>
        <w:t>二、申请人的资格</w:t>
      </w:r>
      <w:bookmarkEnd w:id="19"/>
      <w:bookmarkEnd w:id="20"/>
      <w:bookmarkEnd w:id="21"/>
      <w:bookmarkEnd w:id="22"/>
      <w:bookmarkEnd w:id="23"/>
      <w:r>
        <w:rPr>
          <w:rFonts w:hint="eastAsia" w:ascii="黑体" w:hAnsi="黑体" w:eastAsia="黑体" w:cs="宋体"/>
          <w:b/>
          <w:color w:val="auto"/>
          <w:kern w:val="44"/>
          <w:sz w:val="24"/>
          <w:szCs w:val="24"/>
          <w:highlight w:val="none"/>
        </w:rPr>
        <w:t>要求</w:t>
      </w:r>
    </w:p>
    <w:p w14:paraId="1CBAEC62">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1.满足《中华人民共和国政府采购法》第二十二条规定；</w:t>
      </w:r>
    </w:p>
    <w:p w14:paraId="75CEAD5C">
      <w:pPr>
        <w:spacing w:line="40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2.落实政府采购政策需满足的资格要求：无；</w:t>
      </w:r>
    </w:p>
    <w:p w14:paraId="697D6DB0">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3.本项目的特定资格要求：无。</w:t>
      </w:r>
    </w:p>
    <w:p w14:paraId="03B19CC1">
      <w:pPr>
        <w:spacing w:line="400" w:lineRule="exact"/>
        <w:ind w:firstLine="482" w:firstLineChars="200"/>
        <w:rPr>
          <w:rFonts w:hint="eastAsia"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三、获取采购文件</w:t>
      </w:r>
      <w:bookmarkEnd w:id="15"/>
      <w:bookmarkEnd w:id="16"/>
      <w:bookmarkEnd w:id="17"/>
      <w:bookmarkEnd w:id="18"/>
      <w:bookmarkStart w:id="24" w:name="_Toc35393624"/>
      <w:bookmarkStart w:id="25" w:name="_Toc28359005"/>
      <w:bookmarkStart w:id="26" w:name="_Toc35393793"/>
      <w:bookmarkStart w:id="27" w:name="_Toc28359082"/>
    </w:p>
    <w:p w14:paraId="6BD101B8">
      <w:pPr>
        <w:spacing w:line="400" w:lineRule="exact"/>
        <w:ind w:firstLine="420" w:firstLineChars="200"/>
        <w:rPr>
          <w:rFonts w:hint="eastAsia" w:ascii="宋体" w:hAnsi="宋体" w:eastAsia="宋体" w:cs="宋体"/>
          <w:bCs/>
          <w:color w:val="auto"/>
          <w:kern w:val="0"/>
          <w:szCs w:val="21"/>
          <w:highlight w:val="none"/>
        </w:rPr>
      </w:pPr>
      <w:r>
        <w:rPr>
          <w:rFonts w:hint="eastAsia" w:ascii="宋体" w:hAnsi="宋体" w:eastAsia="宋体" w:cs="宋体"/>
          <w:color w:val="auto"/>
          <w:szCs w:val="21"/>
          <w:highlight w:val="none"/>
        </w:rPr>
        <w:t>时间：</w:t>
      </w:r>
      <w:r>
        <w:rPr>
          <w:rFonts w:hint="eastAsia" w:ascii="宋体" w:hAnsi="宋体" w:eastAsia="宋体" w:cs="宋体"/>
          <w:bCs/>
          <w:color w:val="auto"/>
          <w:kern w:val="0"/>
          <w:szCs w:val="21"/>
          <w:highlight w:val="none"/>
        </w:rPr>
        <w:t>2026年</w:t>
      </w:r>
      <w:r>
        <w:rPr>
          <w:rFonts w:hint="eastAsia" w:ascii="宋体" w:hAnsi="宋体" w:eastAsia="宋体" w:cs="宋体"/>
          <w:bCs/>
          <w:color w:val="auto"/>
          <w:kern w:val="0"/>
          <w:szCs w:val="21"/>
          <w:highlight w:val="none"/>
          <w:lang w:eastAsia="zh-CN"/>
        </w:rPr>
        <w:t>6月30日</w:t>
      </w:r>
      <w:r>
        <w:rPr>
          <w:rFonts w:hint="eastAsia" w:ascii="宋体" w:hAnsi="宋体" w:eastAsia="宋体" w:cs="宋体"/>
          <w:bCs/>
          <w:color w:val="auto"/>
          <w:kern w:val="0"/>
          <w:szCs w:val="21"/>
          <w:highlight w:val="none"/>
        </w:rPr>
        <w:t>至2026年</w:t>
      </w:r>
      <w:r>
        <w:rPr>
          <w:rFonts w:hint="eastAsia" w:ascii="宋体" w:hAnsi="宋体" w:eastAsia="宋体" w:cs="宋体"/>
          <w:bCs/>
          <w:color w:val="auto"/>
          <w:kern w:val="0"/>
          <w:szCs w:val="21"/>
          <w:highlight w:val="none"/>
          <w:lang w:eastAsia="zh-CN"/>
        </w:rPr>
        <w:t>7月3日</w:t>
      </w:r>
      <w:r>
        <w:rPr>
          <w:rFonts w:hint="eastAsia" w:ascii="宋体" w:hAnsi="宋体" w:eastAsia="宋体" w:cs="宋体"/>
          <w:bCs/>
          <w:color w:val="auto"/>
          <w:kern w:val="0"/>
          <w:szCs w:val="21"/>
          <w:highlight w:val="none"/>
        </w:rPr>
        <w:t>，每天上午00:00至11:59，下午12:00至23:59（北京时间，法定节假日除外）</w:t>
      </w:r>
    </w:p>
    <w:p w14:paraId="11D40963">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kern w:val="0"/>
          <w:szCs w:val="21"/>
          <w:highlight w:val="none"/>
        </w:rPr>
        <w:t>地点：</w:t>
      </w:r>
      <w:bookmarkStart w:id="28" w:name="OLE_LINK5"/>
      <w:r>
        <w:rPr>
          <w:rFonts w:hint="eastAsia" w:ascii="宋体" w:hAnsi="宋体" w:eastAsia="宋体" w:cs="宋体"/>
          <w:color w:val="auto"/>
          <w:szCs w:val="21"/>
          <w:highlight w:val="none"/>
        </w:rPr>
        <w:t>广西政府采购云平台（https://www.gcy.zfcg.gxzf.gov.cn/）</w:t>
      </w:r>
      <w:bookmarkEnd w:id="28"/>
    </w:p>
    <w:p w14:paraId="3985873E">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方式：</w:t>
      </w:r>
      <w:bookmarkStart w:id="29" w:name="OLE_LINK6"/>
      <w:r>
        <w:rPr>
          <w:rFonts w:hint="eastAsia" w:ascii="宋体" w:hAnsi="宋体" w:eastAsia="宋体" w:cs="宋体"/>
          <w:color w:val="auto"/>
          <w:szCs w:val="21"/>
          <w:highlight w:val="none"/>
        </w:rPr>
        <w:t>网上下载。本项目不发放纸质采购文件，潜在供应商可自行在广西政府采购云平台（https://www.gcy.zfcg.gxzf.gov.cn/）下载采购文件（操作路径：登录广西政府采购云平台－项目采购－获取采购文件－找到本项目－点击“申请获取采购文件”），电子版响应文件制作需要基于广西政府采购云平台获取的采购文件编制</w:t>
      </w:r>
      <w:bookmarkEnd w:id="29"/>
      <w:r>
        <w:rPr>
          <w:rFonts w:hint="eastAsia" w:ascii="宋体" w:hAnsi="宋体" w:eastAsia="宋体" w:cs="宋体"/>
          <w:color w:val="auto"/>
          <w:szCs w:val="21"/>
          <w:highlight w:val="none"/>
        </w:rPr>
        <w:t>。</w:t>
      </w:r>
    </w:p>
    <w:p w14:paraId="41F61126">
      <w:pPr>
        <w:spacing w:line="400" w:lineRule="exact"/>
        <w:ind w:firstLine="420" w:firstLineChars="200"/>
        <w:rPr>
          <w:rFonts w:hint="eastAsia" w:ascii="宋体" w:hAnsi="宋体" w:eastAsia="宋体" w:cs="Times New Roman"/>
          <w:color w:val="auto"/>
          <w:szCs w:val="21"/>
          <w:highlight w:val="none"/>
        </w:rPr>
      </w:pPr>
      <w:r>
        <w:rPr>
          <w:rFonts w:hint="eastAsia" w:ascii="宋体" w:hAnsi="宋体" w:eastAsia="宋体" w:cs="宋体"/>
          <w:color w:val="auto"/>
          <w:szCs w:val="21"/>
          <w:highlight w:val="none"/>
        </w:rPr>
        <w:t>售价（元）：0</w:t>
      </w:r>
    </w:p>
    <w:p w14:paraId="04724534">
      <w:pPr>
        <w:spacing w:line="400" w:lineRule="exact"/>
        <w:ind w:firstLine="482" w:firstLineChars="200"/>
        <w:rPr>
          <w:rFonts w:hint="eastAsia"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四、</w:t>
      </w:r>
      <w:bookmarkEnd w:id="24"/>
      <w:bookmarkEnd w:id="25"/>
      <w:bookmarkEnd w:id="26"/>
      <w:bookmarkEnd w:id="27"/>
      <w:r>
        <w:rPr>
          <w:rFonts w:hint="eastAsia" w:ascii="黑体" w:hAnsi="黑体" w:eastAsia="黑体" w:cs="Times New Roman"/>
          <w:b/>
          <w:bCs/>
          <w:color w:val="auto"/>
          <w:sz w:val="24"/>
          <w:szCs w:val="24"/>
          <w:highlight w:val="none"/>
        </w:rPr>
        <w:t>响应文件提交</w:t>
      </w:r>
    </w:p>
    <w:p w14:paraId="645721A6">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截止时间</w:t>
      </w:r>
      <w:r>
        <w:rPr>
          <w:rFonts w:hint="eastAsia" w:ascii="宋体" w:hAnsi="宋体" w:eastAsia="宋体" w:cs="宋体"/>
          <w:bCs/>
          <w:color w:val="auto"/>
          <w:szCs w:val="21"/>
          <w:highlight w:val="none"/>
        </w:rPr>
        <w:t>：</w:t>
      </w:r>
      <w:bookmarkStart w:id="30" w:name="PO_3000001868_PM015"/>
      <w:r>
        <w:rPr>
          <w:rFonts w:hint="eastAsia" w:ascii="宋体" w:hAnsi="宋体" w:eastAsia="宋体" w:cs="宋体"/>
          <w:bCs/>
          <w:color w:val="auto"/>
          <w:szCs w:val="21"/>
          <w:highlight w:val="none"/>
        </w:rPr>
        <w:t>2026年</w:t>
      </w:r>
      <w:bookmarkEnd w:id="30"/>
      <w:r>
        <w:rPr>
          <w:rFonts w:hint="eastAsia" w:ascii="宋体" w:hAnsi="宋体" w:eastAsia="宋体" w:cs="宋体"/>
          <w:color w:val="auto"/>
          <w:szCs w:val="21"/>
          <w:highlight w:val="none"/>
          <w:lang w:eastAsia="zh-CN"/>
        </w:rPr>
        <w:t>7月8日</w:t>
      </w:r>
      <w:r>
        <w:rPr>
          <w:rFonts w:hint="eastAsia" w:ascii="宋体" w:hAnsi="宋体" w:eastAsia="宋体" w:cs="宋体"/>
          <w:bCs/>
          <w:color w:val="auto"/>
          <w:szCs w:val="21"/>
          <w:highlight w:val="none"/>
        </w:rPr>
        <w:t>9点00分（北京时间）</w:t>
      </w:r>
    </w:p>
    <w:p w14:paraId="1436752C">
      <w:pPr>
        <w:spacing w:line="400" w:lineRule="exact"/>
        <w:ind w:firstLine="420" w:firstLineChars="200"/>
        <w:rPr>
          <w:rFonts w:hint="eastAsia" w:ascii="宋体" w:hAnsi="宋体" w:eastAsia="宋体" w:cs="Times New Roman"/>
          <w:color w:val="auto"/>
          <w:szCs w:val="21"/>
          <w:highlight w:val="none"/>
        </w:rPr>
      </w:pPr>
      <w:r>
        <w:rPr>
          <w:rFonts w:hint="eastAsia" w:ascii="宋体" w:hAnsi="宋体" w:eastAsia="宋体" w:cs="宋体"/>
          <w:color w:val="auto"/>
          <w:szCs w:val="21"/>
          <w:highlight w:val="none"/>
        </w:rPr>
        <w:t>地点（网址）：</w:t>
      </w:r>
      <w:bookmarkStart w:id="31" w:name="OLE_LINK7"/>
      <w:r>
        <w:rPr>
          <w:rFonts w:hint="eastAsia" w:ascii="宋体" w:hAnsi="宋体" w:eastAsia="宋体" w:cs="宋体"/>
          <w:color w:val="auto"/>
          <w:szCs w:val="21"/>
          <w:highlight w:val="none"/>
        </w:rPr>
        <w:t>广西政府采购云平台（https://www.gcy.zfcg.gxzf.gov.cn/）</w:t>
      </w:r>
      <w:bookmarkEnd w:id="31"/>
    </w:p>
    <w:p w14:paraId="546E1A71">
      <w:pPr>
        <w:spacing w:line="400" w:lineRule="exact"/>
        <w:ind w:firstLine="482" w:firstLineChars="200"/>
        <w:rPr>
          <w:rFonts w:hint="eastAsia"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五、响应文件开启</w:t>
      </w:r>
    </w:p>
    <w:p w14:paraId="7E33E74E">
      <w:pPr>
        <w:spacing w:line="400" w:lineRule="exact"/>
        <w:ind w:firstLine="420" w:firstLineChars="200"/>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开启时间：</w:t>
      </w:r>
      <w:bookmarkStart w:id="32" w:name="PO_3000001868_PM015_1"/>
      <w:r>
        <w:rPr>
          <w:rFonts w:hint="eastAsia" w:ascii="宋体" w:hAnsi="宋体" w:eastAsia="宋体" w:cs="宋体"/>
          <w:color w:val="auto"/>
          <w:szCs w:val="21"/>
          <w:highlight w:val="none"/>
        </w:rPr>
        <w:t>2026年</w:t>
      </w:r>
      <w:bookmarkEnd w:id="32"/>
      <w:r>
        <w:rPr>
          <w:rFonts w:hint="eastAsia" w:ascii="宋体" w:hAnsi="宋体" w:eastAsia="宋体" w:cs="宋体"/>
          <w:color w:val="auto"/>
          <w:szCs w:val="21"/>
          <w:highlight w:val="none"/>
          <w:lang w:eastAsia="zh-CN"/>
        </w:rPr>
        <w:t>7月8日</w:t>
      </w:r>
      <w:r>
        <w:rPr>
          <w:rFonts w:hint="eastAsia" w:ascii="宋体" w:hAnsi="宋体" w:eastAsia="宋体" w:cs="宋体"/>
          <w:color w:val="auto"/>
          <w:szCs w:val="21"/>
          <w:highlight w:val="none"/>
        </w:rPr>
        <w:t>9点00分</w:t>
      </w:r>
      <w:r>
        <w:rPr>
          <w:rFonts w:hint="eastAsia" w:ascii="宋体" w:hAnsi="宋体" w:eastAsia="宋体" w:cs="宋体"/>
          <w:bCs/>
          <w:color w:val="auto"/>
          <w:szCs w:val="21"/>
          <w:highlight w:val="none"/>
        </w:rPr>
        <w:t>（北京时间）</w:t>
      </w:r>
    </w:p>
    <w:p w14:paraId="7FCF4891">
      <w:pPr>
        <w:spacing w:line="400" w:lineRule="exact"/>
        <w:ind w:firstLine="420" w:firstLineChars="200"/>
        <w:rPr>
          <w:rFonts w:hint="eastAsia" w:ascii="宋体" w:hAnsi="宋体" w:eastAsia="宋体" w:cs="Times New Roman"/>
          <w:bCs/>
          <w:color w:val="auto"/>
          <w:szCs w:val="21"/>
          <w:highlight w:val="none"/>
          <w:u w:val="single"/>
        </w:rPr>
      </w:pPr>
      <w:r>
        <w:rPr>
          <w:rFonts w:hint="eastAsia" w:ascii="宋体" w:hAnsi="宋体" w:eastAsia="宋体" w:cs="宋体"/>
          <w:color w:val="auto"/>
          <w:szCs w:val="21"/>
          <w:highlight w:val="none"/>
        </w:rPr>
        <w:t>地点：广西政府采购云平台远程开标大厅</w:t>
      </w:r>
    </w:p>
    <w:p w14:paraId="51B5968D">
      <w:pPr>
        <w:spacing w:line="400" w:lineRule="exact"/>
        <w:ind w:firstLine="482" w:firstLineChars="200"/>
        <w:rPr>
          <w:rFonts w:hint="eastAsia" w:ascii="黑体" w:hAnsi="黑体" w:eastAsia="黑体" w:cs="Times New Roman"/>
          <w:b/>
          <w:bCs/>
          <w:color w:val="auto"/>
          <w:sz w:val="24"/>
          <w:szCs w:val="24"/>
          <w:highlight w:val="none"/>
        </w:rPr>
      </w:pPr>
      <w:bookmarkStart w:id="33" w:name="_Toc35393794"/>
      <w:bookmarkStart w:id="34" w:name="_Toc35393625"/>
      <w:bookmarkStart w:id="35" w:name="_Toc28359007"/>
      <w:bookmarkStart w:id="36" w:name="_Toc28359084"/>
      <w:r>
        <w:rPr>
          <w:rFonts w:hint="eastAsia" w:ascii="黑体" w:hAnsi="黑体" w:eastAsia="黑体" w:cs="Times New Roman"/>
          <w:b/>
          <w:bCs/>
          <w:color w:val="auto"/>
          <w:sz w:val="24"/>
          <w:szCs w:val="24"/>
          <w:highlight w:val="none"/>
        </w:rPr>
        <w:t>六、公告期限</w:t>
      </w:r>
      <w:bookmarkEnd w:id="33"/>
      <w:bookmarkEnd w:id="34"/>
      <w:bookmarkEnd w:id="35"/>
      <w:bookmarkEnd w:id="36"/>
    </w:p>
    <w:p w14:paraId="310EEEFA">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自本公告发布之日起3个工作日。</w:t>
      </w:r>
    </w:p>
    <w:p w14:paraId="37D9734C">
      <w:pPr>
        <w:spacing w:line="400" w:lineRule="exact"/>
        <w:ind w:firstLine="482" w:firstLineChars="200"/>
        <w:rPr>
          <w:rFonts w:hint="eastAsia" w:ascii="黑体" w:hAnsi="黑体" w:eastAsia="黑体" w:cs="Times New Roman"/>
          <w:b/>
          <w:bCs/>
          <w:color w:val="auto"/>
          <w:sz w:val="24"/>
          <w:szCs w:val="24"/>
          <w:highlight w:val="none"/>
        </w:rPr>
      </w:pPr>
      <w:bookmarkStart w:id="37" w:name="_Toc35393626"/>
      <w:bookmarkStart w:id="38" w:name="_Toc35393795"/>
      <w:r>
        <w:rPr>
          <w:rFonts w:hint="eastAsia" w:ascii="黑体" w:hAnsi="黑体" w:eastAsia="黑体" w:cs="Times New Roman"/>
          <w:b/>
          <w:bCs/>
          <w:color w:val="auto"/>
          <w:sz w:val="24"/>
          <w:szCs w:val="24"/>
          <w:highlight w:val="none"/>
        </w:rPr>
        <w:t>七、其他补充事宜</w:t>
      </w:r>
      <w:bookmarkEnd w:id="37"/>
      <w:bookmarkEnd w:id="38"/>
    </w:p>
    <w:p w14:paraId="5F0B62C3">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1.谈判保证金：</w:t>
      </w:r>
    </w:p>
    <w:p w14:paraId="1ABC954C">
      <w:pPr>
        <w:spacing w:line="40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本项目需要缴</w:t>
      </w:r>
      <w:r>
        <w:rPr>
          <w:rFonts w:hint="eastAsia" w:ascii="宋体" w:hAnsi="宋体" w:eastAsia="宋体" w:cs="宋体"/>
          <w:b/>
          <w:bCs/>
          <w:color w:val="auto"/>
          <w:kern w:val="0"/>
          <w:szCs w:val="21"/>
          <w:highlight w:val="none"/>
        </w:rPr>
        <w:t>纳</w:t>
      </w:r>
      <w:r>
        <w:rPr>
          <w:rFonts w:hint="eastAsia" w:ascii="宋体" w:hAnsi="宋体" w:eastAsia="宋体" w:cs="宋体"/>
          <w:b/>
          <w:bCs/>
          <w:color w:val="auto"/>
          <w:szCs w:val="21"/>
          <w:highlight w:val="none"/>
        </w:rPr>
        <w:t>谈判保证金，相关要求：</w:t>
      </w:r>
    </w:p>
    <w:p w14:paraId="3FF58734">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谈判保证金金额：</w:t>
      </w:r>
      <w:r>
        <w:rPr>
          <w:rFonts w:hint="eastAsia" w:ascii="宋体" w:hAnsi="宋体" w:eastAsia="宋体" w:cs="宋体"/>
          <w:color w:val="auto"/>
          <w:szCs w:val="21"/>
          <w:highlight w:val="none"/>
        </w:rPr>
        <w:t>（大写）人民币壹万伍仟贰佰元整（小写）¥15200.00</w:t>
      </w:r>
      <w:r>
        <w:rPr>
          <w:rFonts w:hint="eastAsia" w:ascii="宋体" w:hAnsi="宋体" w:eastAsia="宋体" w:cs="宋体"/>
          <w:color w:val="auto"/>
          <w:kern w:val="0"/>
          <w:szCs w:val="21"/>
          <w:highlight w:val="none"/>
        </w:rPr>
        <w:t>。</w:t>
      </w:r>
    </w:p>
    <w:p w14:paraId="096EE76E">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谈判保证金的</w:t>
      </w:r>
      <w:r>
        <w:rPr>
          <w:rFonts w:hint="eastAsia" w:ascii="宋体" w:hAnsi="宋体" w:eastAsia="宋体" w:cs="宋体"/>
          <w:color w:val="auto"/>
          <w:szCs w:val="21"/>
          <w:highlight w:val="none"/>
        </w:rPr>
        <w:t>缴</w:t>
      </w:r>
      <w:r>
        <w:rPr>
          <w:rFonts w:hint="eastAsia" w:ascii="宋体" w:hAnsi="宋体" w:eastAsia="宋体" w:cs="宋体"/>
          <w:color w:val="auto"/>
          <w:kern w:val="0"/>
          <w:szCs w:val="21"/>
          <w:highlight w:val="none"/>
        </w:rPr>
        <w:t>纳方式：银行转账、支票、汇票、本票或者金融机构、担保机构出具的保函等非现金形式提交。采用银行转账方式的，在首次响应文件提交截止时间前交至采购代理机构指定账户并且到账；缴纳谈判保证金指定账户的信息：</w:t>
      </w:r>
    </w:p>
    <w:p w14:paraId="3A21F3B5">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开户银行：招商银行南宁金浦路支行</w:t>
      </w:r>
    </w:p>
    <w:p w14:paraId="6446BC65">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开户名称：广西科联招标中心有限公司</w:t>
      </w:r>
    </w:p>
    <w:p w14:paraId="10BB6202">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银行账号：7719011969103330000000674</w:t>
      </w:r>
    </w:p>
    <w:p w14:paraId="0CAA0A61">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采用支票、汇票、本票或者保函等方式的，</w:t>
      </w:r>
      <w:r>
        <w:rPr>
          <w:rFonts w:hint="eastAsia" w:ascii="宋体" w:hAnsi="宋体"/>
          <w:color w:val="auto"/>
          <w:szCs w:val="21"/>
          <w:highlight w:val="none"/>
        </w:rPr>
        <w:t>供应商必须在首次响应文件提交截止时间前将支票、汇票、本票或者金融机构、担保机构出具的保函</w:t>
      </w:r>
      <w:r>
        <w:rPr>
          <w:rFonts w:hint="eastAsia" w:ascii="宋体" w:hAnsi="宋体" w:cs="宋体"/>
          <w:color w:val="auto"/>
          <w:szCs w:val="21"/>
          <w:highlight w:val="none"/>
        </w:rPr>
        <w:t>（</w:t>
      </w:r>
      <w:r>
        <w:rPr>
          <w:rFonts w:hint="eastAsia" w:ascii="宋体" w:hAnsi="宋体" w:cs="宋体"/>
          <w:color w:val="auto"/>
          <w:kern w:val="0"/>
          <w:szCs w:val="21"/>
          <w:highlight w:val="none"/>
        </w:rPr>
        <w:t>电子保函除外</w:t>
      </w:r>
      <w:r>
        <w:rPr>
          <w:rFonts w:hint="eastAsia" w:ascii="宋体" w:hAnsi="宋体" w:cs="宋体"/>
          <w:color w:val="auto"/>
          <w:szCs w:val="21"/>
          <w:highlight w:val="none"/>
        </w:rPr>
        <w:t>）</w:t>
      </w:r>
      <w:r>
        <w:rPr>
          <w:rFonts w:hint="eastAsia" w:ascii="宋体" w:hAnsi="宋体"/>
          <w:color w:val="auto"/>
          <w:szCs w:val="21"/>
          <w:highlight w:val="none"/>
        </w:rPr>
        <w:t>等原件提交给采购代理机构</w:t>
      </w:r>
      <w:r>
        <w:rPr>
          <w:rFonts w:hint="eastAsia" w:ascii="宋体" w:hAnsi="宋体" w:eastAsia="宋体" w:cs="宋体"/>
          <w:color w:val="auto"/>
          <w:kern w:val="0"/>
          <w:szCs w:val="21"/>
          <w:highlight w:val="none"/>
        </w:rPr>
        <w:t>。否则视为无效谈判保证金。</w:t>
      </w:r>
      <w:bookmarkStart w:id="39" w:name="_Hlk37429595"/>
      <w:bookmarkStart w:id="40" w:name="_Hlk37429585"/>
    </w:p>
    <w:p w14:paraId="4D33E7B7">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2.网上查询地址</w:t>
      </w:r>
      <w:bookmarkEnd w:id="39"/>
      <w:bookmarkEnd w:id="40"/>
      <w:bookmarkStart w:id="41" w:name="_Hlk37429674"/>
      <w:r>
        <w:rPr>
          <w:rFonts w:hint="eastAsia" w:ascii="宋体" w:hAnsi="宋体" w:eastAsia="宋体" w:cs="宋体"/>
          <w:color w:val="auto"/>
          <w:kern w:val="0"/>
          <w:szCs w:val="21"/>
          <w:highlight w:val="none"/>
        </w:rPr>
        <w:t>：</w:t>
      </w:r>
    </w:p>
    <w:p w14:paraId="109D2C43">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http://zfcg.gxzf.gov.cn/(中国政府采购网广西分网)，推送中国政府采购网（www.ccgp.gov.cn）。</w:t>
      </w:r>
    </w:p>
    <w:p w14:paraId="72C53CDF">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3.本项目需要落实的政府采购政策</w:t>
      </w:r>
    </w:p>
    <w:p w14:paraId="705A83AC">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3BED023C">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6A189283">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1C191B01">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62DAA337">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（5）政府采购支持监狱企业发展。</w:t>
      </w:r>
      <w:bookmarkEnd w:id="41"/>
    </w:p>
    <w:p w14:paraId="16FE8EF9">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（6）在政府采购中实施本国产品标准及相关政策。</w:t>
      </w:r>
    </w:p>
    <w:p w14:paraId="36B8D3EB">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5FEADE1">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5.对在“信用中国”网站（www.creditchina.gov.cn）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217CE787">
      <w:pPr>
        <w:spacing w:line="400" w:lineRule="exact"/>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6.</w:t>
      </w:r>
      <w:r>
        <w:rPr>
          <w:rFonts w:hint="eastAsia" w:ascii="宋体" w:hAnsi="宋体" w:eastAsia="宋体" w:cs="宋体"/>
          <w:b/>
          <w:bCs/>
          <w:color w:val="auto"/>
          <w:szCs w:val="21"/>
          <w:highlight w:val="none"/>
        </w:rPr>
        <w:t>在线竞标的有关说明</w:t>
      </w:r>
      <w:r>
        <w:rPr>
          <w:rFonts w:hint="eastAsia" w:ascii="宋体" w:hAnsi="宋体" w:eastAsia="宋体" w:cs="宋体"/>
          <w:b/>
          <w:bCs/>
          <w:color w:val="auto"/>
          <w:kern w:val="0"/>
          <w:szCs w:val="21"/>
          <w:highlight w:val="none"/>
        </w:rPr>
        <w:t>：</w:t>
      </w:r>
    </w:p>
    <w:p w14:paraId="200DEF2B">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（1）响应文件提交方式：本项目为全流程电子化项目，通过</w:t>
      </w:r>
      <w:r>
        <w:rPr>
          <w:rFonts w:hint="eastAsia" w:ascii="宋体" w:hAnsi="宋体" w:cs="宋体"/>
          <w:color w:val="auto"/>
          <w:szCs w:val="21"/>
          <w:highlight w:val="none"/>
        </w:rPr>
        <w:t>广西政府采购云平台（</w:t>
      </w:r>
      <w:r>
        <w:rPr>
          <w:rStyle w:val="35"/>
          <w:rFonts w:hint="eastAsia" w:ascii="宋体" w:hAnsi="宋体" w:eastAsia="宋体" w:cs="宋体"/>
          <w:b w:val="0"/>
          <w:bCs/>
          <w:color w:val="auto"/>
          <w:szCs w:val="21"/>
          <w:highlight w:val="none"/>
        </w:rPr>
        <w:t>https://www.gcy.zfcg.gxzf.gov.cn/</w:t>
      </w:r>
      <w:r>
        <w:rPr>
          <w:rFonts w:hint="eastAsia" w:ascii="宋体" w:hAnsi="宋体" w:cs="宋体"/>
          <w:color w:val="auto"/>
          <w:szCs w:val="21"/>
          <w:highlight w:val="none"/>
        </w:rPr>
        <w:t>）</w:t>
      </w:r>
      <w:r>
        <w:rPr>
          <w:rFonts w:hint="eastAsia" w:ascii="宋体" w:hAnsi="宋体" w:eastAsia="宋体" w:cs="宋体"/>
          <w:color w:val="auto"/>
          <w:szCs w:val="21"/>
          <w:highlight w:val="none"/>
        </w:rPr>
        <w:t>实行在线电子响应，供应商应先安装</w:t>
      </w:r>
      <w:r>
        <w:rPr>
          <w:rFonts w:hint="eastAsia" w:ascii="宋体" w:hAnsi="宋体" w:cs="宋体"/>
          <w:color w:val="auto"/>
          <w:szCs w:val="21"/>
          <w:highlight w:val="none"/>
        </w:rPr>
        <w:t>广西政府采购云平台新版客户端（新版</w:t>
      </w:r>
      <w:r>
        <w:rPr>
          <w:rFonts w:hint="eastAsia" w:ascii="宋体" w:hAnsi="宋体" w:eastAsia="宋体" w:cs="宋体"/>
          <w:color w:val="auto"/>
          <w:szCs w:val="21"/>
          <w:highlight w:val="none"/>
        </w:rPr>
        <w:t>客户端下载路径：广西政府采购网（访问地址http://zfcg.gxzf.gov.cn/）—办事服务—下载专区</w:t>
      </w:r>
      <w:r>
        <w:rPr>
          <w:rFonts w:hint="eastAsia" w:ascii="宋体" w:hAnsi="宋体" w:cs="宋体"/>
          <w:color w:val="auto"/>
          <w:szCs w:val="21"/>
          <w:highlight w:val="none"/>
        </w:rPr>
        <w:t>）</w:t>
      </w:r>
      <w:r>
        <w:rPr>
          <w:rFonts w:hint="eastAsia" w:ascii="宋体" w:hAnsi="宋体" w:eastAsia="宋体" w:cs="宋体"/>
          <w:color w:val="auto"/>
          <w:szCs w:val="21"/>
          <w:highlight w:val="none"/>
        </w:rPr>
        <w:t>，并按照本项目采购文件和</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的要求编制、加密后在响应文件提交截止时间前通过网络上传至</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供应商在广西政府采购云平台提交电子版响应文件时，请填写参加远程采购活动经办人联系方式</w:t>
      </w:r>
      <w:r>
        <w:rPr>
          <w:rFonts w:hint="eastAsia" w:ascii="宋体" w:hAnsi="宋体" w:eastAsia="宋体" w:cs="宋体"/>
          <w:color w:val="auto"/>
          <w:szCs w:val="21"/>
          <w:highlight w:val="none"/>
        </w:rPr>
        <w:t>。</w:t>
      </w:r>
    </w:p>
    <w:p w14:paraId="5B130BDF">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（2）未进行网上注册并办理数字证书（CA认证）的供应商将无法参与本项目政府采购活动，潜在供应商应当在首次响应文件提交截止时间前，完成电子交易平台上的CA数字证书办理及响应文件的提交。</w:t>
      </w:r>
    </w:p>
    <w:p w14:paraId="21122775">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5095B5F1">
      <w:pPr>
        <w:spacing w:line="400" w:lineRule="exact"/>
        <w:ind w:firstLine="422" w:firstLineChars="200"/>
        <w:rPr>
          <w:rFonts w:hint="eastAsia" w:ascii="宋体" w:hAnsi="宋体" w:eastAsia="宋体" w:cs="宋体"/>
          <w:b/>
          <w:color w:val="auto"/>
          <w:szCs w:val="21"/>
          <w:highlight w:val="none"/>
          <w:u w:val="single"/>
        </w:rPr>
      </w:pPr>
      <w:r>
        <w:rPr>
          <w:rFonts w:hint="eastAsia" w:ascii="宋体" w:hAnsi="宋体" w:eastAsia="宋体" w:cs="宋体"/>
          <w:b/>
          <w:color w:val="auto"/>
          <w:szCs w:val="21"/>
          <w:highlight w:val="none"/>
        </w:rPr>
        <w:t>注：供应商应当在首次响应文件提交截止时间前完成电子版响应文件的上传、提交，响应文件提交截止时间前可以补充、修改或者撤回响应文件。补充或者修改响应文件的，应当先行撤回原文件，补充、修改后重新上传、提交。响应文件提交截止时间前未完成上传、提交的，视为撤回响应文件。响应文件提交截止时间以后上传提交的响应文件，广西政府采购云平台将予以拒收。</w:t>
      </w:r>
    </w:p>
    <w:p w14:paraId="56949DB4">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（4）CA证书在线解密：首次响应文件开启时，需要供应商登录</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电子开标大厅按规定时间对加密的响应文件进行解密。</w:t>
      </w:r>
    </w:p>
    <w:p w14:paraId="570CBA0F">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宋体"/>
          <w:color w:val="auto"/>
          <w:kern w:val="0"/>
          <w:szCs w:val="21"/>
          <w:highlight w:val="none"/>
        </w:rPr>
        <w:t>5</w:t>
      </w:r>
      <w:r>
        <w:rPr>
          <w:rFonts w:hint="eastAsia" w:ascii="宋体" w:hAnsi="宋体" w:eastAsia="宋体" w:cs="宋体"/>
          <w:color w:val="auto"/>
          <w:kern w:val="0"/>
          <w:szCs w:val="21"/>
          <w:highlight w:val="none"/>
        </w:rPr>
        <w:t>）供应商需要在具备有摄像头及语音功能且互联网网络状况良好的电脑登录</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远程开标大厅参与本次谈判，否则后果自负。</w:t>
      </w:r>
    </w:p>
    <w:p w14:paraId="34DFC5BB">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7.若对项目采购电子交易系统操作有疑问，可登录</w:t>
      </w:r>
      <w:r>
        <w:rPr>
          <w:rFonts w:hint="eastAsia" w:ascii="宋体" w:hAnsi="宋体" w:cs="宋体"/>
          <w:color w:val="auto"/>
          <w:szCs w:val="21"/>
          <w:highlight w:val="none"/>
        </w:rPr>
        <w:t>广西政府采购云平台（</w:t>
      </w:r>
      <w:r>
        <w:rPr>
          <w:rStyle w:val="35"/>
          <w:rFonts w:hint="eastAsia" w:ascii="宋体" w:hAnsi="宋体" w:eastAsia="宋体" w:cs="宋体"/>
          <w:b w:val="0"/>
          <w:bCs/>
          <w:color w:val="auto"/>
          <w:szCs w:val="21"/>
          <w:highlight w:val="none"/>
        </w:rPr>
        <w:t>https://www.gcy.zfcg.gxzf.gov.cn/</w:t>
      </w:r>
      <w:r>
        <w:rPr>
          <w:rFonts w:hint="eastAsia" w:ascii="宋体" w:hAnsi="宋体" w:cs="宋体"/>
          <w:color w:val="auto"/>
          <w:szCs w:val="21"/>
          <w:highlight w:val="none"/>
        </w:rPr>
        <w:t>）</w:t>
      </w:r>
      <w:r>
        <w:rPr>
          <w:rFonts w:hint="eastAsia" w:ascii="宋体" w:hAnsi="宋体" w:eastAsia="宋体" w:cs="宋体"/>
          <w:color w:val="auto"/>
          <w:kern w:val="0"/>
          <w:szCs w:val="21"/>
          <w:highlight w:val="none"/>
        </w:rPr>
        <w:t>，点击右侧咨询小采，获取采小蜜智能服务管家帮助，或拨打</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服务热线95763获取热线服务帮助。</w:t>
      </w:r>
    </w:p>
    <w:p w14:paraId="784F7782">
      <w:pPr>
        <w:spacing w:line="400" w:lineRule="exact"/>
        <w:ind w:firstLine="420" w:firstLineChars="200"/>
        <w:rPr>
          <w:rFonts w:hint="eastAsia" w:ascii="宋体" w:hAnsi="宋体" w:eastAsia="宋体" w:cs="宋体"/>
          <w:color w:val="auto"/>
          <w:kern w:val="0"/>
          <w:szCs w:val="21"/>
          <w:highlight w:val="none"/>
        </w:rPr>
      </w:pPr>
      <w:r>
        <w:rPr>
          <w:rFonts w:hint="eastAsia" w:ascii="宋体" w:hAnsi="宋体" w:cs="宋体"/>
          <w:color w:val="auto"/>
          <w:szCs w:val="21"/>
          <w:highlight w:val="none"/>
        </w:rPr>
        <w:t>8.银行、保险、石油石化、电力、电信等有行业特殊情况的，法人的分支机构经法人授权后可以分支机构的身份参加政府采购。如供应商为分支机构的，必须在响应文件中同时提供经法人授权供应商以分支机构名义参加竞标的授权委托书、法人营业执照及分支机构营业执照的复印件。</w:t>
      </w:r>
    </w:p>
    <w:p w14:paraId="27E227BF">
      <w:pPr>
        <w:spacing w:line="400" w:lineRule="exact"/>
        <w:ind w:firstLine="482" w:firstLineChars="200"/>
        <w:rPr>
          <w:rFonts w:hint="eastAsia" w:ascii="黑体" w:hAnsi="黑体" w:eastAsia="黑体" w:cs="宋体"/>
          <w:bCs/>
          <w:color w:val="auto"/>
          <w:sz w:val="24"/>
          <w:szCs w:val="24"/>
          <w:highlight w:val="none"/>
        </w:rPr>
      </w:pPr>
      <w:r>
        <w:rPr>
          <w:rFonts w:hint="eastAsia" w:ascii="黑体" w:hAnsi="黑体" w:eastAsia="黑体" w:cs="宋体"/>
          <w:b/>
          <w:color w:val="auto"/>
          <w:kern w:val="44"/>
          <w:sz w:val="24"/>
          <w:szCs w:val="24"/>
          <w:highlight w:val="none"/>
        </w:rPr>
        <w:t>八、凡对本次采购提出询问，请按</w:t>
      </w:r>
      <w:r>
        <w:rPr>
          <w:rFonts w:ascii="黑体" w:hAnsi="黑体" w:eastAsia="黑体" w:cs="宋体"/>
          <w:b/>
          <w:color w:val="auto"/>
          <w:kern w:val="44"/>
          <w:sz w:val="24"/>
          <w:szCs w:val="24"/>
          <w:highlight w:val="none"/>
        </w:rPr>
        <w:t>以下方式</w:t>
      </w:r>
      <w:r>
        <w:rPr>
          <w:rFonts w:hint="eastAsia" w:ascii="黑体" w:hAnsi="黑体" w:eastAsia="黑体" w:cs="宋体"/>
          <w:b/>
          <w:color w:val="auto"/>
          <w:kern w:val="44"/>
          <w:sz w:val="24"/>
          <w:szCs w:val="24"/>
          <w:highlight w:val="none"/>
        </w:rPr>
        <w:t>联系。</w:t>
      </w:r>
    </w:p>
    <w:p w14:paraId="15A49ACC">
      <w:pP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1.采购人信息</w:t>
      </w:r>
    </w:p>
    <w:p w14:paraId="053FBF42">
      <w:pPr>
        <w:spacing w:line="400" w:lineRule="exact"/>
        <w:ind w:firstLine="630" w:firstLineChars="3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    称：广西广播电视台</w:t>
      </w:r>
    </w:p>
    <w:p w14:paraId="4369AD2E">
      <w:pPr>
        <w:spacing w:line="400" w:lineRule="exact"/>
        <w:ind w:firstLine="630" w:firstLineChars="3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    址：广西南宁市民族大道73号</w:t>
      </w:r>
    </w:p>
    <w:p w14:paraId="21CE4D79">
      <w:pPr>
        <w:spacing w:line="400" w:lineRule="exact"/>
        <w:ind w:firstLine="630" w:firstLineChars="3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项目联系人：黄跃</w:t>
      </w:r>
    </w:p>
    <w:p w14:paraId="02957283">
      <w:pPr>
        <w:spacing w:line="400" w:lineRule="exact"/>
        <w:ind w:firstLine="630" w:firstLineChars="300"/>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项目联系方式：0771-2091996</w:t>
      </w:r>
    </w:p>
    <w:p w14:paraId="184EF5C2">
      <w:pP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14:paraId="377D4A14">
      <w:pPr>
        <w:spacing w:line="400" w:lineRule="exact"/>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    称：广西科联招标中心有限公司</w:t>
      </w:r>
    </w:p>
    <w:p w14:paraId="010CCDD9">
      <w:pPr>
        <w:spacing w:line="400" w:lineRule="exact"/>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　　址：</w:t>
      </w:r>
      <w:bookmarkStart w:id="42" w:name="OLE_LINK11"/>
      <w:r>
        <w:rPr>
          <w:rFonts w:hint="eastAsia" w:ascii="宋体" w:hAnsi="宋体" w:eastAsia="宋体" w:cs="宋体"/>
          <w:color w:val="auto"/>
          <w:szCs w:val="21"/>
          <w:highlight w:val="none"/>
        </w:rPr>
        <w:t>广西南宁市西乡塘区大学东路170号</w:t>
      </w:r>
      <w:bookmarkEnd w:id="42"/>
    </w:p>
    <w:p w14:paraId="27E686AE">
      <w:pPr>
        <w:spacing w:line="400" w:lineRule="exact"/>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项目联系人：韦毅锋</w:t>
      </w:r>
    </w:p>
    <w:p w14:paraId="79788AA3">
      <w:pPr>
        <w:spacing w:line="400" w:lineRule="exact"/>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项目联系方式：0771-2273829，13307869043</w:t>
      </w:r>
    </w:p>
    <w:p w14:paraId="4A7574F6">
      <w:pPr>
        <w:rPr>
          <w:rFonts w:ascii="Cambria" w:hAnsi="Cambria" w:eastAsia="宋体" w:cs="Times New Roman"/>
          <w:b/>
          <w:color w:val="auto"/>
          <w:kern w:val="44"/>
          <w:sz w:val="32"/>
          <w:szCs w:val="32"/>
          <w:highlight w:val="none"/>
          <w:lang w:val="zh-CN"/>
        </w:rPr>
      </w:pPr>
      <w:bookmarkStart w:id="43" w:name="_Toc14086"/>
      <w:bookmarkStart w:id="44" w:name="_Toc30720"/>
      <w:bookmarkStart w:id="45" w:name="_Toc16263"/>
      <w:bookmarkStart w:id="46" w:name="_Toc7676"/>
      <w:bookmarkStart w:id="47" w:name="_Toc27517"/>
      <w:bookmarkStart w:id="48" w:name="_Toc80205921"/>
      <w:bookmarkStart w:id="49" w:name="_Toc7360"/>
      <w:bookmarkStart w:id="50" w:name="_Toc21351"/>
      <w:bookmarkStart w:id="51" w:name="_Toc30021"/>
      <w:r>
        <w:rPr>
          <w:rFonts w:hint="eastAsia" w:ascii="Cambria" w:hAnsi="Cambria" w:eastAsia="宋体" w:cs="Times New Roman"/>
          <w:b/>
          <w:color w:val="auto"/>
          <w:kern w:val="44"/>
          <w:sz w:val="32"/>
          <w:szCs w:val="32"/>
          <w:highlight w:val="none"/>
          <w:lang w:val="zh-CN"/>
        </w:rPr>
        <w:br w:type="page"/>
      </w:r>
    </w:p>
    <w:p w14:paraId="02291B83">
      <w:pPr>
        <w:keepNext/>
        <w:keepLines/>
        <w:spacing w:before="340" w:after="330"/>
        <w:jc w:val="center"/>
        <w:outlineLvl w:val="0"/>
        <w:rPr>
          <w:rFonts w:ascii="Times New Roman" w:hAnsi="Times New Roman" w:eastAsia="宋体" w:cs="Times New Roman"/>
          <w:b/>
          <w:bCs/>
          <w:color w:val="auto"/>
          <w:kern w:val="44"/>
          <w:sz w:val="44"/>
          <w:szCs w:val="44"/>
          <w:highlight w:val="none"/>
          <w:lang w:val="zh-CN"/>
        </w:rPr>
      </w:pPr>
      <w:r>
        <w:rPr>
          <w:rFonts w:hint="eastAsia" w:ascii="Cambria" w:hAnsi="Cambria" w:eastAsia="宋体" w:cs="Times New Roman"/>
          <w:b/>
          <w:color w:val="auto"/>
          <w:kern w:val="44"/>
          <w:sz w:val="32"/>
          <w:szCs w:val="32"/>
          <w:highlight w:val="none"/>
          <w:lang w:val="zh-CN"/>
        </w:rPr>
        <w:t>第二章 采购需求</w:t>
      </w:r>
      <w:bookmarkEnd w:id="43"/>
      <w:bookmarkEnd w:id="44"/>
      <w:bookmarkEnd w:id="45"/>
      <w:bookmarkEnd w:id="46"/>
      <w:bookmarkEnd w:id="47"/>
      <w:bookmarkEnd w:id="48"/>
      <w:bookmarkEnd w:id="49"/>
      <w:bookmarkEnd w:id="50"/>
      <w:bookmarkEnd w:id="51"/>
    </w:p>
    <w:p w14:paraId="54A83068">
      <w:pPr>
        <w:spacing w:line="420" w:lineRule="exact"/>
        <w:jc w:val="left"/>
        <w:rPr>
          <w:rFonts w:hint="eastAsia" w:ascii="宋体" w:hAnsi="宋体" w:eastAsia="宋体" w:cs="宋体"/>
          <w:color w:val="auto"/>
          <w:szCs w:val="24"/>
          <w:highlight w:val="none"/>
        </w:rPr>
      </w:pPr>
      <w:r>
        <w:rPr>
          <w:rFonts w:hint="eastAsia" w:ascii="宋体" w:hAnsi="宋体" w:eastAsia="宋体" w:cs="宋体"/>
          <w:color w:val="auto"/>
          <w:szCs w:val="21"/>
          <w:highlight w:val="none"/>
        </w:rPr>
        <w:t>说明：</w:t>
      </w:r>
    </w:p>
    <w:p w14:paraId="7CDB8D18">
      <w:pPr>
        <w:spacing w:line="4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4"/>
          <w:highlight w:val="none"/>
        </w:rPr>
        <w:t>1.为落实政府采购政策需满足的要求：</w:t>
      </w:r>
    </w:p>
    <w:p w14:paraId="42731B85">
      <w:pPr>
        <w:spacing w:line="4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（1）本竞争性谈判文件所称中小企业必须符合《政府采购促进中小企业发展管理办法》（财库〔2020〕46号）的规定。</w:t>
      </w:r>
    </w:p>
    <w:p w14:paraId="54548EBD">
      <w:pPr>
        <w:spacing w:line="4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w:t>
      </w:r>
      <w:r>
        <w:rPr>
          <w:rFonts w:hint="eastAsia" w:ascii="宋体" w:hAnsi="宋体" w:cs="宋体"/>
          <w:color w:val="auto"/>
          <w:szCs w:val="21"/>
          <w:highlight w:val="none"/>
        </w:rPr>
        <w:t>（</w:t>
      </w:r>
      <w:r>
        <w:rPr>
          <w:rFonts w:hint="eastAsia" w:ascii="宋体" w:hAnsi="宋体" w:eastAsia="宋体" w:cs="宋体"/>
          <w:color w:val="auto"/>
          <w:szCs w:val="21"/>
          <w:highlight w:val="none"/>
        </w:rPr>
        <w:t>详见本章附件1</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供应商必须在响应文件中提供所竞标产品有效期内的节能产品认证证书复印件（加盖供应商公章），否则响应文件作无效处理</w:t>
      </w:r>
      <w:r>
        <w:rPr>
          <w:rFonts w:hint="eastAsia" w:ascii="宋体" w:hAnsi="宋体" w:eastAsia="宋体" w:cs="宋体"/>
          <w:color w:val="auto"/>
          <w:szCs w:val="21"/>
          <w:highlight w:val="none"/>
        </w:rPr>
        <w:t>。如本项目包含的配套货物属于品目清单内非标注“★”的产品时，应优先采购，具体详见“第四章 评审程序、评审方法和成交标准”。</w:t>
      </w:r>
    </w:p>
    <w:p w14:paraId="56F81E2D">
      <w:pPr>
        <w:spacing w:line="420" w:lineRule="exact"/>
        <w:ind w:firstLine="420" w:firstLineChars="200"/>
        <w:rPr>
          <w:rFonts w:hint="eastAsia" w:ascii="宋体" w:hAnsi="宋体" w:eastAsia="宋体" w:cs="Times New Roman"/>
          <w:i/>
          <w:iCs/>
          <w:color w:val="auto"/>
          <w:szCs w:val="21"/>
          <w:highlight w:val="none"/>
        </w:rPr>
      </w:pPr>
      <w:r>
        <w:rPr>
          <w:rFonts w:hint="eastAsia" w:ascii="宋体" w:hAnsi="宋体" w:eastAsia="宋体" w:cs="宋体"/>
          <w:color w:val="auto"/>
          <w:szCs w:val="21"/>
          <w:highlight w:val="none"/>
        </w:rPr>
        <w:t>2.</w:t>
      </w:r>
      <w:r>
        <w:rPr>
          <w:rFonts w:ascii="宋体" w:hAnsi="宋体" w:eastAsia="宋体" w:cs="宋体"/>
          <w:b/>
          <w:bCs/>
          <w:color w:val="auto"/>
          <w:szCs w:val="21"/>
          <w:highlight w:val="none"/>
        </w:rPr>
        <w:t>采购需求中带“▲”的条款</w:t>
      </w:r>
      <w:r>
        <w:rPr>
          <w:rFonts w:hint="eastAsia" w:ascii="宋体" w:hAnsi="宋体" w:cs="宋体"/>
          <w:b/>
          <w:bCs/>
          <w:color w:val="auto"/>
          <w:szCs w:val="21"/>
          <w:highlight w:val="none"/>
        </w:rPr>
        <w:t>为实质性条款，不满足</w:t>
      </w:r>
      <w:r>
        <w:rPr>
          <w:rFonts w:ascii="宋体" w:hAnsi="宋体" w:eastAsia="宋体" w:cs="宋体"/>
          <w:b/>
          <w:bCs/>
          <w:color w:val="auto"/>
          <w:szCs w:val="21"/>
          <w:highlight w:val="none"/>
        </w:rPr>
        <w:t>作无效响应处理。</w:t>
      </w:r>
    </w:p>
    <w:p w14:paraId="753AB1F6">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采购需求中出现的品牌、型号或者制造商仅起参考作用，不属于指定品牌、型号或者制造商的情形。供应商可参照或者选用其他相当的品牌、型号或者制造商替代，但选用的竞标产品技术参数及配置必须满足采购要求。</w:t>
      </w:r>
    </w:p>
    <w:p w14:paraId="1355E930">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4.供应商必须对响应文件中提供的证明材料和资质文件真实性负责，如出现虚假应标情况，供应商除了应接受有关部门的处罚外，还应依据《中华人民共和国民法典》的相关条款来进行赔偿。</w:t>
      </w:r>
    </w:p>
    <w:p w14:paraId="4ED63E95">
      <w:pPr>
        <w:spacing w:line="42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5.</w:t>
      </w:r>
      <w:r>
        <w:rPr>
          <w:rFonts w:hint="eastAsia" w:ascii="宋体" w:hAnsi="宋体" w:cs="宋体"/>
          <w:color w:val="auto"/>
          <w:szCs w:val="21"/>
          <w:highlight w:val="none"/>
        </w:rPr>
        <w:t>供应商</w:t>
      </w:r>
      <w:r>
        <w:rPr>
          <w:rFonts w:hint="eastAsia" w:ascii="宋体" w:hAnsi="宋体" w:cs="宋体"/>
          <w:color w:val="auto"/>
          <w:highlight w:val="none"/>
        </w:rPr>
        <w:t>应对竞标内容所涉及的专利承担法律责任，并负责保护采购人的利益不受任何损害。一切由于文字、商标、技术和软件专利授权引起的法律裁决、诉讼和赔偿费用均由成交供应商负责。</w:t>
      </w:r>
    </w:p>
    <w:p w14:paraId="61C65FB2">
      <w:pPr>
        <w:spacing w:line="420" w:lineRule="exact"/>
        <w:ind w:firstLine="420" w:firstLineChars="200"/>
        <w:jc w:val="left"/>
        <w:rPr>
          <w:rFonts w:hint="eastAsia" w:ascii="宋体" w:hAnsi="宋体" w:cs="宋体"/>
          <w:b/>
          <w:bCs/>
          <w:color w:val="auto"/>
          <w:highlight w:val="none"/>
          <w:u w:val="single"/>
        </w:rPr>
      </w:pPr>
      <w:r>
        <w:rPr>
          <w:rFonts w:hint="eastAsia" w:ascii="宋体" w:hAnsi="宋体" w:eastAsia="宋体" w:cs="宋体"/>
          <w:color w:val="auto"/>
          <w:highlight w:val="none"/>
        </w:rPr>
        <w:t>6.</w:t>
      </w:r>
      <w:bookmarkStart w:id="52" w:name="PO_3000001871_PM050"/>
      <w:r>
        <w:rPr>
          <w:rFonts w:hint="eastAsia" w:ascii="宋体" w:hAnsi="宋体" w:cs="宋体"/>
          <w:color w:val="auto"/>
          <w:highlight w:val="none"/>
        </w:rPr>
        <w:t>需求一览表中的采购标的对应的中小企业划分标准所属行业名称为：</w:t>
      </w:r>
      <w:r>
        <w:rPr>
          <w:rFonts w:hint="eastAsia" w:ascii="宋体" w:hAnsi="宋体" w:cs="宋体"/>
          <w:b/>
          <w:bCs/>
          <w:color w:val="auto"/>
          <w:highlight w:val="none"/>
          <w:u w:val="single"/>
        </w:rPr>
        <w:t>工业；</w:t>
      </w:r>
    </w:p>
    <w:p w14:paraId="395FD51E">
      <w:pPr>
        <w:pStyle w:val="22"/>
        <w:rPr>
          <w:rFonts w:hint="eastAsia" w:ascii="宋体" w:hAnsi="宋体" w:cs="宋体"/>
          <w:i/>
          <w:iCs/>
          <w:color w:val="auto"/>
          <w:highlight w:val="none"/>
          <w:u w:val="single"/>
          <w:lang w:val="en-US"/>
        </w:rPr>
      </w:pPr>
    </w:p>
    <w:bookmarkEnd w:id="52"/>
    <w:tbl>
      <w:tblPr>
        <w:tblStyle w:val="32"/>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83"/>
        <w:gridCol w:w="1185"/>
        <w:gridCol w:w="600"/>
        <w:gridCol w:w="1236"/>
        <w:gridCol w:w="6205"/>
      </w:tblGrid>
      <w:tr w14:paraId="762B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5" w:hRule="atLeast"/>
          <w:jc w:val="center"/>
        </w:trPr>
        <w:tc>
          <w:tcPr>
            <w:tcW w:w="9809" w:type="dxa"/>
            <w:gridSpan w:val="5"/>
            <w:vAlign w:val="center"/>
          </w:tcPr>
          <w:p w14:paraId="1F0BDD12">
            <w:pPr>
              <w:widowControl/>
              <w:tabs>
                <w:tab w:val="left" w:pos="796"/>
              </w:tabs>
              <w:adjustRightInd w:val="0"/>
              <w:snapToGrid w:val="0"/>
              <w:spacing w:line="360" w:lineRule="exact"/>
              <w:jc w:val="left"/>
              <w:textAlignment w:val="center"/>
              <w:rPr>
                <w:rFonts w:hint="eastAsia" w:ascii="宋体" w:hAnsi="宋体" w:eastAsia="宋体" w:cs="宋体"/>
                <w:b/>
                <w:bCs/>
                <w:color w:val="auto"/>
                <w:szCs w:val="21"/>
                <w:highlight w:val="none"/>
              </w:rPr>
            </w:pPr>
            <w:bookmarkStart w:id="53" w:name="PO_TDCUS_ITEM_PB_REQ_FILE_1_1"/>
            <w:r>
              <w:rPr>
                <w:rFonts w:hint="eastAsia" w:ascii="宋体" w:hAnsi="宋体" w:eastAsia="宋体" w:cs="宋体"/>
                <w:b/>
                <w:bCs/>
                <w:color w:val="auto"/>
                <w:szCs w:val="21"/>
                <w:highlight w:val="none"/>
              </w:rPr>
              <w:t>一、需求一览表</w:t>
            </w:r>
          </w:p>
        </w:tc>
      </w:tr>
      <w:tr w14:paraId="04FC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2" w:hRule="atLeast"/>
          <w:jc w:val="center"/>
        </w:trPr>
        <w:tc>
          <w:tcPr>
            <w:tcW w:w="583" w:type="dxa"/>
            <w:vAlign w:val="center"/>
          </w:tcPr>
          <w:p w14:paraId="778775D3">
            <w:pPr>
              <w:widowControl/>
              <w:adjustRightInd w:val="0"/>
              <w:snapToGrid w:val="0"/>
              <w:spacing w:line="360" w:lineRule="exact"/>
              <w:jc w:val="center"/>
              <w:textAlignment w:val="center"/>
              <w:rPr>
                <w:rFonts w:hint="eastAsia" w:ascii="宋体" w:hAnsi="宋体" w:eastAsia="宋体" w:cs="宋体"/>
                <w:b/>
                <w:bCs/>
                <w:color w:val="auto"/>
                <w:kern w:val="0"/>
                <w:szCs w:val="21"/>
                <w:highlight w:val="none"/>
                <w:lang w:bidi="ar"/>
              </w:rPr>
            </w:pPr>
            <w:r>
              <w:rPr>
                <w:rFonts w:hint="eastAsia" w:ascii="宋体" w:hAnsi="宋体" w:eastAsia="宋体" w:cs="宋体"/>
                <w:b/>
                <w:bCs/>
                <w:color w:val="auto"/>
                <w:kern w:val="0"/>
                <w:szCs w:val="21"/>
                <w:highlight w:val="none"/>
                <w:lang w:bidi="ar"/>
              </w:rPr>
              <w:t>序号</w:t>
            </w:r>
          </w:p>
        </w:tc>
        <w:tc>
          <w:tcPr>
            <w:tcW w:w="1185" w:type="dxa"/>
            <w:vAlign w:val="center"/>
          </w:tcPr>
          <w:p w14:paraId="5E0379BE">
            <w:pPr>
              <w:widowControl/>
              <w:adjustRightInd w:val="0"/>
              <w:snapToGrid w:val="0"/>
              <w:spacing w:line="360" w:lineRule="exact"/>
              <w:jc w:val="center"/>
              <w:textAlignment w:val="center"/>
              <w:rPr>
                <w:rFonts w:hint="eastAsia" w:ascii="宋体" w:hAnsi="宋体" w:eastAsia="宋体" w:cs="宋体"/>
                <w:b/>
                <w:bCs/>
                <w:color w:val="auto"/>
                <w:kern w:val="0"/>
                <w:szCs w:val="21"/>
                <w:highlight w:val="none"/>
                <w:lang w:bidi="ar"/>
              </w:rPr>
            </w:pPr>
            <w:r>
              <w:rPr>
                <w:rFonts w:hint="eastAsia" w:ascii="宋体" w:hAnsi="宋体" w:eastAsia="宋体" w:cs="宋体"/>
                <w:b/>
                <w:bCs/>
                <w:color w:val="auto"/>
                <w:kern w:val="0"/>
                <w:szCs w:val="21"/>
                <w:highlight w:val="none"/>
                <w:lang w:bidi="ar"/>
              </w:rPr>
              <w:t>标的名称</w:t>
            </w:r>
          </w:p>
        </w:tc>
        <w:tc>
          <w:tcPr>
            <w:tcW w:w="600" w:type="dxa"/>
            <w:vAlign w:val="center"/>
          </w:tcPr>
          <w:p w14:paraId="1AAE5EFB">
            <w:pPr>
              <w:widowControl/>
              <w:adjustRightInd w:val="0"/>
              <w:snapToGrid w:val="0"/>
              <w:spacing w:line="360" w:lineRule="exact"/>
              <w:jc w:val="center"/>
              <w:textAlignment w:val="center"/>
              <w:rPr>
                <w:rFonts w:hint="eastAsia" w:ascii="宋体" w:hAnsi="宋体" w:eastAsia="宋体" w:cs="宋体"/>
                <w:b/>
                <w:bCs/>
                <w:color w:val="auto"/>
                <w:kern w:val="0"/>
                <w:szCs w:val="21"/>
                <w:highlight w:val="none"/>
                <w:lang w:bidi="ar"/>
              </w:rPr>
            </w:pPr>
            <w:r>
              <w:rPr>
                <w:rFonts w:hint="eastAsia" w:ascii="宋体" w:hAnsi="宋体" w:eastAsia="宋体" w:cs="宋体"/>
                <w:b/>
                <w:bCs/>
                <w:color w:val="auto"/>
                <w:kern w:val="0"/>
                <w:szCs w:val="21"/>
                <w:highlight w:val="none"/>
                <w:lang w:bidi="ar"/>
              </w:rPr>
              <w:t>数量</w:t>
            </w:r>
          </w:p>
        </w:tc>
        <w:tc>
          <w:tcPr>
            <w:tcW w:w="1236" w:type="dxa"/>
            <w:vAlign w:val="center"/>
          </w:tcPr>
          <w:p w14:paraId="7A93E0C5">
            <w:pPr>
              <w:widowControl/>
              <w:adjustRightInd w:val="0"/>
              <w:snapToGrid w:val="0"/>
              <w:spacing w:line="360" w:lineRule="exact"/>
              <w:jc w:val="center"/>
              <w:textAlignment w:val="center"/>
              <w:rPr>
                <w:rFonts w:hint="eastAsia" w:ascii="宋体" w:hAnsi="宋体" w:eastAsia="宋体" w:cs="宋体"/>
                <w:b/>
                <w:bCs/>
                <w:color w:val="auto"/>
                <w:kern w:val="0"/>
                <w:szCs w:val="21"/>
                <w:highlight w:val="none"/>
                <w:lang w:bidi="ar"/>
              </w:rPr>
            </w:pPr>
            <w:r>
              <w:rPr>
                <w:rFonts w:hint="eastAsia" w:ascii="宋体" w:hAnsi="宋体" w:eastAsia="宋体" w:cs="宋体"/>
                <w:b/>
                <w:bCs/>
                <w:color w:val="auto"/>
                <w:kern w:val="0"/>
                <w:szCs w:val="21"/>
                <w:highlight w:val="none"/>
                <w:lang w:bidi="ar"/>
              </w:rPr>
              <w:t>预算金额（元）</w:t>
            </w:r>
          </w:p>
        </w:tc>
        <w:tc>
          <w:tcPr>
            <w:tcW w:w="6205" w:type="dxa"/>
            <w:vAlign w:val="center"/>
          </w:tcPr>
          <w:p w14:paraId="6AE750B6">
            <w:pPr>
              <w:widowControl/>
              <w:adjustRightInd w:val="0"/>
              <w:snapToGrid w:val="0"/>
              <w:spacing w:line="360" w:lineRule="exact"/>
              <w:jc w:val="center"/>
              <w:textAlignment w:val="center"/>
              <w:rPr>
                <w:rFonts w:hint="eastAsia" w:ascii="宋体" w:hAnsi="宋体" w:eastAsia="宋体" w:cs="宋体"/>
                <w:b/>
                <w:bCs/>
                <w:color w:val="auto"/>
                <w:kern w:val="0"/>
                <w:szCs w:val="21"/>
                <w:highlight w:val="none"/>
                <w:lang w:bidi="ar"/>
              </w:rPr>
            </w:pPr>
            <w:r>
              <w:rPr>
                <w:rFonts w:hint="eastAsia" w:ascii="宋体" w:hAnsi="宋体" w:eastAsia="宋体" w:cs="宋体"/>
                <w:b/>
                <w:bCs/>
                <w:color w:val="auto"/>
                <w:kern w:val="0"/>
                <w:szCs w:val="21"/>
                <w:highlight w:val="none"/>
                <w:lang w:bidi="ar"/>
              </w:rPr>
              <w:t>技术参数及配置</w:t>
            </w:r>
          </w:p>
        </w:tc>
      </w:tr>
      <w:tr w14:paraId="4157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noWrap/>
            <w:vAlign w:val="center"/>
          </w:tcPr>
          <w:p w14:paraId="537CB5CF">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185" w:type="dxa"/>
            <w:vAlign w:val="center"/>
          </w:tcPr>
          <w:p w14:paraId="606103DB">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低压（0.4KV）市电配电柜</w:t>
            </w:r>
          </w:p>
        </w:tc>
        <w:tc>
          <w:tcPr>
            <w:tcW w:w="600" w:type="dxa"/>
            <w:noWrap/>
            <w:vAlign w:val="center"/>
          </w:tcPr>
          <w:p w14:paraId="6B6F406B">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1套</w:t>
            </w:r>
          </w:p>
        </w:tc>
        <w:tc>
          <w:tcPr>
            <w:tcW w:w="1236" w:type="dxa"/>
            <w:noWrap/>
            <w:vAlign w:val="center"/>
          </w:tcPr>
          <w:p w14:paraId="4216436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353459</w:t>
            </w:r>
          </w:p>
        </w:tc>
        <w:tc>
          <w:tcPr>
            <w:tcW w:w="6205" w:type="dxa"/>
            <w:vAlign w:val="center"/>
          </w:tcPr>
          <w:p w14:paraId="4AB331AC">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（一）低压配电柜技术要求:</w:t>
            </w:r>
          </w:p>
          <w:p w14:paraId="72448449">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1.▲低压配电柜为抽出式结构，模数化设计。包含2面市电配电柜和1面市电母线联络柜，共3面低压（0.4KV）配电柜。每面柜体外形尺寸（宽×深×高）：≤800mm×800mm×2000mm，柜体总高度不得超出2200mm。包括功能单元、控制保护、测量采集、智能配电监测系统和端子排等组成。</w:t>
            </w:r>
          </w:p>
          <w:p w14:paraId="5FA021FA">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2.柜体材质与防护等级：柜体框架、门板、元件安装背板均采用厚度≥2mm 冷轧钢板静电喷涂或敷铝锌板；外壳防护等级≥IP40，遵循GB/T 4942.24外壳防护等级现行国标；母线区、开关区采用同材质钢板做物理分隔；柜体框架、门板、内部隔板均做可靠接地处理。</w:t>
            </w:r>
          </w:p>
          <w:p w14:paraId="1103F25A">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3．配电柜抽出式单元具有防误操作的防护功能，配电柜在工作状态及进行维修时，应防止操作人员与带电部分接触。</w:t>
            </w:r>
          </w:p>
          <w:p w14:paraId="0CFAF7E3">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4．所有供电回路（进/出线）均安装不小于0.5级电流互感器和分闸、合闸状态指示灯。</w:t>
            </w:r>
          </w:p>
          <w:p w14:paraId="32B09C67">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5．每个断路器（含小型断路器）都具有远程监示断路器分闸、合闸状态的输出接口。</w:t>
            </w:r>
          </w:p>
          <w:p w14:paraId="0ABE16C0">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6.低压配电柜与开关设备为同一品牌或在响应文件中提供兼容性解决方案。</w:t>
            </w:r>
          </w:p>
          <w:p w14:paraId="2D7E875D">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7. 每1面（共2面）市电配电柜元器件配置清单：</w:t>
            </w:r>
          </w:p>
          <w:p w14:paraId="5EFF36D8">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（1）主输入断路器：1台800A/4P框架式断路器。</w:t>
            </w:r>
          </w:p>
          <w:p w14:paraId="42A59363">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（2）UPS输入隔离开关：1台630A/4P。</w:t>
            </w:r>
          </w:p>
          <w:p w14:paraId="33376CB0">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（3）输出断路器：4台100A/3P塑壳式断路器；8台63A/3P小型断路器。</w:t>
            </w:r>
          </w:p>
          <w:p w14:paraId="7BDB5781">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（4）防浪涌保护断路器：1台63A/4P小型断路器。</w:t>
            </w:r>
          </w:p>
          <w:p w14:paraId="29B7905D">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（5）B级浪涌保护器：1台。</w:t>
            </w:r>
          </w:p>
          <w:p w14:paraId="3975F709">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（6）电流互感器：3只适配800A回路检测；12只适配100A回路检测；24只适配63A回路检测。</w:t>
            </w:r>
          </w:p>
          <w:p w14:paraId="18A0FA98">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（7）配电柜电气监测单元：1套。</w:t>
            </w:r>
          </w:p>
          <w:p w14:paraId="211B572F">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（8）三相带电指示灯：1套。</w:t>
            </w:r>
          </w:p>
          <w:p w14:paraId="4E00D142">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8.市电母线联络柜（1面）元器件配置清单：</w:t>
            </w:r>
          </w:p>
          <w:p w14:paraId="5D597653">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（1）双电源自动转换系统：1套，两进线一母联自动转换系统。</w:t>
            </w:r>
          </w:p>
          <w:p w14:paraId="21807EFA">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（2）母线联络断路器：1台800A/4P框架式断路器。</w:t>
            </w:r>
          </w:p>
          <w:p w14:paraId="49B4F4AE">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（3）输出断路器：2台100A/3P塑壳式断路器；8台63A/3P小型断路器。</w:t>
            </w:r>
          </w:p>
          <w:p w14:paraId="115B9C4A">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（4）电流互感器：6只适配100A回路检测；24只适配63A回路检测。</w:t>
            </w:r>
          </w:p>
          <w:p w14:paraId="23E34F4B">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（5）智能运维单元：1套。</w:t>
            </w:r>
          </w:p>
          <w:p w14:paraId="7B4E9112">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（6）16路通讯管理机：1套。</w:t>
            </w:r>
          </w:p>
          <w:p w14:paraId="3612A098">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（7）配电柜电气监测单元：1套。</w:t>
            </w:r>
          </w:p>
          <w:p w14:paraId="38DA7AE8">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（8）三相带电指示灯：1套。</w:t>
            </w:r>
          </w:p>
          <w:p w14:paraId="17C4A7FC">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（二）电气元器件的技术要求：</w:t>
            </w:r>
          </w:p>
          <w:p w14:paraId="7DEE25E6">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1. 双电源自动转换系统：</w:t>
            </w:r>
          </w:p>
          <w:p w14:paraId="086331F5">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1）双电源自动转换系统（两进线一母联自动转换系统）必须符合GB14048.11现行国标要求（《低压开关设备和控制设备第6部分：多功能电器-自动转换开关电器》），控制器、适配器、执行开关，整体通过CCC认证。</w:t>
            </w:r>
          </w:p>
          <w:p w14:paraId="5148B1ED">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2）双电源自动转换系统对电压进行实时监测，在电源出现欠压、过压、失压、断相时实现自动切换，具备“Ι、ΙΙ路进线开关合闸、母联开关断开”/“Ι或ΙΙ路进线开关合闸、母联开关合闸”/“Ι或ΙΙ路进线开关合闸、母联开关合闸”/“全部开关分闸”四种可靠的工作位置，且上述任一工作位置均可实现可靠的保持。</w:t>
            </w:r>
          </w:p>
          <w:p w14:paraId="3039CCEF">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（3）双电源自动转换系统自动切换条件参数（欠压参数为70～85％Ue，过压参数为100～120％Ue）、转换延时（分闸0-64S，合闸0-64S）、工作方式（自投自复，自投不自复）可根据现场需求调整。</w:t>
            </w:r>
          </w:p>
          <w:p w14:paraId="7AC092C8">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4）为保证计划内切换电源回路，重要负荷不断电，双电源自动转换系统要求具备手动并列切换功能。在输入手动并列信号后，双电源自动转换系统在一定时间内不断比对两路电源的电压幅值差（0-20V），相角差（0-5度），频率差（0.1-0.2HZ）,提供满足以上并联条件证明材料。当满足设定差值范围内，开关自动实现先合后分的动作逻辑，保证负荷不断电，实现电源并列时间不大于200ms；如在比对时间内不符合并列切换条件，开关不动作，控制器报警反馈不符合并列条件项。提供并列转换功能的第三方检验报告，保证用户使用安全。</w:t>
            </w:r>
          </w:p>
          <w:p w14:paraId="5946DD6B">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5）为保证现场工作人员的人身安全，要求通过就地/自动选择按钮使自动转换系统控制器退出对执行断路器的控制功能包括自动切换、控制器按键操作、通讯远程操作，此时执行断路器将由外接按钮来保证操作人员权限的唯一性。</w:t>
            </w:r>
          </w:p>
          <w:p w14:paraId="2D927741">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▲（6）双电源自动转换系统可根据客户需求选择信号闭锁功能，且提供检测报告。</w:t>
            </w:r>
          </w:p>
          <w:p w14:paraId="700CBF86">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（7）双电源自动切换系统使用类别不低于AC-33iB的负荷特性要求</w:t>
            </w:r>
          </w:p>
          <w:p w14:paraId="01501248">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（8）控制器带液晶带中文显示。</w:t>
            </w:r>
          </w:p>
          <w:p w14:paraId="7A3156C7">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2.框架式断路器</w:t>
            </w:r>
          </w:p>
          <w:p w14:paraId="314EF8D7">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（1）低压交流框架式断路器应符合下列主要技术要求：</w:t>
            </w:r>
          </w:p>
          <w:p w14:paraId="05900BC4">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低压出线断路器800A及以上采用框架抽出式断路器，配备OF辅助指示触点，配备双电源自动转换系统适配器，实现电动分合闸。</w:t>
            </w:r>
          </w:p>
          <w:p w14:paraId="64E4AF0B">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执行标准：符合IEC60947-6-1、GB/T14048.11</w:t>
            </w:r>
            <w:r>
              <w:rPr>
                <w:rFonts w:hint="eastAsia"/>
                <w:color w:val="auto"/>
                <w:highlight w:val="none"/>
                <w:lang w:val="en-US"/>
              </w:rPr>
              <w:t>现行国标</w:t>
            </w:r>
            <w:r>
              <w:rPr>
                <w:rFonts w:hint="eastAsia" w:ascii="宋体" w:hAnsi="宋体" w:cs="宋体"/>
                <w:color w:val="auto"/>
                <w:kern w:val="0"/>
                <w:szCs w:val="21"/>
                <w:highlight w:val="none"/>
                <w:lang w:val="en-US" w:bidi="en-US"/>
              </w:rPr>
              <w:t>的要求。</w:t>
            </w:r>
          </w:p>
          <w:p w14:paraId="75A53B0B">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额定绝缘电压Ui为1000V；</w:t>
            </w:r>
          </w:p>
          <w:p w14:paraId="6D34F996">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 xml:space="preserve">   额定工作电压Ue为690V；</w:t>
            </w:r>
          </w:p>
          <w:p w14:paraId="5B7DC1DA">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 xml:space="preserve">   额定短时耐受电压Uimp为12KV；</w:t>
            </w:r>
          </w:p>
          <w:p w14:paraId="5E80930A">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 xml:space="preserve">   额定极限短路分断能力Icu≥50KA；</w:t>
            </w:r>
          </w:p>
          <w:p w14:paraId="3FB61824">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（2）框架式断路器必须具有四段保护功能：过载长延时、短路短延时、短路瞬时、接地故障等功能；智能型抽屉式框架空气断路器的脱扣器应为模块化设计，框架断路器能进行区域联锁，具有选择保护功能。</w:t>
            </w:r>
          </w:p>
          <w:p w14:paraId="1ABFA3F5">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（3）框架断路器采用智能型（微处理器）脱扣器，脱扣器带液晶显示，便于观察，框架式断路器控制单元应具备电流、电压、功率、功率因数及电量显示测量功能。</w:t>
            </w:r>
          </w:p>
          <w:p w14:paraId="74A01B45">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（4）框架式断路器控制单元应具有框架断路器在故障跳闸时，有明确的机械及电气故障指示，具有历史故障跳闸记录。</w:t>
            </w:r>
          </w:p>
          <w:p w14:paraId="60212DE8">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5）为满足近远期用电负荷的变化，要求框架式断路器的脱扣整定电流采用现场在线可调型并有宽阔的电流和时间调节范围，在改变脱扣器额定电流时无需更换电流互感器即可扩展备用或升级，同时脱扣器具有现场扩展功能，必要时可增加通讯模块，测量模块，信号模块等，并无需额外增加其它辅助附件。框架式断路器应有长延时预报警功能、有预报警LED指示灯。</w:t>
            </w:r>
          </w:p>
          <w:p w14:paraId="7FC2AB03">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3.塑壳式断路器</w:t>
            </w:r>
          </w:p>
          <w:p w14:paraId="77429B8A">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低压出线断路器630A以下80A以上采用塑壳式断路器，配备OF辅助指示触点。</w:t>
            </w:r>
          </w:p>
          <w:p w14:paraId="72516704">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（1）执行标准：</w:t>
            </w:r>
            <w:r>
              <w:rPr>
                <w:rFonts w:hint="eastAsia"/>
                <w:color w:val="auto"/>
                <w:highlight w:val="none"/>
                <w:lang w:val="en-US"/>
              </w:rPr>
              <w:t>符合 IEC60947-2现行标准，性能不低于 GB/T 14048.2现行国标要求。</w:t>
            </w:r>
          </w:p>
          <w:p w14:paraId="7B7291F0">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（2）塑壳式断路器技术要求：额定绝缘电压Ui为800V；</w:t>
            </w:r>
          </w:p>
          <w:p w14:paraId="4586B26E">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 xml:space="preserve">                         额定工作电压Ue为690V；</w:t>
            </w:r>
          </w:p>
          <w:p w14:paraId="3081EDCD">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 xml:space="preserve">                         额定短时耐受电压Uimp为8KV；</w:t>
            </w:r>
          </w:p>
          <w:p w14:paraId="01556470">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 xml:space="preserve">                         额定极限短路分断能力Icu≥50KA；</w:t>
            </w:r>
          </w:p>
          <w:p w14:paraId="642A8151">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（3）低压交流塑壳式断路器可以同时提供合、分位置辅助接点，故障位置辅助接点。</w:t>
            </w:r>
          </w:p>
          <w:p w14:paraId="0B2CBC9E">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（4）断路器及其附件为同一品牌产品或在响应文件中提供兼容性解决方案。</w:t>
            </w:r>
          </w:p>
          <w:p w14:paraId="165FAFD4">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（5）400A以下用热磁式脱扣器，400A或以上用电子式脱扣器。</w:t>
            </w:r>
          </w:p>
          <w:p w14:paraId="5E5932EF">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4.小型断路器</w:t>
            </w:r>
          </w:p>
          <w:p w14:paraId="30EF436F">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低压出线断路器63A以下采用小型断路器，配备OF辅助指示触点。</w:t>
            </w:r>
          </w:p>
          <w:p w14:paraId="713AD986">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 xml:space="preserve">（1）执行标准：符合 IEC 60898-1 </w:t>
            </w:r>
            <w:r>
              <w:rPr>
                <w:rFonts w:hint="eastAsia"/>
                <w:color w:val="auto"/>
                <w:highlight w:val="none"/>
                <w:lang w:val="en-US"/>
              </w:rPr>
              <w:t>现行</w:t>
            </w:r>
            <w:r>
              <w:rPr>
                <w:rFonts w:hint="eastAsia" w:ascii="宋体" w:hAnsi="宋体" w:cs="宋体"/>
                <w:color w:val="auto"/>
                <w:kern w:val="0"/>
                <w:szCs w:val="21"/>
                <w:highlight w:val="none"/>
                <w:lang w:val="en-US" w:bidi="en-US"/>
              </w:rPr>
              <w:t>标准，性能不低于GB/T 10963.1、GB/T 14048.2 现行国标要求。</w:t>
            </w:r>
          </w:p>
          <w:p w14:paraId="71347437">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（2）小型断路器技术要求：额定绝缘电压Ui为500V；</w:t>
            </w:r>
          </w:p>
          <w:p w14:paraId="725FC5A6">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 xml:space="preserve">                         额定工作电压Ue为400V；</w:t>
            </w:r>
          </w:p>
          <w:p w14:paraId="01B25DE3">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 xml:space="preserve">                         额定短时耐受电压Uimp为6KV；</w:t>
            </w:r>
          </w:p>
          <w:p w14:paraId="4867559D">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 xml:space="preserve">                         额定极限短路分断能力Icu≥10KA；</w:t>
            </w:r>
          </w:p>
          <w:p w14:paraId="1DD150FA">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（三）配电柜智能配电监测系统</w:t>
            </w:r>
          </w:p>
          <w:p w14:paraId="41F5B64A">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1.每1面市电配电柜（共2面）智能配电监测系统配置清单：</w:t>
            </w:r>
          </w:p>
          <w:p w14:paraId="00FFEE3E">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（1）配电柜电气监测单元：1套。</w:t>
            </w:r>
          </w:p>
          <w:p w14:paraId="45587F9C">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（2）7寸HMI触摸显示屏：1台。</w:t>
            </w:r>
          </w:p>
          <w:p w14:paraId="629E5D38">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（3）16路3相监测子模块：1台。</w:t>
            </w:r>
          </w:p>
          <w:p w14:paraId="02DA15F6">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（4）12路开关量子模块：2台。</w:t>
            </w:r>
          </w:p>
          <w:p w14:paraId="62A2B34C">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2.市电母线联络柜（共1面）智能配电监测系统配置清单：</w:t>
            </w:r>
          </w:p>
          <w:p w14:paraId="208E9135">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（1）智能运维单元：1套。</w:t>
            </w:r>
          </w:p>
          <w:p w14:paraId="22D28D87">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（2）16路通讯管理机：1套。</w:t>
            </w:r>
          </w:p>
          <w:p w14:paraId="75C7A530">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（3）配电柜电气监测单元：1套。</w:t>
            </w:r>
          </w:p>
          <w:p w14:paraId="10F77AB2">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（4）7寸HMI触摸显示屏：1台。</w:t>
            </w:r>
          </w:p>
          <w:p w14:paraId="0EE3EFC0">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（5）16路3相监测子模块：1台。</w:t>
            </w:r>
          </w:p>
          <w:p w14:paraId="1E1A83F2">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（6）12路开关量子模块：2台。</w:t>
            </w:r>
          </w:p>
          <w:p w14:paraId="5CF4FFB8">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3．智能运维单元技术要求</w:t>
            </w:r>
          </w:p>
          <w:p w14:paraId="306A1D1E">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1）提供配电室内电气数据监测、分析，可显示系统单线图、关键设备运行参数，显示电流、电压、功率因数、电能，并实时监测、记录并追踪电气系统报警及故障，提供现场巡检和故障处理分析。配置不小于15寸工业触摸屏（安装于低压进线或母联柜中），分辨率1280*1024，intel i7处理器，RAM内存空间16GB，硬盘存储空间128GB，支持2个R485，2个以太网口。采集数据按动力集控中心现有的3D数字孪生系统架构要求，统一通过通信管理机的RS485和以太网接口向上转发，接入原有SmartME智慧能源和设施物联网管理平台，实现数据共享、组态堆叠扩展，达到一个平台统一管理，多个子系统、多个设备、多种功能展示的目的。</w:t>
            </w:r>
          </w:p>
          <w:p w14:paraId="75BEF241">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（2）智能运维单元内置软件，支持动环监测、配电系统图、变压器监测、断路器健康度分析、电能质量分析、视频监控、生成报表功能。</w:t>
            </w:r>
          </w:p>
          <w:p w14:paraId="20CE2AF6">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3）产品需通过射频场电磁辐射抗扰度，工频磁场抗扰度，静电放电，射频场感应的传导骚扰抗扰度，交流电源端口的电快速瞬变脉冲群抗扰度，交流电源端口的浪涌，电压暂降、短时中断和电压变化，谐波、谐间波抗扰度试验”试验和低温、高温工作试验，供货时提供有资质的检测机构出具的检测报告。</w:t>
            </w:r>
          </w:p>
          <w:p w14:paraId="364873FD">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4.配电柜电气监测单元技术要求：</w:t>
            </w:r>
          </w:p>
          <w:p w14:paraId="29E666CC">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（1）模块式设计,内置监测软件，可提供150路出线支路监测，主机模块与子模块完全分离独立选配，可满足不同回路的馈线要求。</w:t>
            </w:r>
          </w:p>
          <w:p w14:paraId="72E28570">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（2）提供7寸及以上HMI人机界面，具备良好的可视性和可操作性，分辨率为800×480，TFT液晶显示触控屏，屏幕亮度满足人员读取信息要求。3路 RS485 接口及1路以太网接口，支持Modbus-RTU协议、Modbus-TCP协议、NTP 校时、YD/T1636.3-2023。</w:t>
            </w:r>
          </w:p>
          <w:p w14:paraId="3133F061">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（3）电磁兼容特性指标应符合国家或国际相关标准（IEC61000；GB/T 17626）。</w:t>
            </w:r>
          </w:p>
          <w:p w14:paraId="56478F40">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（4）配备继电器输出≥4 路，用于外接报警装置，所有报警阈值可设，支持两级报警（上上限/上限等），多级报警功能，并可通过内部继电器输出报警信号，高达 7000 条以上报警信息记录。</w:t>
            </w:r>
          </w:p>
          <w:p w14:paraId="0658ED6D">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（5）报警类型：过压、欠压、过频、欠频、过负荷、欠负荷、缺相、不平衡、开关变位、通道异常（有流无压）等。</w:t>
            </w:r>
          </w:p>
          <w:p w14:paraId="40DD2C8D">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（6）监测：可监测零线电流、漏电电流、零地电压、机柜温湿度。</w:t>
            </w:r>
          </w:p>
          <w:p w14:paraId="47D9F488">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7）采用电气参量采集监测模块+不小于0.5级互感器监测配电柜全部进出线具备电参量测量：包括相电压、相电流、相最大电流、电流不平衡率、分相有功、总有功、总功率因数、频率、总有功电度、电流总谐波畸变率THD、电压总谐波畸变率THD，提供 2～31 次 电压、电流谐波测量，含THD总谐波畸变率。</w:t>
            </w:r>
          </w:p>
          <w:p w14:paraId="350F0CB6">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（8）进出线可设置超负荷、低负荷、电量不平衡、缺相、漏电、零线过电流报警。</w:t>
            </w:r>
          </w:p>
          <w:p w14:paraId="0FBF18B9">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（9）出线回路容量：单主模块最大支持150路单相或50路三相出线监测。</w:t>
            </w:r>
          </w:p>
          <w:p w14:paraId="0F0A7157">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（10）采用开关量监测模块监测配电柜全部出线开关状态监测：可测量多路出线开关的分合状态，开关无辅助触点也可实现。</w:t>
            </w:r>
          </w:p>
          <w:p w14:paraId="47DB79A3">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（11）电度脉冲输出：进线/出线均具备独立有功电度脉冲输出。</w:t>
            </w:r>
          </w:p>
          <w:p w14:paraId="66E81A4D">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（12）支持单三相混编，快速适配不同馈线要求。</w:t>
            </w:r>
          </w:p>
          <w:p w14:paraId="1DF77AAA">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13）通过RS485和以太网多种智能接口通讯方式，统一通过通信管理机接口向上转发至智能运维单元，接入SmartME智慧能源和设施物联网管理平台，实现数据共享、组态堆叠扩展，达到一个平台统一管理，多个子系统、多个设备、多种功能展示的目的。</w:t>
            </w:r>
          </w:p>
          <w:p w14:paraId="233FF420">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 xml:space="preserve">5.通讯管理机技术要求： </w:t>
            </w:r>
          </w:p>
          <w:p w14:paraId="4A8CA2BE">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（1）通讯管理机集数据采集、传输、处理和监控于一体，通过多种通信协议与各类传感器、控制器及其他设备进行连接，实现数据的集中管理与远程监控。</w:t>
            </w:r>
          </w:p>
          <w:p w14:paraId="23517F97">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（2）采用4核Cortex-A53处理器，主频1.5GHZ；标配2GB内存；采用高性能处理器；无硬盘、无风扇、双电源冗余、工业级电磁兼容等级设计；最大支持50000测点。</w:t>
            </w:r>
          </w:p>
          <w:p w14:paraId="27488206">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（3）4个10/100/1000M速率自适应以太网口，16路RS485接口。</w:t>
            </w:r>
          </w:p>
          <w:p w14:paraId="300DEAB2">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（4）海量协议支持：支持80多种采集协议和30多种转发协议，且支持定制开发。可与不同厂商的设备对接。</w:t>
            </w:r>
          </w:p>
          <w:p w14:paraId="6D44CECA">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（5）模块化设计，支持串口和IO扩展模块，方便用户根据实际需求增加输入输出通道、通讯接口等，实现系统的灵活扩展。</w:t>
            </w:r>
          </w:p>
          <w:p w14:paraId="55EBF959">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（6）支持主备冗余部署、AB网冗余部署；支持设备级联；支持多样的告警联动；支持本地WEB监控。</w:t>
            </w:r>
          </w:p>
          <w:p w14:paraId="3EC99C7B">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（四）供货配套要求</w:t>
            </w:r>
          </w:p>
          <w:p w14:paraId="4E8F1FBB">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全套设备出厂含合格证、元器件原厂资质证书、检测报告、平台接入证明、接线图纸、调试资料，出厂完成通电校验、通讯联调、告警测试。</w:t>
            </w:r>
          </w:p>
          <w:p w14:paraId="63D58FBC">
            <w:pPr>
              <w:pStyle w:val="30"/>
              <w:spacing w:after="0" w:line="320" w:lineRule="exact"/>
              <w:ind w:firstLine="0" w:firstLineChars="0"/>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val="en-US" w:bidi="en-US"/>
              </w:rPr>
              <w:t>（五）质保期：一年</w:t>
            </w:r>
          </w:p>
        </w:tc>
      </w:tr>
      <w:tr w14:paraId="1E0C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noWrap/>
            <w:vAlign w:val="center"/>
          </w:tcPr>
          <w:p w14:paraId="1FBF0296">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185" w:type="dxa"/>
            <w:vAlign w:val="center"/>
          </w:tcPr>
          <w:p w14:paraId="65B00CD8">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低压（0.4KV）机用电配电柜</w:t>
            </w:r>
          </w:p>
        </w:tc>
        <w:tc>
          <w:tcPr>
            <w:tcW w:w="600" w:type="dxa"/>
            <w:noWrap/>
            <w:vAlign w:val="center"/>
          </w:tcPr>
          <w:p w14:paraId="51E8725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3面</w:t>
            </w:r>
          </w:p>
        </w:tc>
        <w:tc>
          <w:tcPr>
            <w:tcW w:w="1236" w:type="dxa"/>
            <w:noWrap/>
            <w:vAlign w:val="center"/>
          </w:tcPr>
          <w:p w14:paraId="4D23F25B">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422916</w:t>
            </w:r>
          </w:p>
        </w:tc>
        <w:tc>
          <w:tcPr>
            <w:tcW w:w="6205" w:type="dxa"/>
            <w:vAlign w:val="center"/>
          </w:tcPr>
          <w:p w14:paraId="2D7D6C6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(一）机用电配电柜技术要求:</w:t>
            </w:r>
          </w:p>
          <w:p w14:paraId="45AA3238">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机用电配电柜为抽出式结构，模数化设计。机用电配电柜共3面配电柜，其中2面安装于C区二层配电房，另1面安装于C区一层配电房。外形尺寸（宽×深×高）：≤800mm×800mm×2000mm，柜体总高度不得超出2200mm。包括功能单元、控制保护、测量采集、智能配电监测系统和端子排等组成。</w:t>
            </w:r>
          </w:p>
          <w:p w14:paraId="0D4735D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2.柜体材质与防护等级：柜体框架、门板、元件安装背板均采用厚度≥2mm 冷轧钢板静电喷涂或敷铝锌板；外壳防护等级≥IP40，遵循GB/T 4942.24外壳防护等级现行国标；母线区、开关区采用同材质钢板做物理分隔；柜体框架、门板、内部隔板均做可靠接地处理。</w:t>
            </w:r>
          </w:p>
          <w:p w14:paraId="2012795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3．配电柜抽出式单元具有防误操作的防护功能，配电柜在工作状态及进行维修时，应防止操作人员与带电部分接触。</w:t>
            </w:r>
          </w:p>
          <w:p w14:paraId="51E8E9F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4．所有供电回路（进/出线）均安装不小于0.5级电流互感器和分闸、合闸状态指示灯。</w:t>
            </w:r>
          </w:p>
          <w:p w14:paraId="1AB26E2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5．每个断路器（含小型断路器）都具有远程监示断路器分闸、合闸状态的输出接口。</w:t>
            </w:r>
          </w:p>
          <w:p w14:paraId="6D4E9BD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6.低压配电柜与开关设备为同一品牌或在响应文件中提供兼容性解决方案。</w:t>
            </w:r>
          </w:p>
          <w:p w14:paraId="1170BC8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7.每1面机用电配电柜（共3面）元器件配置清单：</w:t>
            </w:r>
          </w:p>
          <w:p w14:paraId="3D03B68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（1）双电源自动转换系统：1套，两进线主备自动转换系统。</w:t>
            </w:r>
          </w:p>
          <w:p w14:paraId="1B974D2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（2）输入隔离开关：2台250A/4P。</w:t>
            </w:r>
          </w:p>
          <w:p w14:paraId="610F85F2">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（3）输入断路器：2台250A/4P塑壳式断路器。</w:t>
            </w:r>
          </w:p>
          <w:p w14:paraId="31BCAEE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（4）输出断路器：1台160A/3P塑壳式断路器；4台100A/3P小型断路器；8台63A/3P小型断路器。</w:t>
            </w:r>
          </w:p>
          <w:p w14:paraId="11DF466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（5）防浪涌保护断路器：1台63A/4P小型断路器。</w:t>
            </w:r>
          </w:p>
          <w:p w14:paraId="6EB7E5A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（6）C级浪涌保护器：1台。</w:t>
            </w:r>
          </w:p>
          <w:p w14:paraId="1F9A0D8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（7）电流互感器：6只适配250A回路检测；3只适配160A回路检测；12只适配100A回路检测；24只适配63A回路检测。</w:t>
            </w:r>
          </w:p>
          <w:p w14:paraId="223E8C3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（8）智能运维单元：1套（只配备安装于C区二层配电房其中1面机用电配电柜）。</w:t>
            </w:r>
          </w:p>
          <w:p w14:paraId="63A8879C">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（9）16路通讯管理机：1套（只配备安装于C区二层配电房其中1面机用电配电柜）。</w:t>
            </w:r>
          </w:p>
          <w:p w14:paraId="714EBD0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（10）配电柜电气监测单元：1套。</w:t>
            </w:r>
          </w:p>
          <w:p w14:paraId="3DCB7BE1">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（11）三相带电指示灯：1套。</w:t>
            </w:r>
          </w:p>
          <w:p w14:paraId="36585A6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（二）电气元器件技术要求：</w:t>
            </w:r>
          </w:p>
          <w:p w14:paraId="703B0F9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1.双电源自动转换系统</w:t>
            </w:r>
          </w:p>
          <w:p w14:paraId="0CAF338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（1）自动转换功能具备“常用电源合、备用电源分”/“常用电源分、备用电源合”/“常用、备用电源双分”三个可靠的工作位置，且“常、备用电源双分”位置，并可以实现可靠的、机械的保持；</w:t>
            </w:r>
          </w:p>
          <w:p w14:paraId="2A0691C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（2）采用塑壳式断路器电动操作机构，通过电动信号远程控制，或者通过手动操作机构在断路器前面板上直接本地控制。</w:t>
            </w:r>
          </w:p>
          <w:p w14:paraId="270077A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（3）自动转换开关电器符合AC-33iB的负荷特性要求。</w:t>
            </w:r>
          </w:p>
          <w:p w14:paraId="549570B1">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2.塑壳式断路器</w:t>
            </w:r>
          </w:p>
          <w:p w14:paraId="3F1AA72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低压出线开关630A以下80A以上采用塑壳式断路器，配备电动操作机构、OF辅助指示触点。</w:t>
            </w:r>
          </w:p>
          <w:p w14:paraId="1C344CD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w:t>
            </w:r>
            <w:r>
              <w:rPr>
                <w:rFonts w:hint="eastAsia" w:ascii="宋体" w:hAnsi="宋体" w:cs="宋体"/>
                <w:color w:val="auto"/>
                <w:kern w:val="0"/>
                <w:szCs w:val="21"/>
                <w:highlight w:val="none"/>
                <w:lang w:bidi="en-US"/>
              </w:rPr>
              <w:t>执行标准：</w:t>
            </w:r>
            <w:r>
              <w:rPr>
                <w:rFonts w:hint="eastAsia"/>
                <w:color w:val="auto"/>
                <w:highlight w:val="none"/>
              </w:rPr>
              <w:t>符合 IEC60947-2现行标准，性能不低于 GB/T 14048.2现行国标要求。</w:t>
            </w:r>
            <w:r>
              <w:rPr>
                <w:rFonts w:hint="eastAsia" w:ascii="宋体" w:hAnsi="宋体" w:eastAsia="宋体" w:cs="宋体"/>
                <w:color w:val="auto"/>
                <w:kern w:val="0"/>
                <w:szCs w:val="21"/>
                <w:highlight w:val="none"/>
                <w:lang w:bidi="en-US"/>
              </w:rPr>
              <w:t>。</w:t>
            </w:r>
          </w:p>
          <w:p w14:paraId="1A4033E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（2）塑壳式断路器技术要求：额定绝缘电压Ui为800V；</w:t>
            </w:r>
          </w:p>
          <w:p w14:paraId="0A6F566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额定工作电压Ue为690V；</w:t>
            </w:r>
          </w:p>
          <w:p w14:paraId="4F96B79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额定短时耐受电压Uimp为8KV；</w:t>
            </w:r>
          </w:p>
          <w:p w14:paraId="023628C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额定极限短路分断能力Icu≥50KA；</w:t>
            </w:r>
          </w:p>
          <w:p w14:paraId="48EDFE5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（3）低压交流塑壳式断路器可以同时提供合、分位置辅助接点，故障位置辅助接点。</w:t>
            </w:r>
          </w:p>
          <w:p w14:paraId="627672C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（4）断路器及其附件为同一品牌产品或在响应文件中提供兼容性解决方案。</w:t>
            </w:r>
          </w:p>
          <w:p w14:paraId="5766628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（5）400A以下用热磁式脱扣器，400A或以上用电子式脱扣器。</w:t>
            </w:r>
          </w:p>
          <w:p w14:paraId="2711BB6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3.小型断路器</w:t>
            </w:r>
          </w:p>
          <w:p w14:paraId="23CAF8C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低压出线开关63A以下采用小型断路器，配备OF辅助指示触点。</w:t>
            </w:r>
          </w:p>
          <w:p w14:paraId="0E993C5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（1）执行标准：符合 IEC 60898-1 </w:t>
            </w:r>
            <w:r>
              <w:rPr>
                <w:rFonts w:hint="eastAsia"/>
                <w:color w:val="auto"/>
                <w:highlight w:val="none"/>
              </w:rPr>
              <w:t>现行</w:t>
            </w:r>
            <w:r>
              <w:rPr>
                <w:rFonts w:hint="eastAsia" w:ascii="宋体" w:hAnsi="宋体" w:eastAsia="宋体" w:cs="宋体"/>
                <w:color w:val="auto"/>
                <w:kern w:val="0"/>
                <w:szCs w:val="21"/>
                <w:highlight w:val="none"/>
                <w:lang w:bidi="en-US"/>
              </w:rPr>
              <w:t>标准，性能不低于GB/T 10963.1、GB/T 14048.2 现行国标要求。</w:t>
            </w:r>
          </w:p>
          <w:p w14:paraId="0DDE9E8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（2）小型断路器技术要求：额定绝缘电压Ui为500V；</w:t>
            </w:r>
          </w:p>
          <w:p w14:paraId="155A879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额定工作电压Ue为400V；</w:t>
            </w:r>
          </w:p>
          <w:p w14:paraId="6B75AB9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额定短时耐受电压Uimp为6KV；</w:t>
            </w:r>
          </w:p>
          <w:p w14:paraId="03F3056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额定极限短路分断能力Icu≥10KA；</w:t>
            </w:r>
          </w:p>
          <w:p w14:paraId="4D86935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（四）配电柜智能配电监测系统</w:t>
            </w:r>
          </w:p>
          <w:p w14:paraId="1444467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1.每1面机用电配电柜（共3面）智能配电监测系统配置清单：</w:t>
            </w:r>
          </w:p>
          <w:p w14:paraId="542F7E62">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（1）智能运维单元：1套（只配备安装于C区二层配电房其中1面机用电配电柜）。</w:t>
            </w:r>
          </w:p>
          <w:p w14:paraId="0590A58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（2）16路通讯管理机：1套（只配备安装于C区二层配电房其中1面机用电配电柜）。</w:t>
            </w:r>
          </w:p>
          <w:p w14:paraId="6741798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（3）配电柜电气监测单元：1套。</w:t>
            </w:r>
          </w:p>
          <w:p w14:paraId="28E0974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（4）7寸HMI触摸显示屏：1台。</w:t>
            </w:r>
          </w:p>
          <w:p w14:paraId="4F4248E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（5）16路3相监测子模块：1台。</w:t>
            </w:r>
          </w:p>
          <w:p w14:paraId="3AD35D7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（6）12路开关量子模块：2台。</w:t>
            </w:r>
          </w:p>
          <w:p w14:paraId="7138268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2．智能运维单元技术要求：</w:t>
            </w:r>
          </w:p>
          <w:p w14:paraId="32BE3332">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智能运维单元提供配电室内电气数据监测、分析，可显示系统单线图、关键设备运行参数，显示电流、电压、功率因数、电能，并实时监测、记录并追踪电气系统报警及故障，提供现场巡检和故障处理分析。配置不小于15寸工业触摸屏（安装于C区二层配电房其中1面机用电配电柜中），分辨率1280*1024，intel i7处理器，RAM内存空间16GB，硬盘存储空间128GB，支持2个R485，2个以太网口。</w:t>
            </w:r>
          </w:p>
          <w:p w14:paraId="68D00C5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采集数据按动力集控中心现有的3D数字孪生系统架构要求，统一通过通信管理机的RS485和以太网接口向上转发，接入原有SmartME智慧能源和设施物联网管理平台，实现数据共享、组态堆叠扩展，达到一个平台统一管理，多个子系统、多个设备、多种功能展示的目的。</w:t>
            </w:r>
          </w:p>
          <w:p w14:paraId="51D5F97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（2）智能运维单元内置软件，支持动环监测、配电系统图、变压器监测、断路器健康度分析、电能质量分析、视频监控、生成报表功能。</w:t>
            </w:r>
          </w:p>
          <w:p w14:paraId="0A39E678">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产品需通过射频场电磁辐射抗扰度，工频磁场抗扰度，静电放电，射频场感应的传导骚扰抗扰度，交流电源端口的电快速瞬变脉冲群抗扰度，交流电源端口的浪涌，电压暂降、短时中断和电压变化，谐波、谐间波抗扰度试验”试验和低温、高温工作试验，供货时提供有资质的检测机构出具的检测报告。</w:t>
            </w:r>
          </w:p>
          <w:p w14:paraId="130439E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3．配电柜电气监测单元技术要求：</w:t>
            </w:r>
          </w:p>
          <w:p w14:paraId="782EA18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（1）模块式设计,内置监测软件，可提供150路出线支路监测，主机模块与子模块完全分离独立选配，可满足不同回路的馈线要求。</w:t>
            </w:r>
          </w:p>
          <w:p w14:paraId="45CF9BA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（2）提供7寸及以上HMI人机界面，具备良好的可视性和可操作性，分辨率为800×480，TFT液晶显示触控屏，屏幕亮度满足人员读取信息要求。3路RS485接口及1路以太网接口，支持 Modbus-RTU协议、Modbus-TCP协议、NTP校时、YD/T 1636.3-2023 。</w:t>
            </w:r>
          </w:p>
          <w:p w14:paraId="5224397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（3）电磁兼容特性指标应符合国家或国际相关标准（IEC61000；GB/T 17626）。</w:t>
            </w:r>
          </w:p>
          <w:p w14:paraId="6AAAEAE8">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（4）配备继电器输出≥4路，用于外接报警装置，所有报警阈值可设，支持两级报警（上上限/上限等），多级报警功能，并可通过内部继电器输出报警信号，高达 7000 条以上报警信息记录。</w:t>
            </w:r>
          </w:p>
          <w:p w14:paraId="1EE6FCF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（5）报警类型：过压、欠压、过频、欠频、过负荷、欠负荷、缺相、不平衡、开关变位、通道异常（有流无压）等。</w:t>
            </w:r>
          </w:p>
          <w:p w14:paraId="00C8053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（6）监测：可监测零线电流、漏电电流、零地电压、机柜温湿度。</w:t>
            </w:r>
          </w:p>
          <w:p w14:paraId="7F70158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采用电气参量采集监测模块+不小于0.5级互感器监测配电柜全部进出线具备电参量测量：包括相电压、相电流、相最大电流、电流不平衡率、分相有功、总有功、总功率因数、频率、总有功电度、电流总谐波畸变率THD、电压总谐波畸变率THD，提供2～31次电压、电流谐波测量，含THD总谐波畸变率。</w:t>
            </w:r>
          </w:p>
          <w:p w14:paraId="6A8ACC2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（8）进出线可设置超负荷、低负荷、电量不平衡、缺相、漏电、零线过电流报警。</w:t>
            </w:r>
          </w:p>
          <w:p w14:paraId="1336AD8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（9）出线回路容量：单主模块最大支持150路单相 或50路三相出线监测。</w:t>
            </w:r>
          </w:p>
          <w:p w14:paraId="3B3AE1F1">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（10）采用开关量监测模块监测配电柜全部出线开关状态监测：可测量多路出线开关的分合状态，开关无辅助触点也可实现。</w:t>
            </w:r>
          </w:p>
          <w:p w14:paraId="2F1C42E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（11）电度脉冲输出：进线/出线均具备独立有功电度脉冲输出。</w:t>
            </w:r>
          </w:p>
          <w:p w14:paraId="250B659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（12）支持单三相混编，快速适配不同馈线要求。</w:t>
            </w:r>
          </w:p>
          <w:p w14:paraId="3ED30BF2">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13）通过RS485和以太网多种智能接口通讯方式，统一通过通信管理机接口向上转发至智能运维单元，接入SmartME智慧能源和设施物联网管理平台，实现数据共享、组态堆叠扩展，达到一个平台统一管理，多个子系统、多个设备、多种功能展示的目的。</w:t>
            </w:r>
          </w:p>
          <w:p w14:paraId="669D1D0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4．配电柜监测通讯管理机技术参数要求：</w:t>
            </w:r>
          </w:p>
          <w:p w14:paraId="77EEDB9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（1）通讯管理机集数据采集、传输、处理和监控于一体，通过多种通信协议与各类传感器、控制器及其他设备进行连接，实现数据的集中管理与远程监控。</w:t>
            </w:r>
          </w:p>
          <w:p w14:paraId="717FF11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（2）采用4核Cortex-A53处理器，主频高达1.5GHZ；且标配2GB内存；采用高性能处理器；无硬盘、无风扇、双电源冗余、工业级电磁兼容等级设计；最大支持50000测点，处理数据的速度和能力更强大。</w:t>
            </w:r>
          </w:p>
          <w:p w14:paraId="7F8C951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（3）4个10/100/1000M速率自适应以太网口，16路RS485接口。</w:t>
            </w:r>
          </w:p>
          <w:p w14:paraId="7A0DB4F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（4）海量协议支持：支持80多种采集协议和30多种转发协议，且支持定制开发。可与不同厂商的设备对接。</w:t>
            </w:r>
          </w:p>
          <w:p w14:paraId="527D239C">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（5）模块化设计，支持串口和IO扩展模块，方便用户根据实际需求增加输入输出通道、通讯接口等，实现系统的灵活扩展。</w:t>
            </w:r>
          </w:p>
          <w:p w14:paraId="02BF1DE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（6）支持主备冗余部署、AB网冗余部署；支持设备级联；支持多样的告警联动；支持本地WEB监控。</w:t>
            </w:r>
          </w:p>
          <w:p w14:paraId="3CB6EC4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（四）供货配套要求</w:t>
            </w:r>
          </w:p>
          <w:p w14:paraId="337A8E0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全套设备出厂含合格证、元器件原厂资质证书、检测报告、平台接入证明、接线图纸、调试资料，出厂完成通电校验、通讯联调、告警测试。</w:t>
            </w:r>
          </w:p>
          <w:p w14:paraId="7271941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（五）质保期：一年</w:t>
            </w:r>
          </w:p>
        </w:tc>
      </w:tr>
      <w:tr w14:paraId="1C0C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noWrap/>
            <w:vAlign w:val="center"/>
          </w:tcPr>
          <w:p w14:paraId="636CA7F0">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185" w:type="dxa"/>
            <w:vAlign w:val="center"/>
          </w:tcPr>
          <w:p w14:paraId="024ED8C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低压（0.4KV）照明动力配电柜</w:t>
            </w:r>
          </w:p>
        </w:tc>
        <w:tc>
          <w:tcPr>
            <w:tcW w:w="600" w:type="dxa"/>
            <w:noWrap/>
            <w:vAlign w:val="center"/>
          </w:tcPr>
          <w:p w14:paraId="30464167">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1面</w:t>
            </w:r>
          </w:p>
        </w:tc>
        <w:tc>
          <w:tcPr>
            <w:tcW w:w="1236" w:type="dxa"/>
            <w:noWrap/>
            <w:vAlign w:val="center"/>
          </w:tcPr>
          <w:p w14:paraId="10C9F75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78350</w:t>
            </w:r>
          </w:p>
        </w:tc>
        <w:tc>
          <w:tcPr>
            <w:tcW w:w="6205" w:type="dxa"/>
          </w:tcPr>
          <w:p w14:paraId="4B9D507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(一）照明动力配电柜技术要求:</w:t>
            </w:r>
          </w:p>
          <w:p w14:paraId="4C031C3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▲1.照明动力配电柜为抽出式结构，模数化设计，外形尺寸（宽×深×高）：≤800mm×800mm×2000mm，柜体总高度不得超出2200mm。包括功能单元、控制保护、测量采集、智能配电监测系统和端子排等组成。</w:t>
            </w:r>
          </w:p>
          <w:p w14:paraId="67AC419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2.柜体材质与防护等级：柜体框架、门板、元件安装背板均采用厚度≥2mm 冷轧钢板静电喷涂或敷铝锌板；外壳防护等级≥IP40，遵循GB/T 4942.24外壳防护等级现行国标；母线区、开关区采用同材质钢板做物理分隔；柜体框架、门板、内部隔板均做可靠接地处理。</w:t>
            </w:r>
          </w:p>
          <w:p w14:paraId="23F2834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3．配电柜抽出式单元具有防误操作的防护功能，配电柜在工作状态及进行维修时，应防止操作人员与带电部分接触。</w:t>
            </w:r>
          </w:p>
          <w:p w14:paraId="2F5BA67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4．所有供电回路（进/出线）均安装不小于0.5级电流互感器和分闸、合闸状态指示灯。</w:t>
            </w:r>
          </w:p>
          <w:p w14:paraId="3A3C9CC8">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5．每个断路器（含小型断路器）都具有远程监示断路器分闸、合闸状态的输出接口。</w:t>
            </w:r>
          </w:p>
          <w:p w14:paraId="35E1546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6.低压配电柜与开关设备为同一品牌或在响应文件中提供兼容性解决方案。</w:t>
            </w:r>
          </w:p>
          <w:p w14:paraId="7C62A01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7.机用电配电柜元器件配置清单：</w:t>
            </w:r>
          </w:p>
          <w:p w14:paraId="0BC72AE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（1）输入断路器：2台250A/3P塑壳式断路器。</w:t>
            </w:r>
          </w:p>
          <w:p w14:paraId="07C9EA2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（2）输出断路器：4台100A/3P塑壳式断路器；4台80A/3P塑壳式断路器；8台63A/3P小型断路器。</w:t>
            </w:r>
          </w:p>
          <w:p w14:paraId="2D72432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（3）防浪涌保护断路器：2台63A/4P小型断路器。</w:t>
            </w:r>
          </w:p>
          <w:p w14:paraId="3840EAF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（4）C级浪涌保护器：2台。</w:t>
            </w:r>
          </w:p>
          <w:p w14:paraId="3151590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（5）电流互感器：6只适配250A回路检测；12只适配100A回路检测；12只适配80A回路检测；24只适配63A回路检测。</w:t>
            </w:r>
          </w:p>
          <w:p w14:paraId="3822BB3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（6）配电柜电气监测单元：1套。</w:t>
            </w:r>
          </w:p>
          <w:p w14:paraId="24C1528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（7）三相带电指示灯：1套。</w:t>
            </w:r>
          </w:p>
          <w:p w14:paraId="1CAC1D6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（二）电气元器件技术要求：</w:t>
            </w:r>
          </w:p>
          <w:p w14:paraId="3985577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1.塑壳式断路器</w:t>
            </w:r>
          </w:p>
          <w:p w14:paraId="6377F0F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低压出线断路器630A以下80A以上采用塑壳式断路器，配备OF辅助指示触点。</w:t>
            </w:r>
          </w:p>
          <w:p w14:paraId="53EBBEC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w:t>
            </w:r>
            <w:r>
              <w:rPr>
                <w:rFonts w:hint="eastAsia" w:ascii="宋体" w:hAnsi="宋体" w:cs="宋体"/>
                <w:color w:val="auto"/>
                <w:kern w:val="0"/>
                <w:szCs w:val="21"/>
                <w:highlight w:val="none"/>
                <w:lang w:bidi="en-US"/>
              </w:rPr>
              <w:t>执行标准：</w:t>
            </w:r>
            <w:r>
              <w:rPr>
                <w:rFonts w:hint="eastAsia"/>
                <w:color w:val="auto"/>
                <w:highlight w:val="none"/>
              </w:rPr>
              <w:t>符合 IEC60947-2现行标准，性能不低于 GB/T 14048.2现行国标要求。</w:t>
            </w:r>
          </w:p>
          <w:p w14:paraId="47EA720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（2）塑壳式断路器技术要求：额定绝缘电压Ui为800V；</w:t>
            </w:r>
          </w:p>
          <w:p w14:paraId="5B9601EC">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额定工作电压Ue为690V；</w:t>
            </w:r>
          </w:p>
          <w:p w14:paraId="31DE1CB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额定短时耐受电压Uimp为8KV；</w:t>
            </w:r>
          </w:p>
          <w:p w14:paraId="7DD2254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额定极限短路分断能力Icu≥50KA；</w:t>
            </w:r>
          </w:p>
          <w:p w14:paraId="7B3D55B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（3）低压交流塑壳式断路器可以同时提供合、分位置辅助接点，故障位置辅助接点。</w:t>
            </w:r>
          </w:p>
          <w:p w14:paraId="58D6A7E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（4）断路器及其附件为同一品牌产品或在响应文件中提供兼容性解决方案。</w:t>
            </w:r>
          </w:p>
          <w:p w14:paraId="6844C9E2">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（5）400A以下用热磁式脱扣器，400A或以上用电子式脱扣器。</w:t>
            </w:r>
          </w:p>
          <w:p w14:paraId="3EF70B8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2.小型断路器</w:t>
            </w:r>
          </w:p>
          <w:p w14:paraId="5C4F351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低压出线断路器63A以下采用小型断路器，配备OF辅助指示触点。</w:t>
            </w:r>
          </w:p>
          <w:p w14:paraId="05A18EE2">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（1）执行标准：符合 IEC 60898-1 </w:t>
            </w:r>
            <w:r>
              <w:rPr>
                <w:rFonts w:hint="eastAsia"/>
                <w:color w:val="auto"/>
                <w:highlight w:val="none"/>
              </w:rPr>
              <w:t>现行</w:t>
            </w:r>
            <w:r>
              <w:rPr>
                <w:rFonts w:hint="eastAsia" w:ascii="宋体" w:hAnsi="宋体" w:eastAsia="宋体" w:cs="宋体"/>
                <w:color w:val="auto"/>
                <w:kern w:val="0"/>
                <w:szCs w:val="21"/>
                <w:highlight w:val="none"/>
                <w:lang w:bidi="en-US"/>
              </w:rPr>
              <w:t>标准，性能不低于GB/T 10963.1、GB/T 14048.2 现行国标要求。</w:t>
            </w:r>
          </w:p>
          <w:p w14:paraId="541E4D2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（2）小型断路器技术要求：额定绝缘电压Ui为500V；</w:t>
            </w:r>
          </w:p>
          <w:p w14:paraId="12E6D83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额定工作电压Ue为400V；</w:t>
            </w:r>
          </w:p>
          <w:p w14:paraId="72DF3428">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额定短时耐受电压Uimp为6KV；</w:t>
            </w:r>
          </w:p>
          <w:p w14:paraId="49B2EF5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额定极限短路分断能力Icu≥10KA；</w:t>
            </w:r>
          </w:p>
          <w:p w14:paraId="65B658F8">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（三）配电柜智能配电监测系统</w:t>
            </w:r>
          </w:p>
          <w:p w14:paraId="54F076A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1.照明动力配电柜智能配电监测系统配置清单：</w:t>
            </w:r>
          </w:p>
          <w:p w14:paraId="3CEAD4C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（1）配电柜电气监测单元：1套。</w:t>
            </w:r>
          </w:p>
          <w:p w14:paraId="54AB3CE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（2）7寸HMI触摸显示屏：1台。</w:t>
            </w:r>
          </w:p>
          <w:p w14:paraId="5632EC8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（3）16路3相监测子模块：2台。</w:t>
            </w:r>
          </w:p>
          <w:p w14:paraId="358BC73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（4）12路开关量子模块：2台。</w:t>
            </w:r>
          </w:p>
          <w:p w14:paraId="5219352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1．配电柜电气监测单元，技术参数要求：</w:t>
            </w:r>
          </w:p>
          <w:p w14:paraId="719196E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（1）模块式设计,内置监测软件，可提供150路出线支路监测，主机模块与子模块完全分离独立选配，可满足不同回路的馈线要求。</w:t>
            </w:r>
          </w:p>
          <w:p w14:paraId="2D6B9F91">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（2）提供7寸及以上HMI人机界面，具备良好的可视性和可操作性，分辨率为800×480，TFT液晶显示触控屏，屏幕亮度满足人员读取信息要求。3路RS485接口及1路以太网接口，支持 Modbus-RTU协议、Modbus-TCP协议、NTP校时、YD/T 1636.3-2023。</w:t>
            </w:r>
          </w:p>
          <w:p w14:paraId="629004D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（3）电磁兼容特性指标应符合国家或国际相关标准（IEC61000；GB/T 17626）。</w:t>
            </w:r>
          </w:p>
          <w:p w14:paraId="7B3E603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（4）配备继电器输出≥4路，用于外接报警装置，所有报警阈值可设，支持两级报警（上上限/上限等），多级报警功能，并可通过内部继电器输出报警信号，高达7000条以上报警信息记录。</w:t>
            </w:r>
          </w:p>
          <w:p w14:paraId="50C1CF42">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（5）报警类型：过压、欠压、过频、欠频、过负荷、欠负荷、缺相、不平衡、开关变位、通道异常（有流无压）等。</w:t>
            </w:r>
          </w:p>
          <w:p w14:paraId="18F2F38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（6）监测：可监测零线电流、漏电电流、零地电压、机柜温湿度。</w:t>
            </w:r>
          </w:p>
          <w:p w14:paraId="4FE8D31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采用电气参量采集监测模块+不小于0.5级互感器监测配电柜全部进出线具备电参量测量：包括相电压、相电流、相最大电流、电流不平衡率、分相有功、总有功、总功率因数、频率、总有功电度、电流总谐波畸变率THD、电压总谐波畸变率THD，提供2～31次电压、电流谐波测量，含THD总谐波畸变率。</w:t>
            </w:r>
          </w:p>
          <w:p w14:paraId="3DC4E80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（8）进出线可设置超负荷、低负荷、电量不平衡、缺相、漏电、零线过电流报警。</w:t>
            </w:r>
          </w:p>
          <w:p w14:paraId="22E36E18">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（9）出线回路容量：单主模块最大支持150路单相或50路三相出线监测。</w:t>
            </w:r>
          </w:p>
          <w:p w14:paraId="0A5E58B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（10）采用开关量监测模块监测配电柜全部出线开关状态监测：可测量多路出线开关的分合状态，开关无辅助触点也可实现。</w:t>
            </w:r>
          </w:p>
          <w:p w14:paraId="69D6AED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（11）电度脉冲输出：进线/出线均具备独立有功电度脉冲输出。</w:t>
            </w:r>
          </w:p>
          <w:p w14:paraId="384D57D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（12）支持单三相混编，快速适配不同馈线要求。</w:t>
            </w:r>
          </w:p>
          <w:p w14:paraId="62C9B08C">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13）通过RS485和以太网多种智能接口通讯方式，统一通过通信管理机接口向上转发至智能运维单元，接入SmartME智慧能源和设施物联网管理平台，实现数据共享、组态堆叠扩展，达到一个平台统一管理，多个子系统、多个设备、多种功能展示的目的。</w:t>
            </w:r>
          </w:p>
          <w:p w14:paraId="75E6CE38">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（四）供货配套要求</w:t>
            </w:r>
          </w:p>
          <w:p w14:paraId="382D9F2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全套设备出厂含合格证、元器件原厂资质证书、检测报告、平台接入证明、接线图纸、调试资料，出厂完成通电校验、通讯联调、告警测试。</w:t>
            </w:r>
          </w:p>
          <w:p w14:paraId="7E5C4408">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（五）质保期：一年</w:t>
            </w:r>
          </w:p>
        </w:tc>
      </w:tr>
      <w:tr w14:paraId="0911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noWrap/>
            <w:vAlign w:val="center"/>
          </w:tcPr>
          <w:p w14:paraId="056A65C7">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1185" w:type="dxa"/>
            <w:vAlign w:val="center"/>
          </w:tcPr>
          <w:p w14:paraId="78BB785E">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1000平演播厅控制室配电柜</w:t>
            </w:r>
          </w:p>
        </w:tc>
        <w:tc>
          <w:tcPr>
            <w:tcW w:w="600" w:type="dxa"/>
            <w:noWrap/>
            <w:vAlign w:val="center"/>
          </w:tcPr>
          <w:p w14:paraId="69E89E2B">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1面</w:t>
            </w:r>
          </w:p>
        </w:tc>
        <w:tc>
          <w:tcPr>
            <w:tcW w:w="1236" w:type="dxa"/>
            <w:noWrap/>
            <w:vAlign w:val="center"/>
          </w:tcPr>
          <w:p w14:paraId="1F586933">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58678</w:t>
            </w:r>
          </w:p>
        </w:tc>
        <w:tc>
          <w:tcPr>
            <w:tcW w:w="6205" w:type="dxa"/>
          </w:tcPr>
          <w:p w14:paraId="4599D1F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（一）1000平演播厅控制室配电柜技术要求:</w:t>
            </w:r>
          </w:p>
          <w:p w14:paraId="3EC4E25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1.▲1000平演播厅控制室配电柜外形尺寸（宽×深×高）：≤600mm×600mm×2000mm，柜体总高度不得超出2200mm。包括断路器开关、控制保护、测量采集、智能配电监测系统和端子排等组成。</w:t>
            </w:r>
          </w:p>
          <w:p w14:paraId="10407EF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2.柜体材质与防护等级：柜体框架、门板、元件安装背板均采用厚度≥2mm 冷轧钢板静电喷涂或敷铝锌板；外壳防护等级≥IP40，遵循GB/T 4942.24 外壳防护等级现行国标；柜体框架、门板、内部隔板均做可靠接地处理。</w:t>
            </w:r>
          </w:p>
          <w:p w14:paraId="3A1FC6E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3．配电柜具有防误触碰的防护功能，配电柜在工作状态及进行维修时，应防止操作人员与带电部分接触。</w:t>
            </w:r>
          </w:p>
          <w:p w14:paraId="063A3D8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4．所有供电回路（进/出线）均安装不小于0.5级电流互感器和分闸、合闸状态指示灯。</w:t>
            </w:r>
          </w:p>
          <w:p w14:paraId="5468A31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5．每个断路器（含小型断路器）都具有远程监示断路器分闸、合闸状态的输出接口。</w:t>
            </w:r>
          </w:p>
          <w:p w14:paraId="72232E9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6.低压配电柜与开关设备为同一品牌或在响应文件中提供兼容性解决方案。</w:t>
            </w:r>
          </w:p>
          <w:p w14:paraId="651254B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7.1000平演播厅控制室配电柜元器件配置清单：</w:t>
            </w:r>
          </w:p>
          <w:p w14:paraId="3726A4A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（1）输入断路器：2台160A/3P塑壳式断路器。</w:t>
            </w:r>
          </w:p>
          <w:p w14:paraId="2179547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（2）双电源自动转换开关：1套100A/4P。</w:t>
            </w:r>
          </w:p>
          <w:p w14:paraId="56552A1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（3）输出断路器：7台63A/3P小型断路器；6台32A/3P小型断路器。</w:t>
            </w:r>
          </w:p>
          <w:p w14:paraId="0D636E1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（4）防浪涌保护断路器：2台63A/4P小型断路器。</w:t>
            </w:r>
          </w:p>
          <w:p w14:paraId="5781288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（5）C级浪涌保护器：2台。</w:t>
            </w:r>
          </w:p>
          <w:p w14:paraId="363B68C8">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（6）电流互感器：6只适配160A回路检测；3只适配100A回路检测；21只适配63A回路检测；18只适配32A回路检测。</w:t>
            </w:r>
          </w:p>
          <w:p w14:paraId="3BC05BB8">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（7）配电柜电气监测单元：1套。</w:t>
            </w:r>
          </w:p>
          <w:p w14:paraId="17AA1EEC">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（8）三相带电指示灯：1套。</w:t>
            </w:r>
          </w:p>
          <w:p w14:paraId="7583502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（二）电气元器件技术要求：</w:t>
            </w:r>
          </w:p>
          <w:p w14:paraId="66D270F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1.双电源自动转换开关</w:t>
            </w:r>
          </w:p>
          <w:p w14:paraId="012D71B2">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（1）自动转换开关产品</w:t>
            </w:r>
            <w:r>
              <w:rPr>
                <w:rFonts w:hint="eastAsia" w:ascii="宋体" w:hAnsi="宋体" w:cs="宋体"/>
                <w:color w:val="auto"/>
                <w:kern w:val="0"/>
                <w:szCs w:val="21"/>
                <w:highlight w:val="none"/>
                <w:lang w:bidi="en-US"/>
              </w:rPr>
              <w:t>必须符合GB14048.11现行国标要求</w:t>
            </w:r>
            <w:r>
              <w:rPr>
                <w:rFonts w:hint="eastAsia" w:ascii="宋体" w:hAnsi="宋体" w:eastAsia="宋体" w:cs="宋体"/>
                <w:color w:val="auto"/>
                <w:kern w:val="0"/>
                <w:szCs w:val="21"/>
                <w:highlight w:val="none"/>
                <w:lang w:bidi="en-US"/>
              </w:rPr>
              <w:t>（《低压开关设备和控制设备 第6部分：多功能电器-自动转换开关电器》），并通过中国质量认证中心CCC认证；转换开关电器的控制部分必须通过附带的EMC电磁兼容性检测。</w:t>
            </w:r>
          </w:p>
          <w:p w14:paraId="0E653BE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（2）自动转换开关电器级别为CB级，且执行元件选用具有限制短路电流功能的断路器（同品牌断路器），配备OF辅助指示触点。</w:t>
            </w:r>
          </w:p>
          <w:p w14:paraId="491BA72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（3）自动转换开关电器具备机械、电气双重互锁功能。</w:t>
            </w:r>
          </w:p>
          <w:p w14:paraId="66DE0EC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（4）自动转换开关电器具备“常用电源合、备用电源分”/“常用电源分、备用电源合”/“常用、备用电源双分”三个可靠的工作位置，且“常、备用电源双分”位置，并可以实现可靠的、机械的保持。</w:t>
            </w:r>
          </w:p>
          <w:p w14:paraId="4923364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（5）自动转换开关电器具备自动转换功能、现场手动转换功能，并且两种工作方式互不干涉。</w:t>
            </w:r>
          </w:p>
          <w:p w14:paraId="409BD99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（6）自动转换开关电器工作方式可以在现场自由设定为自投自复/自投不自复/互为备用的方式。</w:t>
            </w:r>
          </w:p>
          <w:p w14:paraId="6706ADA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（7）自动转换开关电器符合AC-33iB的负荷特性要求。</w:t>
            </w:r>
          </w:p>
          <w:p w14:paraId="432EEE3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（8）自动转换开关电器有较高的分断能力,使用分断能力为100%极限分断能力。</w:t>
            </w:r>
          </w:p>
          <w:p w14:paraId="35CBD9D1">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（9）自动转换开关电器的分断能力为塑壳断路100A至630A产品不小于36/50/70KA(F/N/H型分断能力)。</w:t>
            </w:r>
          </w:p>
          <w:p w14:paraId="6595366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（10）自动转换开关电器采用塑壳作为执行元件时，电源切换时间不小于1.5s，且切换动作可设置延时，延时时间可整定。</w:t>
            </w:r>
          </w:p>
          <w:p w14:paraId="5E44DF5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（11）自动转换开关电器满足额定冲击耐压能力Uimp不小于8KV（微断型产品不小于6KV）。</w:t>
            </w:r>
          </w:p>
          <w:p w14:paraId="5538435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2.塑壳式断路器</w:t>
            </w:r>
          </w:p>
          <w:p w14:paraId="798637B1">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低压出线断路器630A以下80A以上采用塑壳式断路器，配备OF辅助指示触点。</w:t>
            </w:r>
          </w:p>
          <w:p w14:paraId="2E57DE63">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（1）</w:t>
            </w:r>
            <w:r>
              <w:rPr>
                <w:rFonts w:hint="eastAsia" w:ascii="宋体" w:hAnsi="宋体" w:cs="宋体"/>
                <w:color w:val="auto"/>
                <w:kern w:val="0"/>
                <w:szCs w:val="21"/>
                <w:highlight w:val="none"/>
                <w:lang w:val="en-US" w:bidi="en-US"/>
              </w:rPr>
              <w:t>执行标准：</w:t>
            </w:r>
            <w:r>
              <w:rPr>
                <w:rFonts w:hint="eastAsia"/>
                <w:color w:val="auto"/>
                <w:highlight w:val="none"/>
                <w:lang w:val="en-US"/>
              </w:rPr>
              <w:t>符合 IEC60947-2现行标准，性能不低于 GB/T 14048.2现行国标要求。</w:t>
            </w:r>
          </w:p>
          <w:p w14:paraId="5E83A6F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（2）塑壳式断路器技术要求：额定绝缘电压Ui为800V；</w:t>
            </w:r>
          </w:p>
          <w:p w14:paraId="55BC7BB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额定工作电压Ue为690V；</w:t>
            </w:r>
          </w:p>
          <w:p w14:paraId="0382E6D2">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额定短时耐受电压Uimp为8KV；</w:t>
            </w:r>
          </w:p>
          <w:p w14:paraId="0530DB9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额定极限短路分断能力Icu≥50KA；</w:t>
            </w:r>
          </w:p>
          <w:p w14:paraId="094A0B9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（3）低压交流塑壳式断路器可以同时提供合、分位置辅助接点，故障位置辅助接点。</w:t>
            </w:r>
          </w:p>
          <w:p w14:paraId="01D1E01C">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（4）断路器及其附件为同一品牌产品或在响应文件中提供兼容性解决方案。</w:t>
            </w:r>
          </w:p>
          <w:p w14:paraId="4499909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（5）400A以下用热磁式脱扣器，400A或以上用电子式脱扣器。</w:t>
            </w:r>
          </w:p>
          <w:p w14:paraId="696F635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3.小型断路器</w:t>
            </w:r>
          </w:p>
          <w:p w14:paraId="2E2E42B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低压出线断路器63A以下采用小型断路器，配备OF辅助指示触点。</w:t>
            </w:r>
          </w:p>
          <w:p w14:paraId="7264BB6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（1）执行标准：符合 IEC 60898-1 </w:t>
            </w:r>
            <w:r>
              <w:rPr>
                <w:rFonts w:hint="eastAsia"/>
                <w:color w:val="auto"/>
                <w:highlight w:val="none"/>
              </w:rPr>
              <w:t>现行</w:t>
            </w:r>
            <w:r>
              <w:rPr>
                <w:rFonts w:hint="eastAsia" w:ascii="宋体" w:hAnsi="宋体" w:eastAsia="宋体" w:cs="宋体"/>
                <w:color w:val="auto"/>
                <w:kern w:val="0"/>
                <w:szCs w:val="21"/>
                <w:highlight w:val="none"/>
                <w:lang w:bidi="en-US"/>
              </w:rPr>
              <w:t>标准，性能不低于GB/T 10963.1、GB/T 14048.2 现行国标要求。</w:t>
            </w:r>
          </w:p>
          <w:p w14:paraId="6F21B242">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（2）小型断路器技术要求：额定绝缘电压Ui为500V；</w:t>
            </w:r>
          </w:p>
          <w:p w14:paraId="4320D56C">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额定工作电压Ue为400V；</w:t>
            </w:r>
          </w:p>
          <w:p w14:paraId="18DDADD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额定短时耐受电压Uimp为6KV；</w:t>
            </w:r>
          </w:p>
          <w:p w14:paraId="2778535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额定极限短路分断能力Icu≥10KA；</w:t>
            </w:r>
          </w:p>
          <w:p w14:paraId="2B23B4E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（三）配电柜智能配电监测系统</w:t>
            </w:r>
          </w:p>
          <w:p w14:paraId="37C43A4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1.1000平演播厅控制室配电柜智能配电监测系统配置清单：</w:t>
            </w:r>
          </w:p>
          <w:p w14:paraId="5A6C8C0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（1）配电柜电气监测单元：1套。</w:t>
            </w:r>
          </w:p>
          <w:p w14:paraId="10EC6CDC">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（2）7寸HMI触摸显示屏：1台。</w:t>
            </w:r>
          </w:p>
          <w:p w14:paraId="47B561B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（3）16路3相监测子模块：1台。</w:t>
            </w:r>
          </w:p>
          <w:p w14:paraId="7CF7405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（4）12路开关量子模块：2台。</w:t>
            </w:r>
          </w:p>
          <w:p w14:paraId="40EDFAA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2．配电柜电气监测单元技术参数要求：</w:t>
            </w:r>
          </w:p>
          <w:p w14:paraId="346B051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（1）模块式设计,内置监测软件，可提供150路出线支路监测。，主机模块与子模块完全分离独立选配，可满足不同回路的馈线要求。</w:t>
            </w:r>
          </w:p>
          <w:p w14:paraId="484D7B0C">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（2）提供7寸及以上HMI人机界面，具备良好的可视性和可操作性，分辨率为800×480，TFT液晶显示触控屏，屏幕亮度满足人员读取信息要求。3路RS485接口及1路以太网接口，支持 Modbus-RTU协议、Modbus-TCP协议、NTP校时、YD/T 1636.3-2023。</w:t>
            </w:r>
          </w:p>
          <w:p w14:paraId="35FB4C1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（3）电磁兼容特性指标应符合国家或国际相关标准（IEC61000；GB/T 17626）。</w:t>
            </w:r>
          </w:p>
          <w:p w14:paraId="70A9D7B8">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（4）配备继电器输出≥4路，用于外接报警装置，所有报警阈值可设，支持两级报警（上上限/上限等），多级报警功能，并可通过内部继电器输出报警信号，高达7000条以上报警信息记录。</w:t>
            </w:r>
          </w:p>
          <w:p w14:paraId="1FAAC3E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（5）报警类型：过压、欠压、过频、欠频、过负荷、欠负荷、缺相、不平衡、开关变位、通道异常（有流无压）等。</w:t>
            </w:r>
          </w:p>
          <w:p w14:paraId="7F12FCC8">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（6）监测：可监测零线电流、漏电电流、零地电压、机柜温湿度。</w:t>
            </w:r>
          </w:p>
          <w:p w14:paraId="3D5D3A3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采用电气参量采集监测模块+不小于0.5级互感器监测配电柜全部进出线具备电参量测量：包括相电压、相电流、相最大电流、电流不平衡率、分相有功、总有功、总功率因数、频率、总有功电度、电流总谐波畸变率THD、电压总谐波畸变率THD，提供2～31次电压、电流谐波测量，含THD总谐波畸变率。</w:t>
            </w:r>
          </w:p>
          <w:p w14:paraId="64684931">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（8）进出线可设置超负荷、低负荷、电量不平衡、缺相、漏电、零线过电流报警。</w:t>
            </w:r>
          </w:p>
          <w:p w14:paraId="511ACA5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（9）出线回路容量：单主模块最大支持150路单相或50路三相出线监测。</w:t>
            </w:r>
          </w:p>
          <w:p w14:paraId="616B959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（10）采用开关量监测模块监测配电柜全部出线开关状态监测：可测量多路出线开关的分合状态，开关无辅助触点也可实现。</w:t>
            </w:r>
          </w:p>
          <w:p w14:paraId="567629B2">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（11）电度脉冲输出：进线/出线均具备独立有功电度脉冲输出。</w:t>
            </w:r>
          </w:p>
          <w:p w14:paraId="717BB4A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（12）支持单三相混编，快速适配不同馈线要求。</w:t>
            </w:r>
          </w:p>
          <w:p w14:paraId="7658C98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13）通过RS485和以太网多种智能接口通讯方式，统一通过通信管理机接口向上转发至智能运维单元，接入SmartME智慧能源和设施物联网管理平台，实现数据共享、组态堆叠扩展，达到一个平台统一管理，多个子系统、多个设备、多种功能展示的目的。</w:t>
            </w:r>
          </w:p>
          <w:p w14:paraId="00146F3C">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（四）供货配套要求</w:t>
            </w:r>
          </w:p>
          <w:p w14:paraId="20BE848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全套设备出厂含合格证、元器件原厂资质证书、检测报告、平台接入证明、接线图纸、调试资料，出厂完成通电校验、通讯联调、告警测试。</w:t>
            </w:r>
          </w:p>
          <w:p w14:paraId="763DBC1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（五）质保期：一年</w:t>
            </w:r>
          </w:p>
        </w:tc>
      </w:tr>
      <w:tr w14:paraId="4076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noWrap/>
            <w:vAlign w:val="center"/>
          </w:tcPr>
          <w:p w14:paraId="259715B2">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185" w:type="dxa"/>
            <w:vAlign w:val="center"/>
          </w:tcPr>
          <w:p w14:paraId="649CEEF1">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UPS输入柜</w:t>
            </w:r>
          </w:p>
        </w:tc>
        <w:tc>
          <w:tcPr>
            <w:tcW w:w="600" w:type="dxa"/>
            <w:noWrap/>
            <w:vAlign w:val="center"/>
          </w:tcPr>
          <w:p w14:paraId="457CCF77">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1面</w:t>
            </w:r>
          </w:p>
        </w:tc>
        <w:tc>
          <w:tcPr>
            <w:tcW w:w="1236" w:type="dxa"/>
            <w:noWrap/>
            <w:vAlign w:val="center"/>
          </w:tcPr>
          <w:p w14:paraId="05E8D1D8">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78600</w:t>
            </w:r>
          </w:p>
        </w:tc>
        <w:tc>
          <w:tcPr>
            <w:tcW w:w="6205" w:type="dxa"/>
            <w:vAlign w:val="center"/>
          </w:tcPr>
          <w:p w14:paraId="319C6622">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(一）UPS输入柜技术要求:</w:t>
            </w:r>
          </w:p>
          <w:p w14:paraId="2966B06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1.▲UPS输入柜外形尺寸（宽×深×高）：≤800mm×800mm×2000mm，柜体总高度不得超出2200mm。包括断路器开关、控制保护、测量采集、智能配电监测系统和端子排等组成。</w:t>
            </w:r>
          </w:p>
          <w:p w14:paraId="0114C498">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2.柜体材质与防护等级：柜体框架、门板、元件安装背板均采用厚度≥2mm 冷轧钢板静电喷涂或敷铝锌板；外壳防护等级≥IP40，遵循GB/T 4942.24 外壳防护等级现行国标；柜体框架、门板、内部隔板均做可靠接地处理。</w:t>
            </w:r>
          </w:p>
          <w:p w14:paraId="5469F8CC">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3．配电柜具有防误触碰的防护功能，配电柜在工作状态及进行维修时，应防止操作人员与带电部分接触。</w:t>
            </w:r>
          </w:p>
          <w:p w14:paraId="110A3F31">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4．所有供电回路（进/出线）均安装不小于0.5级电流互感器和分闸、合闸状态指示灯。</w:t>
            </w:r>
          </w:p>
          <w:p w14:paraId="2FDD0DF2">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5．每个断路器（含小型断路器）都具有远程监示断路器分闸、合闸状态的输出接口。</w:t>
            </w:r>
          </w:p>
          <w:p w14:paraId="4B2605D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6.低压配电柜与开关设备为同一品牌或在响应文件中提供兼容性解决方案。</w:t>
            </w:r>
          </w:p>
          <w:p w14:paraId="308100F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7.UPS输入柜元器件配置清单：</w:t>
            </w:r>
          </w:p>
          <w:p w14:paraId="2BF771F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（1）双电源自动转换开关：1套630A/4P。</w:t>
            </w:r>
          </w:p>
          <w:p w14:paraId="31A18EC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（2）UPS输入断路器：2台630A/3P塑壳式断路器。</w:t>
            </w:r>
          </w:p>
          <w:p w14:paraId="747A5C6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（3）维修旁路断路器：1台630A/4P塑壳式断路器。</w:t>
            </w:r>
          </w:p>
          <w:p w14:paraId="6B47870C">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（4）防浪涌保护断路器：1台63A/4P小型断路器。</w:t>
            </w:r>
          </w:p>
          <w:p w14:paraId="23BE5E9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（5）B级浪涌保护器：1台。</w:t>
            </w:r>
          </w:p>
          <w:p w14:paraId="79B2C85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（6）电流互感器：9只适配630A回路检测。</w:t>
            </w:r>
          </w:p>
          <w:p w14:paraId="2D4FCF9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（7）配电柜电气监测单元：1套。</w:t>
            </w:r>
          </w:p>
          <w:p w14:paraId="706EB1F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（8）三相带电指示灯：1套。</w:t>
            </w:r>
          </w:p>
          <w:p w14:paraId="51F391C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（二）电气元器件技术要求：</w:t>
            </w:r>
          </w:p>
          <w:p w14:paraId="0E2F509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1.双电源自动转换开关</w:t>
            </w:r>
          </w:p>
          <w:p w14:paraId="0883ED4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（1）自动转换开关产品</w:t>
            </w:r>
            <w:r>
              <w:rPr>
                <w:rFonts w:hint="eastAsia" w:ascii="宋体" w:hAnsi="宋体" w:cs="宋体"/>
                <w:color w:val="auto"/>
                <w:kern w:val="0"/>
                <w:szCs w:val="21"/>
                <w:highlight w:val="none"/>
                <w:lang w:bidi="en-US"/>
              </w:rPr>
              <w:t>必须符合GB14048.11现行国标要求</w:t>
            </w:r>
            <w:r>
              <w:rPr>
                <w:rFonts w:hint="eastAsia" w:ascii="宋体" w:hAnsi="宋体" w:eastAsia="宋体" w:cs="宋体"/>
                <w:color w:val="auto"/>
                <w:kern w:val="0"/>
                <w:szCs w:val="21"/>
                <w:highlight w:val="none"/>
                <w:lang w:bidi="en-US"/>
              </w:rPr>
              <w:t>（《低压开关设备和控制设备 第6部分：多功能电器-自动转换开关电器》），并通过中国质量认证中心CCC认证；转换开关电器的控制部分必须通过附带的EMC电磁兼容性检测。</w:t>
            </w:r>
          </w:p>
          <w:p w14:paraId="22821971">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（2）自动转换开关电器级别为CB级，且执行元件选用具有限制短路电流功能的断路器（同品牌断路器），配备OF辅助指示触点。</w:t>
            </w:r>
          </w:p>
          <w:p w14:paraId="73CAC56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（3）自动转换开关电器具备机械、电气双重互锁功能。</w:t>
            </w:r>
          </w:p>
          <w:p w14:paraId="7404115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（4）自动转换开关电器具备“常用电源合、备用电源分”/“常用电源分、备用电源合”/“常用、备用电源双分”三个可靠的工作位置，且“常、备用电源双分”位置，并可以实现可靠的、机械的保持。</w:t>
            </w:r>
          </w:p>
          <w:p w14:paraId="0783296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（5）自动转换开关电器具备自动转换功能、现场手动转换功能，并且两种工作方式互不干涉。</w:t>
            </w:r>
          </w:p>
          <w:p w14:paraId="558892F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（6）自动转换开关电器工作方式可以在现场自由设定为自投自复/自投不自复/互为备用的方式。</w:t>
            </w:r>
          </w:p>
          <w:p w14:paraId="0BF9474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（7）自动转换开关电器符合AC-33iB的负荷特性要求。</w:t>
            </w:r>
          </w:p>
          <w:p w14:paraId="5276403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（8）自动转换开关电器有较高的分断能力,使用分断能力为100%极限分断能力。</w:t>
            </w:r>
          </w:p>
          <w:p w14:paraId="3E0653D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（9）自动转换开关电器的分断能力为：塑壳断路器100A至630A产品不小于36/50/70KA(F/N/H型分断能力)。</w:t>
            </w:r>
          </w:p>
          <w:p w14:paraId="3B10BC8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（10）自动转换开关电器采用塑壳作为执行元件时，电源切换时间不小于1.5s，且切换动作可设置延时，延时时间可整定。</w:t>
            </w:r>
          </w:p>
          <w:p w14:paraId="55C90C1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（11）自动转换开关电器满足额定冲击耐压能力Uimp不小于8KV（微断型产品不小于6KV）。</w:t>
            </w:r>
          </w:p>
          <w:p w14:paraId="1821A7F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2.塑壳式断路器</w:t>
            </w:r>
          </w:p>
          <w:p w14:paraId="5C25A7E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低压出线断路器630A以下80A以上采用塑壳式断路器，配备OF辅助指示触点。</w:t>
            </w:r>
          </w:p>
          <w:p w14:paraId="306993B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w:t>
            </w:r>
            <w:r>
              <w:rPr>
                <w:rFonts w:hint="eastAsia" w:ascii="宋体" w:hAnsi="宋体" w:cs="宋体"/>
                <w:color w:val="auto"/>
                <w:kern w:val="0"/>
                <w:szCs w:val="21"/>
                <w:highlight w:val="none"/>
                <w:lang w:bidi="en-US"/>
              </w:rPr>
              <w:t>执行标准：</w:t>
            </w:r>
            <w:r>
              <w:rPr>
                <w:rFonts w:hint="eastAsia"/>
                <w:color w:val="auto"/>
                <w:highlight w:val="none"/>
              </w:rPr>
              <w:t>符合 IEC60947-2现行标准，性能不低于 GB/T 14048.2现行国标要求。</w:t>
            </w:r>
          </w:p>
          <w:p w14:paraId="0CBEB11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（2）塑壳式断路器技术要求：额定绝缘电压Ui为800V；</w:t>
            </w:r>
          </w:p>
          <w:p w14:paraId="46DA9B5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额定工作电压Ue为690V；</w:t>
            </w:r>
          </w:p>
          <w:p w14:paraId="10B257F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额定短时耐受电压Uimp为8KV；</w:t>
            </w:r>
          </w:p>
          <w:p w14:paraId="76FCDA1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额定极限短路分断能力Icu≥50KA；</w:t>
            </w:r>
          </w:p>
          <w:p w14:paraId="50D6C3B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（3）低压交流塑壳式断路器可以同时提供合、分位置辅助接点，故障位置辅助接点。</w:t>
            </w:r>
          </w:p>
          <w:p w14:paraId="547D59B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（4）断路器及其附件为同一品牌产品或在响应文件中提供兼容性解决方案。</w:t>
            </w:r>
          </w:p>
          <w:p w14:paraId="0DD61EC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（5）400A以下用热磁式脱扣器，400A或以上用电子式脱扣器。</w:t>
            </w:r>
          </w:p>
          <w:p w14:paraId="6F416B9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3.小型断路器</w:t>
            </w:r>
          </w:p>
          <w:p w14:paraId="014FE77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低压出线断路器63A以下采用小型断路器，配备OF辅助指示触点。</w:t>
            </w:r>
          </w:p>
          <w:p w14:paraId="5C298AB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（1）执行标准：符合 IEC 60898-1 </w:t>
            </w:r>
            <w:r>
              <w:rPr>
                <w:rFonts w:hint="eastAsia"/>
                <w:color w:val="auto"/>
                <w:highlight w:val="none"/>
              </w:rPr>
              <w:t>现行</w:t>
            </w:r>
            <w:r>
              <w:rPr>
                <w:rFonts w:hint="eastAsia" w:ascii="宋体" w:hAnsi="宋体" w:eastAsia="宋体" w:cs="宋体"/>
                <w:color w:val="auto"/>
                <w:kern w:val="0"/>
                <w:szCs w:val="21"/>
                <w:highlight w:val="none"/>
                <w:lang w:bidi="en-US"/>
              </w:rPr>
              <w:t>标准，性能不低于GB/T 10963.1、GB/T 14048.2 现行国标要求。</w:t>
            </w:r>
          </w:p>
          <w:p w14:paraId="4096D15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（2）小型断路器技术要求：额定绝缘电压Ui为500V；</w:t>
            </w:r>
          </w:p>
          <w:p w14:paraId="703E53F8">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额定工作电压Ue为400V；</w:t>
            </w:r>
          </w:p>
          <w:p w14:paraId="1C5825F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额定短时耐受电压Uimp为6KV；</w:t>
            </w:r>
          </w:p>
          <w:p w14:paraId="6CF2B78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额定极限短路分断能力Icu≥10KA；</w:t>
            </w:r>
          </w:p>
          <w:p w14:paraId="2B53BDC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（三）配电柜智能配电监测系统</w:t>
            </w:r>
          </w:p>
          <w:p w14:paraId="5691783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1.UPS输入柜智能配电监测系统配置清单：</w:t>
            </w:r>
          </w:p>
          <w:p w14:paraId="451A9A8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（1）配电柜电气监测单元：1套。</w:t>
            </w:r>
          </w:p>
          <w:p w14:paraId="216BCB4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（2）7寸HMI触摸显示屏：1台。</w:t>
            </w:r>
          </w:p>
          <w:p w14:paraId="79692C5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（3）16路3相监测子模块：1台。</w:t>
            </w:r>
          </w:p>
          <w:p w14:paraId="7B1B4F4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（4）12路开关量子模块：1台。</w:t>
            </w:r>
          </w:p>
          <w:p w14:paraId="796BA16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2．配电柜电气监测单元的技术参数要求：</w:t>
            </w:r>
          </w:p>
          <w:p w14:paraId="5EA95FA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（1）模块式设计,内置监测软件，可提供150路出线支路监测。，主机模块与子模块完全分离独立选配，可满足不同回路的馈线要求。</w:t>
            </w:r>
          </w:p>
          <w:p w14:paraId="5BAD0C1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（2）提供7寸及以上HMI人机界面，具备良好的可视性和可操作性，分辨率为800×480，TFT液晶显示触控屏，屏幕亮度满足人员读取信息要求。3路RS485接口及1路以太网接口，支持 Modbus-RTU协议、Modbus-TCP协议、NTP校时、YD/T 1636.3-2023 。</w:t>
            </w:r>
          </w:p>
          <w:p w14:paraId="4F3E3792">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（3）电磁兼容特性指标应符合国家或国际相关标准（IEC61000；GB/T 17626）。</w:t>
            </w:r>
          </w:p>
          <w:p w14:paraId="49C2ECC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（4）配备继电器输出≥4路，用于外接报警装置，所有报警阈值可设，支持两级报警（上上限/上限等），多级报警功能，并可通过内部继电器输出报警信号，高达 7000 条以上报警信息记录。</w:t>
            </w:r>
          </w:p>
          <w:p w14:paraId="1DA41B1C">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（5）报警类型：过压、欠压、过频、欠频、过负荷、欠负荷、缺相、不平衡、开关变位、通道异常（有流无压）等。</w:t>
            </w:r>
          </w:p>
          <w:p w14:paraId="045739B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（6）监测：可监测零线电流、漏电电流、零地电压、机柜温湿度。</w:t>
            </w:r>
          </w:p>
          <w:p w14:paraId="5E06C1C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采用电气参量采集监测模块+不小于0.5级互感器监测配电柜全部进出线具备电参量测量：包括相电压、相电流、相最大电流、电流不平衡率、分相有功、总有功、总功率因数、频率、总有功电度、电流总谐波畸变率THD、电压总谐波畸变率THD，提供2～31次 电压、电流谐波测量，含THD总谐波畸变率。</w:t>
            </w:r>
          </w:p>
          <w:p w14:paraId="3F13D66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（8）进出线可设置超负荷、低负荷、电量不平衡、缺相、漏电、零线过电流报警。</w:t>
            </w:r>
          </w:p>
          <w:p w14:paraId="29E0185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（9）出线回路容量：单主模块最大支持150路单相或50路三相出线监测。</w:t>
            </w:r>
          </w:p>
          <w:p w14:paraId="703BE59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（10）采用开关量监测模块监测配电柜全部出线开关状态监测：可测量多路出线开关的分合状态，开关无辅助触点也可实现。</w:t>
            </w:r>
          </w:p>
          <w:p w14:paraId="3305BB8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（11）电度脉冲输出：进线/出线均具备独立有功电度脉冲输出。</w:t>
            </w:r>
          </w:p>
          <w:p w14:paraId="2A3E5FC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（12）支持单三相混编，快速适配不同馈线要求。</w:t>
            </w:r>
          </w:p>
          <w:p w14:paraId="4BD0412C">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（13）通过RS485 或以太网多种智能接口通讯方式，统一通过通信管理机接口向上转发至智能运维单元，接入SmartME智慧能源和设施物联网管理平台，实现数据共享、组态堆叠扩展，达到一个平台统一管理，多个子系统、多个设备、多种功能展示的目的。</w:t>
            </w:r>
          </w:p>
          <w:p w14:paraId="4EA1479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14）为了兼容上下游配电，确保UPS系统供配电全链路安全，UPS输入柜的配电开关（主输入、旁路输入、输出、维修旁路）的开关状态需纳入到UPS主机的监控中（即UPS主机的显示屏要显示开关状态）。通过UPS主机的控制板的逻辑分析控制开关动作循序。UPS型号为：施耐德Galaxy PX 300KVA，投标时提供相关的接入技术说明和截图证明。</w:t>
            </w:r>
          </w:p>
          <w:p w14:paraId="24F3A89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（四）供货配套要求</w:t>
            </w:r>
          </w:p>
          <w:p w14:paraId="79CE17F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全套设备出厂含合格证、元器件原厂资质证书、检测报告、平台接入证明、接线图纸、调试资料，出厂完成通电校验、通讯联调、告警测试。</w:t>
            </w:r>
          </w:p>
          <w:p w14:paraId="23055602">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（五）质保期：一年</w:t>
            </w:r>
          </w:p>
        </w:tc>
      </w:tr>
      <w:tr w14:paraId="1DF4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noWrap/>
            <w:vAlign w:val="center"/>
          </w:tcPr>
          <w:p w14:paraId="27037ACD">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1185" w:type="dxa"/>
            <w:vAlign w:val="center"/>
          </w:tcPr>
          <w:p w14:paraId="6B081BB6">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UPS输出柜</w:t>
            </w:r>
          </w:p>
        </w:tc>
        <w:tc>
          <w:tcPr>
            <w:tcW w:w="600" w:type="dxa"/>
            <w:noWrap/>
            <w:vAlign w:val="center"/>
          </w:tcPr>
          <w:p w14:paraId="060FB863">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1面</w:t>
            </w:r>
          </w:p>
        </w:tc>
        <w:tc>
          <w:tcPr>
            <w:tcW w:w="1236" w:type="dxa"/>
            <w:noWrap/>
            <w:vAlign w:val="center"/>
          </w:tcPr>
          <w:p w14:paraId="52FE9313">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80000</w:t>
            </w:r>
          </w:p>
        </w:tc>
        <w:tc>
          <w:tcPr>
            <w:tcW w:w="6205" w:type="dxa"/>
            <w:vAlign w:val="center"/>
          </w:tcPr>
          <w:p w14:paraId="0383A61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（一）UPS输出柜技术要求:</w:t>
            </w:r>
          </w:p>
          <w:p w14:paraId="59A37EA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1.▲UPS输出柜外形尺寸（宽×深×高）：≤800mm×800mm×2000mm，柜体总高度不得超出2200mm。包括断路器开关、控制保护、测量采集、智能配电监测系统和端子排等组成。</w:t>
            </w:r>
          </w:p>
          <w:p w14:paraId="1BC4FEB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2.柜体材质与防护等级：柜体框架、门板、元件安装背板均采用厚度≥2mm 冷轧钢板静电喷涂或敷铝锌板；外壳防护等级≥IP40，遵循GB/T 4942.24 外壳防护等级现行国标；柜体框架、门板、内部隔板均做可靠接地处理。</w:t>
            </w:r>
          </w:p>
          <w:p w14:paraId="08B8B2C2">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3．配电柜具有防误触碰的防护功能，配电柜在工作状态及进行维修时，应防止操作人员与带电部分接触。</w:t>
            </w:r>
          </w:p>
          <w:p w14:paraId="60234C81">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4．所有供电回路（进/出线）均安装不小于0.5级电流互感器和分闸、合闸状态指示灯。</w:t>
            </w:r>
          </w:p>
          <w:p w14:paraId="507D05C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5．每个断路器（含小型断路器）都具有远程监示断路器分闸、合闸状态的输出接口。</w:t>
            </w:r>
          </w:p>
          <w:p w14:paraId="5B8F7FD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6.低压配电柜与开关设备为同一品牌或在响应文件中提供兼容性解决方案。</w:t>
            </w:r>
          </w:p>
          <w:p w14:paraId="0681705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7.UPS输出柜元器件配置清单：</w:t>
            </w:r>
          </w:p>
          <w:p w14:paraId="05D2B371">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（1）UPS输入断路器：1台630A/3P塑壳式断路器。</w:t>
            </w:r>
          </w:p>
          <w:p w14:paraId="27548D8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（2）UPS输出断路器：2台160A/3P塑壳式断路器；6台100A/3P塑壳式断路器；8台63A/3P小型断路器。</w:t>
            </w:r>
          </w:p>
          <w:p w14:paraId="403AD8B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（3）防浪涌保护断路器：1台63A/4P小型断路器。</w:t>
            </w:r>
          </w:p>
          <w:p w14:paraId="150CBDA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（4）C级浪涌保护器：1台。</w:t>
            </w:r>
          </w:p>
          <w:p w14:paraId="6C5DD51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（5）电流互感器：3只适配630A回路检测；6只适配160A回路检测；18只适配100A回路检测；24只适配63A回路检测。</w:t>
            </w:r>
          </w:p>
          <w:p w14:paraId="54CAE6D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（6）配电柜电气监测单元：1套。</w:t>
            </w:r>
          </w:p>
          <w:p w14:paraId="0896D48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（7）三相带电指示灯：1套。</w:t>
            </w:r>
          </w:p>
          <w:p w14:paraId="7E2847F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（二）电气元器件技术要求：</w:t>
            </w:r>
          </w:p>
          <w:p w14:paraId="2EB5EA7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1.塑壳式断路器</w:t>
            </w:r>
          </w:p>
          <w:p w14:paraId="3849FFA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低压出线断路器630A以下80A以上采用塑壳式断路器，配备OF辅助指示触点。</w:t>
            </w:r>
          </w:p>
          <w:p w14:paraId="2DBF45D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w:t>
            </w:r>
            <w:r>
              <w:rPr>
                <w:rFonts w:hint="eastAsia" w:ascii="宋体" w:hAnsi="宋体" w:cs="宋体"/>
                <w:color w:val="auto"/>
                <w:kern w:val="0"/>
                <w:szCs w:val="21"/>
                <w:highlight w:val="none"/>
                <w:lang w:bidi="en-US"/>
              </w:rPr>
              <w:t>执行标准：</w:t>
            </w:r>
            <w:r>
              <w:rPr>
                <w:rFonts w:hint="eastAsia"/>
                <w:color w:val="auto"/>
                <w:highlight w:val="none"/>
              </w:rPr>
              <w:t>符合 IEC60947-2现行标准，性能不低于 GB/T 14048.2现行国标要求。</w:t>
            </w:r>
          </w:p>
          <w:p w14:paraId="4AB55FE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（2）塑壳式断路器技术要求：额定绝缘电压Ui为800V；</w:t>
            </w:r>
          </w:p>
          <w:p w14:paraId="2F161151">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额定工作电压Ue为690V；</w:t>
            </w:r>
          </w:p>
          <w:p w14:paraId="0177F79C">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额定短时耐受电压Uimp为8KV；</w:t>
            </w:r>
          </w:p>
          <w:p w14:paraId="52364D8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额定极限短路分断能力Icu≥50KA；</w:t>
            </w:r>
          </w:p>
          <w:p w14:paraId="6B734B6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（3）低压交流塑壳式断路器可以同时提供合、分位置辅助接点，故障位置辅助接点。</w:t>
            </w:r>
          </w:p>
          <w:p w14:paraId="68CFB25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（4）断路器及其附件为同一品牌产品或在响应文件中提供兼容性解决方案。</w:t>
            </w:r>
          </w:p>
          <w:p w14:paraId="2F5CD0C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（5）400A以下用热磁式脱扣器，400A或以上用电子式脱扣器。</w:t>
            </w:r>
          </w:p>
          <w:p w14:paraId="59CAB14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2.小型断路器</w:t>
            </w:r>
          </w:p>
          <w:p w14:paraId="558CE06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低压出线断路器63A以下采用小型断路器，配备OF辅助指示触点。</w:t>
            </w:r>
          </w:p>
          <w:p w14:paraId="0DC6C7D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（1）执行标准：符合 IEC 60898-1 </w:t>
            </w:r>
            <w:r>
              <w:rPr>
                <w:rFonts w:hint="eastAsia"/>
                <w:color w:val="auto"/>
                <w:highlight w:val="none"/>
              </w:rPr>
              <w:t>现行</w:t>
            </w:r>
            <w:r>
              <w:rPr>
                <w:rFonts w:hint="eastAsia" w:ascii="宋体" w:hAnsi="宋体" w:eastAsia="宋体" w:cs="宋体"/>
                <w:color w:val="auto"/>
                <w:kern w:val="0"/>
                <w:szCs w:val="21"/>
                <w:highlight w:val="none"/>
                <w:lang w:bidi="en-US"/>
              </w:rPr>
              <w:t>标准，性能不低于GB/T 10963.1、GB/T 14048.2 现行国标要求。</w:t>
            </w:r>
          </w:p>
          <w:p w14:paraId="07FDE9C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（2）小型断路器技术要求：额定绝缘电压Ui为500V；</w:t>
            </w:r>
          </w:p>
          <w:p w14:paraId="1AABD87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额定工作电压Ue为400V；</w:t>
            </w:r>
          </w:p>
          <w:p w14:paraId="13B6C36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额定短时耐受电压Uimp为6KV；</w:t>
            </w:r>
          </w:p>
          <w:p w14:paraId="0C13EA5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 xml:space="preserve">                         额定极限短路分断能力Icu≥10KA；</w:t>
            </w:r>
          </w:p>
          <w:p w14:paraId="718BE29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（三）配电柜智能配电监测系统</w:t>
            </w:r>
          </w:p>
          <w:p w14:paraId="5B448A8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1.UPS输出柜智能配电监测系统配置清单：</w:t>
            </w:r>
          </w:p>
          <w:p w14:paraId="68C0289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（1）配电柜电气监测单元：1套。</w:t>
            </w:r>
          </w:p>
          <w:p w14:paraId="0C2251A3">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（2）7寸HMI触摸显示屏：1台。</w:t>
            </w:r>
          </w:p>
          <w:p w14:paraId="2C5BAA0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（3）16路3相监测子模块：2台。</w:t>
            </w:r>
          </w:p>
          <w:p w14:paraId="3B3B503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（4）12路开关量子模块：2台。</w:t>
            </w:r>
          </w:p>
          <w:p w14:paraId="707C5264">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2．配电柜电气监测单元技术参数要求：</w:t>
            </w:r>
          </w:p>
          <w:p w14:paraId="5E0B253E">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（1）模块式设计,内置监测软件，可提供150路出线支路监测。主机模块与子模块完全分离独立选配，可满足不同回路的馈线要求。</w:t>
            </w:r>
          </w:p>
          <w:p w14:paraId="70CFDB51">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（2）提供7寸及以上HMI人机界面，具备良好的可视性和可操作性，分辨率为800×480，TFT液晶显示触控屏，屏幕亮度满足人员读取信息要求。3路RS485接口及1路以太网接口，支持 Modbus-RTU协议、Modbus-TCP 协议、NTP校时、YD/T1636.3-2023。</w:t>
            </w:r>
          </w:p>
          <w:p w14:paraId="728DA3D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（3）电磁兼容特性指标应符合国家或国际相关标准（IEC61000；GB/T 17626）。</w:t>
            </w:r>
          </w:p>
          <w:p w14:paraId="5E105D6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（4）配备继电器输出≥4路，用于外接报警装置，所有报警阈值可设，支持两级报警（上上限/上限等），多级报警功能，并可通过内部继电器输出报警信号，高达 7000 条以上报警信息记录。</w:t>
            </w:r>
          </w:p>
          <w:p w14:paraId="0D01A740">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（5）报警类型：过压、欠压、过频、欠频、过负荷、欠负荷、缺相、不平衡、开关变位、通道异常（有流无压）等。</w:t>
            </w:r>
          </w:p>
          <w:p w14:paraId="2552B1C2">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（6）监测：可监测零线电流、漏电电流、零地电压、机柜温湿度。</w:t>
            </w:r>
          </w:p>
          <w:p w14:paraId="5BB7CCFB">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采用电气参量采集监测模块+不小于0.5级互感器监测配电柜全部进出线具备电参量测量：包括相电压、相电流、相最大电流、电流不平衡率、分相有功、总有功、总功率因数、频率、总有功电度、电流总谐波畸变率THD、电压总谐波畸变率THD，提供2～31次电压、电流谐波测量，含THD总谐波畸变率。</w:t>
            </w:r>
          </w:p>
          <w:p w14:paraId="02D36F7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（8）进出线可设置超负荷、低负荷、电量不平衡、缺相、漏电、零线过电流报警。</w:t>
            </w:r>
          </w:p>
          <w:p w14:paraId="63DAA60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（9）出线回路容量：单主模块最大支持150路单相 或50路三相出线监测。</w:t>
            </w:r>
          </w:p>
          <w:p w14:paraId="59BEA21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（10）采用开关量监测模块监测配电柜全部出线开关状态监测：可测量多路出线开关的分合状态，开关无辅助触点也可实现。</w:t>
            </w:r>
          </w:p>
          <w:p w14:paraId="1D2F8E7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（11）电度脉冲输出：进线/出线均具备独立有功电度脉冲输出。</w:t>
            </w:r>
          </w:p>
          <w:p w14:paraId="08727866">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（12）支持单三相混编，快速适配不同馈线要求。</w:t>
            </w:r>
          </w:p>
          <w:p w14:paraId="080E29E1">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13）通过RS485或以太网多种智能接口通讯方式，统一通过通信管理机接口向上转发至智能运维单元，接入SmartME智慧能源和设施物联网管理平台，实现数据共享、组态堆叠扩展，达到一个平台统一管理，多个子系统、多个设备、多种功能展示的目的。</w:t>
            </w:r>
          </w:p>
          <w:p w14:paraId="0F7CC23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（四）供货配套要求</w:t>
            </w:r>
          </w:p>
          <w:p w14:paraId="640FB90F">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全套设备出厂含合格证、元器件原厂资质证书、检测报告、平台接入证明、接线图纸、调试资料，出厂完成通电校验、通讯联调、告警测试。</w:t>
            </w:r>
          </w:p>
          <w:p w14:paraId="5066A538">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（五）质保期：一年</w:t>
            </w:r>
          </w:p>
        </w:tc>
      </w:tr>
      <w:tr w14:paraId="5998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noWrap/>
            <w:vAlign w:val="center"/>
          </w:tcPr>
          <w:p w14:paraId="31826F33">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1185" w:type="dxa"/>
            <w:vAlign w:val="center"/>
          </w:tcPr>
          <w:p w14:paraId="045E105E">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输入、输出电缆</w:t>
            </w:r>
          </w:p>
        </w:tc>
        <w:tc>
          <w:tcPr>
            <w:tcW w:w="600" w:type="dxa"/>
            <w:noWrap/>
            <w:vAlign w:val="center"/>
          </w:tcPr>
          <w:p w14:paraId="32C2E71E">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250米</w:t>
            </w:r>
          </w:p>
        </w:tc>
        <w:tc>
          <w:tcPr>
            <w:tcW w:w="1236" w:type="dxa"/>
            <w:noWrap/>
            <w:vAlign w:val="center"/>
          </w:tcPr>
          <w:p w14:paraId="6EEE9DA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364250</w:t>
            </w:r>
          </w:p>
        </w:tc>
        <w:tc>
          <w:tcPr>
            <w:tcW w:w="6205" w:type="dxa"/>
            <w:vAlign w:val="center"/>
          </w:tcPr>
          <w:p w14:paraId="0F172091">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1.国标YJV22 4*240mm²+1*120mm²电缆，额定电压：0.6/1kV，铠装铜芯交联聚乙烯绝缘电力电缆，符合GB12706-2020、GB/T 19666-2019标准。‌</w:t>
            </w:r>
          </w:p>
          <w:p w14:paraId="314A12AA">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2.电力电缆终端头采用五芯铠装热缩终端工艺，DT铜接线端子，符合GB/T 14315-2008标准。≥25mm²镀锡铜编织带接地线；冷缩套管贴合密实，无鼓包、裂纹、翘边；所有断口、分支、端子根部密封胶饱满无外露缝隙；符合GB 50168-2018《电气装置安装工程电缆线路施工及验收标准》要求。</w:t>
            </w:r>
          </w:p>
          <w:p w14:paraId="1BE0BD3D">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3.依据现场走线布设镀锌金属桥架，桥架尺寸400mm×200mm，板厚1.2mm；桥架配套支架固定安装，支架、紧固螺栓均做防锈防腐处理；</w:t>
            </w:r>
          </w:p>
          <w:p w14:paraId="44A6F9E8">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4.报价包干包含电缆、桥架、铜鼻子、扎带、1kV五芯交联电缆热缩终端头、热缩管、绝缘胶布等全部辅材，以及现场制作、敷设安装等全部费用。</w:t>
            </w:r>
          </w:p>
          <w:p w14:paraId="2C52D355">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5.原有150mm²电缆在UPS增容到300KVA后载流量偏小,需将原有2根UPS输入电缆并接作为1组市电输入电缆使用，本项目包含旧UPS输入电缆拆卸、移位及重新接线。</w:t>
            </w:r>
          </w:p>
          <w:p w14:paraId="07BD8B89">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6.由于广播电视台业务的特殊性，拆卸端接作业时间只能在每天的凌晨时段安排施工，现场原有配电房内空间狭窄，无法安排多个人员同时作业，施工难度大，作业时间安排施工作业人员的人天数约累计为3人7天；</w:t>
            </w:r>
          </w:p>
          <w:p w14:paraId="41933DB7">
            <w:pPr>
              <w:spacing w:line="320" w:lineRule="exact"/>
              <w:rPr>
                <w:rFonts w:hint="eastAsia" w:ascii="宋体" w:hAnsi="宋体" w:eastAsia="宋体" w:cs="宋体"/>
                <w:color w:val="auto"/>
                <w:kern w:val="0"/>
                <w:szCs w:val="21"/>
                <w:highlight w:val="none"/>
                <w:lang w:bidi="en-US"/>
              </w:rPr>
            </w:pPr>
            <w:r>
              <w:rPr>
                <w:rFonts w:hint="eastAsia" w:ascii="宋体" w:hAnsi="宋体" w:eastAsia="宋体" w:cs="宋体"/>
                <w:color w:val="auto"/>
                <w:kern w:val="0"/>
                <w:szCs w:val="21"/>
                <w:highlight w:val="none"/>
                <w:lang w:bidi="en-US"/>
              </w:rPr>
              <w:t>7.质保期：一年</w:t>
            </w:r>
          </w:p>
        </w:tc>
      </w:tr>
      <w:tr w14:paraId="2E96A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noWrap/>
            <w:vAlign w:val="center"/>
          </w:tcPr>
          <w:p w14:paraId="1663FFF9">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1185" w:type="dxa"/>
            <w:vAlign w:val="center"/>
          </w:tcPr>
          <w:p w14:paraId="6D0FCFE1">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配电监控及动环监控更新扩展</w:t>
            </w:r>
          </w:p>
        </w:tc>
        <w:tc>
          <w:tcPr>
            <w:tcW w:w="600" w:type="dxa"/>
            <w:noWrap/>
            <w:vAlign w:val="center"/>
          </w:tcPr>
          <w:p w14:paraId="7BB049E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1套</w:t>
            </w:r>
          </w:p>
        </w:tc>
        <w:tc>
          <w:tcPr>
            <w:tcW w:w="1236" w:type="dxa"/>
            <w:noWrap/>
            <w:vAlign w:val="center"/>
          </w:tcPr>
          <w:p w14:paraId="64674A86">
            <w:pPr>
              <w:tabs>
                <w:tab w:val="left" w:pos="354"/>
              </w:tabs>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40000</w:t>
            </w:r>
          </w:p>
        </w:tc>
        <w:tc>
          <w:tcPr>
            <w:tcW w:w="6205" w:type="dxa"/>
            <w:vAlign w:val="center"/>
          </w:tcPr>
          <w:p w14:paraId="2018A74F">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（一）原有管理平台概况</w:t>
            </w:r>
          </w:p>
          <w:p w14:paraId="6D77C02E">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动力集控中心已经建立完整的SmartME智慧能源和设施物联网管理平台1套，品牌：派诺；软件版本号：V3.6.8.4。</w:t>
            </w:r>
          </w:p>
          <w:p w14:paraId="5F83AF84">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管理平台采用先进的数据仓库技术、数据挖掘技术、组态建模技术、ETL数据处理工具、数据修复工具、组态模块化技术，每个功能模块由多个质量可靠的独立组件搭建而成，系统功能业务及界面模块可灵活组态。</w:t>
            </w:r>
          </w:p>
          <w:p w14:paraId="5298741F">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管理平台系统采用B/S架构，方便随时随地通过浏览器访问系统，支持IE、360、QQ等主流浏览器。功能如下：</w:t>
            </w:r>
          </w:p>
          <w:p w14:paraId="1A8341A3">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（1）实时监测能源的生产、分配及消耗，准确掌握各组织实时用能数据，以及动力设备、重点能耗设备等能源使用状况。</w:t>
            </w:r>
          </w:p>
          <w:p w14:paraId="1D7A37C2">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2）对用户能耗信息、环境信息、设备信息及运营信息进行统计、分析，得出与能源消耗及能源效率相关的决策性数据和信息，通过科学可行的能源改善策略实现节能，对日常运行维护和耗能行为方式实施有效的管理。</w:t>
            </w:r>
          </w:p>
          <w:p w14:paraId="66C5FCB8">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3）集电力监控、电能管理、电力故障诊断分析、系统维护等功能模块于一体，从平台管理软件环境中实现数据采集、实时监控、报表分析、时间记录、越限报警到设备工作状态的监视和控制、瞬时波形分析、遥控和遥控闭锁、远动、通信。</w:t>
            </w:r>
          </w:p>
          <w:p w14:paraId="76E7719F">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4）通过平台使数据互联互通，场景联动，通过挖掘各用能子系统能效指标、设备运行状况，利用大数据分析、AI（人工智能）、专家知识库等技术，帮助发现运行策略不力的问题，长期不断地为管理人员提供合理的运行调节建议，智能联动各子系统优化系统运行，进而达到优化降低能耗的目的。</w:t>
            </w:r>
          </w:p>
          <w:p w14:paraId="23540AB7">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管理平台功能</w:t>
            </w:r>
          </w:p>
          <w:p w14:paraId="6322725E">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（二）原有管理平台监测范围和内容</w:t>
            </w:r>
          </w:p>
          <w:p w14:paraId="296C16E4">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现SmartME智慧能源和设施物联网管理平台监测范围包括：1间中压配电房11台继电保护装置；7间低压配电房226块智能仪表；6台变压器温控仪；7台UPS主机；2台柴油发电机；1间电池间160节蓄电池。</w:t>
            </w:r>
          </w:p>
          <w:p w14:paraId="6E384926">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管理平台使用交流采样技术实时采集每回路的U、I、kW、kvar、PF、f、kWh、kvarh等电量参数；不间断地采集断路器开关量、异常报警信号和非电量等信号。监测内容如下：</w:t>
            </w:r>
          </w:p>
          <w:p w14:paraId="23261CE0">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（1）监测进/出线回路的电流、电压、有功功率、无功功率、视在功率、功率因数、开关状态等参数。</w:t>
            </w:r>
          </w:p>
          <w:p w14:paraId="1D59FC39">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（2）监测直流屏的控制母线电压、动力母线电压、充电电压、蓄电池电压、充电浮充电装置输出电流等参数。</w:t>
            </w:r>
          </w:p>
          <w:p w14:paraId="7015C0E2">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（3）监测高压功率补偿装置的无功补偿电流、无功功率等参数。</w:t>
            </w:r>
          </w:p>
          <w:p w14:paraId="755760D0">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（4）监测温控仪的温度、最大温差，负荷率，风机启动报警状态、超温跳闸报警状态、风机故障报警状态等参数。</w:t>
            </w:r>
          </w:p>
          <w:p w14:paraId="0EBD558B">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（5）监测变压器的温度、视在功率、负荷率等参数。</w:t>
            </w:r>
          </w:p>
          <w:p w14:paraId="7DB43C00">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（6）监测和显示综合保护装置的电压、电流、频率、功率、故障录波以及事件记录。</w:t>
            </w:r>
          </w:p>
          <w:p w14:paraId="00949654">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（7）监测和显示蓄电池电压、电流、充电电压、充电电流、内阻、温度、浮充状态以及事件记录。</w:t>
            </w:r>
          </w:p>
          <w:p w14:paraId="6C4D1FBC">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（8）配电系统智能运维，支持自定义巡检计划，内容包括计划名称、计划有效期、巡检执行时间、巡检设备、巡检标准、巡检级别、巡检人员等。</w:t>
            </w:r>
          </w:p>
          <w:p w14:paraId="6B3C34CD">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（9）根据巡检计划自动生成巡检工单并指派给相应人员，巡检人员通过APP接收工单并执行巡检任务，上传巡检结果。</w:t>
            </w:r>
          </w:p>
          <w:p w14:paraId="2E7A0320">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（10）通过APP进行移动端数据监测管理，便于用户随时随地掌握能源信息，大幅度提高管理的便捷性和效率。</w:t>
            </w:r>
          </w:p>
          <w:p w14:paraId="2C24B319">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（三）本次采购采集监测范围及功能要求</w:t>
            </w:r>
          </w:p>
          <w:p w14:paraId="55626962">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本项目共增加低压配电柜10面。为达到一个平台统一管理，多个子系统、多个设备、多种功能展示的目的，对原有SmartME智慧能源和设施物联网管理平台扩容提升，纳入监测管理本项目10面低压配电柜等设备电气运行数据，更新软件平台组态界面，实现对所有新增设备监测、分析、处理等功能模块的全部功能。新增设备监测范围包括：</w:t>
            </w:r>
          </w:p>
          <w:p w14:paraId="054BBC90">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（1）新增10面低压配电柜，共监测进线/出线137个3相回路电气参量，142个断路器开关状态。</w:t>
            </w:r>
          </w:p>
          <w:p w14:paraId="507531C5">
            <w:pPr>
              <w:pStyle w:val="12"/>
              <w:rPr>
                <w:rFonts w:hint="eastAsia" w:ascii="宋体" w:hAnsi="宋体" w:cs="宋体"/>
                <w:color w:val="auto"/>
                <w:kern w:val="0"/>
                <w:szCs w:val="21"/>
                <w:highlight w:val="none"/>
                <w:lang w:val="en-US" w:bidi="en-US"/>
              </w:rPr>
            </w:pPr>
            <w:r>
              <w:rPr>
                <w:rFonts w:hint="eastAsia" w:ascii="宋体" w:hAnsi="宋体" w:cs="宋体"/>
                <w:color w:val="auto"/>
                <w:kern w:val="0"/>
                <w:szCs w:val="21"/>
                <w:highlight w:val="none"/>
                <w:lang w:bidi="en-US"/>
              </w:rPr>
              <w:t>（2）更换6只温湿度探测器，品牌：澳天，型号:AT-THTCPO1；更换6只烟雾探测器，品牌：澳天，型号AT-LH93；更换1台机房动环监控主机，品牌：澳天，型号:RTU-1600，主机内置动环监控软件：AT-SYS；更换2台热成像双光谱摄像机,品牌：海康威视，型号:HM-TD1228T-3/BLX；新增动力一科和动力二科监控机房之间的4芯光纤联通线缆布放、光纤熔接、设备安装等，包括设备供货、安装、调试，以及接入原有配电系统数字孪生平台组态调试。</w:t>
            </w:r>
            <w:r>
              <w:rPr>
                <w:rFonts w:hint="eastAsia" w:ascii="宋体" w:hAnsi="宋体" w:cs="宋体"/>
                <w:color w:val="auto"/>
                <w:kern w:val="0"/>
                <w:szCs w:val="21"/>
                <w:highlight w:val="none"/>
                <w:lang w:val="en-US" w:bidi="en-US"/>
              </w:rPr>
              <w:t>更换的设备可与以上要求的品牌型号不一致，但功能和参数须等同。</w:t>
            </w:r>
          </w:p>
          <w:p w14:paraId="02C830D6">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（四）本项目管理平台扩展功能要求：</w:t>
            </w:r>
          </w:p>
          <w:p w14:paraId="55FEAF03">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（1）监测新增10面低压配电柜，共监测进线/出线137个3相回路电气参量，</w:t>
            </w:r>
            <w:r>
              <w:rPr>
                <w:rFonts w:hint="eastAsia" w:ascii="宋体" w:hAnsi="宋体" w:cs="宋体"/>
                <w:color w:val="auto"/>
                <w:kern w:val="0"/>
                <w:szCs w:val="21"/>
                <w:highlight w:val="none"/>
                <w:lang w:val="en-US" w:bidi="en-US"/>
              </w:rPr>
              <w:t>139</w:t>
            </w:r>
            <w:r>
              <w:rPr>
                <w:rFonts w:hint="eastAsia" w:ascii="宋体" w:hAnsi="宋体" w:cs="宋体"/>
                <w:color w:val="auto"/>
                <w:kern w:val="0"/>
                <w:szCs w:val="21"/>
                <w:highlight w:val="none"/>
                <w:lang w:bidi="en-US"/>
              </w:rPr>
              <w:t>个断路器开关状态。</w:t>
            </w:r>
          </w:p>
          <w:p w14:paraId="4660F17B">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监测所有进/出线回路的电流、电压、有功功率、无功功率、视在功率、功率因数、断路器开关状态。</w:t>
            </w:r>
          </w:p>
          <w:p w14:paraId="2AEBF8BC">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2）更换6只温湿度探测器，品牌：澳天，型号:AT-THTCPO1；更换6只烟雾探测器，品牌：澳天，型号AT-LH93；更换1台机房动环监控主机，品牌：澳天，型号:RTU-1600，主机内置动环监控软件：AT-SYS；更换2台热成像双光谱摄像机,品牌：海康威视，型号:HM-TD1228T-3/BLX；新增动力一科和动力二科监控机房之间的4芯光纤联通线缆布放、光纤熔接、设备安装等，包括设备供货、安装、调试，以及接入原有配电系统数字孪生平台组态调试。更换的设备可与以上要求的品牌型号不一致，但功能和参数须等同。</w:t>
            </w:r>
          </w:p>
          <w:p w14:paraId="3554D5A8">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（3）监测软件二次开发，在2台站控终端分别实施监测界面组态扩展，在本地配电房采集、查看、图形化显示所有开关状态及各回路各类运行电气参数。并按动力集控中心现有的3D 数字孪生系统架构要求，通过RS485 或以太网多种智能接口通讯方式，统一通过派诺通信管理机接口上传，接入原有的派诺SmartME能效管理系统，实现数据共享。</w:t>
            </w:r>
          </w:p>
          <w:p w14:paraId="1693807C">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（4）通过RS485和以太网多种智能接口通讯方式，按动力集控中心现有的3D 数字孪生系统架构要求采集电气数据。统一通过派诺通信管理机接口上传，接入原有的派诺SmartME能效管理系统，实现数据共享、组态堆叠扩展。</w:t>
            </w:r>
          </w:p>
          <w:p w14:paraId="2482450F">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（5）按动力集控中心现有3D数字孪生系统架构要求，采集UPS输入柜、输出柜及UPS主机的电气数据进行分析处理，建立UPS主机、配电柜数字孪生3D模型，将新增设备纳入平台统一管理。</w:t>
            </w:r>
          </w:p>
          <w:p w14:paraId="74E7DA1C">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（6）在原有派诺SmartME能效管理系统纳入本项目新增UPS主机、新增配电柜进行数据整合、分析处理、图形组态，实现对所有新增设备监测、分析、处理等功能模块的全部功能。</w:t>
            </w:r>
          </w:p>
          <w:p w14:paraId="56A74E05">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7）通过管理平台使原有设备和新增设备的数据互联互通，场景联动，挖掘各用能子系统能效指标，实现设备运行状况预警，配电智能化运维、配电智能化资产管理的目的。达到实时能耗监测、量化节能空间，智能联动各子系统优化系统运行，精细化核算能耗成本，进而达到优化降低能耗的目的。</w:t>
            </w:r>
          </w:p>
          <w:p w14:paraId="6F07FBC1">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8）本项目原有SmartME智慧能源和设施物联网管理平台提升更新，系统的功能模块扩容安装及调试。包括：监控中心平台系统的功能模块扩容、安装，系统调试，网络安全设置，上传数据的脱敏、加密，动力智能集控中心功能模块组态，联调、联试，最后提供服务报告。</w:t>
            </w:r>
          </w:p>
          <w:p w14:paraId="519CFA65">
            <w:pPr>
              <w:pStyle w:val="12"/>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w:t>
            </w:r>
            <w:r>
              <w:rPr>
                <w:rFonts w:hint="eastAsia" w:ascii="宋体" w:hAnsi="宋体" w:cs="宋体"/>
                <w:color w:val="auto"/>
                <w:kern w:val="0"/>
                <w:szCs w:val="21"/>
                <w:highlight w:val="none"/>
                <w:lang w:val="en-US" w:bidi="en-US"/>
              </w:rPr>
              <w:t>9</w:t>
            </w:r>
            <w:r>
              <w:rPr>
                <w:rFonts w:hint="eastAsia" w:ascii="宋体" w:hAnsi="宋体" w:cs="宋体"/>
                <w:color w:val="auto"/>
                <w:kern w:val="0"/>
                <w:szCs w:val="21"/>
                <w:highlight w:val="none"/>
                <w:lang w:bidi="en-US"/>
              </w:rPr>
              <w:t>）原有SmartME智慧能源和设施物联网管理平台正在使用。为保证播控设备的系统安全切换，供应商须提供详细有效的系统安全切换方案，或承诺在施工前提供派诺SmartME能效管理系统平台的授权许可证明文件，及在系统总调、总试时派遣原厂工程师上门调试服务证明文件（加盖厂家公章）</w:t>
            </w:r>
          </w:p>
        </w:tc>
      </w:tr>
      <w:tr w14:paraId="191B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noWrap/>
            <w:vAlign w:val="center"/>
          </w:tcPr>
          <w:p w14:paraId="7D6D759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p>
        </w:tc>
        <w:tc>
          <w:tcPr>
            <w:tcW w:w="1185" w:type="dxa"/>
            <w:vAlign w:val="center"/>
          </w:tcPr>
          <w:p w14:paraId="6A0F7DD1">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设备安装及电力电缆敷设</w:t>
            </w:r>
          </w:p>
        </w:tc>
        <w:tc>
          <w:tcPr>
            <w:tcW w:w="600" w:type="dxa"/>
            <w:noWrap/>
            <w:vAlign w:val="center"/>
          </w:tcPr>
          <w:p w14:paraId="65671537">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1项</w:t>
            </w:r>
          </w:p>
        </w:tc>
        <w:tc>
          <w:tcPr>
            <w:tcW w:w="1236" w:type="dxa"/>
            <w:noWrap/>
            <w:vAlign w:val="center"/>
          </w:tcPr>
          <w:p w14:paraId="7771F660">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45000</w:t>
            </w:r>
          </w:p>
        </w:tc>
        <w:tc>
          <w:tcPr>
            <w:tcW w:w="6205" w:type="dxa"/>
            <w:vAlign w:val="center"/>
          </w:tcPr>
          <w:p w14:paraId="73E95944">
            <w:pPr>
              <w:pStyle w:val="63"/>
              <w:spacing w:line="320" w:lineRule="exact"/>
              <w:ind w:firstLine="0" w:firstLineChars="0"/>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1.旧配电柜拆除；</w:t>
            </w:r>
          </w:p>
          <w:p w14:paraId="2CA99DAE">
            <w:pPr>
              <w:pStyle w:val="63"/>
              <w:spacing w:line="320" w:lineRule="exact"/>
              <w:ind w:firstLine="0" w:firstLineChars="0"/>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（1）敷设安装现场服务备用电源线路，免费提供备用电源线路所需的相应线缆、设备及材料。</w:t>
            </w:r>
          </w:p>
          <w:p w14:paraId="4ECB93D5">
            <w:pPr>
              <w:pStyle w:val="63"/>
              <w:spacing w:line="320" w:lineRule="exact"/>
              <w:ind w:firstLine="0" w:firstLineChars="0"/>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（2）原有旧拆除拆卸、搬运至指定位置整齐堆放，并做好防雨防尘、防暴晒措施。</w:t>
            </w:r>
          </w:p>
          <w:p w14:paraId="17D4A187">
            <w:pPr>
              <w:pStyle w:val="63"/>
              <w:spacing w:line="320" w:lineRule="exact"/>
              <w:ind w:firstLine="0" w:firstLineChars="0"/>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2.新配电柜安装：</w:t>
            </w:r>
          </w:p>
          <w:p w14:paraId="004EDF25">
            <w:pPr>
              <w:pStyle w:val="63"/>
              <w:spacing w:line="320" w:lineRule="exact"/>
              <w:ind w:firstLine="0" w:firstLineChars="0"/>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（1）新配电柜二次搬运，就位安装、正确线缆接线。</w:t>
            </w:r>
          </w:p>
          <w:p w14:paraId="15D141F7">
            <w:pPr>
              <w:pStyle w:val="63"/>
              <w:spacing w:line="320" w:lineRule="exact"/>
              <w:ind w:firstLine="0" w:firstLineChars="0"/>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（2）新配电柜整机调试，系统电源，恢复正常供电。</w:t>
            </w:r>
          </w:p>
          <w:p w14:paraId="23CD7999">
            <w:pPr>
              <w:pStyle w:val="63"/>
              <w:spacing w:line="320" w:lineRule="exact"/>
              <w:ind w:firstLine="0" w:firstLineChars="0"/>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3.本项目包含线缆布线，旧线缆拆卸、移位及重新端接，以及施工所需的桥架、支架、电缆绝缘套管、线耳等配件和辅材。</w:t>
            </w:r>
          </w:p>
          <w:p w14:paraId="259A51F7">
            <w:pPr>
              <w:pStyle w:val="63"/>
              <w:spacing w:line="320" w:lineRule="exact"/>
              <w:ind w:firstLine="0" w:firstLineChars="0"/>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4.▲作业人员持证要求:所有进场作业人员必须持有有效的《中华人民共和国特种作业操作证》进行相应工作(作业类别:电工作业)，发证机关须为应急管理部门。其中，低压电工作业或高压电工作业均可。无证或证件无效人员不得进场施工。</w:t>
            </w:r>
          </w:p>
          <w:p w14:paraId="49074B84">
            <w:pPr>
              <w:pStyle w:val="63"/>
              <w:spacing w:line="320" w:lineRule="exact"/>
              <w:ind w:firstLine="0" w:firstLineChars="0"/>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5.▲本项目涉及广电核心播出负载，带电更换操作失误可能造成重大安全播出事故，供应商须在响应文件中提交详细的更换作业方案及安全应急措施。未提交或提交不合格的，作无效响应处理。</w:t>
            </w:r>
          </w:p>
          <w:p w14:paraId="56F1397F">
            <w:pPr>
              <w:pStyle w:val="63"/>
              <w:spacing w:line="320" w:lineRule="exact"/>
              <w:ind w:firstLine="0" w:firstLineChars="0"/>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6.因供应商技术或操作问题造成广电核心播出负载设备停机、安全播出事故的，供应商应承担直接经济损失及依法认定的责任赔偿。</w:t>
            </w:r>
          </w:p>
          <w:p w14:paraId="28DDFE82">
            <w:pPr>
              <w:pStyle w:val="63"/>
              <w:spacing w:line="320" w:lineRule="exact"/>
              <w:ind w:firstLine="0" w:firstLineChars="0"/>
              <w:rPr>
                <w:rFonts w:hint="eastAsia" w:ascii="宋体" w:hAnsi="宋体" w:cs="宋体"/>
                <w:color w:val="auto"/>
                <w:kern w:val="0"/>
                <w:szCs w:val="21"/>
                <w:highlight w:val="none"/>
                <w:lang w:bidi="en-US"/>
              </w:rPr>
            </w:pPr>
            <w:r>
              <w:rPr>
                <w:rFonts w:hint="eastAsia"/>
                <w:color w:val="auto"/>
                <w:highlight w:val="none"/>
              </w:rPr>
              <w:t>7</w:t>
            </w:r>
            <w:r>
              <w:rPr>
                <w:rFonts w:hint="eastAsia" w:ascii="宋体" w:hAnsi="宋体" w:cs="宋体"/>
                <w:color w:val="auto"/>
                <w:kern w:val="0"/>
                <w:szCs w:val="21"/>
                <w:highlight w:val="none"/>
                <w:lang w:bidi="en-US"/>
              </w:rPr>
              <w:t>.本次项目现有旧配电柜尚在正常运行中，无法停电作业。由于广播电视台业务的特殊性，实施作业时间只能在安排每天凌晨时段安排施工，施工时间窗口窄，同一配电房设备更换需间隔日期多次重复进行。另现场配电房内空间狭窄，无法安排过多人员同时作业。施工难度大，作业时间安排施工作业人员的人天数约累计为3人35天。</w:t>
            </w:r>
          </w:p>
          <w:p w14:paraId="2F614975">
            <w:pPr>
              <w:pStyle w:val="63"/>
              <w:spacing w:line="320" w:lineRule="exact"/>
              <w:ind w:firstLine="0" w:firstLineChars="0"/>
              <w:rPr>
                <w:rFonts w:hint="eastAsia" w:ascii="宋体" w:hAnsi="宋体" w:cs="宋体"/>
                <w:color w:val="auto"/>
                <w:kern w:val="0"/>
                <w:szCs w:val="21"/>
                <w:highlight w:val="none"/>
                <w:lang w:bidi="en-US"/>
              </w:rPr>
            </w:pPr>
            <w:r>
              <w:rPr>
                <w:rFonts w:hint="eastAsia" w:ascii="宋体" w:hAnsi="宋体" w:cs="宋体"/>
                <w:color w:val="auto"/>
                <w:kern w:val="0"/>
                <w:szCs w:val="21"/>
                <w:highlight w:val="none"/>
                <w:lang w:bidi="en-US"/>
              </w:rPr>
              <w:t>8.本项内容响应供应商不具有相应资质的，允许分包给具有相应资质的供应商，响应文件中不要求提供拟分包人的营业执照、资质证书、分包协议等证明文件，但响应供应商根据采购文件的规定和采购项目的实际情况，拟在成交后将本项工作分包的，应当在响应文件中载明分包承担主体，分包承担主体应当具备相应资质条件且不得再次分包。签订合同的分包要求应与采购文件设定的分包要求相同，否则属于不按照采购文件和成交供应商的响应文件订立合同。合同签订后成交供应商不按照分包要求执行属于违反合同约定，应追究违约责任，经采购人书面同意后成交供应商不按照分包要求执行或签订补充协议改变分包要求的，属于订立背离合同实质性内容的协议，应依法追究责任。</w:t>
            </w:r>
          </w:p>
        </w:tc>
      </w:tr>
      <w:tr w14:paraId="21BB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jc w:val="center"/>
        </w:trPr>
        <w:tc>
          <w:tcPr>
            <w:tcW w:w="9809" w:type="dxa"/>
            <w:gridSpan w:val="5"/>
            <w:noWrap/>
            <w:vAlign w:val="center"/>
          </w:tcPr>
          <w:p w14:paraId="5CB82F47">
            <w:pPr>
              <w:widowControl/>
              <w:adjustRightInd w:val="0"/>
              <w:snapToGrid w:val="0"/>
              <w:spacing w:line="360" w:lineRule="exact"/>
              <w:textAlignment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二、商务要求</w:t>
            </w:r>
          </w:p>
        </w:tc>
      </w:tr>
      <w:tr w14:paraId="0921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noWrap/>
            <w:vAlign w:val="center"/>
          </w:tcPr>
          <w:p w14:paraId="4A4CB4BE">
            <w:pPr>
              <w:spacing w:line="36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报价要求</w:t>
            </w:r>
          </w:p>
        </w:tc>
        <w:tc>
          <w:tcPr>
            <w:tcW w:w="8041" w:type="dxa"/>
            <w:gridSpan w:val="3"/>
            <w:noWrap/>
            <w:vAlign w:val="center"/>
          </w:tcPr>
          <w:p w14:paraId="033C6DD1">
            <w:pPr>
              <w:spacing w:line="36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竞标报价为完成采购人指定内容的整体包干价，须以人民币报价，需报出项目整体服务总价和单价，其中所报单价作为按需结算的最终报价。报价已包括：</w:t>
            </w:r>
          </w:p>
          <w:p w14:paraId="6C74C288">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1、完成本项目所有服务内容所需的整体价格；</w:t>
            </w:r>
          </w:p>
          <w:p w14:paraId="2C5E8E0F">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2、开展本项目服务所需的用户需求调研、项目集成服务、项目部署实施等服务费；</w:t>
            </w:r>
          </w:p>
          <w:p w14:paraId="1528095C">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3、项目所需的货物运输、安装调试、技术支持、上门服务、交付货物的原厂质保服务、备件、各年度维护等费用；</w:t>
            </w:r>
          </w:p>
          <w:p w14:paraId="75DFADBD">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完成本项目服务交付的各项税费、规划费和利润等与本项目服务业务有关一切费用和政策性文件规定及合同包含的所有风险、责任等与本项目相关的各项应有费用，除非上述费用在合同中另有说明，否则合同期内，费用不再调整。</w:t>
            </w:r>
          </w:p>
          <w:p w14:paraId="70E5A10B">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5、若所提供的服务需要</w:t>
            </w:r>
            <w:r>
              <w:rPr>
                <w:rFonts w:hint="eastAsia" w:ascii="宋体" w:hAnsi="宋体" w:eastAsia="宋体" w:cs="宋体"/>
                <w:color w:val="auto"/>
                <w:kern w:val="0"/>
                <w:szCs w:val="21"/>
                <w:highlight w:val="none"/>
              </w:rPr>
              <w:t>成交供应商</w:t>
            </w:r>
            <w:r>
              <w:rPr>
                <w:rFonts w:hint="eastAsia" w:ascii="宋体" w:hAnsi="宋体" w:eastAsia="宋体" w:cs="宋体"/>
                <w:color w:val="auto"/>
                <w:szCs w:val="21"/>
                <w:highlight w:val="none"/>
              </w:rPr>
              <w:t>整改完善甚至返工的，</w:t>
            </w:r>
            <w:r>
              <w:rPr>
                <w:rFonts w:hint="eastAsia" w:ascii="宋体" w:hAnsi="宋体" w:eastAsia="宋体" w:cs="宋体"/>
                <w:color w:val="auto"/>
                <w:kern w:val="0"/>
                <w:szCs w:val="21"/>
                <w:highlight w:val="none"/>
              </w:rPr>
              <w:t>成交供应商</w:t>
            </w:r>
            <w:r>
              <w:rPr>
                <w:rFonts w:hint="eastAsia" w:ascii="宋体" w:hAnsi="宋体" w:eastAsia="宋体" w:cs="宋体"/>
                <w:color w:val="auto"/>
                <w:szCs w:val="21"/>
                <w:highlight w:val="none"/>
              </w:rPr>
              <w:t>应在指定时限内须予以配合，所产生的费用包含在</w:t>
            </w:r>
            <w:r>
              <w:rPr>
                <w:rFonts w:hint="eastAsia" w:ascii="宋体" w:hAnsi="宋体" w:eastAsia="宋体" w:cs="宋体"/>
                <w:color w:val="auto"/>
                <w:kern w:val="0"/>
                <w:szCs w:val="21"/>
                <w:highlight w:val="none"/>
              </w:rPr>
              <w:t>成交供应商</w:t>
            </w:r>
            <w:r>
              <w:rPr>
                <w:rFonts w:hint="eastAsia" w:ascii="宋体" w:hAnsi="宋体" w:eastAsia="宋体" w:cs="宋体"/>
                <w:color w:val="auto"/>
                <w:szCs w:val="21"/>
                <w:highlight w:val="none"/>
              </w:rPr>
              <w:t>的报价中，采购人不再另行支付任何费用。</w:t>
            </w:r>
          </w:p>
        </w:tc>
      </w:tr>
      <w:tr w14:paraId="1103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noWrap/>
            <w:vAlign w:val="center"/>
          </w:tcPr>
          <w:p w14:paraId="502234FF">
            <w:pPr>
              <w:pStyle w:val="116"/>
              <w:kinsoku w:val="0"/>
              <w:spacing w:line="400" w:lineRule="exact"/>
              <w:ind w:firstLine="0" w:firstLineChars="0"/>
              <w:contextualSpacing/>
              <w:jc w:val="center"/>
              <w:rPr>
                <w:rFonts w:hint="eastAsia" w:cs="宋体"/>
                <w:b/>
                <w:color w:val="auto"/>
                <w:sz w:val="21"/>
                <w:szCs w:val="21"/>
                <w:highlight w:val="none"/>
              </w:rPr>
            </w:pPr>
            <w:r>
              <w:rPr>
                <w:rFonts w:hint="eastAsia" w:cs="宋体"/>
                <w:b/>
                <w:color w:val="auto"/>
                <w:sz w:val="21"/>
                <w:szCs w:val="21"/>
                <w:highlight w:val="none"/>
              </w:rPr>
              <w:t>履约保证金</w:t>
            </w:r>
          </w:p>
        </w:tc>
        <w:tc>
          <w:tcPr>
            <w:tcW w:w="8041" w:type="dxa"/>
            <w:gridSpan w:val="3"/>
            <w:noWrap/>
            <w:vAlign w:val="center"/>
          </w:tcPr>
          <w:p w14:paraId="6DB8FF9D">
            <w:pPr>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（1）履约保证金金额：履约保证金按成交金额的2%收取，成交供应商须于成交结果确认后2个工作日内、合同签订前，将足额履约保证金缴入采购人下述指定账户：</w:t>
            </w:r>
          </w:p>
          <w:p w14:paraId="73F3BD9B">
            <w:pPr>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开户名称：广西广播电视台 </w:t>
            </w:r>
          </w:p>
          <w:p w14:paraId="7824B313">
            <w:pPr>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开户银行：中国银行南宁市新竹路支行 </w:t>
            </w:r>
          </w:p>
          <w:p w14:paraId="44AB6291">
            <w:pPr>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银行账号：626257498303</w:t>
            </w:r>
          </w:p>
          <w:p w14:paraId="732681DC">
            <w:pPr>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逾期未提交的，视作自动放弃成交资格，采购人顺延确定第二名候选人为</w:t>
            </w:r>
            <w:r>
              <w:rPr>
                <w:rFonts w:hint="eastAsia" w:ascii="宋体" w:hAnsi="宋体" w:eastAsia="宋体" w:cs="宋体"/>
                <w:bCs/>
                <w:color w:val="auto"/>
                <w:szCs w:val="21"/>
                <w:highlight w:val="none"/>
                <w:lang w:eastAsia="zh-CN"/>
              </w:rPr>
              <w:t>成交供应商</w:t>
            </w:r>
            <w:r>
              <w:rPr>
                <w:rFonts w:hint="eastAsia" w:ascii="宋体" w:hAnsi="宋体" w:eastAsia="宋体" w:cs="宋体"/>
                <w:bCs/>
                <w:color w:val="auto"/>
                <w:szCs w:val="21"/>
                <w:highlight w:val="none"/>
              </w:rPr>
              <w:t>。</w:t>
            </w:r>
          </w:p>
          <w:p w14:paraId="2E991EC3">
            <w:pPr>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（2）履约保证金递交方式：支票、汇票、本票，或者银行、保险机构出具的保函等非现金方式。 </w:t>
            </w:r>
          </w:p>
          <w:p w14:paraId="2B3F7541">
            <w:pPr>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（3）履约保证金退付的方式、时间及条件：履约保证金在全部货物验收合格之日起十五个工作日内，由采购人无息退还。 </w:t>
            </w:r>
          </w:p>
          <w:p w14:paraId="6E5BBAFD">
            <w:pPr>
              <w:spacing w:line="360" w:lineRule="exact"/>
              <w:jc w:val="left"/>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（4）履约保证金不予退还的情形：合同签订后至全部货物验收合格前，因乙方违约导致甲方解除合同的，甲方有权全额不予退还履约保证金，并追究乙方其他违约责任。</w:t>
            </w:r>
          </w:p>
        </w:tc>
      </w:tr>
      <w:tr w14:paraId="7C02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768" w:type="dxa"/>
            <w:gridSpan w:val="2"/>
            <w:noWrap/>
            <w:vAlign w:val="center"/>
          </w:tcPr>
          <w:p w14:paraId="649A531D">
            <w:pPr>
              <w:pStyle w:val="116"/>
              <w:widowControl/>
              <w:spacing w:line="400" w:lineRule="exact"/>
              <w:ind w:firstLine="0" w:firstLineChars="0"/>
              <w:contextualSpacing/>
              <w:jc w:val="center"/>
              <w:rPr>
                <w:rFonts w:hint="eastAsia" w:cs="宋体"/>
                <w:b/>
                <w:color w:val="auto"/>
                <w:sz w:val="21"/>
                <w:szCs w:val="21"/>
                <w:highlight w:val="none"/>
              </w:rPr>
            </w:pPr>
            <w:r>
              <w:rPr>
                <w:rFonts w:hint="eastAsia" w:cs="宋体"/>
                <w:b/>
                <w:color w:val="auto"/>
                <w:sz w:val="21"/>
                <w:szCs w:val="21"/>
                <w:highlight w:val="none"/>
              </w:rPr>
              <w:t>付款方式</w:t>
            </w:r>
          </w:p>
        </w:tc>
        <w:tc>
          <w:tcPr>
            <w:tcW w:w="8041" w:type="dxa"/>
            <w:gridSpan w:val="3"/>
            <w:noWrap/>
            <w:vAlign w:val="center"/>
          </w:tcPr>
          <w:p w14:paraId="6B7E9C7E">
            <w:pPr>
              <w:spacing w:line="360" w:lineRule="atLeas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项目采取分批付款方式支付合同款，具体要求如下：</w:t>
            </w:r>
          </w:p>
          <w:p w14:paraId="2266BF9D">
            <w:pP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(1)预付款:合同生效后15个工作日内，采购人向</w:t>
            </w:r>
            <w:r>
              <w:rPr>
                <w:rFonts w:hint="eastAsia" w:ascii="宋体" w:hAnsi="宋体" w:eastAsia="宋体" w:cs="宋体"/>
                <w:bCs/>
                <w:color w:val="auto"/>
                <w:szCs w:val="21"/>
                <w:highlight w:val="none"/>
                <w:lang w:eastAsia="zh-CN"/>
              </w:rPr>
              <w:t>成交供应商</w:t>
            </w:r>
            <w:r>
              <w:rPr>
                <w:rFonts w:hint="eastAsia" w:ascii="宋体" w:hAnsi="宋体" w:eastAsia="宋体" w:cs="宋体"/>
                <w:bCs/>
                <w:color w:val="auto"/>
                <w:szCs w:val="21"/>
                <w:highlight w:val="none"/>
              </w:rPr>
              <w:t>支付合同总价款的30%。</w:t>
            </w:r>
          </w:p>
          <w:p w14:paraId="1DF3F5E5">
            <w:pP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(2)到货款:全部货物送达采购人指定地点并完成到货清点验收合格后15个工作日内，支付合同总价款的12%。</w:t>
            </w:r>
          </w:p>
          <w:p w14:paraId="5CA60ACC">
            <w:pP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(3)初验款:项目完成安装调试，按采购人验收流程通过系统初验合格后15个工作日内，支付合同总价款的20%。</w:t>
            </w:r>
          </w:p>
          <w:p w14:paraId="2BAFC2F6">
            <w:pP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(4)终验款:货物全部安装完毕、试运行结束并通过最终验收后15个工作日内，支付合同总价款的20%。</w:t>
            </w:r>
          </w:p>
          <w:p w14:paraId="4D3ECE76">
            <w:pP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(5)尾款:自项目最终验收合格之日起满一年，质保期内无质量问题的，期满后15个工作日内，支付剩余合同总价款的18%。</w:t>
            </w:r>
          </w:p>
          <w:p w14:paraId="3E82D39B">
            <w:pPr>
              <w:spacing w:line="360" w:lineRule="atLeast"/>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(6)发票约定:每期款项支付前，</w:t>
            </w:r>
            <w:r>
              <w:rPr>
                <w:rFonts w:hint="eastAsia" w:ascii="宋体" w:hAnsi="宋体" w:eastAsia="宋体" w:cs="宋体"/>
                <w:bCs/>
                <w:color w:val="auto"/>
                <w:szCs w:val="21"/>
                <w:highlight w:val="none"/>
                <w:lang w:eastAsia="zh-CN"/>
              </w:rPr>
              <w:t>成交供应商</w:t>
            </w:r>
            <w:r>
              <w:rPr>
                <w:rFonts w:hint="eastAsia" w:ascii="宋体" w:hAnsi="宋体" w:eastAsia="宋体" w:cs="宋体"/>
                <w:bCs/>
                <w:color w:val="auto"/>
                <w:szCs w:val="21"/>
                <w:highlight w:val="none"/>
              </w:rPr>
              <w:t>需向采购人开具对应金额的增值税专用发票。</w:t>
            </w:r>
          </w:p>
        </w:tc>
      </w:tr>
      <w:tr w14:paraId="103B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noWrap/>
            <w:vAlign w:val="center"/>
          </w:tcPr>
          <w:p w14:paraId="28C7407A">
            <w:pPr>
              <w:pStyle w:val="116"/>
              <w:widowControl/>
              <w:spacing w:line="400" w:lineRule="exact"/>
              <w:ind w:firstLine="0" w:firstLineChars="0"/>
              <w:contextualSpacing/>
              <w:jc w:val="center"/>
              <w:rPr>
                <w:rFonts w:hint="eastAsia" w:cs="宋体"/>
                <w:b/>
                <w:color w:val="auto"/>
                <w:sz w:val="21"/>
                <w:szCs w:val="21"/>
                <w:highlight w:val="none"/>
              </w:rPr>
            </w:pPr>
            <w:r>
              <w:rPr>
                <w:rFonts w:hint="eastAsia" w:cs="宋体"/>
                <w:b/>
                <w:color w:val="auto"/>
                <w:sz w:val="21"/>
                <w:szCs w:val="21"/>
                <w:highlight w:val="none"/>
              </w:rPr>
              <w:t>签订合同时间</w:t>
            </w:r>
          </w:p>
        </w:tc>
        <w:tc>
          <w:tcPr>
            <w:tcW w:w="8041" w:type="dxa"/>
            <w:gridSpan w:val="3"/>
            <w:noWrap/>
            <w:vAlign w:val="center"/>
          </w:tcPr>
          <w:p w14:paraId="10CCB353">
            <w:pPr>
              <w:spacing w:line="360" w:lineRule="atLeas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合同签订期：自中标通知书发出之日起7个工作日内。</w:t>
            </w:r>
          </w:p>
        </w:tc>
      </w:tr>
      <w:tr w14:paraId="6887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noWrap/>
            <w:vAlign w:val="center"/>
          </w:tcPr>
          <w:p w14:paraId="085C9A19">
            <w:pPr>
              <w:spacing w:line="36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交货时间及地址</w:t>
            </w:r>
          </w:p>
        </w:tc>
        <w:tc>
          <w:tcPr>
            <w:tcW w:w="8041" w:type="dxa"/>
            <w:gridSpan w:val="3"/>
            <w:noWrap/>
            <w:vAlign w:val="center"/>
          </w:tcPr>
          <w:p w14:paraId="40554077">
            <w:pPr>
              <w:pStyle w:val="63"/>
              <w:spacing w:line="360" w:lineRule="atLeast"/>
              <w:ind w:firstLine="0" w:firstLineChars="0"/>
              <w:rPr>
                <w:rFonts w:hint="eastAsia" w:ascii="宋体" w:hAnsi="宋体" w:cs="宋体"/>
                <w:bCs/>
                <w:color w:val="auto"/>
                <w:szCs w:val="21"/>
                <w:highlight w:val="none"/>
              </w:rPr>
            </w:pPr>
            <w:r>
              <w:rPr>
                <w:rFonts w:hint="eastAsia" w:ascii="宋体" w:hAnsi="宋体" w:cs="宋体"/>
                <w:bCs/>
                <w:color w:val="auto"/>
                <w:szCs w:val="21"/>
                <w:highlight w:val="none"/>
              </w:rPr>
              <w:t>1.交货时间：合同签订后30个工作日内完成供货。</w:t>
            </w:r>
          </w:p>
          <w:p w14:paraId="279C5C6E">
            <w:pPr>
              <w:pStyle w:val="63"/>
              <w:spacing w:line="360" w:lineRule="atLeast"/>
              <w:rPr>
                <w:rFonts w:hint="eastAsia" w:ascii="宋体" w:hAnsi="宋体" w:cs="宋体"/>
                <w:bCs/>
                <w:color w:val="auto"/>
                <w:szCs w:val="21"/>
                <w:highlight w:val="none"/>
              </w:rPr>
            </w:pPr>
            <w:r>
              <w:rPr>
                <w:rFonts w:hint="eastAsia" w:ascii="宋体" w:hAnsi="宋体" w:cs="宋体"/>
                <w:color w:val="auto"/>
                <w:szCs w:val="21"/>
                <w:highlight w:val="none"/>
              </w:rPr>
              <w:t>乙方逾期7日不能交货的，应向甲方支付合同总价1%的违约金，并且甲方有权解除本合同，不再退还履约保证金。</w:t>
            </w:r>
          </w:p>
          <w:p w14:paraId="6FFCBC15">
            <w:pPr>
              <w:pStyle w:val="63"/>
              <w:spacing w:line="360" w:lineRule="atLeast"/>
              <w:ind w:firstLine="0" w:firstLineChars="0"/>
              <w:rPr>
                <w:rFonts w:hint="eastAsia" w:ascii="宋体" w:hAnsi="宋体" w:cs="宋体"/>
                <w:color w:val="auto"/>
                <w:szCs w:val="21"/>
                <w:highlight w:val="none"/>
              </w:rPr>
            </w:pPr>
            <w:r>
              <w:rPr>
                <w:rFonts w:hint="eastAsia" w:ascii="宋体" w:hAnsi="宋体" w:cs="宋体"/>
                <w:bCs/>
                <w:color w:val="auto"/>
                <w:szCs w:val="21"/>
                <w:highlight w:val="none"/>
              </w:rPr>
              <w:t>2.送货地址：广西广播电视台民族大道73号、75号。</w:t>
            </w:r>
          </w:p>
        </w:tc>
      </w:tr>
      <w:tr w14:paraId="7D9C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noWrap/>
            <w:vAlign w:val="center"/>
          </w:tcPr>
          <w:p w14:paraId="31D03100">
            <w:pPr>
              <w:snapToGrid w:val="0"/>
              <w:spacing w:line="36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质保期及售后要求</w:t>
            </w:r>
          </w:p>
        </w:tc>
        <w:tc>
          <w:tcPr>
            <w:tcW w:w="8041" w:type="dxa"/>
            <w:gridSpan w:val="3"/>
            <w:noWrap/>
            <w:vAlign w:val="center"/>
          </w:tcPr>
          <w:p w14:paraId="19ADAF70">
            <w:pPr>
              <w:spacing w:line="36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一、质保期：按国家有关规定实行产品“三包”，质保期不少于</w:t>
            </w:r>
            <w:r>
              <w:rPr>
                <w:rFonts w:hint="eastAsia" w:ascii="宋体" w:hAnsi="宋体" w:eastAsia="宋体" w:cs="宋体"/>
                <w:color w:val="auto"/>
                <w:szCs w:val="21"/>
                <w:highlight w:val="none"/>
                <w:u w:val="single"/>
              </w:rPr>
              <w:t xml:space="preserve"> 壹 </w:t>
            </w:r>
            <w:r>
              <w:rPr>
                <w:rFonts w:hint="eastAsia" w:ascii="宋体" w:hAnsi="宋体" w:eastAsia="宋体" w:cs="宋体"/>
                <w:color w:val="auto"/>
                <w:szCs w:val="21"/>
                <w:highlight w:val="none"/>
              </w:rPr>
              <w:t>年。</w:t>
            </w:r>
          </w:p>
          <w:p w14:paraId="4E037CB9">
            <w:pPr>
              <w:spacing w:line="36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二、售后服务要求：</w:t>
            </w:r>
          </w:p>
          <w:p w14:paraId="5254D514">
            <w:pPr>
              <w:tabs>
                <w:tab w:val="left" w:pos="180"/>
              </w:tabs>
              <w:spacing w:line="3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1.现场调试人员负责免费对现场运行维护人员进行系统现场培训，培训内容包括：系统的组网架构、系统的功能应用、系统的操作使用、系统常见问题的解决与处理。</w:t>
            </w:r>
          </w:p>
          <w:p w14:paraId="1B823485">
            <w:pPr>
              <w:spacing w:line="3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2.交货、技术资料的提交</w:t>
            </w:r>
          </w:p>
          <w:p w14:paraId="2317D0D4">
            <w:pPr>
              <w:spacing w:line="3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2.1成交供应商提供设备使用说明书、图纸纸质版各两份、电子版一份，全部编程软件光盘2份。</w:t>
            </w:r>
          </w:p>
          <w:p w14:paraId="7A32A1E1">
            <w:pPr>
              <w:spacing w:line="3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2.2设备到现场后，需开箱验收，由于运输、装卸过程中造成的设备损坏，由成交供应商负责免费更换。</w:t>
            </w:r>
          </w:p>
          <w:p w14:paraId="11201FE0">
            <w:pPr>
              <w:tabs>
                <w:tab w:val="left" w:pos="567"/>
                <w:tab w:val="left" w:pos="840"/>
              </w:tabs>
              <w:spacing w:line="3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3.安装、调试与验收</w:t>
            </w:r>
          </w:p>
          <w:p w14:paraId="3A8B43D8">
            <w:pPr>
              <w:spacing w:line="3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3.1成交供应商应负责本用户需求书的全部设备的安装工作，负责设备的调试及试运行，并对设备质量保证期内的设备质量负责。</w:t>
            </w:r>
          </w:p>
          <w:p w14:paraId="1B330CD6">
            <w:pPr>
              <w:spacing w:line="3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3.2供应商负责将新增配电柜通过RS485和以太网多种智能接口通讯方式，统一通过通信管理机接口向上转发至智能运维单元，接入原有SmartME智慧能源和设施物联网管理平台。</w:t>
            </w:r>
          </w:p>
          <w:p w14:paraId="3D11709B">
            <w:pPr>
              <w:spacing w:line="360" w:lineRule="atLeas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3.3整个系统投入运行保持相对稳定后，才能进行验收。验收由、施工方自行组织设备和人员在本单位技术人员的监查下现场进行测试和验收。</w:t>
            </w:r>
          </w:p>
          <w:p w14:paraId="648B5CAF">
            <w:pPr>
              <w:spacing w:line="360" w:lineRule="atLeast"/>
              <w:ind w:firstLine="420" w:firstLineChars="200"/>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rPr>
              <w:t>4.从交付使用之日起，免费维护3年，备件免费更换。</w:t>
            </w:r>
          </w:p>
          <w:p w14:paraId="65AFDBB6">
            <w:pPr>
              <w:spacing w:line="360" w:lineRule="atLeast"/>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bidi="ar"/>
              </w:rPr>
              <w:t>5. 7*24小时电话技术支持，任何故障的维修响应时间为2小时内到达现场。</w:t>
            </w:r>
          </w:p>
        </w:tc>
      </w:tr>
      <w:tr w14:paraId="45FE2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noWrap/>
            <w:vAlign w:val="center"/>
          </w:tcPr>
          <w:p w14:paraId="31A33E4B">
            <w:pPr>
              <w:snapToGrid w:val="0"/>
              <w:spacing w:line="36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其他要求</w:t>
            </w:r>
          </w:p>
        </w:tc>
        <w:tc>
          <w:tcPr>
            <w:tcW w:w="8041" w:type="dxa"/>
            <w:gridSpan w:val="3"/>
            <w:noWrap/>
          </w:tcPr>
          <w:p w14:paraId="5B37BD3F">
            <w:pPr>
              <w:spacing w:line="360" w:lineRule="atLeas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bidi="ar"/>
              </w:rPr>
              <w:t>竞标前，竞标人可根据自身的情况决定是否参加采购人统一组织的现场勘察。现场勘察须携带的资料：持竞标人授权委托书、个人身份证原件；现场勘察集中时间</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2026年7月6日上午9时00分</w:t>
            </w:r>
            <w:r>
              <w:rPr>
                <w:rFonts w:hint="eastAsia" w:ascii="宋体" w:hAnsi="宋体" w:eastAsia="宋体" w:cs="宋体"/>
                <w:color w:val="auto"/>
                <w:kern w:val="0"/>
                <w:szCs w:val="21"/>
                <w:highlight w:val="none"/>
                <w:lang w:bidi="ar"/>
              </w:rPr>
              <w:t>。集中地点：</w:t>
            </w:r>
            <w:r>
              <w:rPr>
                <w:rFonts w:hint="eastAsia" w:ascii="宋体" w:hAnsi="宋体" w:eastAsia="宋体" w:cs="宋体"/>
                <w:bCs/>
                <w:color w:val="auto"/>
                <w:szCs w:val="21"/>
                <w:highlight w:val="none"/>
              </w:rPr>
              <w:t>广西广播电视台民族大道73号、75号</w:t>
            </w:r>
            <w:r>
              <w:rPr>
                <w:rFonts w:hint="eastAsia" w:ascii="宋体" w:hAnsi="宋体" w:eastAsia="宋体" w:cs="宋体"/>
                <w:color w:val="auto"/>
                <w:kern w:val="0"/>
                <w:szCs w:val="21"/>
                <w:highlight w:val="none"/>
                <w:lang w:bidi="ar"/>
              </w:rPr>
              <w:t>； 联系人：谭智勇； 联系电话：</w:t>
            </w:r>
            <w:r>
              <w:rPr>
                <w:rFonts w:hint="eastAsia" w:ascii="宋体" w:hAnsi="宋体" w:eastAsia="宋体" w:cs="宋体"/>
                <w:color w:val="auto"/>
                <w:szCs w:val="21"/>
                <w:highlight w:val="none"/>
              </w:rPr>
              <w:t>13707873760</w:t>
            </w:r>
            <w:r>
              <w:rPr>
                <w:rFonts w:hint="eastAsia" w:ascii="宋体" w:hAnsi="宋体" w:eastAsia="宋体" w:cs="宋体"/>
                <w:color w:val="auto"/>
                <w:kern w:val="0"/>
                <w:szCs w:val="21"/>
                <w:highlight w:val="none"/>
                <w:lang w:bidi="ar"/>
              </w:rPr>
              <w:t>。</w:t>
            </w:r>
          </w:p>
        </w:tc>
      </w:tr>
      <w:tr w14:paraId="3655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7" w:hRule="atLeast"/>
          <w:jc w:val="center"/>
        </w:trPr>
        <w:tc>
          <w:tcPr>
            <w:tcW w:w="9809" w:type="dxa"/>
            <w:gridSpan w:val="5"/>
            <w:noWrap/>
            <w:vAlign w:val="center"/>
          </w:tcPr>
          <w:p w14:paraId="25E5C7E2">
            <w:pPr>
              <w:widowControl/>
              <w:adjustRightInd w:val="0"/>
              <w:snapToGrid w:val="0"/>
              <w:spacing w:line="360" w:lineRule="exact"/>
              <w:jc w:val="left"/>
              <w:textAlignment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三、其他说明</w:t>
            </w:r>
          </w:p>
        </w:tc>
      </w:tr>
      <w:tr w14:paraId="6401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809" w:type="dxa"/>
            <w:gridSpan w:val="5"/>
            <w:noWrap/>
            <w:vAlign w:val="center"/>
          </w:tcPr>
          <w:p w14:paraId="0F764788">
            <w:pPr>
              <w:widowControl/>
              <w:tabs>
                <w:tab w:val="left" w:pos="180"/>
                <w:tab w:val="left" w:pos="1620"/>
              </w:tabs>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1.进口产品说明：</w:t>
            </w:r>
          </w:p>
          <w:p w14:paraId="04C122C6">
            <w:pPr>
              <w:widowControl/>
              <w:tabs>
                <w:tab w:val="left" w:pos="180"/>
                <w:tab w:val="left" w:pos="1620"/>
              </w:tabs>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本项目所涉及的货物不接受进口产品（即通过中国海关报关验放进入中国境内且产自关境外的产品）参与竞标，</w:t>
            </w:r>
            <w:r>
              <w:rPr>
                <w:rFonts w:hint="eastAsia" w:ascii="宋体" w:hAnsi="宋体" w:eastAsia="宋体" w:cs="宋体"/>
                <w:b/>
                <w:color w:val="auto"/>
                <w:szCs w:val="21"/>
                <w:highlight w:val="none"/>
              </w:rPr>
              <w:t>如有进口产品参与竞标的作无效竞标处理</w:t>
            </w:r>
            <w:r>
              <w:rPr>
                <w:rFonts w:hint="eastAsia" w:ascii="宋体" w:hAnsi="宋体" w:eastAsia="宋体" w:cs="宋体"/>
                <w:color w:val="auto"/>
                <w:szCs w:val="21"/>
                <w:highlight w:val="none"/>
              </w:rPr>
              <w:t>。</w:t>
            </w:r>
          </w:p>
          <w:p w14:paraId="30CDE155">
            <w:pPr>
              <w:widowControl/>
              <w:tabs>
                <w:tab w:val="left" w:pos="180"/>
                <w:tab w:val="left" w:pos="1620"/>
              </w:tabs>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2.核心产品：</w:t>
            </w:r>
          </w:p>
          <w:p w14:paraId="1ED4EBAE">
            <w:pPr>
              <w:widowControl/>
              <w:adjustRightInd w:val="0"/>
              <w:snapToGrid w:val="0"/>
              <w:spacing w:line="360" w:lineRule="exact"/>
              <w:ind w:firstLine="420" w:firstLineChars="200"/>
              <w:jc w:val="left"/>
              <w:textAlignment w:val="center"/>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本项目的核心产品为“需求一览表”中第</w:t>
            </w:r>
            <w:r>
              <w:rPr>
                <w:rFonts w:hint="eastAsia" w:ascii="宋体" w:hAnsi="宋体" w:eastAsia="宋体" w:cs="宋体"/>
                <w:color w:val="auto"/>
                <w:szCs w:val="21"/>
                <w:highlight w:val="none"/>
                <w:u w:val="single"/>
              </w:rPr>
              <w:t xml:space="preserve">  4  </w:t>
            </w:r>
            <w:r>
              <w:rPr>
                <w:rFonts w:hint="eastAsia" w:ascii="宋体" w:hAnsi="宋体" w:eastAsia="宋体" w:cs="宋体"/>
                <w:color w:val="auto"/>
                <w:szCs w:val="21"/>
                <w:highlight w:val="none"/>
              </w:rPr>
              <w:t>项产品：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highlight w:val="none"/>
                <w:u w:val="single"/>
              </w:rPr>
              <w:t>1000平演播厅控制室配电柜</w:t>
            </w:r>
            <w:r>
              <w:rPr>
                <w:rFonts w:hint="eastAsia" w:ascii="宋体" w:hAnsi="宋体" w:eastAsia="宋体" w:cs="宋体"/>
                <w:color w:val="auto"/>
                <w:szCs w:val="21"/>
                <w:highlight w:val="none"/>
                <w:u w:val="single"/>
              </w:rPr>
              <w:t xml:space="preserve"> </w:t>
            </w:r>
            <w:r>
              <w:rPr>
                <w:rFonts w:hint="eastAsia" w:ascii="宋体" w:hAnsi="宋体" w:eastAsia="宋体" w:cs="宋体"/>
                <w:b w:val="0"/>
                <w:bCs w:val="0"/>
                <w:color w:val="auto"/>
                <w:szCs w:val="21"/>
                <w:highlight w:val="none"/>
              </w:rPr>
              <w:t>。</w:t>
            </w:r>
          </w:p>
          <w:p w14:paraId="190D65BC">
            <w:pPr>
              <w:widowControl/>
              <w:adjustRightInd w:val="0"/>
              <w:snapToGrid w:val="0"/>
              <w:spacing w:line="360" w:lineRule="exact"/>
              <w:jc w:val="left"/>
              <w:textAlignment w:val="center"/>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3.根据《国务院办公厅关于在政府采购中实施本国产品标准及相关政策的通知》（国办发〔2025〕34号）的规定，</w:t>
            </w:r>
            <w:r>
              <w:rPr>
                <w:rFonts w:hint="eastAsia" w:ascii="宋体" w:hAnsi="宋体" w:eastAsia="宋体" w:cs="宋体"/>
                <w:color w:val="auto"/>
                <w:szCs w:val="21"/>
                <w:highlight w:val="none"/>
                <w:shd w:val="clear" w:color="auto" w:fill="FFFFFF"/>
              </w:rPr>
              <w:t>政府采购活动中既有本国产品又有非本国产品参与竞争的，依法对符合政策要求的本国产品给予价格评审优惠，</w:t>
            </w:r>
            <w:r>
              <w:rPr>
                <w:rFonts w:hint="eastAsia" w:ascii="宋体" w:hAnsi="宋体" w:eastAsia="宋体" w:cs="宋体"/>
                <w:b/>
                <w:bCs/>
                <w:color w:val="auto"/>
                <w:szCs w:val="21"/>
                <w:highlight w:val="none"/>
              </w:rPr>
              <w:t>具体详见“第四章 评审程序、评审方法和成交标准”</w:t>
            </w:r>
            <w:r>
              <w:rPr>
                <w:rFonts w:hint="eastAsia" w:ascii="宋体" w:hAnsi="宋体" w:eastAsia="宋体" w:cs="宋体"/>
                <w:color w:val="auto"/>
                <w:szCs w:val="21"/>
                <w:highlight w:val="none"/>
              </w:rPr>
              <w:t>。产品在中国境内生产的组件成本，按照《中国境内生产的组件成本核算基本规则》（见附件3）计算。</w:t>
            </w:r>
          </w:p>
          <w:p w14:paraId="61DED6B7">
            <w:pPr>
              <w:widowControl/>
              <w:adjustRightInd w:val="0"/>
              <w:snapToGrid w:val="0"/>
              <w:spacing w:line="360" w:lineRule="exact"/>
              <w:jc w:val="left"/>
              <w:textAlignment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4.谈判小组根据与供应商谈判情况可能实质性变动的内容：未标注“▲”的内容。</w:t>
            </w:r>
          </w:p>
          <w:p w14:paraId="65602B2F">
            <w:pPr>
              <w:widowControl/>
              <w:adjustRightInd w:val="0"/>
              <w:snapToGrid w:val="0"/>
              <w:spacing w:line="360" w:lineRule="exact"/>
              <w:jc w:val="left"/>
              <w:textAlignment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w:t>
            </w:r>
            <w:r>
              <w:rPr>
                <w:rFonts w:hint="eastAsia" w:ascii="宋体" w:hAnsi="宋体" w:eastAsia="宋体" w:cs="宋体"/>
                <w:color w:val="auto"/>
                <w:szCs w:val="21"/>
                <w:highlight w:val="none"/>
              </w:rPr>
              <w:t>5.负偏离要求：</w:t>
            </w:r>
          </w:p>
          <w:p w14:paraId="3396BF7D">
            <w:pPr>
              <w:widowControl/>
              <w:adjustRightInd w:val="0"/>
              <w:snapToGrid w:val="0"/>
              <w:spacing w:line="360" w:lineRule="exact"/>
              <w:ind w:firstLine="210" w:firstLineChars="100"/>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0 </w:t>
            </w:r>
            <w:r>
              <w:rPr>
                <w:rFonts w:hint="eastAsia" w:ascii="宋体" w:hAnsi="宋体" w:eastAsia="宋体" w:cs="宋体"/>
                <w:color w:val="auto"/>
                <w:szCs w:val="21"/>
                <w:highlight w:val="none"/>
              </w:rPr>
              <w:t>项。</w:t>
            </w:r>
          </w:p>
          <w:p w14:paraId="38B1049E">
            <w:pPr>
              <w:widowControl/>
              <w:adjustRightInd w:val="0"/>
              <w:snapToGrid w:val="0"/>
              <w:spacing w:line="360" w:lineRule="exact"/>
              <w:ind w:firstLine="210" w:firstLineChars="100"/>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技术需求评审中允许负偏离的条款数为</w:t>
            </w:r>
            <w:r>
              <w:rPr>
                <w:rFonts w:hint="eastAsia" w:ascii="宋体" w:hAnsi="宋体" w:eastAsia="宋体" w:cs="宋体"/>
                <w:color w:val="auto"/>
                <w:szCs w:val="21"/>
                <w:highlight w:val="none"/>
                <w:u w:val="single"/>
              </w:rPr>
              <w:t xml:space="preserve"> 2 </w:t>
            </w:r>
            <w:r>
              <w:rPr>
                <w:rFonts w:hint="eastAsia" w:ascii="宋体" w:hAnsi="宋体" w:eastAsia="宋体" w:cs="宋体"/>
                <w:color w:val="auto"/>
                <w:szCs w:val="21"/>
                <w:highlight w:val="none"/>
              </w:rPr>
              <w:t>项。</w:t>
            </w:r>
          </w:p>
          <w:p w14:paraId="46614435">
            <w:pPr>
              <w:widowControl/>
              <w:adjustRightInd w:val="0"/>
              <w:snapToGrid w:val="0"/>
              <w:spacing w:line="360" w:lineRule="exact"/>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▲6.本需求表中所列相关标准，如失效且无最新或替代标准的，则该项要求作废；如失效但有最新或替代标准的，按最新或替代标准执行。</w:t>
            </w:r>
          </w:p>
        </w:tc>
      </w:tr>
      <w:bookmarkEnd w:id="53"/>
    </w:tbl>
    <w:p w14:paraId="3E009DEB">
      <w:pPr>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br w:type="page"/>
      </w:r>
    </w:p>
    <w:p w14:paraId="12ECAB06">
      <w:pPr>
        <w:spacing w:line="428" w:lineRule="exac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附件1</w:t>
      </w:r>
    </w:p>
    <w:p w14:paraId="4521FBA9">
      <w:pPr>
        <w:spacing w:line="528" w:lineRule="exact"/>
        <w:jc w:val="center"/>
        <w:rPr>
          <w:rFonts w:hint="eastAsia" w:ascii="宋体" w:hAnsi="宋体" w:eastAsia="宋体" w:cs="宋体"/>
          <w:color w:val="auto"/>
          <w:sz w:val="40"/>
          <w:szCs w:val="40"/>
          <w:highlight w:val="none"/>
        </w:rPr>
      </w:pPr>
      <w:r>
        <w:rPr>
          <w:rFonts w:hint="eastAsia" w:ascii="宋体" w:hAnsi="宋体" w:eastAsia="宋体" w:cs="宋体"/>
          <w:color w:val="auto"/>
          <w:sz w:val="40"/>
          <w:szCs w:val="40"/>
          <w:highlight w:val="none"/>
        </w:rPr>
        <w:t>节能产品政府采购品目清单</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116"/>
        <w:gridCol w:w="1516"/>
        <w:gridCol w:w="1612"/>
        <w:gridCol w:w="4335"/>
      </w:tblGrid>
      <w:tr w14:paraId="6925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41" w:type="dxa"/>
          </w:tcPr>
          <w:p w14:paraId="5E43C94F">
            <w:pPr>
              <w:widowControl/>
              <w:jc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品目序号</w:t>
            </w:r>
          </w:p>
        </w:tc>
        <w:tc>
          <w:tcPr>
            <w:tcW w:w="4244" w:type="dxa"/>
            <w:gridSpan w:val="3"/>
            <w:vAlign w:val="center"/>
          </w:tcPr>
          <w:p w14:paraId="3A86FC96">
            <w:pPr>
              <w:widowControl/>
              <w:jc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名称</w:t>
            </w:r>
          </w:p>
        </w:tc>
        <w:tc>
          <w:tcPr>
            <w:tcW w:w="4335" w:type="dxa"/>
            <w:vAlign w:val="center"/>
          </w:tcPr>
          <w:p w14:paraId="123BCADE">
            <w:pPr>
              <w:widowControl/>
              <w:jc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依据的标准</w:t>
            </w:r>
          </w:p>
        </w:tc>
      </w:tr>
      <w:tr w14:paraId="695E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restart"/>
            <w:vAlign w:val="center"/>
          </w:tcPr>
          <w:p w14:paraId="4175FE4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1116" w:type="dxa"/>
            <w:vMerge w:val="restart"/>
            <w:vAlign w:val="center"/>
          </w:tcPr>
          <w:p w14:paraId="7782604A">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A020101计算机设备</w:t>
            </w:r>
          </w:p>
        </w:tc>
        <w:tc>
          <w:tcPr>
            <w:tcW w:w="1516" w:type="dxa"/>
            <w:vAlign w:val="center"/>
          </w:tcPr>
          <w:p w14:paraId="621E5E1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★A02010104台式计算机</w:t>
            </w:r>
          </w:p>
        </w:tc>
        <w:tc>
          <w:tcPr>
            <w:tcW w:w="1612" w:type="dxa"/>
            <w:vAlign w:val="center"/>
          </w:tcPr>
          <w:p w14:paraId="26EFBDF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5F40DA92">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《微型计算机能效限定值及能效等级》（GB28380）</w:t>
            </w:r>
          </w:p>
        </w:tc>
      </w:tr>
      <w:tr w14:paraId="1703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vAlign w:val="center"/>
          </w:tcPr>
          <w:p w14:paraId="4537F9EA">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6AF400C7">
            <w:pPr>
              <w:widowControl/>
              <w:jc w:val="left"/>
              <w:rPr>
                <w:rFonts w:hint="eastAsia" w:ascii="宋体" w:hAnsi="宋体" w:eastAsia="宋体" w:cs="宋体"/>
                <w:color w:val="auto"/>
                <w:kern w:val="0"/>
                <w:sz w:val="20"/>
                <w:szCs w:val="20"/>
                <w:highlight w:val="none"/>
              </w:rPr>
            </w:pPr>
          </w:p>
        </w:tc>
        <w:tc>
          <w:tcPr>
            <w:tcW w:w="1516" w:type="dxa"/>
            <w:vAlign w:val="center"/>
          </w:tcPr>
          <w:p w14:paraId="270C653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★A02010105便携式计算机</w:t>
            </w:r>
          </w:p>
        </w:tc>
        <w:tc>
          <w:tcPr>
            <w:tcW w:w="1612" w:type="dxa"/>
            <w:vAlign w:val="center"/>
          </w:tcPr>
          <w:p w14:paraId="2617B45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383F3226">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《微型计算机能效限定值及能效等级》（GB28380）</w:t>
            </w:r>
          </w:p>
        </w:tc>
      </w:tr>
      <w:tr w14:paraId="2B0F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vAlign w:val="center"/>
          </w:tcPr>
          <w:p w14:paraId="68561E43">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163FF4B8">
            <w:pPr>
              <w:widowControl/>
              <w:jc w:val="left"/>
              <w:rPr>
                <w:rFonts w:hint="eastAsia" w:ascii="宋体" w:hAnsi="宋体" w:eastAsia="宋体" w:cs="宋体"/>
                <w:color w:val="auto"/>
                <w:kern w:val="0"/>
                <w:sz w:val="20"/>
                <w:szCs w:val="20"/>
                <w:highlight w:val="none"/>
              </w:rPr>
            </w:pPr>
          </w:p>
        </w:tc>
        <w:tc>
          <w:tcPr>
            <w:tcW w:w="1516" w:type="dxa"/>
            <w:vAlign w:val="center"/>
          </w:tcPr>
          <w:p w14:paraId="7400BFE3">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★A02010107平板式微型计算机</w:t>
            </w:r>
          </w:p>
        </w:tc>
        <w:tc>
          <w:tcPr>
            <w:tcW w:w="1612" w:type="dxa"/>
            <w:vAlign w:val="center"/>
          </w:tcPr>
          <w:p w14:paraId="22ED635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6D8CB91A">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《微型计算机能效限定值及能效等级》（GB28380）</w:t>
            </w:r>
          </w:p>
        </w:tc>
      </w:tr>
      <w:tr w14:paraId="758C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restart"/>
            <w:vAlign w:val="center"/>
          </w:tcPr>
          <w:p w14:paraId="715BD38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116" w:type="dxa"/>
            <w:vMerge w:val="restart"/>
            <w:vAlign w:val="center"/>
          </w:tcPr>
          <w:p w14:paraId="600553CA">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A020106输入输出设备</w:t>
            </w:r>
          </w:p>
        </w:tc>
        <w:tc>
          <w:tcPr>
            <w:tcW w:w="1516" w:type="dxa"/>
            <w:vMerge w:val="restart"/>
            <w:vAlign w:val="center"/>
          </w:tcPr>
          <w:p w14:paraId="21F7FA4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A02010601打印设备</w:t>
            </w:r>
          </w:p>
        </w:tc>
        <w:tc>
          <w:tcPr>
            <w:tcW w:w="1612" w:type="dxa"/>
            <w:vAlign w:val="center"/>
          </w:tcPr>
          <w:p w14:paraId="0E1092E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A0201060101喷墨打印机</w:t>
            </w:r>
          </w:p>
        </w:tc>
        <w:tc>
          <w:tcPr>
            <w:tcW w:w="4335" w:type="dxa"/>
            <w:vAlign w:val="center"/>
          </w:tcPr>
          <w:p w14:paraId="7CF42A0E">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《复印机、打印机和传真机能效限定值及能效等级》（GB21521）</w:t>
            </w:r>
          </w:p>
        </w:tc>
      </w:tr>
      <w:tr w14:paraId="1A60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vAlign w:val="center"/>
          </w:tcPr>
          <w:p w14:paraId="5102B2EB">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5ABAC844">
            <w:pPr>
              <w:widowControl/>
              <w:jc w:val="left"/>
              <w:rPr>
                <w:rFonts w:hint="eastAsia" w:ascii="宋体" w:hAnsi="宋体" w:eastAsia="宋体" w:cs="宋体"/>
                <w:color w:val="auto"/>
                <w:kern w:val="0"/>
                <w:sz w:val="20"/>
                <w:szCs w:val="20"/>
                <w:highlight w:val="none"/>
              </w:rPr>
            </w:pPr>
          </w:p>
        </w:tc>
        <w:tc>
          <w:tcPr>
            <w:tcW w:w="1516" w:type="dxa"/>
            <w:vMerge w:val="continue"/>
            <w:vAlign w:val="center"/>
          </w:tcPr>
          <w:p w14:paraId="0AA5F1AA">
            <w:pPr>
              <w:widowControl/>
              <w:jc w:val="left"/>
              <w:rPr>
                <w:rFonts w:hint="eastAsia" w:ascii="宋体" w:hAnsi="宋体" w:eastAsia="宋体" w:cs="宋体"/>
                <w:color w:val="auto"/>
                <w:kern w:val="0"/>
                <w:sz w:val="20"/>
                <w:szCs w:val="20"/>
                <w:highlight w:val="none"/>
              </w:rPr>
            </w:pPr>
          </w:p>
        </w:tc>
        <w:tc>
          <w:tcPr>
            <w:tcW w:w="1612" w:type="dxa"/>
            <w:vAlign w:val="center"/>
          </w:tcPr>
          <w:p w14:paraId="080C49AC">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★A0201060102激光打印机</w:t>
            </w:r>
          </w:p>
        </w:tc>
        <w:tc>
          <w:tcPr>
            <w:tcW w:w="4335" w:type="dxa"/>
            <w:vAlign w:val="center"/>
          </w:tcPr>
          <w:p w14:paraId="11B04668">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《复印机、打印机和传真机能效限定值及能效等级》（GB21521）</w:t>
            </w:r>
          </w:p>
        </w:tc>
      </w:tr>
      <w:tr w14:paraId="3862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vAlign w:val="center"/>
          </w:tcPr>
          <w:p w14:paraId="36EA09A6">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6272610C">
            <w:pPr>
              <w:widowControl/>
              <w:jc w:val="left"/>
              <w:rPr>
                <w:rFonts w:hint="eastAsia" w:ascii="宋体" w:hAnsi="宋体" w:eastAsia="宋体" w:cs="宋体"/>
                <w:color w:val="auto"/>
                <w:kern w:val="0"/>
                <w:sz w:val="20"/>
                <w:szCs w:val="20"/>
                <w:highlight w:val="none"/>
              </w:rPr>
            </w:pPr>
          </w:p>
        </w:tc>
        <w:tc>
          <w:tcPr>
            <w:tcW w:w="1516" w:type="dxa"/>
            <w:vMerge w:val="continue"/>
            <w:vAlign w:val="center"/>
          </w:tcPr>
          <w:p w14:paraId="117DF301">
            <w:pPr>
              <w:widowControl/>
              <w:jc w:val="left"/>
              <w:rPr>
                <w:rFonts w:hint="eastAsia" w:ascii="宋体" w:hAnsi="宋体" w:eastAsia="宋体" w:cs="宋体"/>
                <w:color w:val="auto"/>
                <w:kern w:val="0"/>
                <w:sz w:val="20"/>
                <w:szCs w:val="20"/>
                <w:highlight w:val="none"/>
              </w:rPr>
            </w:pPr>
          </w:p>
        </w:tc>
        <w:tc>
          <w:tcPr>
            <w:tcW w:w="1612" w:type="dxa"/>
            <w:vAlign w:val="center"/>
          </w:tcPr>
          <w:p w14:paraId="269A001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★A0201060104针式打印机</w:t>
            </w:r>
          </w:p>
        </w:tc>
        <w:tc>
          <w:tcPr>
            <w:tcW w:w="4335" w:type="dxa"/>
            <w:vAlign w:val="center"/>
          </w:tcPr>
          <w:p w14:paraId="1AA4A15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《复印机、打印机和传真机能效限定值及能效等级》（GB21521）</w:t>
            </w:r>
          </w:p>
        </w:tc>
      </w:tr>
      <w:tr w14:paraId="6C28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vAlign w:val="center"/>
          </w:tcPr>
          <w:p w14:paraId="1509181F">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3FBC6968">
            <w:pPr>
              <w:widowControl/>
              <w:jc w:val="left"/>
              <w:rPr>
                <w:rFonts w:hint="eastAsia" w:ascii="宋体" w:hAnsi="宋体" w:eastAsia="宋体" w:cs="宋体"/>
                <w:color w:val="auto"/>
                <w:kern w:val="0"/>
                <w:sz w:val="20"/>
                <w:szCs w:val="20"/>
                <w:highlight w:val="none"/>
              </w:rPr>
            </w:pPr>
          </w:p>
        </w:tc>
        <w:tc>
          <w:tcPr>
            <w:tcW w:w="1516" w:type="dxa"/>
            <w:vAlign w:val="center"/>
          </w:tcPr>
          <w:p w14:paraId="691A4EB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A02010604显示设备</w:t>
            </w:r>
          </w:p>
        </w:tc>
        <w:tc>
          <w:tcPr>
            <w:tcW w:w="1612" w:type="dxa"/>
            <w:vAlign w:val="center"/>
          </w:tcPr>
          <w:p w14:paraId="0F85D56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★A0201060401液晶显示器</w:t>
            </w:r>
          </w:p>
        </w:tc>
        <w:tc>
          <w:tcPr>
            <w:tcW w:w="4335" w:type="dxa"/>
            <w:vAlign w:val="center"/>
          </w:tcPr>
          <w:p w14:paraId="49A7E7B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《计算机显示器能效限定值及能效等级》（GB21520）</w:t>
            </w:r>
          </w:p>
        </w:tc>
      </w:tr>
      <w:tr w14:paraId="27DE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641" w:type="dxa"/>
            <w:vMerge w:val="continue"/>
            <w:vAlign w:val="center"/>
          </w:tcPr>
          <w:p w14:paraId="2026B701">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170EEE09">
            <w:pPr>
              <w:widowControl/>
              <w:jc w:val="left"/>
              <w:rPr>
                <w:rFonts w:hint="eastAsia" w:ascii="宋体" w:hAnsi="宋体" w:eastAsia="宋体" w:cs="宋体"/>
                <w:color w:val="auto"/>
                <w:kern w:val="0"/>
                <w:sz w:val="20"/>
                <w:szCs w:val="20"/>
                <w:highlight w:val="none"/>
              </w:rPr>
            </w:pPr>
          </w:p>
        </w:tc>
        <w:tc>
          <w:tcPr>
            <w:tcW w:w="1516" w:type="dxa"/>
            <w:vAlign w:val="center"/>
          </w:tcPr>
          <w:p w14:paraId="720DAB2C">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A02010609图形图像输入设备</w:t>
            </w:r>
          </w:p>
        </w:tc>
        <w:tc>
          <w:tcPr>
            <w:tcW w:w="1612" w:type="dxa"/>
            <w:vAlign w:val="center"/>
          </w:tcPr>
          <w:p w14:paraId="7EC5216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A0201060901扫描仪</w:t>
            </w:r>
          </w:p>
        </w:tc>
        <w:tc>
          <w:tcPr>
            <w:tcW w:w="4335" w:type="dxa"/>
            <w:vAlign w:val="center"/>
          </w:tcPr>
          <w:p w14:paraId="5638B7C4">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参照《复印机、打印机和传真机能效限定值及能效等级》（GB21521）中打印速度为15页/分的针式打印机相关要求</w:t>
            </w:r>
          </w:p>
        </w:tc>
      </w:tr>
      <w:tr w14:paraId="6A0E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Align w:val="center"/>
          </w:tcPr>
          <w:p w14:paraId="7B5C7D4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w:t>
            </w:r>
          </w:p>
        </w:tc>
        <w:tc>
          <w:tcPr>
            <w:tcW w:w="1116" w:type="dxa"/>
            <w:vAlign w:val="center"/>
          </w:tcPr>
          <w:p w14:paraId="013402A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A020202投影仪</w:t>
            </w:r>
          </w:p>
        </w:tc>
        <w:tc>
          <w:tcPr>
            <w:tcW w:w="1516" w:type="dxa"/>
            <w:vAlign w:val="center"/>
          </w:tcPr>
          <w:p w14:paraId="5DFB6419">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vAlign w:val="center"/>
          </w:tcPr>
          <w:p w14:paraId="54AE040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01B38FC2">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《投影机能效限定值及能效等级》（GB32028）</w:t>
            </w:r>
          </w:p>
        </w:tc>
      </w:tr>
      <w:tr w14:paraId="70AE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Align w:val="center"/>
          </w:tcPr>
          <w:p w14:paraId="3F5B9F63">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1116" w:type="dxa"/>
            <w:vAlign w:val="center"/>
          </w:tcPr>
          <w:p w14:paraId="35E86E0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A020204多功能一体机</w:t>
            </w:r>
          </w:p>
        </w:tc>
        <w:tc>
          <w:tcPr>
            <w:tcW w:w="1516" w:type="dxa"/>
            <w:vAlign w:val="center"/>
          </w:tcPr>
          <w:p w14:paraId="0814023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vAlign w:val="center"/>
          </w:tcPr>
          <w:p w14:paraId="7062505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640A5118">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《复印机、打印机和传真机能效限定值及能效等级》（GB21521）</w:t>
            </w:r>
          </w:p>
        </w:tc>
      </w:tr>
      <w:tr w14:paraId="4A22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Align w:val="center"/>
          </w:tcPr>
          <w:p w14:paraId="0B75CDBA">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w:t>
            </w:r>
          </w:p>
        </w:tc>
        <w:tc>
          <w:tcPr>
            <w:tcW w:w="1116" w:type="dxa"/>
            <w:vAlign w:val="center"/>
          </w:tcPr>
          <w:p w14:paraId="13636512">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A020519泵</w:t>
            </w:r>
          </w:p>
        </w:tc>
        <w:tc>
          <w:tcPr>
            <w:tcW w:w="1516" w:type="dxa"/>
            <w:vAlign w:val="center"/>
          </w:tcPr>
          <w:p w14:paraId="1DF87C49">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A02051901离心泵</w:t>
            </w:r>
          </w:p>
        </w:tc>
        <w:tc>
          <w:tcPr>
            <w:tcW w:w="1612" w:type="dxa"/>
            <w:vAlign w:val="center"/>
          </w:tcPr>
          <w:p w14:paraId="4D1FF86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452E37AF">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《清水离心泵能效限定值及节能评价值》（GB19762）</w:t>
            </w:r>
          </w:p>
        </w:tc>
      </w:tr>
      <w:tr w14:paraId="31CD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restart"/>
            <w:vAlign w:val="center"/>
          </w:tcPr>
          <w:p w14:paraId="6D5C693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w:t>
            </w:r>
          </w:p>
        </w:tc>
        <w:tc>
          <w:tcPr>
            <w:tcW w:w="1116" w:type="dxa"/>
            <w:vMerge w:val="restart"/>
            <w:vAlign w:val="center"/>
          </w:tcPr>
          <w:p w14:paraId="3D091C29">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A020523制冷空调设备</w:t>
            </w:r>
          </w:p>
        </w:tc>
        <w:tc>
          <w:tcPr>
            <w:tcW w:w="1516" w:type="dxa"/>
            <w:vMerge w:val="restart"/>
            <w:vAlign w:val="center"/>
          </w:tcPr>
          <w:p w14:paraId="3908704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★A02052301制冷压缩机</w:t>
            </w:r>
          </w:p>
        </w:tc>
        <w:tc>
          <w:tcPr>
            <w:tcW w:w="1612" w:type="dxa"/>
            <w:vAlign w:val="center"/>
          </w:tcPr>
          <w:p w14:paraId="51D58A3C">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冷水机组</w:t>
            </w:r>
          </w:p>
        </w:tc>
        <w:tc>
          <w:tcPr>
            <w:tcW w:w="4335" w:type="dxa"/>
            <w:vAlign w:val="center"/>
          </w:tcPr>
          <w:p w14:paraId="691CBF34">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《冷水机组能效限定值及能效等级》（GB19577），《低环境温度空气源热泵（冷水）机组能效限定值及能效等级》（GB37480）</w:t>
            </w:r>
          </w:p>
        </w:tc>
      </w:tr>
      <w:tr w14:paraId="4570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vAlign w:val="center"/>
          </w:tcPr>
          <w:p w14:paraId="1E4576BF">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7137D169">
            <w:pPr>
              <w:widowControl/>
              <w:jc w:val="left"/>
              <w:rPr>
                <w:rFonts w:hint="eastAsia" w:ascii="宋体" w:hAnsi="宋体" w:eastAsia="宋体" w:cs="宋体"/>
                <w:color w:val="auto"/>
                <w:kern w:val="0"/>
                <w:sz w:val="20"/>
                <w:szCs w:val="20"/>
                <w:highlight w:val="none"/>
              </w:rPr>
            </w:pPr>
          </w:p>
        </w:tc>
        <w:tc>
          <w:tcPr>
            <w:tcW w:w="1516" w:type="dxa"/>
            <w:vMerge w:val="continue"/>
            <w:vAlign w:val="center"/>
          </w:tcPr>
          <w:p w14:paraId="307C93BC">
            <w:pPr>
              <w:widowControl/>
              <w:jc w:val="left"/>
              <w:rPr>
                <w:rFonts w:hint="eastAsia" w:ascii="宋体" w:hAnsi="宋体" w:eastAsia="宋体" w:cs="宋体"/>
                <w:color w:val="auto"/>
                <w:kern w:val="0"/>
                <w:sz w:val="20"/>
                <w:szCs w:val="20"/>
                <w:highlight w:val="none"/>
              </w:rPr>
            </w:pPr>
          </w:p>
        </w:tc>
        <w:tc>
          <w:tcPr>
            <w:tcW w:w="1612" w:type="dxa"/>
            <w:vAlign w:val="center"/>
          </w:tcPr>
          <w:p w14:paraId="0517EBAC">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水源热泵机组</w:t>
            </w:r>
          </w:p>
        </w:tc>
        <w:tc>
          <w:tcPr>
            <w:tcW w:w="4335" w:type="dxa"/>
            <w:vAlign w:val="center"/>
          </w:tcPr>
          <w:p w14:paraId="3EA7C9C0">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《水（地）源热泵机组能效限定值及能效等级》（GB30721）</w:t>
            </w:r>
          </w:p>
        </w:tc>
      </w:tr>
      <w:tr w14:paraId="521E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vAlign w:val="center"/>
          </w:tcPr>
          <w:p w14:paraId="44E3BA86">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0893FC8D">
            <w:pPr>
              <w:widowControl/>
              <w:jc w:val="left"/>
              <w:rPr>
                <w:rFonts w:hint="eastAsia" w:ascii="宋体" w:hAnsi="宋体" w:eastAsia="宋体" w:cs="宋体"/>
                <w:color w:val="auto"/>
                <w:kern w:val="0"/>
                <w:sz w:val="20"/>
                <w:szCs w:val="20"/>
                <w:highlight w:val="none"/>
              </w:rPr>
            </w:pPr>
          </w:p>
        </w:tc>
        <w:tc>
          <w:tcPr>
            <w:tcW w:w="1516" w:type="dxa"/>
            <w:vMerge w:val="continue"/>
            <w:vAlign w:val="center"/>
          </w:tcPr>
          <w:p w14:paraId="18487E08">
            <w:pPr>
              <w:widowControl/>
              <w:jc w:val="left"/>
              <w:rPr>
                <w:rFonts w:hint="eastAsia" w:ascii="宋体" w:hAnsi="宋体" w:eastAsia="宋体" w:cs="宋体"/>
                <w:color w:val="auto"/>
                <w:kern w:val="0"/>
                <w:sz w:val="20"/>
                <w:szCs w:val="20"/>
                <w:highlight w:val="none"/>
              </w:rPr>
            </w:pPr>
          </w:p>
        </w:tc>
        <w:tc>
          <w:tcPr>
            <w:tcW w:w="1612" w:type="dxa"/>
            <w:vAlign w:val="center"/>
          </w:tcPr>
          <w:p w14:paraId="2253086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溴化锂吸收式冷水机组</w:t>
            </w:r>
          </w:p>
        </w:tc>
        <w:tc>
          <w:tcPr>
            <w:tcW w:w="4335" w:type="dxa"/>
            <w:vAlign w:val="center"/>
          </w:tcPr>
          <w:p w14:paraId="27ACE8B9">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《溴化锂吸收式冷水机组能效限定值及能效等级》（GB29540）</w:t>
            </w:r>
          </w:p>
        </w:tc>
      </w:tr>
      <w:tr w14:paraId="19D7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vAlign w:val="center"/>
          </w:tcPr>
          <w:p w14:paraId="62B6D799">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33FF4960">
            <w:pPr>
              <w:widowControl/>
              <w:jc w:val="left"/>
              <w:rPr>
                <w:rFonts w:hint="eastAsia" w:ascii="宋体" w:hAnsi="宋体" w:eastAsia="宋体" w:cs="宋体"/>
                <w:color w:val="auto"/>
                <w:kern w:val="0"/>
                <w:sz w:val="20"/>
                <w:szCs w:val="20"/>
                <w:highlight w:val="none"/>
              </w:rPr>
            </w:pPr>
          </w:p>
        </w:tc>
        <w:tc>
          <w:tcPr>
            <w:tcW w:w="1516" w:type="dxa"/>
            <w:vMerge w:val="restart"/>
            <w:vAlign w:val="center"/>
          </w:tcPr>
          <w:p w14:paraId="779DCFBC">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★A02052305空调机组</w:t>
            </w:r>
          </w:p>
        </w:tc>
        <w:tc>
          <w:tcPr>
            <w:tcW w:w="1612" w:type="dxa"/>
            <w:vAlign w:val="center"/>
          </w:tcPr>
          <w:p w14:paraId="251F86B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多联式空调（热泵）机组(制冷量&gt;14000W)</w:t>
            </w:r>
          </w:p>
        </w:tc>
        <w:tc>
          <w:tcPr>
            <w:tcW w:w="4335" w:type="dxa"/>
            <w:vAlign w:val="center"/>
          </w:tcPr>
          <w:p w14:paraId="154EE14F">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《多联式空调（热泵）机组能效限定值及能源效率等级》（GB21454）</w:t>
            </w:r>
          </w:p>
        </w:tc>
      </w:tr>
      <w:tr w14:paraId="6BA4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vAlign w:val="center"/>
          </w:tcPr>
          <w:p w14:paraId="371F9A76">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35AC26A9">
            <w:pPr>
              <w:widowControl/>
              <w:jc w:val="left"/>
              <w:rPr>
                <w:rFonts w:hint="eastAsia" w:ascii="宋体" w:hAnsi="宋体" w:eastAsia="宋体" w:cs="宋体"/>
                <w:color w:val="auto"/>
                <w:kern w:val="0"/>
                <w:sz w:val="20"/>
                <w:szCs w:val="20"/>
                <w:highlight w:val="none"/>
              </w:rPr>
            </w:pPr>
          </w:p>
        </w:tc>
        <w:tc>
          <w:tcPr>
            <w:tcW w:w="1516" w:type="dxa"/>
            <w:vMerge w:val="continue"/>
            <w:vAlign w:val="center"/>
          </w:tcPr>
          <w:p w14:paraId="77DE847A">
            <w:pPr>
              <w:widowControl/>
              <w:jc w:val="left"/>
              <w:rPr>
                <w:rFonts w:hint="eastAsia" w:ascii="宋体" w:hAnsi="宋体" w:eastAsia="宋体" w:cs="宋体"/>
                <w:color w:val="auto"/>
                <w:kern w:val="0"/>
                <w:sz w:val="20"/>
                <w:szCs w:val="20"/>
                <w:highlight w:val="none"/>
              </w:rPr>
            </w:pPr>
          </w:p>
        </w:tc>
        <w:tc>
          <w:tcPr>
            <w:tcW w:w="1612" w:type="dxa"/>
            <w:vAlign w:val="center"/>
          </w:tcPr>
          <w:p w14:paraId="422121F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单元式空气调节机(制冷量&gt;14000W</w:t>
            </w:r>
          </w:p>
        </w:tc>
        <w:tc>
          <w:tcPr>
            <w:tcW w:w="4335" w:type="dxa"/>
            <w:vAlign w:val="center"/>
          </w:tcPr>
          <w:p w14:paraId="45BC5685">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《单元式空气调节机能效限定值及能效等级》（GB19576）《风管送风式空调机组能效限定值及能效等级》（GB37479）</w:t>
            </w:r>
          </w:p>
        </w:tc>
      </w:tr>
      <w:tr w14:paraId="2E35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vAlign w:val="center"/>
          </w:tcPr>
          <w:p w14:paraId="479751B4">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505DBF2F">
            <w:pPr>
              <w:widowControl/>
              <w:jc w:val="left"/>
              <w:rPr>
                <w:rFonts w:hint="eastAsia" w:ascii="宋体" w:hAnsi="宋体" w:eastAsia="宋体" w:cs="宋体"/>
                <w:color w:val="auto"/>
                <w:kern w:val="0"/>
                <w:sz w:val="20"/>
                <w:szCs w:val="20"/>
                <w:highlight w:val="none"/>
              </w:rPr>
            </w:pPr>
          </w:p>
        </w:tc>
        <w:tc>
          <w:tcPr>
            <w:tcW w:w="1516" w:type="dxa"/>
            <w:vAlign w:val="center"/>
          </w:tcPr>
          <w:p w14:paraId="49FD280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★A02052309专用制冷、空调设备</w:t>
            </w:r>
          </w:p>
        </w:tc>
        <w:tc>
          <w:tcPr>
            <w:tcW w:w="1612" w:type="dxa"/>
            <w:vAlign w:val="center"/>
          </w:tcPr>
          <w:p w14:paraId="5C5CAB8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机房空调</w:t>
            </w:r>
          </w:p>
        </w:tc>
        <w:tc>
          <w:tcPr>
            <w:tcW w:w="4335" w:type="dxa"/>
            <w:vAlign w:val="center"/>
          </w:tcPr>
          <w:p w14:paraId="29C6E301">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《单元式空气调节机能效限定值及能效等级》（GB19576）</w:t>
            </w:r>
          </w:p>
        </w:tc>
      </w:tr>
      <w:tr w14:paraId="00AC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vAlign w:val="center"/>
          </w:tcPr>
          <w:p w14:paraId="08D28D93">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1980E456">
            <w:pPr>
              <w:widowControl/>
              <w:jc w:val="left"/>
              <w:rPr>
                <w:rFonts w:hint="eastAsia" w:ascii="宋体" w:hAnsi="宋体" w:eastAsia="宋体" w:cs="宋体"/>
                <w:color w:val="auto"/>
                <w:kern w:val="0"/>
                <w:sz w:val="20"/>
                <w:szCs w:val="20"/>
                <w:highlight w:val="none"/>
              </w:rPr>
            </w:pPr>
          </w:p>
        </w:tc>
        <w:tc>
          <w:tcPr>
            <w:tcW w:w="1516" w:type="dxa"/>
            <w:vAlign w:val="center"/>
          </w:tcPr>
          <w:p w14:paraId="7539BB93">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A02052399其他制冷空调设备</w:t>
            </w:r>
          </w:p>
        </w:tc>
        <w:tc>
          <w:tcPr>
            <w:tcW w:w="1612" w:type="dxa"/>
            <w:vAlign w:val="center"/>
          </w:tcPr>
          <w:p w14:paraId="26676853">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冷却塔</w:t>
            </w:r>
          </w:p>
        </w:tc>
        <w:tc>
          <w:tcPr>
            <w:tcW w:w="4335" w:type="dxa"/>
            <w:vAlign w:val="center"/>
          </w:tcPr>
          <w:p w14:paraId="143B2011">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《机械通风冷却塔第1部分：中小型开式冷却塔》（GB/T7190.1）；《机械通风冷却塔第2部分：大型开式冷却塔》（GB/T7190.2）</w:t>
            </w:r>
          </w:p>
        </w:tc>
      </w:tr>
      <w:tr w14:paraId="1285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Align w:val="center"/>
          </w:tcPr>
          <w:p w14:paraId="4D15BC4A">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7</w:t>
            </w:r>
          </w:p>
        </w:tc>
        <w:tc>
          <w:tcPr>
            <w:tcW w:w="1116" w:type="dxa"/>
            <w:vAlign w:val="center"/>
          </w:tcPr>
          <w:p w14:paraId="1924A57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A020601电机</w:t>
            </w:r>
          </w:p>
        </w:tc>
        <w:tc>
          <w:tcPr>
            <w:tcW w:w="1516" w:type="dxa"/>
            <w:vAlign w:val="center"/>
          </w:tcPr>
          <w:p w14:paraId="2A1DE962">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vAlign w:val="center"/>
          </w:tcPr>
          <w:p w14:paraId="32E83733">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0FE251CE">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《中小型三相异步电动机能效限定值及能效等级》（GB18613）</w:t>
            </w:r>
          </w:p>
        </w:tc>
      </w:tr>
      <w:tr w14:paraId="3FC1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Align w:val="center"/>
          </w:tcPr>
          <w:p w14:paraId="28EAD26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w:t>
            </w:r>
          </w:p>
        </w:tc>
        <w:tc>
          <w:tcPr>
            <w:tcW w:w="1116" w:type="dxa"/>
            <w:vAlign w:val="center"/>
          </w:tcPr>
          <w:p w14:paraId="477A0AF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A020602变压器</w:t>
            </w:r>
          </w:p>
        </w:tc>
        <w:tc>
          <w:tcPr>
            <w:tcW w:w="1516" w:type="dxa"/>
            <w:vAlign w:val="center"/>
          </w:tcPr>
          <w:p w14:paraId="44B70D3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配电变压器</w:t>
            </w:r>
          </w:p>
        </w:tc>
        <w:tc>
          <w:tcPr>
            <w:tcW w:w="1612" w:type="dxa"/>
            <w:vAlign w:val="center"/>
          </w:tcPr>
          <w:p w14:paraId="08E41823">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01473343">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《三相配电变压器能效限定值及能效等级》（GB20052）</w:t>
            </w:r>
          </w:p>
        </w:tc>
      </w:tr>
      <w:tr w14:paraId="5D37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Align w:val="center"/>
          </w:tcPr>
          <w:p w14:paraId="43640BB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9</w:t>
            </w:r>
          </w:p>
        </w:tc>
        <w:tc>
          <w:tcPr>
            <w:tcW w:w="1116" w:type="dxa"/>
            <w:vAlign w:val="center"/>
          </w:tcPr>
          <w:p w14:paraId="668E4EE2">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★A020609镇流器</w:t>
            </w:r>
          </w:p>
        </w:tc>
        <w:tc>
          <w:tcPr>
            <w:tcW w:w="1516" w:type="dxa"/>
            <w:vAlign w:val="center"/>
          </w:tcPr>
          <w:p w14:paraId="28C621D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管型荧光灯镇流器</w:t>
            </w:r>
          </w:p>
        </w:tc>
        <w:tc>
          <w:tcPr>
            <w:tcW w:w="1612" w:type="dxa"/>
            <w:vAlign w:val="center"/>
          </w:tcPr>
          <w:p w14:paraId="1D3E7A4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507B4EAA">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《管形荧光灯镇流器能效限定值及能效等级》（GB17896）</w:t>
            </w:r>
          </w:p>
        </w:tc>
      </w:tr>
      <w:tr w14:paraId="33FB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restart"/>
            <w:vAlign w:val="center"/>
          </w:tcPr>
          <w:p w14:paraId="6427E29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w:t>
            </w:r>
          </w:p>
        </w:tc>
        <w:tc>
          <w:tcPr>
            <w:tcW w:w="1116" w:type="dxa"/>
            <w:vMerge w:val="restart"/>
            <w:vAlign w:val="center"/>
          </w:tcPr>
          <w:p w14:paraId="4481E41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A020618生活用电器</w:t>
            </w:r>
          </w:p>
        </w:tc>
        <w:tc>
          <w:tcPr>
            <w:tcW w:w="1516" w:type="dxa"/>
            <w:vAlign w:val="center"/>
          </w:tcPr>
          <w:p w14:paraId="232A1B2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A0206180101电冰箱</w:t>
            </w:r>
          </w:p>
        </w:tc>
        <w:tc>
          <w:tcPr>
            <w:tcW w:w="1612" w:type="dxa"/>
            <w:vAlign w:val="center"/>
          </w:tcPr>
          <w:p w14:paraId="0178AFB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4339355A">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《家用电冰箱耗电量限定值及能效等级》（GB 12021.2）</w:t>
            </w:r>
          </w:p>
        </w:tc>
      </w:tr>
      <w:tr w14:paraId="3678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641" w:type="dxa"/>
            <w:vMerge w:val="continue"/>
            <w:vAlign w:val="center"/>
          </w:tcPr>
          <w:p w14:paraId="05195121">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15119AC2">
            <w:pPr>
              <w:widowControl/>
              <w:jc w:val="left"/>
              <w:rPr>
                <w:rFonts w:hint="eastAsia" w:ascii="宋体" w:hAnsi="宋体" w:eastAsia="宋体" w:cs="宋体"/>
                <w:color w:val="auto"/>
                <w:kern w:val="0"/>
                <w:sz w:val="20"/>
                <w:szCs w:val="20"/>
                <w:highlight w:val="none"/>
              </w:rPr>
            </w:pPr>
          </w:p>
        </w:tc>
        <w:tc>
          <w:tcPr>
            <w:tcW w:w="1516" w:type="dxa"/>
            <w:vMerge w:val="restart"/>
            <w:vAlign w:val="center"/>
          </w:tcPr>
          <w:p w14:paraId="1D6D65D2">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★A0206180203空调机</w:t>
            </w:r>
          </w:p>
        </w:tc>
        <w:tc>
          <w:tcPr>
            <w:tcW w:w="1612" w:type="dxa"/>
            <w:vAlign w:val="center"/>
          </w:tcPr>
          <w:p w14:paraId="646A397C">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房间空气调节器</w:t>
            </w:r>
          </w:p>
        </w:tc>
        <w:tc>
          <w:tcPr>
            <w:tcW w:w="4335" w:type="dxa"/>
            <w:vAlign w:val="center"/>
          </w:tcPr>
          <w:p w14:paraId="05F83C9A">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03DB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vAlign w:val="center"/>
          </w:tcPr>
          <w:p w14:paraId="73B66D58">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768A6CEC">
            <w:pPr>
              <w:widowControl/>
              <w:jc w:val="left"/>
              <w:rPr>
                <w:rFonts w:hint="eastAsia" w:ascii="宋体" w:hAnsi="宋体" w:eastAsia="宋体" w:cs="宋体"/>
                <w:color w:val="auto"/>
                <w:kern w:val="0"/>
                <w:sz w:val="20"/>
                <w:szCs w:val="20"/>
                <w:highlight w:val="none"/>
              </w:rPr>
            </w:pPr>
          </w:p>
        </w:tc>
        <w:tc>
          <w:tcPr>
            <w:tcW w:w="1516" w:type="dxa"/>
            <w:vMerge w:val="continue"/>
            <w:vAlign w:val="center"/>
          </w:tcPr>
          <w:p w14:paraId="188F96A1">
            <w:pPr>
              <w:widowControl/>
              <w:jc w:val="left"/>
              <w:rPr>
                <w:rFonts w:hint="eastAsia" w:ascii="宋体" w:hAnsi="宋体" w:eastAsia="宋体" w:cs="宋体"/>
                <w:color w:val="auto"/>
                <w:kern w:val="0"/>
                <w:sz w:val="20"/>
                <w:szCs w:val="20"/>
                <w:highlight w:val="none"/>
              </w:rPr>
            </w:pPr>
          </w:p>
        </w:tc>
        <w:tc>
          <w:tcPr>
            <w:tcW w:w="1612" w:type="dxa"/>
            <w:vAlign w:val="center"/>
          </w:tcPr>
          <w:p w14:paraId="61DB8B1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多联式空调（热泵）机组（制冷量≤ 14000W）</w:t>
            </w:r>
          </w:p>
        </w:tc>
        <w:tc>
          <w:tcPr>
            <w:tcW w:w="4335" w:type="dxa"/>
            <w:vAlign w:val="center"/>
          </w:tcPr>
          <w:p w14:paraId="10A3C80D">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《多联式空调（热泵）机组能效限定值及能源效率等级》（GB21454）</w:t>
            </w:r>
          </w:p>
        </w:tc>
      </w:tr>
      <w:tr w14:paraId="02606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vAlign w:val="center"/>
          </w:tcPr>
          <w:p w14:paraId="5D5950E7">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5F808015">
            <w:pPr>
              <w:widowControl/>
              <w:jc w:val="left"/>
              <w:rPr>
                <w:rFonts w:hint="eastAsia" w:ascii="宋体" w:hAnsi="宋体" w:eastAsia="宋体" w:cs="宋体"/>
                <w:color w:val="auto"/>
                <w:kern w:val="0"/>
                <w:sz w:val="20"/>
                <w:szCs w:val="20"/>
                <w:highlight w:val="none"/>
              </w:rPr>
            </w:pPr>
          </w:p>
        </w:tc>
        <w:tc>
          <w:tcPr>
            <w:tcW w:w="1516" w:type="dxa"/>
            <w:vMerge w:val="continue"/>
            <w:vAlign w:val="center"/>
          </w:tcPr>
          <w:p w14:paraId="1C33E431">
            <w:pPr>
              <w:widowControl/>
              <w:jc w:val="left"/>
              <w:rPr>
                <w:rFonts w:hint="eastAsia" w:ascii="宋体" w:hAnsi="宋体" w:eastAsia="宋体" w:cs="宋体"/>
                <w:color w:val="auto"/>
                <w:kern w:val="0"/>
                <w:sz w:val="20"/>
                <w:szCs w:val="20"/>
                <w:highlight w:val="none"/>
              </w:rPr>
            </w:pPr>
          </w:p>
        </w:tc>
        <w:tc>
          <w:tcPr>
            <w:tcW w:w="1612" w:type="dxa"/>
            <w:vAlign w:val="center"/>
          </w:tcPr>
          <w:p w14:paraId="30DC77FA">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单元式空气调节机(制冷量≤14000W)</w:t>
            </w:r>
          </w:p>
        </w:tc>
        <w:tc>
          <w:tcPr>
            <w:tcW w:w="4335" w:type="dxa"/>
            <w:vAlign w:val="center"/>
          </w:tcPr>
          <w:p w14:paraId="77CECE29">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《单元式空气调节机能效限定值及能源效率等级》（GB19576）《风管送风式空调机组能效限定值及能效等级》（GB37479）</w:t>
            </w:r>
          </w:p>
        </w:tc>
      </w:tr>
      <w:tr w14:paraId="1811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vAlign w:val="center"/>
          </w:tcPr>
          <w:p w14:paraId="4058C768">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08618261">
            <w:pPr>
              <w:widowControl/>
              <w:jc w:val="left"/>
              <w:rPr>
                <w:rFonts w:hint="eastAsia" w:ascii="宋体" w:hAnsi="宋体" w:eastAsia="宋体" w:cs="宋体"/>
                <w:color w:val="auto"/>
                <w:kern w:val="0"/>
                <w:sz w:val="20"/>
                <w:szCs w:val="20"/>
                <w:highlight w:val="none"/>
              </w:rPr>
            </w:pPr>
          </w:p>
        </w:tc>
        <w:tc>
          <w:tcPr>
            <w:tcW w:w="1516" w:type="dxa"/>
            <w:vAlign w:val="center"/>
          </w:tcPr>
          <w:p w14:paraId="6CE1606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A0206180301洗衣机</w:t>
            </w:r>
          </w:p>
        </w:tc>
        <w:tc>
          <w:tcPr>
            <w:tcW w:w="1612" w:type="dxa"/>
            <w:vAlign w:val="center"/>
          </w:tcPr>
          <w:p w14:paraId="1AC04BB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11E0855F">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《电动洗衣机能效水效限定值及等级》（GB12021.4）</w:t>
            </w:r>
          </w:p>
        </w:tc>
      </w:tr>
      <w:tr w14:paraId="44AB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vAlign w:val="center"/>
          </w:tcPr>
          <w:p w14:paraId="7944ABE8">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12326375">
            <w:pPr>
              <w:widowControl/>
              <w:jc w:val="left"/>
              <w:rPr>
                <w:rFonts w:hint="eastAsia" w:ascii="宋体" w:hAnsi="宋体" w:eastAsia="宋体" w:cs="宋体"/>
                <w:color w:val="auto"/>
                <w:kern w:val="0"/>
                <w:sz w:val="20"/>
                <w:szCs w:val="20"/>
                <w:highlight w:val="none"/>
              </w:rPr>
            </w:pPr>
          </w:p>
        </w:tc>
        <w:tc>
          <w:tcPr>
            <w:tcW w:w="1516" w:type="dxa"/>
            <w:vMerge w:val="restart"/>
            <w:vAlign w:val="center"/>
          </w:tcPr>
          <w:p w14:paraId="3230F06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A02061808热水器</w:t>
            </w:r>
          </w:p>
        </w:tc>
        <w:tc>
          <w:tcPr>
            <w:tcW w:w="1612" w:type="dxa"/>
            <w:vAlign w:val="center"/>
          </w:tcPr>
          <w:p w14:paraId="6474C0B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★电热水器</w:t>
            </w:r>
          </w:p>
        </w:tc>
        <w:tc>
          <w:tcPr>
            <w:tcW w:w="4335" w:type="dxa"/>
            <w:vAlign w:val="center"/>
          </w:tcPr>
          <w:p w14:paraId="4E021446">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《储水式电热水器能效限定值及能效等级》（GB21519）</w:t>
            </w:r>
          </w:p>
        </w:tc>
      </w:tr>
      <w:tr w14:paraId="0DE1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vAlign w:val="center"/>
          </w:tcPr>
          <w:p w14:paraId="16B11315">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642547F3">
            <w:pPr>
              <w:widowControl/>
              <w:jc w:val="left"/>
              <w:rPr>
                <w:rFonts w:hint="eastAsia" w:ascii="宋体" w:hAnsi="宋体" w:eastAsia="宋体" w:cs="宋体"/>
                <w:color w:val="auto"/>
                <w:kern w:val="0"/>
                <w:sz w:val="20"/>
                <w:szCs w:val="20"/>
                <w:highlight w:val="none"/>
              </w:rPr>
            </w:pPr>
          </w:p>
        </w:tc>
        <w:tc>
          <w:tcPr>
            <w:tcW w:w="1516" w:type="dxa"/>
            <w:vMerge w:val="continue"/>
            <w:vAlign w:val="center"/>
          </w:tcPr>
          <w:p w14:paraId="119DC54E">
            <w:pPr>
              <w:widowControl/>
              <w:jc w:val="left"/>
              <w:rPr>
                <w:rFonts w:hint="eastAsia" w:ascii="宋体" w:hAnsi="宋体" w:eastAsia="宋体" w:cs="宋体"/>
                <w:color w:val="auto"/>
                <w:kern w:val="0"/>
                <w:sz w:val="20"/>
                <w:szCs w:val="20"/>
                <w:highlight w:val="none"/>
              </w:rPr>
            </w:pPr>
          </w:p>
        </w:tc>
        <w:tc>
          <w:tcPr>
            <w:tcW w:w="1612" w:type="dxa"/>
            <w:vAlign w:val="center"/>
          </w:tcPr>
          <w:p w14:paraId="62B9CB9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燃气热水器</w:t>
            </w:r>
          </w:p>
        </w:tc>
        <w:tc>
          <w:tcPr>
            <w:tcW w:w="4335" w:type="dxa"/>
            <w:vAlign w:val="center"/>
          </w:tcPr>
          <w:p w14:paraId="4DFE10D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《家用燃气快速热水器和燃气采暖热水炉能效限定值及能效等级》（GB20665）</w:t>
            </w:r>
          </w:p>
        </w:tc>
      </w:tr>
      <w:tr w14:paraId="5CE2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vAlign w:val="center"/>
          </w:tcPr>
          <w:p w14:paraId="727D15AE">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3275A8E8">
            <w:pPr>
              <w:widowControl/>
              <w:jc w:val="left"/>
              <w:rPr>
                <w:rFonts w:hint="eastAsia" w:ascii="宋体" w:hAnsi="宋体" w:eastAsia="宋体" w:cs="宋体"/>
                <w:color w:val="auto"/>
                <w:kern w:val="0"/>
                <w:sz w:val="20"/>
                <w:szCs w:val="20"/>
                <w:highlight w:val="none"/>
              </w:rPr>
            </w:pPr>
          </w:p>
        </w:tc>
        <w:tc>
          <w:tcPr>
            <w:tcW w:w="1516" w:type="dxa"/>
            <w:vMerge w:val="continue"/>
            <w:vAlign w:val="center"/>
          </w:tcPr>
          <w:p w14:paraId="7C5758CA">
            <w:pPr>
              <w:widowControl/>
              <w:jc w:val="left"/>
              <w:rPr>
                <w:rFonts w:hint="eastAsia" w:ascii="宋体" w:hAnsi="宋体" w:eastAsia="宋体" w:cs="宋体"/>
                <w:color w:val="auto"/>
                <w:kern w:val="0"/>
                <w:sz w:val="20"/>
                <w:szCs w:val="20"/>
                <w:highlight w:val="none"/>
              </w:rPr>
            </w:pPr>
          </w:p>
        </w:tc>
        <w:tc>
          <w:tcPr>
            <w:tcW w:w="1612" w:type="dxa"/>
            <w:vAlign w:val="center"/>
          </w:tcPr>
          <w:p w14:paraId="7559A1C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热泵热水器</w:t>
            </w:r>
          </w:p>
        </w:tc>
        <w:tc>
          <w:tcPr>
            <w:tcW w:w="4335" w:type="dxa"/>
            <w:vAlign w:val="center"/>
          </w:tcPr>
          <w:p w14:paraId="4D68D735">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《热泵热水机（器）能效限定值及能效等级》（GB29541）</w:t>
            </w:r>
          </w:p>
        </w:tc>
      </w:tr>
      <w:tr w14:paraId="3124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vAlign w:val="center"/>
          </w:tcPr>
          <w:p w14:paraId="0642E3B7">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1BB217F9">
            <w:pPr>
              <w:widowControl/>
              <w:jc w:val="left"/>
              <w:rPr>
                <w:rFonts w:hint="eastAsia" w:ascii="宋体" w:hAnsi="宋体" w:eastAsia="宋体" w:cs="宋体"/>
                <w:color w:val="auto"/>
                <w:kern w:val="0"/>
                <w:sz w:val="20"/>
                <w:szCs w:val="20"/>
                <w:highlight w:val="none"/>
              </w:rPr>
            </w:pPr>
          </w:p>
        </w:tc>
        <w:tc>
          <w:tcPr>
            <w:tcW w:w="1516" w:type="dxa"/>
            <w:vMerge w:val="continue"/>
            <w:vAlign w:val="center"/>
          </w:tcPr>
          <w:p w14:paraId="22689377">
            <w:pPr>
              <w:widowControl/>
              <w:jc w:val="left"/>
              <w:rPr>
                <w:rFonts w:hint="eastAsia" w:ascii="宋体" w:hAnsi="宋体" w:eastAsia="宋体" w:cs="宋体"/>
                <w:color w:val="auto"/>
                <w:kern w:val="0"/>
                <w:sz w:val="20"/>
                <w:szCs w:val="20"/>
                <w:highlight w:val="none"/>
              </w:rPr>
            </w:pPr>
          </w:p>
        </w:tc>
        <w:tc>
          <w:tcPr>
            <w:tcW w:w="1612" w:type="dxa"/>
            <w:vAlign w:val="center"/>
          </w:tcPr>
          <w:p w14:paraId="1A3CFA59">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太阳能热水系统</w:t>
            </w:r>
          </w:p>
        </w:tc>
        <w:tc>
          <w:tcPr>
            <w:tcW w:w="4335" w:type="dxa"/>
            <w:vAlign w:val="center"/>
          </w:tcPr>
          <w:p w14:paraId="712EF27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《家用太阳能热水系统能效限定值及能效等级》（GB26969）</w:t>
            </w:r>
          </w:p>
        </w:tc>
      </w:tr>
      <w:tr w14:paraId="1B62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restart"/>
            <w:vAlign w:val="center"/>
          </w:tcPr>
          <w:p w14:paraId="38790386">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11</w:t>
            </w:r>
          </w:p>
        </w:tc>
        <w:tc>
          <w:tcPr>
            <w:tcW w:w="1116" w:type="dxa"/>
            <w:vMerge w:val="restart"/>
            <w:vAlign w:val="center"/>
          </w:tcPr>
          <w:p w14:paraId="266A7C9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A020619照明设备</w:t>
            </w:r>
          </w:p>
        </w:tc>
        <w:tc>
          <w:tcPr>
            <w:tcW w:w="1516" w:type="dxa"/>
            <w:vAlign w:val="center"/>
          </w:tcPr>
          <w:p w14:paraId="2070BFD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★普通照明用双端荧光灯</w:t>
            </w:r>
          </w:p>
        </w:tc>
        <w:tc>
          <w:tcPr>
            <w:tcW w:w="1612" w:type="dxa"/>
            <w:vAlign w:val="center"/>
          </w:tcPr>
          <w:p w14:paraId="5C9E5FE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7089A712">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《普通照明用双端荧光灯能效限定值及能效等级》（GB19043）</w:t>
            </w:r>
          </w:p>
        </w:tc>
      </w:tr>
      <w:tr w14:paraId="590ED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vAlign w:val="center"/>
          </w:tcPr>
          <w:p w14:paraId="64F60291">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1433D9A8">
            <w:pPr>
              <w:widowControl/>
              <w:jc w:val="left"/>
              <w:rPr>
                <w:rFonts w:hint="eastAsia" w:ascii="宋体" w:hAnsi="宋体" w:eastAsia="宋体" w:cs="宋体"/>
                <w:color w:val="auto"/>
                <w:kern w:val="0"/>
                <w:sz w:val="20"/>
                <w:szCs w:val="20"/>
                <w:highlight w:val="none"/>
              </w:rPr>
            </w:pPr>
          </w:p>
        </w:tc>
        <w:tc>
          <w:tcPr>
            <w:tcW w:w="1516" w:type="dxa"/>
            <w:vAlign w:val="center"/>
          </w:tcPr>
          <w:p w14:paraId="30FEC11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LED道路/隧道照明产品</w:t>
            </w:r>
          </w:p>
        </w:tc>
        <w:tc>
          <w:tcPr>
            <w:tcW w:w="1612" w:type="dxa"/>
            <w:vAlign w:val="center"/>
          </w:tcPr>
          <w:p w14:paraId="44D74C16">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350BCA36">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《道路和隧道照明用LED灯具能效限定值及能效等级》（GB37478）</w:t>
            </w:r>
          </w:p>
        </w:tc>
      </w:tr>
      <w:tr w14:paraId="4C85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vAlign w:val="center"/>
          </w:tcPr>
          <w:p w14:paraId="10E8BC8D">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112227E9">
            <w:pPr>
              <w:widowControl/>
              <w:jc w:val="left"/>
              <w:rPr>
                <w:rFonts w:hint="eastAsia" w:ascii="宋体" w:hAnsi="宋体" w:eastAsia="宋体" w:cs="宋体"/>
                <w:color w:val="auto"/>
                <w:kern w:val="0"/>
                <w:sz w:val="20"/>
                <w:szCs w:val="20"/>
                <w:highlight w:val="none"/>
              </w:rPr>
            </w:pPr>
          </w:p>
        </w:tc>
        <w:tc>
          <w:tcPr>
            <w:tcW w:w="1516" w:type="dxa"/>
            <w:vAlign w:val="center"/>
          </w:tcPr>
          <w:p w14:paraId="0894A346">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LED筒灯</w:t>
            </w:r>
          </w:p>
        </w:tc>
        <w:tc>
          <w:tcPr>
            <w:tcW w:w="1612" w:type="dxa"/>
            <w:vAlign w:val="center"/>
          </w:tcPr>
          <w:p w14:paraId="1B00C7A9">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049FFDB9">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《室内照明用LED产品能效限定值及能效等级》（GB30255）</w:t>
            </w:r>
          </w:p>
        </w:tc>
      </w:tr>
      <w:tr w14:paraId="0692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vAlign w:val="center"/>
          </w:tcPr>
          <w:p w14:paraId="63248D63">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6AF445CE">
            <w:pPr>
              <w:widowControl/>
              <w:jc w:val="left"/>
              <w:rPr>
                <w:rFonts w:hint="eastAsia" w:ascii="宋体" w:hAnsi="宋体" w:eastAsia="宋体" w:cs="宋体"/>
                <w:color w:val="auto"/>
                <w:kern w:val="0"/>
                <w:sz w:val="20"/>
                <w:szCs w:val="20"/>
                <w:highlight w:val="none"/>
              </w:rPr>
            </w:pPr>
          </w:p>
        </w:tc>
        <w:tc>
          <w:tcPr>
            <w:tcW w:w="1516" w:type="dxa"/>
            <w:vAlign w:val="center"/>
          </w:tcPr>
          <w:p w14:paraId="3F9FCAC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普通照明用非定向自镇流LED灯</w:t>
            </w:r>
          </w:p>
        </w:tc>
        <w:tc>
          <w:tcPr>
            <w:tcW w:w="1612" w:type="dxa"/>
            <w:vAlign w:val="center"/>
          </w:tcPr>
          <w:p w14:paraId="4CFBAAD6">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3A84542D">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《室内照明用LED产品能效限定值及能效等级》（GB30255）</w:t>
            </w:r>
          </w:p>
        </w:tc>
      </w:tr>
      <w:tr w14:paraId="1DF1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Align w:val="center"/>
          </w:tcPr>
          <w:p w14:paraId="5503B7B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12</w:t>
            </w:r>
          </w:p>
        </w:tc>
        <w:tc>
          <w:tcPr>
            <w:tcW w:w="1116" w:type="dxa"/>
            <w:vAlign w:val="center"/>
          </w:tcPr>
          <w:p w14:paraId="7478CE1A">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★A020910电视设备</w:t>
            </w:r>
          </w:p>
        </w:tc>
        <w:tc>
          <w:tcPr>
            <w:tcW w:w="1516" w:type="dxa"/>
            <w:vAlign w:val="center"/>
          </w:tcPr>
          <w:p w14:paraId="19BA931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A02091001普通电视设备（电视机）</w:t>
            </w:r>
          </w:p>
        </w:tc>
        <w:tc>
          <w:tcPr>
            <w:tcW w:w="1612" w:type="dxa"/>
            <w:vAlign w:val="center"/>
          </w:tcPr>
          <w:p w14:paraId="7EE3F33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43379A6F">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《平板电视能效限定值及能效等级》（GB24850）</w:t>
            </w:r>
          </w:p>
        </w:tc>
      </w:tr>
      <w:tr w14:paraId="0C666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641" w:type="dxa"/>
            <w:vAlign w:val="center"/>
          </w:tcPr>
          <w:p w14:paraId="16CEAE3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13</w:t>
            </w:r>
          </w:p>
        </w:tc>
        <w:tc>
          <w:tcPr>
            <w:tcW w:w="1116" w:type="dxa"/>
            <w:vAlign w:val="center"/>
          </w:tcPr>
          <w:p w14:paraId="1C05FB8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★A020911视频设备</w:t>
            </w:r>
          </w:p>
        </w:tc>
        <w:tc>
          <w:tcPr>
            <w:tcW w:w="1516" w:type="dxa"/>
            <w:vAlign w:val="center"/>
          </w:tcPr>
          <w:p w14:paraId="7B5DEF4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A02091107视频监控设备</w:t>
            </w:r>
          </w:p>
        </w:tc>
        <w:tc>
          <w:tcPr>
            <w:tcW w:w="1612" w:type="dxa"/>
            <w:vAlign w:val="center"/>
          </w:tcPr>
          <w:p w14:paraId="64EE685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监视器</w:t>
            </w:r>
          </w:p>
        </w:tc>
        <w:tc>
          <w:tcPr>
            <w:tcW w:w="4335" w:type="dxa"/>
            <w:vAlign w:val="center"/>
          </w:tcPr>
          <w:p w14:paraId="3E341C5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6728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Align w:val="center"/>
          </w:tcPr>
          <w:p w14:paraId="188770B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14</w:t>
            </w:r>
          </w:p>
        </w:tc>
        <w:tc>
          <w:tcPr>
            <w:tcW w:w="1116" w:type="dxa"/>
            <w:vAlign w:val="center"/>
          </w:tcPr>
          <w:p w14:paraId="6929CDB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A031210饮食炊事机械</w:t>
            </w:r>
          </w:p>
        </w:tc>
        <w:tc>
          <w:tcPr>
            <w:tcW w:w="1516" w:type="dxa"/>
            <w:vAlign w:val="center"/>
          </w:tcPr>
          <w:p w14:paraId="0C5448D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商用燃气灶具</w:t>
            </w:r>
          </w:p>
        </w:tc>
        <w:tc>
          <w:tcPr>
            <w:tcW w:w="1612" w:type="dxa"/>
            <w:vAlign w:val="center"/>
          </w:tcPr>
          <w:p w14:paraId="60D2DC9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7681ABB4">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《商用燃气灶具能效限定值及能效等级》（GB30531）</w:t>
            </w:r>
          </w:p>
        </w:tc>
      </w:tr>
      <w:tr w14:paraId="161B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1" w:type="dxa"/>
            <w:vMerge w:val="restart"/>
            <w:vAlign w:val="center"/>
          </w:tcPr>
          <w:p w14:paraId="3236650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15</w:t>
            </w:r>
          </w:p>
        </w:tc>
        <w:tc>
          <w:tcPr>
            <w:tcW w:w="1116" w:type="dxa"/>
            <w:vMerge w:val="restart"/>
            <w:vAlign w:val="center"/>
          </w:tcPr>
          <w:p w14:paraId="1B4EF6E6">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★A060805便器</w:t>
            </w:r>
          </w:p>
        </w:tc>
        <w:tc>
          <w:tcPr>
            <w:tcW w:w="1516" w:type="dxa"/>
            <w:vAlign w:val="center"/>
          </w:tcPr>
          <w:p w14:paraId="2CB2302A">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坐便器</w:t>
            </w:r>
          </w:p>
        </w:tc>
        <w:tc>
          <w:tcPr>
            <w:tcW w:w="1612" w:type="dxa"/>
            <w:vAlign w:val="center"/>
          </w:tcPr>
          <w:p w14:paraId="6E84F5E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2EBF89F3">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《坐便器水效限定值及水效等级》（GB25502）</w:t>
            </w:r>
          </w:p>
        </w:tc>
      </w:tr>
      <w:tr w14:paraId="7236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vAlign w:val="center"/>
          </w:tcPr>
          <w:p w14:paraId="521552EC">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761BF7C4">
            <w:pPr>
              <w:widowControl/>
              <w:jc w:val="left"/>
              <w:rPr>
                <w:rFonts w:hint="eastAsia" w:ascii="宋体" w:hAnsi="宋体" w:eastAsia="宋体" w:cs="宋体"/>
                <w:color w:val="auto"/>
                <w:kern w:val="0"/>
                <w:sz w:val="20"/>
                <w:szCs w:val="20"/>
                <w:highlight w:val="none"/>
              </w:rPr>
            </w:pPr>
          </w:p>
        </w:tc>
        <w:tc>
          <w:tcPr>
            <w:tcW w:w="1516" w:type="dxa"/>
            <w:vAlign w:val="center"/>
          </w:tcPr>
          <w:p w14:paraId="5D3D376A">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蹲便器</w:t>
            </w:r>
          </w:p>
        </w:tc>
        <w:tc>
          <w:tcPr>
            <w:tcW w:w="1612" w:type="dxa"/>
            <w:vAlign w:val="center"/>
          </w:tcPr>
          <w:p w14:paraId="3E9E45D3">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310B4536">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《蹲便器用水效率限定值及用水效率等级》（GB30717）</w:t>
            </w:r>
          </w:p>
        </w:tc>
      </w:tr>
      <w:tr w14:paraId="6684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vAlign w:val="center"/>
          </w:tcPr>
          <w:p w14:paraId="794D2679">
            <w:pPr>
              <w:widowControl/>
              <w:jc w:val="left"/>
              <w:rPr>
                <w:rFonts w:hint="eastAsia" w:ascii="宋体" w:hAnsi="宋体" w:eastAsia="宋体" w:cs="宋体"/>
                <w:color w:val="auto"/>
                <w:kern w:val="0"/>
                <w:sz w:val="20"/>
                <w:szCs w:val="20"/>
                <w:highlight w:val="none"/>
              </w:rPr>
            </w:pPr>
          </w:p>
        </w:tc>
        <w:tc>
          <w:tcPr>
            <w:tcW w:w="1116" w:type="dxa"/>
            <w:vMerge w:val="continue"/>
            <w:vAlign w:val="center"/>
          </w:tcPr>
          <w:p w14:paraId="30795846">
            <w:pPr>
              <w:widowControl/>
              <w:jc w:val="left"/>
              <w:rPr>
                <w:rFonts w:hint="eastAsia" w:ascii="宋体" w:hAnsi="宋体" w:eastAsia="宋体" w:cs="宋体"/>
                <w:color w:val="auto"/>
                <w:kern w:val="0"/>
                <w:sz w:val="20"/>
                <w:szCs w:val="20"/>
                <w:highlight w:val="none"/>
              </w:rPr>
            </w:pPr>
          </w:p>
        </w:tc>
        <w:tc>
          <w:tcPr>
            <w:tcW w:w="1516" w:type="dxa"/>
            <w:vAlign w:val="center"/>
          </w:tcPr>
          <w:p w14:paraId="12E942D6">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小便器</w:t>
            </w:r>
          </w:p>
        </w:tc>
        <w:tc>
          <w:tcPr>
            <w:tcW w:w="1612" w:type="dxa"/>
            <w:vAlign w:val="center"/>
          </w:tcPr>
          <w:p w14:paraId="75DDBA4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56EA6AD6">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《小便器用水效率限定值及用水效率等级》（GB28377）</w:t>
            </w:r>
          </w:p>
        </w:tc>
      </w:tr>
      <w:tr w14:paraId="5790F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Align w:val="center"/>
          </w:tcPr>
          <w:p w14:paraId="0C3F989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16</w:t>
            </w:r>
          </w:p>
        </w:tc>
        <w:tc>
          <w:tcPr>
            <w:tcW w:w="1116" w:type="dxa"/>
            <w:vAlign w:val="center"/>
          </w:tcPr>
          <w:p w14:paraId="3ED8A309">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★A060806水嘴</w:t>
            </w:r>
          </w:p>
        </w:tc>
        <w:tc>
          <w:tcPr>
            <w:tcW w:w="1516" w:type="dxa"/>
            <w:vAlign w:val="center"/>
          </w:tcPr>
          <w:p w14:paraId="6420252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vAlign w:val="center"/>
          </w:tcPr>
          <w:p w14:paraId="10158CD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407177D8">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《水嘴用水效率限定值及用水效率等级》（GB 25501）</w:t>
            </w:r>
          </w:p>
        </w:tc>
      </w:tr>
      <w:tr w14:paraId="7201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Align w:val="center"/>
          </w:tcPr>
          <w:p w14:paraId="1CAC8FC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17</w:t>
            </w:r>
          </w:p>
        </w:tc>
        <w:tc>
          <w:tcPr>
            <w:tcW w:w="1116" w:type="dxa"/>
            <w:vAlign w:val="center"/>
          </w:tcPr>
          <w:p w14:paraId="46DE074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A060807便器冲洗阀</w:t>
            </w:r>
          </w:p>
        </w:tc>
        <w:tc>
          <w:tcPr>
            <w:tcW w:w="1516" w:type="dxa"/>
            <w:vAlign w:val="center"/>
          </w:tcPr>
          <w:p w14:paraId="2BBFFC69">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vAlign w:val="center"/>
          </w:tcPr>
          <w:p w14:paraId="5092F799">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1E487755">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《便器冲洗阀用水效率限定值及用水效率等级》（GB28379）</w:t>
            </w:r>
          </w:p>
        </w:tc>
      </w:tr>
      <w:tr w14:paraId="12288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Align w:val="center"/>
          </w:tcPr>
          <w:p w14:paraId="371C381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18</w:t>
            </w:r>
          </w:p>
        </w:tc>
        <w:tc>
          <w:tcPr>
            <w:tcW w:w="1116" w:type="dxa"/>
            <w:vAlign w:val="center"/>
          </w:tcPr>
          <w:p w14:paraId="3496377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A060810淋浴器</w:t>
            </w:r>
          </w:p>
        </w:tc>
        <w:tc>
          <w:tcPr>
            <w:tcW w:w="1516" w:type="dxa"/>
            <w:vAlign w:val="center"/>
          </w:tcPr>
          <w:p w14:paraId="126EE8F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vAlign w:val="center"/>
          </w:tcPr>
          <w:p w14:paraId="50B3831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vAlign w:val="center"/>
          </w:tcPr>
          <w:p w14:paraId="744B1DE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《淋浴器用水效率限定值及用水效率等级》（GB28378）</w:t>
            </w:r>
          </w:p>
        </w:tc>
      </w:tr>
    </w:tbl>
    <w:p w14:paraId="4CF1729E">
      <w:pPr>
        <w:spacing w:after="120" w:line="360" w:lineRule="auto"/>
        <w:rPr>
          <w:rFonts w:hint="eastAsia" w:ascii="宋体" w:hAnsi="宋体" w:eastAsia="宋体" w:cs="宋体"/>
          <w:color w:val="auto"/>
          <w:spacing w:val="-3"/>
          <w:szCs w:val="21"/>
          <w:highlight w:val="none"/>
        </w:rPr>
      </w:pPr>
    </w:p>
    <w:p w14:paraId="2CD7AE1E">
      <w:pPr>
        <w:spacing w:after="120" w:line="360" w:lineRule="auto"/>
        <w:ind w:firstLine="408" w:firstLineChars="200"/>
        <w:rPr>
          <w:rFonts w:hint="eastAsia" w:ascii="宋体" w:hAnsi="宋体" w:eastAsia="宋体" w:cs="宋体"/>
          <w:color w:val="auto"/>
          <w:szCs w:val="21"/>
          <w:highlight w:val="none"/>
        </w:rPr>
      </w:pPr>
      <w:r>
        <w:rPr>
          <w:rFonts w:hint="eastAsia" w:ascii="宋体" w:hAnsi="宋体" w:eastAsia="宋体" w:cs="宋体"/>
          <w:color w:val="auto"/>
          <w:spacing w:val="-3"/>
          <w:szCs w:val="21"/>
          <w:highlight w:val="none"/>
        </w:rPr>
        <w:t>注：1.节能产品认证应依据相关国家标准的最新版本，依据国家标准中二级能效（水效）</w:t>
      </w:r>
      <w:r>
        <w:rPr>
          <w:rFonts w:hint="eastAsia" w:ascii="宋体" w:hAnsi="宋体" w:eastAsia="宋体" w:cs="宋体"/>
          <w:color w:val="auto"/>
          <w:szCs w:val="21"/>
          <w:highlight w:val="none"/>
        </w:rPr>
        <w:t>指标。</w:t>
      </w:r>
    </w:p>
    <w:p w14:paraId="453D81C9">
      <w:pPr>
        <w:spacing w:line="428" w:lineRule="exact"/>
        <w:rPr>
          <w:rFonts w:hint="eastAsia" w:ascii="宋体" w:hAnsi="宋体" w:eastAsia="宋体" w:cs="宋体"/>
          <w:color w:val="auto"/>
          <w:sz w:val="32"/>
          <w:szCs w:val="32"/>
          <w:highlight w:val="none"/>
        </w:rPr>
      </w:pPr>
      <w:r>
        <w:rPr>
          <w:rFonts w:hint="eastAsia" w:ascii="宋体" w:hAnsi="宋体" w:eastAsia="宋体" w:cs="宋体"/>
          <w:color w:val="auto"/>
          <w:szCs w:val="21"/>
          <w:highlight w:val="none"/>
        </w:rPr>
        <w:t xml:space="preserve">        2</w:t>
      </w:r>
      <w:r>
        <w:rPr>
          <w:rFonts w:hint="eastAsia" w:ascii="宋体" w:hAnsi="宋体" w:eastAsia="宋体" w:cs="宋体"/>
          <w:b/>
          <w:bCs/>
          <w:color w:val="auto"/>
          <w:szCs w:val="21"/>
          <w:highlight w:val="none"/>
        </w:rPr>
        <w:t>.以“★”标注的为政府强制采购产品。</w:t>
      </w:r>
    </w:p>
    <w:p w14:paraId="3B6B8CDF">
      <w:pPr>
        <w:spacing w:line="428" w:lineRule="exact"/>
        <w:rPr>
          <w:rFonts w:hint="eastAsia" w:ascii="宋体" w:hAnsi="宋体" w:eastAsia="宋体" w:cs="宋体"/>
          <w:color w:val="auto"/>
          <w:sz w:val="32"/>
          <w:szCs w:val="32"/>
          <w:highlight w:val="none"/>
        </w:rPr>
      </w:pPr>
    </w:p>
    <w:p w14:paraId="29F12212">
      <w:pPr>
        <w:spacing w:line="428" w:lineRule="exact"/>
        <w:rPr>
          <w:rFonts w:hint="eastAsia" w:ascii="宋体" w:hAnsi="宋体" w:eastAsia="宋体" w:cs="宋体"/>
          <w:color w:val="auto"/>
          <w:sz w:val="32"/>
          <w:szCs w:val="32"/>
          <w:highlight w:val="none"/>
        </w:rPr>
      </w:pPr>
    </w:p>
    <w:p w14:paraId="422F7E8E">
      <w:pPr>
        <w:widowControl/>
        <w:spacing w:before="120" w:beforeLines="50" w:after="120" w:afterLines="50" w:line="280" w:lineRule="exact"/>
        <w:rPr>
          <w:rFonts w:hint="eastAsia" w:ascii="宋体" w:hAnsi="宋体" w:cs="宋体"/>
          <w:b/>
          <w:bCs/>
          <w:color w:val="auto"/>
          <w:kern w:val="0"/>
          <w:sz w:val="30"/>
          <w:szCs w:val="30"/>
          <w:highlight w:val="none"/>
        </w:rPr>
      </w:pPr>
      <w:bookmarkStart w:id="54" w:name="_Toc28361_WPSOffice_Level2"/>
      <w:bookmarkStart w:id="55" w:name="_Toc80205922"/>
      <w:bookmarkStart w:id="56" w:name="_Toc20724"/>
    </w:p>
    <w:p w14:paraId="2DFB9CE2">
      <w:pPr>
        <w:widowControl/>
        <w:jc w:val="left"/>
        <w:rPr>
          <w:rFonts w:hint="eastAsia" w:ascii="宋体" w:hAnsi="宋体" w:cs="宋体"/>
          <w:b/>
          <w:bCs/>
          <w:color w:val="auto"/>
          <w:kern w:val="0"/>
          <w:sz w:val="30"/>
          <w:szCs w:val="30"/>
          <w:highlight w:val="none"/>
        </w:rPr>
      </w:pPr>
      <w:r>
        <w:rPr>
          <w:rFonts w:hint="eastAsia" w:ascii="宋体" w:hAnsi="宋体" w:cs="宋体"/>
          <w:b/>
          <w:bCs/>
          <w:color w:val="auto"/>
          <w:kern w:val="0"/>
          <w:sz w:val="30"/>
          <w:szCs w:val="30"/>
          <w:highlight w:val="none"/>
        </w:rPr>
        <w:br w:type="page"/>
      </w:r>
    </w:p>
    <w:p w14:paraId="41E08C0C">
      <w:pPr>
        <w:widowControl/>
        <w:spacing w:before="120" w:beforeLines="50" w:after="120" w:afterLines="50" w:line="428" w:lineRule="exact"/>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附件2</w:t>
      </w:r>
    </w:p>
    <w:p w14:paraId="3A70CDCC">
      <w:pPr>
        <w:widowControl/>
        <w:spacing w:before="120" w:beforeLines="50" w:after="120" w:afterLines="50" w:line="528" w:lineRule="exact"/>
        <w:jc w:val="center"/>
        <w:rPr>
          <w:rFonts w:hint="eastAsia"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统计上大中小微型企业划分标准</w:t>
      </w:r>
      <w:bookmarkEnd w:id="54"/>
    </w:p>
    <w:tbl>
      <w:tblPr>
        <w:tblStyle w:val="32"/>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4C74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vAlign w:val="center"/>
          </w:tcPr>
          <w:p w14:paraId="3E755270">
            <w:pPr>
              <w:widowControl/>
              <w:spacing w:line="280" w:lineRule="exact"/>
              <w:jc w:val="center"/>
              <w:rPr>
                <w:rFonts w:hint="eastAsia"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369" w:type="dxa"/>
            <w:shd w:val="clear" w:color="auto" w:fill="8DB3E2"/>
            <w:vAlign w:val="center"/>
          </w:tcPr>
          <w:p w14:paraId="11EEA1B6">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09" w:type="dxa"/>
            <w:shd w:val="clear" w:color="auto" w:fill="8DB3E2"/>
            <w:vAlign w:val="center"/>
          </w:tcPr>
          <w:p w14:paraId="5D97770F">
            <w:pPr>
              <w:widowControl/>
              <w:spacing w:line="280" w:lineRule="exact"/>
              <w:jc w:val="center"/>
              <w:rPr>
                <w:rFonts w:hint="eastAsia" w:ascii="宋体" w:hAnsi="宋体" w:eastAsia="宋体" w:cs="宋体"/>
                <w:b/>
                <w:bCs/>
                <w:color w:val="auto"/>
                <w:kern w:val="0"/>
                <w:sz w:val="18"/>
                <w:szCs w:val="18"/>
                <w:highlight w:val="none"/>
              </w:rPr>
            </w:pPr>
            <w:r>
              <w:rPr>
                <w:rFonts w:hint="eastAsia" w:ascii="宋体" w:hAnsi="宋体" w:cs="宋体"/>
                <w:b/>
                <w:bCs/>
                <w:color w:val="auto"/>
                <w:kern w:val="0"/>
                <w:sz w:val="18"/>
                <w:szCs w:val="18"/>
                <w:highlight w:val="none"/>
              </w:rPr>
              <w:t>计量</w:t>
            </w:r>
          </w:p>
          <w:p w14:paraId="6CCA4FCF">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25" w:type="dxa"/>
            <w:shd w:val="clear" w:color="auto" w:fill="8DB3E2"/>
            <w:vAlign w:val="center"/>
          </w:tcPr>
          <w:p w14:paraId="38BC0312">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01" w:type="dxa"/>
            <w:shd w:val="clear" w:color="auto" w:fill="8DB3E2"/>
            <w:vAlign w:val="center"/>
          </w:tcPr>
          <w:p w14:paraId="7BBC04FE">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426" w:type="dxa"/>
            <w:shd w:val="clear" w:color="auto" w:fill="8DB3E2"/>
            <w:vAlign w:val="center"/>
          </w:tcPr>
          <w:p w14:paraId="4FF728F3">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992" w:type="dxa"/>
            <w:shd w:val="clear" w:color="auto" w:fill="8DB3E2"/>
            <w:vAlign w:val="center"/>
          </w:tcPr>
          <w:p w14:paraId="0AB3099A">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14:paraId="4AB0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3B3B299B">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369" w:type="dxa"/>
            <w:vAlign w:val="center"/>
          </w:tcPr>
          <w:p w14:paraId="201CAFC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307B676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28D630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14:paraId="61F36033">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vAlign w:val="center"/>
          </w:tcPr>
          <w:p w14:paraId="441A831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992" w:type="dxa"/>
            <w:vAlign w:val="center"/>
          </w:tcPr>
          <w:p w14:paraId="271BED1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60F3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8AB0F29">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369" w:type="dxa"/>
            <w:vAlign w:val="center"/>
          </w:tcPr>
          <w:p w14:paraId="33D4EA6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065430C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393DDCE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4E936A4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3309AC81">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14:paraId="3ED5435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6268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6FCFAB2">
            <w:pPr>
              <w:widowControl/>
              <w:spacing w:line="280" w:lineRule="exact"/>
              <w:jc w:val="left"/>
              <w:rPr>
                <w:rFonts w:hint="eastAsia" w:ascii="宋体" w:hAnsi="宋体" w:cs="宋体"/>
                <w:color w:val="auto"/>
                <w:kern w:val="0"/>
                <w:sz w:val="18"/>
                <w:szCs w:val="18"/>
                <w:highlight w:val="none"/>
              </w:rPr>
            </w:pPr>
          </w:p>
        </w:tc>
        <w:tc>
          <w:tcPr>
            <w:tcW w:w="1369" w:type="dxa"/>
            <w:vAlign w:val="center"/>
          </w:tcPr>
          <w:p w14:paraId="75C5324C">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408E3B9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0F097E6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14:paraId="1E67234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26" w:type="dxa"/>
            <w:vAlign w:val="center"/>
          </w:tcPr>
          <w:p w14:paraId="2D6783C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992" w:type="dxa"/>
            <w:vAlign w:val="center"/>
          </w:tcPr>
          <w:p w14:paraId="5FFEB17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09AA8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75A45EB">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369" w:type="dxa"/>
            <w:vAlign w:val="center"/>
          </w:tcPr>
          <w:p w14:paraId="16BAAED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245F5A8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68D717A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01" w:type="dxa"/>
            <w:vAlign w:val="center"/>
          </w:tcPr>
          <w:p w14:paraId="47114B2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26" w:type="dxa"/>
            <w:vAlign w:val="center"/>
          </w:tcPr>
          <w:p w14:paraId="4F1F71D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992" w:type="dxa"/>
            <w:vAlign w:val="center"/>
          </w:tcPr>
          <w:p w14:paraId="79221178">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68A4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59999FA">
            <w:pPr>
              <w:widowControl/>
              <w:spacing w:line="280" w:lineRule="exact"/>
              <w:jc w:val="left"/>
              <w:rPr>
                <w:rFonts w:hint="eastAsia" w:ascii="宋体" w:hAnsi="宋体" w:cs="宋体"/>
                <w:color w:val="auto"/>
                <w:kern w:val="0"/>
                <w:sz w:val="18"/>
                <w:szCs w:val="18"/>
                <w:highlight w:val="none"/>
              </w:rPr>
            </w:pPr>
          </w:p>
        </w:tc>
        <w:tc>
          <w:tcPr>
            <w:tcW w:w="1369" w:type="dxa"/>
            <w:vAlign w:val="center"/>
          </w:tcPr>
          <w:p w14:paraId="007037E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0A48A62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13BBEE2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01" w:type="dxa"/>
            <w:vAlign w:val="center"/>
          </w:tcPr>
          <w:p w14:paraId="55D7B39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26" w:type="dxa"/>
            <w:vAlign w:val="center"/>
          </w:tcPr>
          <w:p w14:paraId="1C6BC96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992" w:type="dxa"/>
            <w:vAlign w:val="center"/>
          </w:tcPr>
          <w:p w14:paraId="269A256C">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7B13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01B3936">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369" w:type="dxa"/>
            <w:vAlign w:val="center"/>
          </w:tcPr>
          <w:p w14:paraId="3D1E10C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7694F04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06C2EDF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14:paraId="60363B11">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26" w:type="dxa"/>
            <w:vAlign w:val="center"/>
          </w:tcPr>
          <w:p w14:paraId="00C3167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992" w:type="dxa"/>
            <w:vAlign w:val="center"/>
          </w:tcPr>
          <w:p w14:paraId="637051A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4E74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968A75B">
            <w:pPr>
              <w:widowControl/>
              <w:spacing w:line="280" w:lineRule="exact"/>
              <w:jc w:val="left"/>
              <w:rPr>
                <w:rFonts w:hint="eastAsia" w:ascii="宋体" w:hAnsi="宋体" w:cs="宋体"/>
                <w:color w:val="auto"/>
                <w:kern w:val="0"/>
                <w:sz w:val="18"/>
                <w:szCs w:val="18"/>
                <w:highlight w:val="none"/>
              </w:rPr>
            </w:pPr>
          </w:p>
        </w:tc>
        <w:tc>
          <w:tcPr>
            <w:tcW w:w="1369" w:type="dxa"/>
            <w:vAlign w:val="center"/>
          </w:tcPr>
          <w:p w14:paraId="75A41DC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2C3E151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0A05DBE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14:paraId="5D15E20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26" w:type="dxa"/>
            <w:vAlign w:val="center"/>
          </w:tcPr>
          <w:p w14:paraId="04584CA4">
            <w:pPr>
              <w:widowControl/>
              <w:spacing w:line="280" w:lineRule="exact"/>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2" w:type="dxa"/>
            <w:vAlign w:val="center"/>
          </w:tcPr>
          <w:p w14:paraId="4A8C865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1122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AAA2EC5">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369" w:type="dxa"/>
            <w:vAlign w:val="center"/>
          </w:tcPr>
          <w:p w14:paraId="09D14F5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4E88E17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1F36514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73E2D2F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26" w:type="dxa"/>
            <w:vAlign w:val="center"/>
          </w:tcPr>
          <w:p w14:paraId="2CF5A3B3">
            <w:pPr>
              <w:widowControl/>
              <w:spacing w:line="280" w:lineRule="exact"/>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992" w:type="dxa"/>
            <w:vAlign w:val="center"/>
          </w:tcPr>
          <w:p w14:paraId="0132B13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2E2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BA17371">
            <w:pPr>
              <w:widowControl/>
              <w:spacing w:line="280" w:lineRule="exact"/>
              <w:jc w:val="left"/>
              <w:rPr>
                <w:rFonts w:hint="eastAsia" w:ascii="宋体" w:hAnsi="宋体" w:cs="宋体"/>
                <w:color w:val="auto"/>
                <w:kern w:val="0"/>
                <w:sz w:val="18"/>
                <w:szCs w:val="18"/>
                <w:highlight w:val="none"/>
              </w:rPr>
            </w:pPr>
          </w:p>
        </w:tc>
        <w:tc>
          <w:tcPr>
            <w:tcW w:w="1369" w:type="dxa"/>
            <w:vAlign w:val="center"/>
          </w:tcPr>
          <w:p w14:paraId="7B85E8F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6DF5202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E11EF0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14:paraId="128A1A5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vAlign w:val="center"/>
          </w:tcPr>
          <w:p w14:paraId="42EB0D38">
            <w:pPr>
              <w:widowControl/>
              <w:spacing w:line="280" w:lineRule="exact"/>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992" w:type="dxa"/>
            <w:vAlign w:val="center"/>
          </w:tcPr>
          <w:p w14:paraId="4DB93F1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81C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B18F3E5">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369" w:type="dxa"/>
            <w:vAlign w:val="center"/>
          </w:tcPr>
          <w:p w14:paraId="595333B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1029C40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6D9CC6B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4B38C7B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21B5340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14:paraId="4B85B58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6003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4C5A4FD">
            <w:pPr>
              <w:widowControl/>
              <w:spacing w:line="280" w:lineRule="exact"/>
              <w:jc w:val="left"/>
              <w:rPr>
                <w:rFonts w:hint="eastAsia" w:ascii="宋体" w:hAnsi="宋体" w:cs="宋体"/>
                <w:color w:val="auto"/>
                <w:kern w:val="0"/>
                <w:sz w:val="18"/>
                <w:szCs w:val="18"/>
                <w:highlight w:val="none"/>
              </w:rPr>
            </w:pPr>
          </w:p>
        </w:tc>
        <w:tc>
          <w:tcPr>
            <w:tcW w:w="1369" w:type="dxa"/>
            <w:vAlign w:val="center"/>
          </w:tcPr>
          <w:p w14:paraId="49DAE21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2C4CED0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1A967DC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3052D4D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26" w:type="dxa"/>
            <w:vAlign w:val="center"/>
          </w:tcPr>
          <w:p w14:paraId="75423BE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992" w:type="dxa"/>
            <w:vAlign w:val="center"/>
          </w:tcPr>
          <w:p w14:paraId="2EDFAD21">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4D78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B084183">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369" w:type="dxa"/>
            <w:vAlign w:val="center"/>
          </w:tcPr>
          <w:p w14:paraId="77E23A5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0EA5918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499B40D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14:paraId="685E5C37">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26" w:type="dxa"/>
            <w:vAlign w:val="center"/>
          </w:tcPr>
          <w:p w14:paraId="3D2444A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992" w:type="dxa"/>
            <w:vAlign w:val="center"/>
          </w:tcPr>
          <w:p w14:paraId="6F6353F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DBF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E79F2CD">
            <w:pPr>
              <w:widowControl/>
              <w:spacing w:line="280" w:lineRule="exact"/>
              <w:jc w:val="left"/>
              <w:rPr>
                <w:rFonts w:hint="eastAsia" w:ascii="宋体" w:hAnsi="宋体" w:cs="宋体"/>
                <w:color w:val="auto"/>
                <w:kern w:val="0"/>
                <w:sz w:val="18"/>
                <w:szCs w:val="18"/>
                <w:highlight w:val="none"/>
              </w:rPr>
            </w:pPr>
          </w:p>
        </w:tc>
        <w:tc>
          <w:tcPr>
            <w:tcW w:w="1369" w:type="dxa"/>
            <w:vAlign w:val="center"/>
          </w:tcPr>
          <w:p w14:paraId="740F566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1F569D3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5F8B861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7FA688D3">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26" w:type="dxa"/>
            <w:vAlign w:val="center"/>
          </w:tcPr>
          <w:p w14:paraId="223B1F7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14:paraId="1A091123">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D7D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765692B">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369" w:type="dxa"/>
            <w:vAlign w:val="center"/>
          </w:tcPr>
          <w:p w14:paraId="3C02F3F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79893CE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1B14C6E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2C29D84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459D739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14:paraId="3CA464C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749D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770CAA5">
            <w:pPr>
              <w:widowControl/>
              <w:spacing w:line="280" w:lineRule="exact"/>
              <w:jc w:val="left"/>
              <w:rPr>
                <w:rFonts w:hint="eastAsia" w:ascii="宋体" w:hAnsi="宋体" w:cs="宋体"/>
                <w:color w:val="auto"/>
                <w:kern w:val="0"/>
                <w:sz w:val="18"/>
                <w:szCs w:val="18"/>
                <w:highlight w:val="none"/>
              </w:rPr>
            </w:pPr>
          </w:p>
        </w:tc>
        <w:tc>
          <w:tcPr>
            <w:tcW w:w="1369" w:type="dxa"/>
            <w:vAlign w:val="center"/>
          </w:tcPr>
          <w:p w14:paraId="20705BA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6C3F287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10AAF86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6062B7F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26" w:type="dxa"/>
            <w:vAlign w:val="center"/>
          </w:tcPr>
          <w:p w14:paraId="308C61C8">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14:paraId="21A4FE4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D22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9ABA2A0">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369" w:type="dxa"/>
            <w:vAlign w:val="center"/>
          </w:tcPr>
          <w:p w14:paraId="5C07534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4D993F8">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557F95D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682AA834">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14:paraId="2FDAE961">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58139B3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F1C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F176406">
            <w:pPr>
              <w:widowControl/>
              <w:spacing w:line="280" w:lineRule="exact"/>
              <w:jc w:val="left"/>
              <w:rPr>
                <w:rFonts w:hint="eastAsia" w:ascii="宋体" w:hAnsi="宋体" w:cs="宋体"/>
                <w:color w:val="auto"/>
                <w:kern w:val="0"/>
                <w:sz w:val="18"/>
                <w:szCs w:val="18"/>
                <w:highlight w:val="none"/>
              </w:rPr>
            </w:pPr>
          </w:p>
        </w:tc>
        <w:tc>
          <w:tcPr>
            <w:tcW w:w="1369" w:type="dxa"/>
            <w:vAlign w:val="center"/>
          </w:tcPr>
          <w:p w14:paraId="1C3CF3B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5282A1B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0074249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0EAC5F0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14:paraId="0E9C5DF1">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14:paraId="74204B5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61E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6F4AC0F">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369" w:type="dxa"/>
            <w:vAlign w:val="center"/>
          </w:tcPr>
          <w:p w14:paraId="3F0FAAD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919560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4536A22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60CD7E0C">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355EB95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0D9B4EA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656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B59B7C5">
            <w:pPr>
              <w:widowControl/>
              <w:spacing w:line="280" w:lineRule="exact"/>
              <w:jc w:val="left"/>
              <w:rPr>
                <w:rFonts w:hint="eastAsia" w:ascii="宋体" w:hAnsi="宋体" w:cs="宋体"/>
                <w:color w:val="auto"/>
                <w:kern w:val="0"/>
                <w:sz w:val="18"/>
                <w:szCs w:val="18"/>
                <w:highlight w:val="none"/>
              </w:rPr>
            </w:pPr>
          </w:p>
        </w:tc>
        <w:tc>
          <w:tcPr>
            <w:tcW w:w="1369" w:type="dxa"/>
            <w:vAlign w:val="center"/>
          </w:tcPr>
          <w:p w14:paraId="7D5B0B4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09545B9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118D696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7921E87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14:paraId="5BC266E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14:paraId="5C26906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8E0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D87E192">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369" w:type="dxa"/>
            <w:vAlign w:val="center"/>
          </w:tcPr>
          <w:p w14:paraId="11E9312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7EB6653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2F3BF8EF">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01" w:type="dxa"/>
            <w:vAlign w:val="center"/>
          </w:tcPr>
          <w:p w14:paraId="5AAC43E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26" w:type="dxa"/>
            <w:vAlign w:val="center"/>
          </w:tcPr>
          <w:p w14:paraId="1DCEFC01">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1CD5B07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7EA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94079DC">
            <w:pPr>
              <w:widowControl/>
              <w:spacing w:line="280" w:lineRule="exact"/>
              <w:jc w:val="left"/>
              <w:rPr>
                <w:rFonts w:hint="eastAsia" w:ascii="宋体" w:hAnsi="宋体" w:cs="宋体"/>
                <w:color w:val="auto"/>
                <w:kern w:val="0"/>
                <w:sz w:val="18"/>
                <w:szCs w:val="18"/>
                <w:highlight w:val="none"/>
              </w:rPr>
            </w:pPr>
          </w:p>
        </w:tc>
        <w:tc>
          <w:tcPr>
            <w:tcW w:w="1369" w:type="dxa"/>
            <w:vAlign w:val="center"/>
          </w:tcPr>
          <w:p w14:paraId="2CF02BC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13837AC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06B005D3">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01" w:type="dxa"/>
            <w:vAlign w:val="center"/>
          </w:tcPr>
          <w:p w14:paraId="453E9FA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426" w:type="dxa"/>
            <w:vAlign w:val="center"/>
          </w:tcPr>
          <w:p w14:paraId="5CAC91A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14:paraId="5A7C2C9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DA3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41F3F5CB">
            <w:pPr>
              <w:widowControl/>
              <w:spacing w:line="280" w:lineRule="exact"/>
              <w:jc w:val="left"/>
              <w:rPr>
                <w:rFonts w:hint="eastAsia"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369" w:type="dxa"/>
            <w:vAlign w:val="center"/>
          </w:tcPr>
          <w:p w14:paraId="5A5C039C">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7E78CC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68454E1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2B0C1CD1">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6282E8A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5AD103B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54B2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08597E7D">
            <w:pPr>
              <w:widowControl/>
              <w:spacing w:line="280" w:lineRule="exact"/>
              <w:jc w:val="left"/>
              <w:rPr>
                <w:rFonts w:hint="eastAsia" w:ascii="宋体" w:hAnsi="宋体" w:cs="宋体"/>
                <w:color w:val="auto"/>
                <w:spacing w:val="-12"/>
                <w:kern w:val="0"/>
                <w:sz w:val="18"/>
                <w:szCs w:val="18"/>
                <w:highlight w:val="none"/>
              </w:rPr>
            </w:pPr>
          </w:p>
        </w:tc>
        <w:tc>
          <w:tcPr>
            <w:tcW w:w="1369" w:type="dxa"/>
            <w:vAlign w:val="center"/>
          </w:tcPr>
          <w:p w14:paraId="29A113C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2C91E023">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B225F1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344B8212">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26" w:type="dxa"/>
            <w:vAlign w:val="center"/>
          </w:tcPr>
          <w:p w14:paraId="5B6D04C3">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992" w:type="dxa"/>
            <w:vAlign w:val="center"/>
          </w:tcPr>
          <w:p w14:paraId="114ACD2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5FEE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6CA2155">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369" w:type="dxa"/>
            <w:vAlign w:val="center"/>
          </w:tcPr>
          <w:p w14:paraId="7C0FA0B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40A15728">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F42B9C8">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01" w:type="dxa"/>
            <w:vAlign w:val="center"/>
          </w:tcPr>
          <w:p w14:paraId="387BFCB1">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426" w:type="dxa"/>
            <w:vAlign w:val="center"/>
          </w:tcPr>
          <w:p w14:paraId="7AC95EE3">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14:paraId="5F07916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3D0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03EEDF3F">
            <w:pPr>
              <w:widowControl/>
              <w:spacing w:line="280" w:lineRule="exact"/>
              <w:jc w:val="left"/>
              <w:rPr>
                <w:rFonts w:hint="eastAsia" w:ascii="宋体" w:hAnsi="宋体" w:cs="宋体"/>
                <w:color w:val="auto"/>
                <w:kern w:val="0"/>
                <w:sz w:val="18"/>
                <w:szCs w:val="18"/>
                <w:highlight w:val="none"/>
              </w:rPr>
            </w:pPr>
          </w:p>
        </w:tc>
        <w:tc>
          <w:tcPr>
            <w:tcW w:w="1369" w:type="dxa"/>
            <w:vAlign w:val="center"/>
          </w:tcPr>
          <w:p w14:paraId="3F72757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1E82DF21">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526999F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01" w:type="dxa"/>
            <w:vAlign w:val="center"/>
          </w:tcPr>
          <w:p w14:paraId="780543B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26" w:type="dxa"/>
            <w:vAlign w:val="center"/>
          </w:tcPr>
          <w:p w14:paraId="0C7ABCB8">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2000≤Z＜5000</w:t>
            </w:r>
          </w:p>
        </w:tc>
        <w:tc>
          <w:tcPr>
            <w:tcW w:w="992" w:type="dxa"/>
            <w:vAlign w:val="center"/>
          </w:tcPr>
          <w:p w14:paraId="473722F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14:paraId="42FC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2C796A8">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369" w:type="dxa"/>
            <w:vAlign w:val="center"/>
          </w:tcPr>
          <w:p w14:paraId="19EDCB8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42FE4078">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48FDE33B">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02FD2E4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7F00BBC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992" w:type="dxa"/>
            <w:vAlign w:val="center"/>
          </w:tcPr>
          <w:p w14:paraId="0873CE2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0251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EF6E8A4">
            <w:pPr>
              <w:widowControl/>
              <w:spacing w:line="280" w:lineRule="exact"/>
              <w:jc w:val="left"/>
              <w:rPr>
                <w:rFonts w:hint="eastAsia" w:ascii="宋体" w:hAnsi="宋体" w:cs="宋体"/>
                <w:color w:val="auto"/>
                <w:kern w:val="0"/>
                <w:sz w:val="18"/>
                <w:szCs w:val="18"/>
                <w:highlight w:val="none"/>
              </w:rPr>
            </w:pPr>
          </w:p>
        </w:tc>
        <w:tc>
          <w:tcPr>
            <w:tcW w:w="1369" w:type="dxa"/>
            <w:vAlign w:val="center"/>
          </w:tcPr>
          <w:p w14:paraId="00138E13">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322BE3E1">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23AE231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01" w:type="dxa"/>
            <w:vAlign w:val="center"/>
          </w:tcPr>
          <w:p w14:paraId="08875F42">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26" w:type="dxa"/>
            <w:vAlign w:val="center"/>
          </w:tcPr>
          <w:p w14:paraId="6158642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992" w:type="dxa"/>
            <w:vAlign w:val="center"/>
          </w:tcPr>
          <w:p w14:paraId="3ED8154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4FC7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177A79FE">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369" w:type="dxa"/>
            <w:vAlign w:val="center"/>
          </w:tcPr>
          <w:p w14:paraId="759D4BF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562B6507">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04537C3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465522C3">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14:paraId="28B28636">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6A87F79D">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6C1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4DC2D348">
            <w:pPr>
              <w:widowControl/>
              <w:spacing w:line="280" w:lineRule="exact"/>
              <w:jc w:val="left"/>
              <w:rPr>
                <w:rFonts w:hint="eastAsia" w:ascii="宋体" w:hAnsi="宋体" w:cs="宋体"/>
                <w:color w:val="auto"/>
                <w:kern w:val="0"/>
                <w:sz w:val="18"/>
                <w:szCs w:val="18"/>
                <w:highlight w:val="none"/>
              </w:rPr>
            </w:pPr>
          </w:p>
        </w:tc>
        <w:tc>
          <w:tcPr>
            <w:tcW w:w="1369" w:type="dxa"/>
            <w:vAlign w:val="center"/>
          </w:tcPr>
          <w:p w14:paraId="381F20E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277825D9">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0E7EDA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01" w:type="dxa"/>
            <w:vAlign w:val="center"/>
          </w:tcPr>
          <w:p w14:paraId="1C9B9D9E">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426" w:type="dxa"/>
            <w:vAlign w:val="center"/>
          </w:tcPr>
          <w:p w14:paraId="681D4F5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992" w:type="dxa"/>
            <w:vAlign w:val="center"/>
          </w:tcPr>
          <w:p w14:paraId="129A99B4">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14:paraId="4AF8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6DFFAF6A">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369" w:type="dxa"/>
            <w:vAlign w:val="center"/>
          </w:tcPr>
          <w:p w14:paraId="03FB2A4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358E9435">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21C35320">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53F90CB2">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14:paraId="1C037123">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4281730A">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42AE503A">
      <w:pPr>
        <w:widowControl/>
        <w:spacing w:line="280" w:lineRule="exact"/>
        <w:rPr>
          <w:rFonts w:hint="eastAsia" w:ascii="宋体" w:hAnsi="宋体" w:cs="宋体"/>
          <w:color w:val="auto"/>
          <w:spacing w:val="8"/>
          <w:kern w:val="0"/>
          <w:sz w:val="24"/>
          <w:highlight w:val="none"/>
        </w:rPr>
      </w:pPr>
    </w:p>
    <w:p w14:paraId="42897C63">
      <w:pPr>
        <w:widowControl/>
        <w:spacing w:line="360" w:lineRule="auto"/>
        <w:rPr>
          <w:rFonts w:hint="eastAsia" w:asciiTheme="minorEastAsia" w:hAnsiTheme="minorEastAsia" w:cstheme="minorEastAsia"/>
          <w:color w:val="auto"/>
          <w:spacing w:val="8"/>
          <w:kern w:val="0"/>
          <w:szCs w:val="21"/>
          <w:highlight w:val="none"/>
        </w:rPr>
      </w:pPr>
      <w:r>
        <w:rPr>
          <w:rFonts w:hint="eastAsia" w:asciiTheme="minorEastAsia" w:hAnsiTheme="minorEastAsia" w:cstheme="minorEastAsia"/>
          <w:color w:val="auto"/>
          <w:spacing w:val="8"/>
          <w:kern w:val="0"/>
          <w:szCs w:val="21"/>
          <w:highlight w:val="none"/>
        </w:rPr>
        <w:t>说明：</w:t>
      </w:r>
    </w:p>
    <w:p w14:paraId="769E8EA1">
      <w:pPr>
        <w:pStyle w:val="18"/>
        <w:adjustRightInd w:val="0"/>
        <w:spacing w:line="360" w:lineRule="auto"/>
        <w:ind w:firstLine="452" w:firstLineChars="200"/>
        <w:contextualSpacing/>
        <w:rPr>
          <w:rFonts w:hint="eastAsia"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1.大型、中型和小型企业须同时满足所列指标的下限，否则下划一档；微型企业只须满足所列指标中的一项即可。</w:t>
      </w:r>
    </w:p>
    <w:p w14:paraId="57CAA65C">
      <w:pPr>
        <w:pStyle w:val="18"/>
        <w:adjustRightInd w:val="0"/>
        <w:spacing w:line="360" w:lineRule="auto"/>
        <w:ind w:firstLine="452" w:firstLineChars="200"/>
        <w:contextualSpacing/>
        <w:rPr>
          <w:rFonts w:hint="eastAsia"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C5604B0">
      <w:pPr>
        <w:pStyle w:val="18"/>
        <w:spacing w:line="360" w:lineRule="auto"/>
        <w:ind w:firstLine="452" w:firstLineChars="200"/>
        <w:rPr>
          <w:rFonts w:hint="eastAsia"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0004645">
      <w:pPr>
        <w:widowControl/>
        <w:jc w:val="left"/>
        <w:rPr>
          <w:rFonts w:hint="eastAsia"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br w:type="page"/>
      </w:r>
    </w:p>
    <w:p w14:paraId="35A22109">
      <w:pPr>
        <w:pStyle w:val="27"/>
        <w:widowControl/>
        <w:shd w:val="clear" w:color="auto" w:fill="FFFFFF"/>
        <w:spacing w:before="30" w:after="30" w:line="428" w:lineRule="exact"/>
        <w:jc w:val="left"/>
        <w:rPr>
          <w:rFonts w:hint="eastAsia" w:ascii="宋体" w:hAnsi="宋体" w:cs="宋体"/>
          <w:color w:val="auto"/>
          <w:sz w:val="32"/>
          <w:szCs w:val="32"/>
          <w:highlight w:val="none"/>
        </w:rPr>
      </w:pPr>
      <w:r>
        <w:rPr>
          <w:rFonts w:hint="eastAsia" w:ascii="宋体" w:hAnsi="宋体" w:cs="宋体"/>
          <w:color w:val="auto"/>
          <w:sz w:val="32"/>
          <w:szCs w:val="32"/>
          <w:highlight w:val="none"/>
        </w:rPr>
        <w:t>附件3</w:t>
      </w:r>
    </w:p>
    <w:p w14:paraId="193AF2C4">
      <w:pPr>
        <w:pStyle w:val="27"/>
        <w:widowControl/>
        <w:shd w:val="clear" w:color="auto" w:fill="FFFFFF"/>
        <w:spacing w:before="30" w:after="30" w:line="528" w:lineRule="exact"/>
        <w:jc w:val="center"/>
        <w:rPr>
          <w:rFonts w:hint="eastAsia" w:ascii="宋体" w:hAnsi="宋体" w:cs="宋体"/>
          <w:b/>
          <w:color w:val="auto"/>
          <w:kern w:val="2"/>
          <w:sz w:val="30"/>
          <w:szCs w:val="30"/>
          <w:highlight w:val="none"/>
        </w:rPr>
      </w:pPr>
      <w:r>
        <w:rPr>
          <w:rFonts w:hint="eastAsia" w:ascii="宋体" w:hAnsi="宋体" w:cs="宋体"/>
          <w:b/>
          <w:color w:val="auto"/>
          <w:kern w:val="2"/>
          <w:sz w:val="30"/>
          <w:szCs w:val="30"/>
          <w:highlight w:val="none"/>
        </w:rPr>
        <w:t>中国境内生产的组件成本核算基本规则</w:t>
      </w:r>
    </w:p>
    <w:p w14:paraId="0271E635">
      <w:pPr>
        <w:pStyle w:val="27"/>
        <w:widowControl/>
        <w:shd w:val="clear" w:color="auto" w:fill="FFFFFF"/>
        <w:spacing w:before="30" w:after="30" w:line="528" w:lineRule="exact"/>
        <w:ind w:firstLine="420" w:firstLineChars="200"/>
        <w:rPr>
          <w:rFonts w:hint="eastAsia" w:ascii="宋体" w:hAnsi="宋体" w:cs="宋体"/>
          <w:color w:val="auto"/>
          <w:kern w:val="2"/>
          <w:sz w:val="21"/>
          <w:szCs w:val="21"/>
          <w:highlight w:val="none"/>
        </w:rPr>
      </w:pPr>
    </w:p>
    <w:p w14:paraId="5E423BF1">
      <w:pPr>
        <w:pStyle w:val="27"/>
        <w:widowControl/>
        <w:shd w:val="clear" w:color="auto" w:fill="FFFFFF"/>
        <w:spacing w:before="30" w:after="30" w:line="528" w:lineRule="exact"/>
        <w:ind w:firstLine="420" w:firstLineChars="200"/>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7164EFE2">
      <w:pPr>
        <w:pStyle w:val="27"/>
        <w:widowControl/>
        <w:shd w:val="clear" w:color="auto" w:fill="FFFFFF"/>
        <w:spacing w:before="30" w:after="30" w:line="528" w:lineRule="exact"/>
        <w:ind w:firstLine="420" w:firstLineChars="200"/>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一、产品的一级组件是指直接组成产品的组件。产品的二级组件是指直接组成产品一级组件的组件。一级组件不可分解的，视同二级组件。</w:t>
      </w:r>
    </w:p>
    <w:p w14:paraId="65741FB8">
      <w:pPr>
        <w:pStyle w:val="27"/>
        <w:widowControl/>
        <w:shd w:val="clear" w:color="auto" w:fill="FFFFFF"/>
        <w:spacing w:before="30" w:after="30" w:line="528" w:lineRule="exact"/>
        <w:ind w:firstLine="420" w:firstLineChars="200"/>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二、二级组件在中国境内生产的，其全部成本计入中国境内生产的组件成本；二级组件不在中国境内生产的，其成本不计入中国境内生产的组件成本。</w:t>
      </w:r>
    </w:p>
    <w:p w14:paraId="6CE4FD4C">
      <w:pPr>
        <w:pStyle w:val="27"/>
        <w:widowControl/>
        <w:shd w:val="clear" w:color="auto" w:fill="FFFFFF"/>
        <w:spacing w:before="30" w:after="30" w:line="528" w:lineRule="exact"/>
        <w:ind w:firstLine="420" w:firstLineChars="200"/>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三、产品总成本和组件成本以相关会计核算数据、采购合同、进货记录等为基础进行计算。</w:t>
      </w:r>
    </w:p>
    <w:p w14:paraId="175BB00B">
      <w:pPr>
        <w:pStyle w:val="27"/>
        <w:widowControl/>
        <w:shd w:val="clear" w:color="auto" w:fill="FFFFFF"/>
        <w:spacing w:before="30" w:after="30" w:line="528"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四、需要对成本核算规则予以进一步明确的其他有关事项，由财政部会同有关部门另行规定。</w:t>
      </w:r>
    </w:p>
    <w:p w14:paraId="5874E47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512094D1">
      <w:pPr>
        <w:pStyle w:val="27"/>
        <w:widowControl/>
        <w:shd w:val="clear" w:color="auto" w:fill="FFFFFF"/>
        <w:spacing w:before="30" w:after="30" w:line="528" w:lineRule="exact"/>
        <w:jc w:val="center"/>
        <w:rPr>
          <w:rFonts w:ascii="Times New Roman" w:hAnsi="Times New Roman"/>
          <w:b/>
          <w:bCs/>
          <w:color w:val="auto"/>
          <w:kern w:val="44"/>
          <w:sz w:val="44"/>
          <w:szCs w:val="44"/>
          <w:highlight w:val="none"/>
          <w:lang w:val="zh-CN"/>
        </w:rPr>
      </w:pPr>
      <w:bookmarkStart w:id="57" w:name="_Toc16363"/>
      <w:bookmarkStart w:id="58" w:name="_Toc25569"/>
      <w:bookmarkStart w:id="59" w:name="_Toc10873"/>
      <w:bookmarkStart w:id="60" w:name="_Toc1222"/>
      <w:bookmarkStart w:id="61" w:name="_Toc9409"/>
      <w:bookmarkStart w:id="62" w:name="_Toc2044"/>
      <w:bookmarkStart w:id="63" w:name="_Toc382"/>
      <w:r>
        <w:rPr>
          <w:rFonts w:hint="eastAsia" w:ascii="Cambria" w:hAnsi="Cambria"/>
          <w:b/>
          <w:color w:val="auto"/>
          <w:kern w:val="44"/>
          <w:sz w:val="32"/>
          <w:szCs w:val="32"/>
          <w:highlight w:val="none"/>
          <w:lang w:val="zh-CN"/>
        </w:rPr>
        <w:t>第三章 供应商须知</w:t>
      </w:r>
      <w:bookmarkEnd w:id="55"/>
      <w:bookmarkEnd w:id="56"/>
      <w:bookmarkEnd w:id="57"/>
      <w:bookmarkEnd w:id="58"/>
      <w:bookmarkEnd w:id="59"/>
      <w:bookmarkEnd w:id="60"/>
      <w:bookmarkEnd w:id="61"/>
      <w:bookmarkEnd w:id="62"/>
      <w:bookmarkEnd w:id="63"/>
    </w:p>
    <w:p w14:paraId="3E77D5F2">
      <w:pPr>
        <w:keepNext/>
        <w:keepLines/>
        <w:spacing w:before="260" w:after="260"/>
        <w:jc w:val="center"/>
        <w:outlineLvl w:val="1"/>
        <w:rPr>
          <w:rFonts w:hint="eastAsia" w:ascii="宋体" w:hAnsi="宋体" w:eastAsia="宋体" w:cs="Times New Roman"/>
          <w:bCs/>
          <w:color w:val="auto"/>
          <w:sz w:val="32"/>
          <w:szCs w:val="32"/>
          <w:highlight w:val="none"/>
          <w:lang w:val="zh-CN"/>
        </w:rPr>
      </w:pPr>
      <w:bookmarkStart w:id="64" w:name="_Toc10590"/>
      <w:bookmarkStart w:id="65" w:name="_Toc80205923"/>
      <w:bookmarkStart w:id="66" w:name="_Toc28658"/>
      <w:r>
        <w:rPr>
          <w:rFonts w:hint="eastAsia" w:ascii="宋体" w:hAnsi="宋体" w:eastAsia="宋体" w:cs="Times New Roman"/>
          <w:bCs/>
          <w:color w:val="auto"/>
          <w:sz w:val="32"/>
          <w:szCs w:val="32"/>
          <w:highlight w:val="none"/>
          <w:lang w:val="zh-CN"/>
        </w:rPr>
        <w:t>第一节 供应商须知前附表</w:t>
      </w:r>
      <w:bookmarkEnd w:id="64"/>
      <w:bookmarkEnd w:id="65"/>
      <w:bookmarkEnd w:id="66"/>
    </w:p>
    <w:tbl>
      <w:tblPr>
        <w:tblStyle w:val="32"/>
        <w:tblW w:w="99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2195"/>
        <w:gridCol w:w="6773"/>
      </w:tblGrid>
      <w:tr w14:paraId="0B262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92" w:type="dxa"/>
          </w:tcPr>
          <w:p w14:paraId="6C83A181">
            <w:pPr>
              <w:spacing w:line="38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195" w:type="dxa"/>
            <w:vAlign w:val="center"/>
          </w:tcPr>
          <w:p w14:paraId="0EF580C3">
            <w:pPr>
              <w:spacing w:line="38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773" w:type="dxa"/>
          </w:tcPr>
          <w:p w14:paraId="47129952">
            <w:pPr>
              <w:spacing w:line="38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14:paraId="69858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92" w:type="dxa"/>
            <w:vAlign w:val="center"/>
          </w:tcPr>
          <w:p w14:paraId="61C444C1">
            <w:pPr>
              <w:spacing w:line="360" w:lineRule="auto"/>
              <w:jc w:val="center"/>
              <w:rPr>
                <w:rFonts w:hint="eastAsia" w:ascii="宋体" w:hAnsi="宋体" w:eastAsia="宋体" w:cs="宋体"/>
                <w:b/>
                <w:color w:val="auto"/>
                <w:szCs w:val="21"/>
                <w:highlight w:val="none"/>
              </w:rPr>
            </w:pPr>
            <w:r>
              <w:rPr>
                <w:rFonts w:hint="eastAsia" w:ascii="宋体" w:hAnsi="宋体" w:eastAsia="宋体" w:cs="Times New Roman"/>
                <w:color w:val="auto"/>
                <w:szCs w:val="21"/>
                <w:highlight w:val="none"/>
              </w:rPr>
              <w:t>2.9</w:t>
            </w:r>
          </w:p>
        </w:tc>
        <w:tc>
          <w:tcPr>
            <w:tcW w:w="2195" w:type="dxa"/>
            <w:vAlign w:val="center"/>
          </w:tcPr>
          <w:p w14:paraId="5A093972">
            <w:pPr>
              <w:spacing w:line="360" w:lineRule="auto"/>
              <w:jc w:val="center"/>
              <w:rPr>
                <w:rFonts w:hint="eastAsia" w:ascii="宋体" w:hAnsi="宋体" w:eastAsia="宋体" w:cs="宋体"/>
                <w:b/>
                <w:color w:val="auto"/>
                <w:szCs w:val="21"/>
                <w:highlight w:val="none"/>
              </w:rPr>
            </w:pPr>
            <w:r>
              <w:rPr>
                <w:rFonts w:hint="eastAsia" w:ascii="宋体" w:hAnsi="宋体" w:eastAsia="宋体" w:cs="Times New Roman"/>
                <w:color w:val="auto"/>
                <w:szCs w:val="21"/>
                <w:highlight w:val="none"/>
              </w:rPr>
              <w:t>实质性要求</w:t>
            </w:r>
          </w:p>
        </w:tc>
        <w:tc>
          <w:tcPr>
            <w:tcW w:w="6773" w:type="dxa"/>
          </w:tcPr>
          <w:p w14:paraId="0ED85EA0">
            <w:pPr>
              <w:spacing w:line="360" w:lineRule="auto"/>
              <w:jc w:val="left"/>
              <w:rPr>
                <w:rFonts w:hint="eastAsia" w:ascii="宋体" w:hAnsi="宋体" w:eastAsia="宋体" w:cs="宋体"/>
                <w:b/>
                <w:color w:val="auto"/>
                <w:szCs w:val="21"/>
                <w:highlight w:val="none"/>
              </w:rPr>
            </w:pPr>
            <w:r>
              <w:rPr>
                <w:rFonts w:hint="eastAsia" w:ascii="宋体" w:hAnsi="宋体" w:eastAsia="宋体" w:cs="Times New Roman"/>
                <w:color w:val="auto"/>
                <w:szCs w:val="21"/>
                <w:highlight w:val="none"/>
              </w:rPr>
              <w:t>指竞争性谈判文件中已经指明不提供或不满足则响应文件作无效响应处理的条款，或者采购需求及响应文件格式中带“▲”的条款。</w:t>
            </w:r>
          </w:p>
        </w:tc>
      </w:tr>
      <w:tr w14:paraId="06B0B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92" w:type="dxa"/>
            <w:vAlign w:val="center"/>
          </w:tcPr>
          <w:p w14:paraId="379765DF">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195" w:type="dxa"/>
            <w:vAlign w:val="center"/>
          </w:tcPr>
          <w:p w14:paraId="5AF81281">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73" w:type="dxa"/>
          </w:tcPr>
          <w:p w14:paraId="78355F03">
            <w:pPr>
              <w:spacing w:line="380" w:lineRule="exact"/>
              <w:rPr>
                <w:rFonts w:hint="eastAsia" w:ascii="宋体" w:hAnsi="宋体" w:eastAsia="宋体" w:cs="宋体"/>
                <w:b/>
                <w:color w:val="auto"/>
                <w:szCs w:val="21"/>
                <w:highlight w:val="none"/>
              </w:rPr>
            </w:pPr>
            <w:r>
              <w:rPr>
                <w:rFonts w:hint="eastAsia" w:ascii="宋体" w:hAnsi="宋体" w:eastAsia="宋体" w:cs="Times New Roman"/>
                <w:color w:val="auto"/>
                <w:szCs w:val="21"/>
                <w:highlight w:val="none"/>
              </w:rPr>
              <w:t xml:space="preserve">供应商资格条件要求详见竞争性谈判公告。 </w:t>
            </w:r>
          </w:p>
        </w:tc>
      </w:tr>
      <w:tr w14:paraId="5910A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AED61A4">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195" w:type="dxa"/>
            <w:vAlign w:val="center"/>
          </w:tcPr>
          <w:p w14:paraId="3969CF0A">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73" w:type="dxa"/>
            <w:vAlign w:val="center"/>
          </w:tcPr>
          <w:p w14:paraId="572700DC">
            <w:pPr>
              <w:spacing w:line="380" w:lineRule="exact"/>
              <w:rPr>
                <w:rFonts w:hint="eastAsia" w:ascii="宋体" w:hAnsi="宋体" w:eastAsia="宋体" w:cs="宋体"/>
                <w:color w:val="auto"/>
                <w:szCs w:val="21"/>
                <w:highlight w:val="none"/>
              </w:rPr>
            </w:pPr>
            <w:bookmarkStart w:id="67" w:name="PO_3000001871_PM007_1"/>
            <w:r>
              <w:rPr>
                <w:rFonts w:hint="eastAsia" w:ascii="宋体" w:hAnsi="宋体" w:eastAsia="宋体" w:cs="Times New Roman"/>
                <w:color w:val="auto"/>
                <w:szCs w:val="21"/>
                <w:highlight w:val="none"/>
              </w:rPr>
              <w:t>详见竞争性谈判公告</w:t>
            </w:r>
            <w:bookmarkEnd w:id="67"/>
            <w:r>
              <w:rPr>
                <w:rFonts w:hint="eastAsia" w:ascii="宋体" w:hAnsi="宋体" w:eastAsia="宋体" w:cs="Times New Roman"/>
                <w:color w:val="auto"/>
                <w:szCs w:val="21"/>
                <w:highlight w:val="none"/>
              </w:rPr>
              <w:t>。</w:t>
            </w:r>
          </w:p>
        </w:tc>
      </w:tr>
      <w:tr w14:paraId="21F97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BC417BC">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ascii="宋体" w:hAnsi="宋体" w:eastAsia="宋体" w:cs="宋体"/>
                <w:color w:val="auto"/>
                <w:szCs w:val="21"/>
                <w:highlight w:val="none"/>
              </w:rPr>
              <w:t>.2</w:t>
            </w:r>
          </w:p>
        </w:tc>
        <w:tc>
          <w:tcPr>
            <w:tcW w:w="2195" w:type="dxa"/>
            <w:vAlign w:val="center"/>
          </w:tcPr>
          <w:p w14:paraId="6069F3F7">
            <w:pPr>
              <w:spacing w:line="380" w:lineRule="exact"/>
              <w:jc w:val="center"/>
              <w:rPr>
                <w:rFonts w:hint="eastAsia" w:ascii="宋体" w:hAnsi="宋体" w:eastAsia="宋体" w:cs="宋体"/>
                <w:color w:val="auto"/>
                <w:szCs w:val="21"/>
                <w:highlight w:val="none"/>
              </w:rPr>
            </w:pPr>
            <w:r>
              <w:rPr>
                <w:rFonts w:hint="eastAsia" w:ascii="宋体" w:hAnsi="宋体" w:eastAsia="宋体" w:cs="Times New Roman"/>
                <w:color w:val="auto"/>
                <w:szCs w:val="21"/>
                <w:highlight w:val="none"/>
              </w:rPr>
              <w:t>联合体竞标要求</w:t>
            </w:r>
          </w:p>
        </w:tc>
        <w:tc>
          <w:tcPr>
            <w:tcW w:w="6773" w:type="dxa"/>
            <w:vAlign w:val="center"/>
          </w:tcPr>
          <w:p w14:paraId="3483079D">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☑不接受联合体。</w:t>
            </w:r>
          </w:p>
          <w:p w14:paraId="426445DE">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□接受联合体：</w:t>
            </w:r>
          </w:p>
          <w:p w14:paraId="16B9FB33">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1.两个以上供应商可以组成一个竞标联合体，以一个供应商的身份共同参加竞标，联合体供应商的名称应统一按“XXX公司与XXX公司的联合体”的规则填写。</w:t>
            </w:r>
          </w:p>
          <w:p w14:paraId="0944CF59">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2.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竞争性谈判文件规定的特定条件。</w:t>
            </w:r>
          </w:p>
          <w:p w14:paraId="402B8B33">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3. 联合体竞标的，须提供《联合体竞标协议书》（格式后附），协议书必须明确主体方（或者牵头方）并明确约定联合体各方承担的工作和相应的责任（各方承担责任与义务的分工必须符合采购需求，否则，联合体竞标无效），并将联合竞标协议放入响应文件。联合体各方必须共同与采购人签订采购合同，就采购合同约定的事项对采购人承担连带责任。</w:t>
            </w:r>
          </w:p>
          <w:p w14:paraId="74D28DC3">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4.以联合体形式参加政府采购活动的，联合体各方不得再单独参加或者与其他供应商另外组成联合体参加同一合同项下的政府采购活动，否则与之相关的响应文件作废。</w:t>
            </w:r>
          </w:p>
          <w:p w14:paraId="007BBA9A">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5.联合体中有同类资质的供应商按照联合体分工承担相同工作的，应当按照资质等级较低的供应商确定资质等级。</w:t>
            </w:r>
          </w:p>
          <w:p w14:paraId="7F93A5A5">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6.联合体竞标业绩、履约能力按照联合体各方其中较高的一方认定并计算（竞争性谈判文件另有规定的除外）。</w:t>
            </w:r>
          </w:p>
          <w:p w14:paraId="50B62178">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7.供应商为联合体的，可以由联合体中的一方或者多方共同缴纳谈判保证金，其缴纳的谈判保证金对联合体各方均具有约束力。</w:t>
            </w:r>
          </w:p>
          <w:p w14:paraId="0B4DCEC9">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8.联合体各方均应按照竞争性谈判文件的规定提交资格文件。</w:t>
            </w:r>
          </w:p>
        </w:tc>
      </w:tr>
      <w:tr w14:paraId="17B87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A74478C">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195" w:type="dxa"/>
            <w:vAlign w:val="center"/>
          </w:tcPr>
          <w:p w14:paraId="51A5FDD4">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73" w:type="dxa"/>
            <w:vAlign w:val="center"/>
          </w:tcPr>
          <w:p w14:paraId="6AC68ED5">
            <w:pPr>
              <w:spacing w:line="380" w:lineRule="exact"/>
              <w:jc w:val="left"/>
              <w:rPr>
                <w:rFonts w:hint="eastAsia" w:ascii="宋体" w:hAnsi="宋体" w:eastAsia="宋体" w:cs="Times New Roman"/>
                <w:color w:val="auto"/>
                <w:szCs w:val="21"/>
                <w:highlight w:val="none"/>
              </w:rPr>
            </w:pPr>
            <w:bookmarkStart w:id="68" w:name="PO_3000001871_PM044"/>
            <w:r>
              <w:rPr>
                <w:rFonts w:hint="eastAsia"/>
                <w:color w:val="auto"/>
                <w:highlight w:val="none"/>
              </w:rPr>
              <w:t>□</w:t>
            </w:r>
            <w:r>
              <w:rPr>
                <w:rFonts w:hint="eastAsia" w:ascii="宋体" w:hAnsi="宋体" w:eastAsia="宋体" w:cs="Times New Roman"/>
                <w:color w:val="auto"/>
                <w:szCs w:val="21"/>
                <w:highlight w:val="none"/>
              </w:rPr>
              <w:t>不允许分包</w:t>
            </w:r>
            <w:bookmarkEnd w:id="68"/>
          </w:p>
          <w:p w14:paraId="50E8C716">
            <w:pPr>
              <w:pStyle w:val="12"/>
              <w:spacing w:line="380" w:lineRule="exact"/>
              <w:rPr>
                <w:color w:val="auto"/>
                <w:highlight w:val="none"/>
                <w:lang w:val="en-US"/>
              </w:rPr>
            </w:pPr>
            <w:r>
              <w:rPr>
                <w:rFonts w:hint="eastAsia"/>
                <w:color w:val="auto"/>
                <w:highlight w:val="none"/>
                <w:lang w:val="en-US"/>
              </w:rPr>
              <w:t>☑允许分包</w:t>
            </w:r>
          </w:p>
          <w:p w14:paraId="250CCC5D">
            <w:pPr>
              <w:spacing w:line="380" w:lineRule="exact"/>
              <w:jc w:val="left"/>
              <w:rPr>
                <w:rFonts w:hint="eastAsia"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分包内容：</w:t>
            </w:r>
            <w:r>
              <w:rPr>
                <w:rFonts w:hint="eastAsia" w:ascii="宋体" w:hAnsi="宋体" w:eastAsia="宋体" w:cs="Times New Roman"/>
                <w:color w:val="auto"/>
                <w:szCs w:val="21"/>
                <w:highlight w:val="none"/>
                <w:u w:val="single"/>
              </w:rPr>
              <w:t>设备安装及电力电缆敷设。</w:t>
            </w:r>
          </w:p>
          <w:p w14:paraId="7B58A6BC">
            <w:pPr>
              <w:spacing w:line="380" w:lineRule="exact"/>
              <w:jc w:val="left"/>
              <w:rPr>
                <w:rFonts w:hint="eastAsia" w:ascii="宋体" w:hAnsi="宋体" w:eastAsia="宋体" w:cs="宋体"/>
                <w:color w:val="auto"/>
                <w:szCs w:val="21"/>
                <w:highlight w:val="none"/>
              </w:rPr>
            </w:pPr>
            <w:r>
              <w:rPr>
                <w:rFonts w:hint="eastAsia" w:ascii="宋体" w:hAnsi="宋体" w:eastAsia="宋体" w:cs="Times New Roman"/>
                <w:color w:val="auto"/>
                <w:szCs w:val="21"/>
                <w:highlight w:val="none"/>
              </w:rPr>
              <w:t>分包金额或者比例：</w:t>
            </w:r>
            <w:r>
              <w:rPr>
                <w:rFonts w:hint="eastAsia" w:ascii="宋体" w:hAnsi="宋体" w:eastAsia="宋体" w:cs="Times New Roman"/>
                <w:color w:val="auto"/>
                <w:szCs w:val="21"/>
                <w:highlight w:val="none"/>
                <w:u w:val="single"/>
              </w:rPr>
              <w:t>不超过¥45000.00。</w:t>
            </w:r>
          </w:p>
        </w:tc>
      </w:tr>
      <w:tr w14:paraId="73DBC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A6951B2">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w:t>
            </w:r>
            <w:r>
              <w:rPr>
                <w:rFonts w:ascii="宋体" w:hAnsi="宋体" w:eastAsia="宋体" w:cs="宋体"/>
                <w:color w:val="auto"/>
                <w:szCs w:val="21"/>
                <w:highlight w:val="none"/>
              </w:rPr>
              <w:t>1</w:t>
            </w:r>
          </w:p>
        </w:tc>
        <w:tc>
          <w:tcPr>
            <w:tcW w:w="2195" w:type="dxa"/>
            <w:vAlign w:val="center"/>
          </w:tcPr>
          <w:p w14:paraId="5C13E26D">
            <w:pPr>
              <w:snapToGrid w:val="0"/>
              <w:spacing w:line="38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资格文件组成</w:t>
            </w:r>
          </w:p>
          <w:p w14:paraId="2DC1157D">
            <w:pPr>
              <w:spacing w:line="380" w:lineRule="exact"/>
              <w:jc w:val="center"/>
              <w:rPr>
                <w:rFonts w:hint="eastAsia" w:ascii="宋体" w:hAnsi="宋体" w:eastAsia="宋体" w:cs="宋体"/>
                <w:color w:val="auto"/>
                <w:szCs w:val="21"/>
                <w:highlight w:val="none"/>
              </w:rPr>
            </w:pPr>
          </w:p>
        </w:tc>
        <w:tc>
          <w:tcPr>
            <w:tcW w:w="6773" w:type="dxa"/>
            <w:vAlign w:val="center"/>
          </w:tcPr>
          <w:p w14:paraId="1DD549B3">
            <w:pPr>
              <w:spacing w:line="380" w:lineRule="exact"/>
              <w:jc w:val="left"/>
              <w:rPr>
                <w:rFonts w:hint="eastAsia" w:ascii="宋体" w:hAnsi="宋体" w:eastAsia="宋体" w:cs="Times New Roman"/>
                <w:color w:val="auto"/>
                <w:szCs w:val="21"/>
                <w:highlight w:val="none"/>
              </w:rPr>
            </w:pPr>
            <w:r>
              <w:rPr>
                <w:rFonts w:hint="eastAsia" w:ascii="宋体" w:hAnsi="宋体" w:eastAsia="宋体" w:cs="宋体"/>
                <w:color w:val="auto"/>
                <w:szCs w:val="21"/>
                <w:highlight w:val="none"/>
              </w:rPr>
              <w:t>1.</w:t>
            </w:r>
            <w:r>
              <w:rPr>
                <w:rFonts w:hint="eastAsia"/>
                <w:color w:val="auto"/>
                <w:highlight w:val="none"/>
              </w:rPr>
              <w:t>供应商为法人或者其他组织的，提供营业执照等证明文件复印件（如营业执照或者事业单位法人证书或者执业许可证等），供应商为自然人的，提供有效身份证正反面复印件；银行、保险、石油石化、电力、电信等有行业特殊情况的，法人的分支机构经法人授权后可以分支机构的身份参加政府采购。如供应商为分支机构的，必须在响应文件中同时提供经法人授权供应商以分支机构名义参加竞标的</w:t>
            </w:r>
            <w:r>
              <w:rPr>
                <w:rFonts w:hint="eastAsia" w:ascii="宋体" w:hAnsi="宋体" w:cs="宋体"/>
                <w:color w:val="auto"/>
                <w:szCs w:val="21"/>
                <w:highlight w:val="none"/>
              </w:rPr>
              <w:t>授权委托书、法人营业执照及分支机构营业执照的复印件</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4618AA16">
            <w:pPr>
              <w:snapToGrid w:val="0"/>
              <w:spacing w:line="380" w:lineRule="exact"/>
              <w:jc w:val="left"/>
              <w:rPr>
                <w:rFonts w:hint="eastAsia" w:ascii="宋体" w:hAnsi="宋体" w:cs="宋体"/>
                <w:color w:val="auto"/>
                <w:szCs w:val="21"/>
                <w:highlight w:val="none"/>
              </w:rPr>
            </w:pPr>
            <w:bookmarkStart w:id="69" w:name="OLE_LINK8"/>
            <w:r>
              <w:rPr>
                <w:rFonts w:hint="eastAsia" w:ascii="宋体" w:hAnsi="宋体" w:cs="宋体"/>
                <w:color w:val="auto"/>
                <w:szCs w:val="21"/>
                <w:highlight w:val="none"/>
              </w:rPr>
              <w:t>2.供应商依法缴纳税收的相关材料（提供税款所属时期为</w:t>
            </w:r>
            <w:r>
              <w:rPr>
                <w:rFonts w:hint="eastAsia" w:ascii="宋体" w:hAnsi="宋体" w:eastAsia="宋体" w:cs="宋体"/>
                <w:color w:val="auto"/>
                <w:szCs w:val="21"/>
                <w:highlight w:val="none"/>
                <w:u w:val="single"/>
              </w:rPr>
              <w:t>2025</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9</w:t>
            </w:r>
            <w:r>
              <w:rPr>
                <w:rFonts w:hint="eastAsia" w:ascii="宋体" w:hAnsi="宋体" w:eastAsia="宋体" w:cs="宋体"/>
                <w:color w:val="auto"/>
                <w:szCs w:val="21"/>
                <w:highlight w:val="none"/>
              </w:rPr>
              <w:t>月至首次响应文件提交截止时间止</w:t>
            </w:r>
            <w:r>
              <w:rPr>
                <w:rFonts w:hint="eastAsia" w:ascii="宋体" w:hAnsi="宋体" w:cs="宋体"/>
                <w:color w:val="auto"/>
                <w:szCs w:val="21"/>
                <w:highlight w:val="none"/>
              </w:rPr>
              <w:t>的</w:t>
            </w:r>
            <w:r>
              <w:rPr>
                <w:rFonts w:hint="eastAsia" w:ascii="宋体" w:hAnsi="宋体" w:eastAsia="宋体" w:cs="宋体"/>
                <w:color w:val="auto"/>
                <w:szCs w:val="21"/>
                <w:highlight w:val="none"/>
              </w:rPr>
              <w:t>任意</w:t>
            </w:r>
            <w:r>
              <w:rPr>
                <w:rFonts w:hint="eastAsia" w:ascii="宋体" w:hAnsi="宋体" w:eastAsia="宋体" w:cs="宋体"/>
                <w:color w:val="auto"/>
                <w:szCs w:val="21"/>
                <w:highlight w:val="none"/>
                <w:u w:val="single"/>
              </w:rPr>
              <w:t xml:space="preserve"> 3 </w:t>
            </w:r>
            <w:r>
              <w:rPr>
                <w:rFonts w:hint="eastAsia" w:ascii="宋体" w:hAnsi="宋体" w:eastAsia="宋体" w:cs="宋体"/>
                <w:color w:val="auto"/>
                <w:szCs w:val="21"/>
                <w:highlight w:val="none"/>
              </w:rPr>
              <w:t>个月</w:t>
            </w:r>
            <w:r>
              <w:rPr>
                <w:rFonts w:hint="eastAsia" w:ascii="宋体" w:hAnsi="宋体" w:cs="宋体"/>
                <w:color w:val="auto"/>
                <w:szCs w:val="21"/>
                <w:highlight w:val="none"/>
              </w:rPr>
              <w:t>的依法缴纳税收的凭据复印件；</w:t>
            </w:r>
            <w:r>
              <w:rPr>
                <w:rFonts w:hint="eastAsia"/>
                <w:color w:val="auto"/>
                <w:highlight w:val="none"/>
              </w:rPr>
              <w:t>依法免税的</w:t>
            </w:r>
            <w:r>
              <w:rPr>
                <w:rFonts w:hint="eastAsia" w:ascii="宋体" w:hAnsi="宋体"/>
                <w:color w:val="auto"/>
                <w:szCs w:val="21"/>
                <w:highlight w:val="none"/>
              </w:rPr>
              <w:t>供应商</w:t>
            </w:r>
            <w:r>
              <w:rPr>
                <w:rFonts w:hint="eastAsia"/>
                <w:color w:val="auto"/>
                <w:highlight w:val="none"/>
              </w:rPr>
              <w:t>，必须提供相应文件证明其依法免税。</w:t>
            </w:r>
            <w:r>
              <w:rPr>
                <w:rFonts w:hint="eastAsia" w:ascii="宋体" w:hAnsi="宋体" w:cs="宋体"/>
                <w:color w:val="auto"/>
                <w:szCs w:val="21"/>
                <w:highlight w:val="none"/>
              </w:rPr>
              <w:t>从取得营业执照时间起到首次响应文件提交截止时间为止不足要求月数的，只需提供从取得营业执照起的依法缴纳税收</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bookmarkEnd w:id="69"/>
          </w:p>
          <w:p w14:paraId="2B2AE9FA">
            <w:pPr>
              <w:snapToGrid w:val="0"/>
              <w:spacing w:line="380" w:lineRule="exact"/>
              <w:jc w:val="left"/>
              <w:rPr>
                <w:rFonts w:hint="eastAsia" w:ascii="宋体" w:hAnsi="宋体" w:cs="宋体"/>
                <w:color w:val="auto"/>
                <w:szCs w:val="21"/>
                <w:highlight w:val="none"/>
              </w:rPr>
            </w:pPr>
            <w:bookmarkStart w:id="70" w:name="OLE_LINK9"/>
            <w:r>
              <w:rPr>
                <w:rFonts w:hint="eastAsia" w:ascii="宋体" w:hAnsi="宋体" w:cs="宋体"/>
                <w:color w:val="auto"/>
                <w:szCs w:val="21"/>
                <w:highlight w:val="none"/>
              </w:rPr>
              <w:t>3.供应商依法缴纳社会保障资金的相关材料（提供税款所属时期或缴费起始时间为</w:t>
            </w:r>
            <w:r>
              <w:rPr>
                <w:rFonts w:hint="eastAsia" w:ascii="宋体" w:hAnsi="宋体" w:eastAsia="宋体" w:cs="宋体"/>
                <w:color w:val="auto"/>
                <w:szCs w:val="21"/>
                <w:highlight w:val="none"/>
                <w:u w:val="single"/>
              </w:rPr>
              <w:t>2025</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9</w:t>
            </w:r>
            <w:r>
              <w:rPr>
                <w:rFonts w:hint="eastAsia" w:ascii="宋体" w:hAnsi="宋体" w:eastAsia="宋体" w:cs="宋体"/>
                <w:color w:val="auto"/>
                <w:szCs w:val="21"/>
                <w:highlight w:val="none"/>
              </w:rPr>
              <w:t>月至首次响应文件提交截止时间止</w:t>
            </w:r>
            <w:r>
              <w:rPr>
                <w:rFonts w:hint="eastAsia" w:ascii="宋体" w:hAnsi="宋体" w:cs="宋体"/>
                <w:color w:val="auto"/>
                <w:szCs w:val="21"/>
                <w:highlight w:val="none"/>
              </w:rPr>
              <w:t>的</w:t>
            </w:r>
            <w:r>
              <w:rPr>
                <w:rFonts w:hint="eastAsia" w:ascii="宋体" w:hAnsi="宋体" w:eastAsia="宋体" w:cs="宋体"/>
                <w:color w:val="auto"/>
                <w:szCs w:val="21"/>
                <w:highlight w:val="none"/>
              </w:rPr>
              <w:t>任意</w:t>
            </w:r>
            <w:r>
              <w:rPr>
                <w:rFonts w:hint="eastAsia" w:ascii="宋体" w:hAnsi="宋体" w:eastAsia="宋体" w:cs="宋体"/>
                <w:color w:val="auto"/>
                <w:szCs w:val="21"/>
                <w:highlight w:val="none"/>
                <w:u w:val="single"/>
              </w:rPr>
              <w:t xml:space="preserve"> 3 </w:t>
            </w:r>
            <w:r>
              <w:rPr>
                <w:rFonts w:hint="eastAsia" w:ascii="宋体" w:hAnsi="宋体" w:eastAsia="宋体" w:cs="宋体"/>
                <w:color w:val="auto"/>
                <w:szCs w:val="21"/>
                <w:highlight w:val="none"/>
              </w:rPr>
              <w:t>个月</w:t>
            </w:r>
            <w:r>
              <w:rPr>
                <w:rFonts w:hint="eastAsia" w:ascii="宋体" w:hAnsi="宋体" w:cs="宋体"/>
                <w:color w:val="auto"/>
                <w:szCs w:val="21"/>
                <w:highlight w:val="none"/>
              </w:rPr>
              <w:t>的依法缴纳社会保障资金的缴费凭证复印件；</w:t>
            </w:r>
            <w:r>
              <w:rPr>
                <w:rFonts w:hint="eastAsia"/>
                <w:color w:val="auto"/>
                <w:highlight w:val="none"/>
              </w:rPr>
              <w:t>依法不需要缴纳社会保障资金的</w:t>
            </w:r>
            <w:r>
              <w:rPr>
                <w:rFonts w:hint="eastAsia" w:ascii="宋体" w:hAnsi="宋体"/>
                <w:color w:val="auto"/>
                <w:szCs w:val="21"/>
                <w:highlight w:val="none"/>
              </w:rPr>
              <w:t>供应商</w:t>
            </w:r>
            <w:r>
              <w:rPr>
                <w:rFonts w:hint="eastAsia"/>
                <w:color w:val="auto"/>
                <w:highlight w:val="none"/>
              </w:rPr>
              <w:t>，必须提供相应文件证明不需要缴纳社会保障资金。</w:t>
            </w:r>
            <w:r>
              <w:rPr>
                <w:rFonts w:hint="eastAsia" w:ascii="宋体" w:hAnsi="宋体" w:cs="宋体"/>
                <w:color w:val="auto"/>
                <w:szCs w:val="21"/>
                <w:highlight w:val="none"/>
              </w:rPr>
              <w:t>从取得营业执照时间起到首次响应文件提交截止时间为止不足要求月数的只需提供从取得营业执照起的依法缴纳社会保障资金的</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bookmarkEnd w:id="70"/>
          </w:p>
          <w:p w14:paraId="4367E5E3">
            <w:pPr>
              <w:snapToGrid w:val="0"/>
              <w:spacing w:line="380" w:lineRule="exact"/>
              <w:jc w:val="left"/>
              <w:rPr>
                <w:rFonts w:hint="eastAsia" w:ascii="宋体" w:hAnsi="宋体" w:cs="宋体"/>
                <w:bCs/>
                <w:color w:val="auto"/>
                <w:szCs w:val="21"/>
                <w:highlight w:val="none"/>
              </w:rPr>
            </w:pPr>
            <w:r>
              <w:rPr>
                <w:rFonts w:hint="eastAsia" w:ascii="宋体" w:hAnsi="宋体" w:cs="宋体"/>
                <w:color w:val="auto"/>
                <w:szCs w:val="21"/>
                <w:highlight w:val="none"/>
              </w:rPr>
              <w:t>4.供应商财务状况报告</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u w:val="single"/>
              </w:rPr>
              <w:t>2024或2025</w:t>
            </w:r>
            <w:r>
              <w:rPr>
                <w:rFonts w:hint="eastAsia" w:ascii="宋体" w:hAnsi="宋体" w:eastAsia="宋体" w:cs="宋体"/>
                <w:color w:val="auto"/>
                <w:szCs w:val="21"/>
                <w:highlight w:val="none"/>
              </w:rPr>
              <w:t>年度经第三方审计的财务报告复印件或者首次响应文件提交截止时间前半年内至少一个月能反映财务状况的报表或者供应商自拟的首次响应文件提交截止时间前半年内至少一个月的财务情况说明）</w:t>
            </w:r>
            <w:r>
              <w:rPr>
                <w:rFonts w:hint="eastAsia" w:ascii="宋体" w:hAnsi="宋体" w:cs="宋体"/>
                <w:color w:val="auto"/>
                <w:szCs w:val="21"/>
                <w:highlight w:val="none"/>
              </w:rPr>
              <w:t>；</w:t>
            </w:r>
            <w:r>
              <w:rPr>
                <w:rFonts w:hint="eastAsia" w:ascii="宋体" w:hAnsi="宋体" w:cs="宋体"/>
                <w:color w:val="auto"/>
                <w:szCs w:val="20"/>
                <w:highlight w:val="none"/>
              </w:rPr>
              <w:t>供应商成立不满一年的应按提供首次响应文件提交截止时间上一个月的财务状况报告复印件；</w:t>
            </w:r>
            <w:r>
              <w:rPr>
                <w:rFonts w:hint="eastAsia" w:ascii="宋体" w:hAnsi="宋体" w:cs="宋体"/>
                <w:bCs/>
                <w:color w:val="auto"/>
                <w:szCs w:val="21"/>
                <w:highlight w:val="none"/>
              </w:rPr>
              <w:t>（</w:t>
            </w:r>
            <w:r>
              <w:rPr>
                <w:rFonts w:hint="eastAsia" w:ascii="宋体" w:hAnsi="宋体" w:cs="宋体"/>
                <w:b/>
                <w:color w:val="auto"/>
                <w:szCs w:val="21"/>
                <w:highlight w:val="none"/>
              </w:rPr>
              <w:t>必须提供，否则响应文件作无效响应处理</w:t>
            </w:r>
            <w:r>
              <w:rPr>
                <w:rFonts w:hint="eastAsia" w:ascii="宋体" w:hAnsi="宋体" w:cs="宋体"/>
                <w:bCs/>
                <w:color w:val="auto"/>
                <w:szCs w:val="21"/>
                <w:highlight w:val="none"/>
              </w:rPr>
              <w:t>）</w:t>
            </w:r>
          </w:p>
          <w:p w14:paraId="13DE481D">
            <w:pPr>
              <w:pStyle w:val="12"/>
              <w:spacing w:line="380" w:lineRule="exact"/>
              <w:rPr>
                <w:rFonts w:hint="eastAsia" w:ascii="宋体" w:hAnsi="宋体" w:cs="宋体"/>
                <w:color w:val="auto"/>
                <w:szCs w:val="21"/>
                <w:highlight w:val="none"/>
                <w:lang w:val="en-US"/>
              </w:rPr>
            </w:pPr>
            <w:r>
              <w:rPr>
                <w:rFonts w:hint="eastAsia" w:ascii="宋体" w:hAnsi="宋体" w:cs="宋体"/>
                <w:color w:val="auto"/>
                <w:szCs w:val="21"/>
                <w:highlight w:val="none"/>
                <w:lang w:val="en-US"/>
              </w:rPr>
              <w:t>5.</w:t>
            </w:r>
            <w:r>
              <w:rPr>
                <w:rFonts w:hint="eastAsia" w:ascii="宋体" w:hAnsi="宋体" w:cs="宋体"/>
                <w:color w:val="auto"/>
                <w:szCs w:val="21"/>
                <w:highlight w:val="none"/>
              </w:rPr>
              <w:t>本项目的特定资格要求：</w:t>
            </w:r>
            <w:r>
              <w:rPr>
                <w:rFonts w:hint="eastAsia" w:ascii="宋体" w:hAnsi="宋体" w:cs="宋体"/>
                <w:color w:val="auto"/>
                <w:szCs w:val="21"/>
                <w:highlight w:val="none"/>
                <w:lang w:val="en-US"/>
              </w:rPr>
              <w:t>无</w:t>
            </w:r>
            <w:r>
              <w:rPr>
                <w:rFonts w:hint="eastAsia" w:ascii="宋体" w:hAnsi="宋体" w:cs="宋体"/>
                <w:color w:val="auto"/>
                <w:szCs w:val="21"/>
                <w:highlight w:val="none"/>
              </w:rPr>
              <w:t>；（如有要求，则</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p>
          <w:p w14:paraId="05C3BEEA">
            <w:pPr>
              <w:pStyle w:val="12"/>
              <w:spacing w:line="380" w:lineRule="exact"/>
              <w:rPr>
                <w:rFonts w:hint="eastAsia" w:ascii="宋体" w:hAnsi="宋体" w:cs="宋体"/>
                <w:color w:val="auto"/>
                <w:szCs w:val="21"/>
                <w:highlight w:val="none"/>
              </w:rPr>
            </w:pPr>
            <w:r>
              <w:rPr>
                <w:rFonts w:hint="eastAsia" w:ascii="宋体" w:hAnsi="宋体" w:cs="宋体"/>
                <w:color w:val="auto"/>
                <w:szCs w:val="21"/>
                <w:highlight w:val="none"/>
                <w:lang w:val="en-US"/>
              </w:rPr>
              <w:t>6.</w:t>
            </w:r>
            <w:r>
              <w:rPr>
                <w:rFonts w:hint="eastAsia" w:ascii="宋体" w:hAnsi="宋体"/>
                <w:color w:val="auto"/>
                <w:szCs w:val="21"/>
                <w:highlight w:val="none"/>
                <w:lang w:val="en-US"/>
              </w:rPr>
              <w:t>供应商</w:t>
            </w:r>
            <w:r>
              <w:rPr>
                <w:rFonts w:hint="eastAsia" w:ascii="宋体" w:hAnsi="宋体"/>
                <w:color w:val="auto"/>
                <w:szCs w:val="21"/>
                <w:highlight w:val="none"/>
              </w:rPr>
              <w:t>直接控股股东信息表</w:t>
            </w:r>
            <w:r>
              <w:rPr>
                <w:rFonts w:hint="eastAsia" w:ascii="宋体" w:hAnsi="宋体" w:cs="宋体"/>
                <w:color w:val="auto"/>
                <w:szCs w:val="21"/>
                <w:highlight w:val="none"/>
              </w:rPr>
              <w:t>（格式后附）</w:t>
            </w:r>
            <w:r>
              <w:rPr>
                <w:rFonts w:hint="eastAsia" w:ascii="宋体" w:hAnsi="宋体"/>
                <w:color w:val="auto"/>
                <w:szCs w:val="21"/>
                <w:highlight w:val="none"/>
              </w:rPr>
              <w:t>；（</w:t>
            </w:r>
            <w:r>
              <w:rPr>
                <w:rFonts w:hint="eastAsia" w:ascii="宋体" w:hAnsi="宋体"/>
                <w:b/>
                <w:color w:val="auto"/>
                <w:szCs w:val="21"/>
                <w:highlight w:val="none"/>
              </w:rPr>
              <w:t>必须提供，否则</w:t>
            </w:r>
            <w:r>
              <w:rPr>
                <w:rFonts w:hint="eastAsia" w:ascii="宋体" w:hAnsi="宋体" w:cs="宋体"/>
                <w:b/>
                <w:color w:val="auto"/>
                <w:szCs w:val="21"/>
                <w:highlight w:val="none"/>
              </w:rPr>
              <w:t>响应文件</w:t>
            </w:r>
            <w:r>
              <w:rPr>
                <w:rFonts w:hint="eastAsia" w:ascii="宋体" w:hAnsi="宋体"/>
                <w:b/>
                <w:color w:val="auto"/>
                <w:szCs w:val="21"/>
                <w:highlight w:val="none"/>
              </w:rPr>
              <w:t>作无效</w:t>
            </w:r>
            <w:r>
              <w:rPr>
                <w:rFonts w:hint="eastAsia" w:ascii="宋体" w:hAnsi="宋体"/>
                <w:b/>
                <w:color w:val="auto"/>
                <w:szCs w:val="21"/>
                <w:highlight w:val="none"/>
                <w:lang w:val="en-US"/>
              </w:rPr>
              <w:t>响应</w:t>
            </w:r>
            <w:r>
              <w:rPr>
                <w:rFonts w:hint="eastAsia" w:ascii="宋体" w:hAnsi="宋体"/>
                <w:b/>
                <w:color w:val="auto"/>
                <w:szCs w:val="21"/>
                <w:highlight w:val="none"/>
              </w:rPr>
              <w:t>处理</w:t>
            </w:r>
            <w:r>
              <w:rPr>
                <w:rFonts w:hint="eastAsia" w:ascii="宋体" w:hAnsi="宋体"/>
                <w:color w:val="auto"/>
                <w:szCs w:val="21"/>
                <w:highlight w:val="none"/>
              </w:rPr>
              <w:t>）</w:t>
            </w:r>
          </w:p>
          <w:p w14:paraId="034CBA05">
            <w:pPr>
              <w:snapToGrid w:val="0"/>
              <w:spacing w:line="380" w:lineRule="exact"/>
              <w:jc w:val="left"/>
              <w:rPr>
                <w:rFonts w:hint="eastAsia" w:ascii="宋体" w:hAnsi="宋体" w:eastAsia="宋体" w:cs="宋体"/>
                <w:color w:val="auto"/>
                <w:szCs w:val="21"/>
                <w:highlight w:val="none"/>
              </w:rPr>
            </w:pPr>
            <w:r>
              <w:rPr>
                <w:rFonts w:hint="eastAsia" w:ascii="宋体" w:hAnsi="宋体"/>
                <w:color w:val="auto"/>
                <w:szCs w:val="21"/>
                <w:highlight w:val="none"/>
              </w:rPr>
              <w:t>7.供应商直接管理关系信息表</w:t>
            </w:r>
            <w:r>
              <w:rPr>
                <w:rFonts w:hint="eastAsia" w:ascii="宋体" w:hAnsi="宋体" w:eastAsia="宋体" w:cs="宋体"/>
                <w:color w:val="auto"/>
                <w:szCs w:val="21"/>
                <w:highlight w:val="none"/>
              </w:rPr>
              <w:t>（格式后附）</w:t>
            </w:r>
            <w:r>
              <w:rPr>
                <w:rFonts w:hint="eastAsia" w:ascii="宋体" w:hAnsi="宋体" w:eastAsia="宋体"/>
                <w:color w:val="auto"/>
                <w:szCs w:val="21"/>
                <w:highlight w:val="none"/>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p>
          <w:p w14:paraId="594613DB">
            <w:pPr>
              <w:snapToGrid w:val="0"/>
              <w:spacing w:line="38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8.声明函（格式后附）；（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7FCD5F89">
            <w:pPr>
              <w:snapToGrid w:val="0"/>
              <w:spacing w:line="380" w:lineRule="exact"/>
              <w:jc w:val="left"/>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9.</w:t>
            </w:r>
            <w:r>
              <w:rPr>
                <w:rFonts w:hint="eastAsia" w:ascii="宋体" w:hAnsi="宋体" w:eastAsia="宋体" w:cs="Times New Roman"/>
                <w:color w:val="auto"/>
                <w:szCs w:val="21"/>
                <w:highlight w:val="none"/>
              </w:rPr>
              <w:t>联合体竞标协议书</w:t>
            </w:r>
            <w:r>
              <w:rPr>
                <w:rFonts w:hint="eastAsia" w:ascii="宋体" w:hAnsi="宋体" w:eastAsia="宋体" w:cs="宋体"/>
                <w:color w:val="auto"/>
                <w:szCs w:val="21"/>
                <w:highlight w:val="none"/>
              </w:rPr>
              <w:t>（格式后附）；（</w:t>
            </w:r>
            <w:r>
              <w:rPr>
                <w:rFonts w:hint="eastAsia" w:ascii="宋体" w:hAnsi="宋体" w:eastAsia="宋体" w:cs="宋体"/>
                <w:b/>
                <w:color w:val="auto"/>
                <w:szCs w:val="21"/>
                <w:highlight w:val="none"/>
              </w:rPr>
              <w:t>联合体竞标时必须提供，否则响应文件作无效响应处理</w:t>
            </w:r>
            <w:r>
              <w:rPr>
                <w:rFonts w:hint="eastAsia" w:ascii="宋体" w:hAnsi="宋体" w:eastAsia="宋体" w:cs="宋体"/>
                <w:color w:val="auto"/>
                <w:szCs w:val="21"/>
                <w:highlight w:val="none"/>
              </w:rPr>
              <w:t>）</w:t>
            </w:r>
          </w:p>
          <w:p w14:paraId="305A2EE6">
            <w:pPr>
              <w:snapToGrid w:val="0"/>
              <w:spacing w:line="38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10.除谈判文件规定必须提供以外，供应商认为需要提供的其他证明材料（格式自拟）。（</w:t>
            </w:r>
            <w:r>
              <w:rPr>
                <w:rFonts w:hint="eastAsia" w:ascii="宋体" w:hAnsi="宋体" w:eastAsia="宋体" w:cs="宋体"/>
                <w:b/>
                <w:bCs/>
                <w:color w:val="auto"/>
                <w:szCs w:val="21"/>
                <w:highlight w:val="none"/>
              </w:rPr>
              <w:t>如有，请提供</w:t>
            </w:r>
            <w:r>
              <w:rPr>
                <w:rFonts w:hint="eastAsia" w:ascii="宋体" w:hAnsi="宋体" w:eastAsia="宋体" w:cs="宋体"/>
                <w:color w:val="auto"/>
                <w:szCs w:val="21"/>
                <w:highlight w:val="none"/>
              </w:rPr>
              <w:t>）</w:t>
            </w:r>
          </w:p>
          <w:p w14:paraId="58BC3368">
            <w:pPr>
              <w:snapToGrid w:val="0"/>
              <w:spacing w:line="380" w:lineRule="exact"/>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41168CDF">
            <w:pPr>
              <w:snapToGrid w:val="0"/>
              <w:spacing w:line="380" w:lineRule="exact"/>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1.以上标明“必须提供”的材料属于复印件的扫描件的，必须加盖供应商公章，否则响应文件作无效响应处理。</w:t>
            </w:r>
          </w:p>
          <w:p w14:paraId="483B45C3">
            <w:pPr>
              <w:spacing w:line="380" w:lineRule="exact"/>
              <w:ind w:firstLine="422" w:firstLineChars="200"/>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2.联合体竞标时，第1-7项资格证明文件联合体各方均必须分别提供，联合体各方分别盖章，否则响应文件作无效响应处理。</w:t>
            </w:r>
          </w:p>
        </w:tc>
      </w:tr>
      <w:tr w14:paraId="4BF63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restart"/>
            <w:vAlign w:val="center"/>
          </w:tcPr>
          <w:p w14:paraId="07C0DD48">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1</w:t>
            </w:r>
            <w:r>
              <w:rPr>
                <w:rFonts w:hint="eastAsia" w:ascii="宋体" w:hAnsi="宋体" w:eastAsia="宋体" w:cs="宋体"/>
                <w:color w:val="auto"/>
                <w:szCs w:val="21"/>
                <w:highlight w:val="none"/>
              </w:rPr>
              <w:t>.2</w:t>
            </w:r>
          </w:p>
        </w:tc>
        <w:tc>
          <w:tcPr>
            <w:tcW w:w="2195" w:type="dxa"/>
            <w:vAlign w:val="center"/>
          </w:tcPr>
          <w:p w14:paraId="33D7538C">
            <w:pPr>
              <w:spacing w:line="38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商务文件组成</w:t>
            </w:r>
          </w:p>
        </w:tc>
        <w:tc>
          <w:tcPr>
            <w:tcW w:w="6773" w:type="dxa"/>
            <w:vAlign w:val="center"/>
          </w:tcPr>
          <w:p w14:paraId="29CEA654">
            <w:pPr>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0994D953">
            <w:pPr>
              <w:snapToGrid w:val="0"/>
              <w:spacing w:line="38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2.法定代表人身份证明及法定代表人有效身份证正反面复印件（格式后附）；（</w:t>
            </w:r>
            <w:r>
              <w:rPr>
                <w:rFonts w:hint="eastAsia" w:ascii="宋体" w:hAnsi="宋体" w:eastAsia="宋体" w:cs="宋体"/>
                <w:b/>
                <w:bCs/>
                <w:color w:val="auto"/>
                <w:szCs w:val="21"/>
                <w:highlight w:val="none"/>
              </w:rPr>
              <w:t>除自然人竞标外</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092E3EE8">
            <w:pPr>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3.法定代表人授权委托书及委托代理人有效身份证正反面复印件（格式后附）；（</w:t>
            </w:r>
            <w:r>
              <w:rPr>
                <w:rFonts w:hint="eastAsia" w:ascii="宋体" w:hAnsi="宋体" w:eastAsia="宋体" w:cs="宋体"/>
                <w:b/>
                <w:color w:val="auto"/>
                <w:szCs w:val="21"/>
                <w:highlight w:val="none"/>
              </w:rPr>
              <w:t>委托时必须提供，否则响应文件作无效响应处理</w:t>
            </w:r>
            <w:r>
              <w:rPr>
                <w:rFonts w:hint="eastAsia" w:ascii="宋体" w:hAnsi="宋体" w:eastAsia="宋体" w:cs="宋体"/>
                <w:color w:val="auto"/>
                <w:szCs w:val="21"/>
                <w:highlight w:val="none"/>
              </w:rPr>
              <w:t>）</w:t>
            </w:r>
          </w:p>
          <w:p w14:paraId="581CC98A">
            <w:pPr>
              <w:spacing w:line="380" w:lineRule="exact"/>
              <w:rPr>
                <w:color w:val="auto"/>
                <w:highlight w:val="none"/>
              </w:rPr>
            </w:pPr>
            <w:r>
              <w:rPr>
                <w:rFonts w:hint="eastAsia" w:ascii="宋体" w:hAnsi="宋体" w:cs="宋体"/>
                <w:color w:val="auto"/>
                <w:szCs w:val="21"/>
                <w:highlight w:val="none"/>
              </w:rPr>
              <w:t>4.谈判保证金提交凭证；（</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p>
          <w:p w14:paraId="1776432E">
            <w:pPr>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5.商务条款偏离表（格式后附）；（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7AADDE39">
            <w:pPr>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6.供应商情况介绍（格式自拟）；（</w:t>
            </w:r>
            <w:r>
              <w:rPr>
                <w:rFonts w:hint="eastAsia" w:ascii="宋体" w:hAnsi="宋体" w:eastAsia="宋体" w:cs="宋体"/>
                <w:b/>
                <w:bCs/>
                <w:color w:val="auto"/>
                <w:szCs w:val="21"/>
                <w:highlight w:val="none"/>
              </w:rPr>
              <w:t>如有，请提供</w:t>
            </w:r>
            <w:r>
              <w:rPr>
                <w:rFonts w:hint="eastAsia" w:ascii="宋体" w:hAnsi="宋体" w:eastAsia="宋体" w:cs="宋体"/>
                <w:color w:val="auto"/>
                <w:szCs w:val="21"/>
                <w:highlight w:val="none"/>
              </w:rPr>
              <w:t>）</w:t>
            </w:r>
          </w:p>
          <w:p w14:paraId="1BCAA026">
            <w:pPr>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7.对应采购需求的商务条款提供的其他文件资料（格式自拟）；（</w:t>
            </w:r>
            <w:r>
              <w:rPr>
                <w:rFonts w:hint="eastAsia" w:ascii="宋体" w:hAnsi="宋体" w:eastAsia="宋体" w:cs="宋体"/>
                <w:b/>
                <w:bCs/>
                <w:color w:val="auto"/>
                <w:szCs w:val="21"/>
                <w:highlight w:val="none"/>
              </w:rPr>
              <w:t>如有，请提供</w:t>
            </w:r>
            <w:r>
              <w:rPr>
                <w:rFonts w:hint="eastAsia" w:ascii="宋体" w:hAnsi="宋体" w:eastAsia="宋体" w:cs="宋体"/>
                <w:color w:val="auto"/>
                <w:szCs w:val="21"/>
                <w:highlight w:val="none"/>
              </w:rPr>
              <w:t>）</w:t>
            </w:r>
          </w:p>
          <w:p w14:paraId="1A84243A">
            <w:pPr>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8.供应商认为需要提供的其他有关资料（格式自拟）。（</w:t>
            </w:r>
            <w:r>
              <w:rPr>
                <w:rFonts w:hint="eastAsia" w:ascii="宋体" w:hAnsi="宋体" w:eastAsia="宋体" w:cs="宋体"/>
                <w:b/>
                <w:bCs/>
                <w:color w:val="auto"/>
                <w:szCs w:val="21"/>
                <w:highlight w:val="none"/>
              </w:rPr>
              <w:t>如有，请提供</w:t>
            </w:r>
            <w:r>
              <w:rPr>
                <w:rFonts w:hint="eastAsia" w:ascii="宋体" w:hAnsi="宋体" w:eastAsia="宋体" w:cs="宋体"/>
                <w:color w:val="auto"/>
                <w:szCs w:val="21"/>
                <w:highlight w:val="none"/>
              </w:rPr>
              <w:t>）</w:t>
            </w:r>
          </w:p>
          <w:p w14:paraId="0E030E1E">
            <w:pPr>
              <w:snapToGrid w:val="0"/>
              <w:spacing w:line="380" w:lineRule="exact"/>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注： </w:t>
            </w:r>
          </w:p>
          <w:p w14:paraId="0913536A">
            <w:pPr>
              <w:snapToGrid w:val="0"/>
              <w:spacing w:line="380" w:lineRule="exact"/>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1.法定代表人授权委托书必须由法定代表人及委托代理人签字，并加盖供应商公章，否则响应文件作无效响应处理。</w:t>
            </w:r>
          </w:p>
          <w:p w14:paraId="306F6AD0">
            <w:pPr>
              <w:spacing w:line="380" w:lineRule="exact"/>
              <w:ind w:firstLine="413" w:firstLineChars="196"/>
              <w:rPr>
                <w:rFonts w:hint="eastAsia" w:ascii="宋体" w:hAnsi="宋体" w:eastAsia="宋体" w:cs="宋体"/>
                <w:b/>
                <w:color w:val="auto"/>
                <w:szCs w:val="21"/>
                <w:highlight w:val="none"/>
              </w:rPr>
            </w:pPr>
            <w:r>
              <w:rPr>
                <w:rFonts w:ascii="宋体" w:hAnsi="宋体" w:eastAsia="宋体" w:cs="宋体"/>
                <w:b/>
                <w:color w:val="auto"/>
                <w:szCs w:val="21"/>
                <w:highlight w:val="none"/>
              </w:rPr>
              <w:t>2</w:t>
            </w:r>
            <w:r>
              <w:rPr>
                <w:rFonts w:hint="eastAsia" w:ascii="宋体" w:hAnsi="宋体" w:eastAsia="宋体" w:cs="宋体"/>
                <w:b/>
                <w:color w:val="auto"/>
                <w:szCs w:val="21"/>
                <w:highlight w:val="none"/>
              </w:rPr>
              <w:t>.以上标明“必须提供”的材料属于复印件的扫描件的，必须加盖供应商公章，否则响应文件作无效响应处理。</w:t>
            </w:r>
          </w:p>
        </w:tc>
      </w:tr>
      <w:tr w14:paraId="3C1F2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18F1FB31">
            <w:pPr>
              <w:spacing w:line="380" w:lineRule="exact"/>
              <w:jc w:val="center"/>
              <w:rPr>
                <w:rFonts w:hint="eastAsia" w:ascii="宋体" w:hAnsi="宋体" w:eastAsia="宋体" w:cs="宋体"/>
                <w:color w:val="auto"/>
                <w:szCs w:val="21"/>
                <w:highlight w:val="none"/>
              </w:rPr>
            </w:pPr>
          </w:p>
        </w:tc>
        <w:tc>
          <w:tcPr>
            <w:tcW w:w="2195" w:type="dxa"/>
            <w:vAlign w:val="center"/>
          </w:tcPr>
          <w:p w14:paraId="4BC9FA6D">
            <w:pPr>
              <w:spacing w:line="38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技术文件组成</w:t>
            </w:r>
          </w:p>
        </w:tc>
        <w:tc>
          <w:tcPr>
            <w:tcW w:w="6773" w:type="dxa"/>
            <w:vAlign w:val="center"/>
          </w:tcPr>
          <w:p w14:paraId="10E0E4AE">
            <w:pPr>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1.技术需求偏离表（格式后附）；（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1A9C12E1">
            <w:pPr>
              <w:snapToGrid w:val="0"/>
              <w:spacing w:line="380" w:lineRule="exact"/>
              <w:jc w:val="left"/>
              <w:rPr>
                <w:rFonts w:hint="eastAsia" w:ascii="宋体" w:hAnsi="宋体" w:cs="宋体"/>
                <w:b/>
                <w:i/>
                <w:iCs/>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rPr>
              <w:t>项目实施方案（包括但不限于拟投入实施人员、售后服务承诺、技术培训等）</w:t>
            </w:r>
            <w:r>
              <w:rPr>
                <w:rFonts w:hint="eastAsia" w:ascii="宋体" w:hAnsi="宋体" w:eastAsia="宋体" w:cs="宋体"/>
                <w:color w:val="auto"/>
                <w:szCs w:val="21"/>
                <w:highlight w:val="none"/>
              </w:rPr>
              <w:t>（格式自拟）</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7B361572">
            <w:pPr>
              <w:snapToGrid w:val="0"/>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3.竞标产品技术证明资料（包括但不限于竞标产品说明书、出厂标准、质量检测报告等）</w:t>
            </w:r>
            <w:r>
              <w:rPr>
                <w:rFonts w:hint="eastAsia" w:ascii="宋体" w:hAnsi="宋体" w:eastAsia="宋体" w:cs="宋体"/>
                <w:color w:val="auto"/>
                <w:szCs w:val="21"/>
                <w:highlight w:val="none"/>
              </w:rPr>
              <w:t>（格式自拟）</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如有，请提供</w:t>
            </w:r>
            <w:r>
              <w:rPr>
                <w:rFonts w:hint="eastAsia" w:ascii="宋体" w:hAnsi="宋体" w:eastAsia="宋体" w:cs="宋体"/>
                <w:color w:val="auto"/>
                <w:szCs w:val="21"/>
                <w:highlight w:val="none"/>
              </w:rPr>
              <w:t>）</w:t>
            </w:r>
          </w:p>
          <w:p w14:paraId="6577E46B">
            <w:pPr>
              <w:tabs>
                <w:tab w:val="center" w:pos="4153"/>
                <w:tab w:val="right" w:pos="8306"/>
              </w:tabs>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4.竞标产品销售业绩或使用情况及证明资料</w:t>
            </w:r>
            <w:r>
              <w:rPr>
                <w:rFonts w:hint="eastAsia" w:ascii="宋体" w:hAnsi="宋体" w:eastAsia="宋体" w:cs="宋体"/>
                <w:color w:val="auto"/>
                <w:szCs w:val="21"/>
                <w:highlight w:val="none"/>
              </w:rPr>
              <w:t>（格式自拟）</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如有，请提供</w:t>
            </w:r>
            <w:r>
              <w:rPr>
                <w:rFonts w:hint="eastAsia" w:ascii="宋体" w:hAnsi="宋体" w:eastAsia="宋体" w:cs="宋体"/>
                <w:color w:val="auto"/>
                <w:szCs w:val="21"/>
                <w:highlight w:val="none"/>
              </w:rPr>
              <w:t>）</w:t>
            </w:r>
          </w:p>
          <w:p w14:paraId="3785702B">
            <w:pPr>
              <w:snapToGrid w:val="0"/>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5.供应商对本项目的合理化建议</w:t>
            </w:r>
            <w:r>
              <w:rPr>
                <w:rFonts w:hint="eastAsia" w:ascii="宋体" w:hAnsi="宋体" w:eastAsia="宋体" w:cs="宋体"/>
                <w:color w:val="auto"/>
                <w:szCs w:val="21"/>
                <w:highlight w:val="none"/>
              </w:rPr>
              <w:t>（格式自拟）</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如有，请提供</w:t>
            </w:r>
            <w:r>
              <w:rPr>
                <w:rFonts w:hint="eastAsia" w:ascii="宋体" w:hAnsi="宋体" w:eastAsia="宋体" w:cs="宋体"/>
                <w:color w:val="auto"/>
                <w:szCs w:val="21"/>
                <w:highlight w:val="none"/>
              </w:rPr>
              <w:t>）</w:t>
            </w:r>
          </w:p>
          <w:p w14:paraId="7F65EB1C">
            <w:pPr>
              <w:spacing w:line="380" w:lineRule="exact"/>
              <w:rPr>
                <w:rFonts w:hint="eastAsia" w:ascii="宋体" w:hAnsi="宋体" w:eastAsia="宋体" w:cs="宋体"/>
                <w:color w:val="auto"/>
                <w:szCs w:val="21"/>
                <w:highlight w:val="none"/>
              </w:rPr>
            </w:pPr>
            <w:r>
              <w:rPr>
                <w:rFonts w:hint="eastAsia" w:ascii="宋体" w:hAnsi="宋体" w:cs="宋体"/>
                <w:color w:val="auto"/>
                <w:szCs w:val="21"/>
                <w:highlight w:val="none"/>
              </w:rPr>
              <w:t>6.除竞争性谈判文件规定必须提供以外，供应商需要说明的其他文件和说明</w:t>
            </w:r>
            <w:r>
              <w:rPr>
                <w:rFonts w:hint="eastAsia" w:ascii="宋体" w:hAnsi="宋体" w:eastAsia="宋体" w:cs="宋体"/>
                <w:color w:val="auto"/>
                <w:szCs w:val="21"/>
                <w:highlight w:val="none"/>
              </w:rPr>
              <w:t>（格式自拟）</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如有，请提供</w:t>
            </w:r>
            <w:r>
              <w:rPr>
                <w:rFonts w:hint="eastAsia" w:ascii="宋体" w:hAnsi="宋体" w:eastAsia="宋体" w:cs="宋体"/>
                <w:color w:val="auto"/>
                <w:szCs w:val="21"/>
                <w:highlight w:val="none"/>
              </w:rPr>
              <w:t>）</w:t>
            </w:r>
          </w:p>
          <w:p w14:paraId="7C6F71D6">
            <w:pPr>
              <w:spacing w:line="380" w:lineRule="exac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注：1.以上标明“必须提供”的材料属于复印件的扫描件的，必须加盖供应商公章，否则响应文件作无效响应处理。</w:t>
            </w:r>
          </w:p>
        </w:tc>
      </w:tr>
      <w:tr w14:paraId="5B63D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C8FF92E">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1</w:t>
            </w:r>
            <w:r>
              <w:rPr>
                <w:rFonts w:hint="eastAsia" w:ascii="宋体" w:hAnsi="宋体" w:eastAsia="宋体" w:cs="宋体"/>
                <w:color w:val="auto"/>
                <w:szCs w:val="21"/>
                <w:highlight w:val="none"/>
              </w:rPr>
              <w:t>.3</w:t>
            </w:r>
          </w:p>
        </w:tc>
        <w:tc>
          <w:tcPr>
            <w:tcW w:w="2195" w:type="dxa"/>
            <w:vAlign w:val="center"/>
          </w:tcPr>
          <w:p w14:paraId="5C50950D">
            <w:pPr>
              <w:spacing w:line="380" w:lineRule="exact"/>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报价文件组成</w:t>
            </w:r>
          </w:p>
        </w:tc>
        <w:tc>
          <w:tcPr>
            <w:tcW w:w="6773" w:type="dxa"/>
            <w:vAlign w:val="center"/>
          </w:tcPr>
          <w:p w14:paraId="0BA466AE">
            <w:pPr>
              <w:spacing w:line="380" w:lineRule="exact"/>
              <w:jc w:val="left"/>
              <w:rPr>
                <w:rFonts w:hint="eastAsia" w:ascii="宋体" w:hAnsi="宋体" w:eastAsia="宋体" w:cs="Times New Roman"/>
                <w:color w:val="auto"/>
                <w:szCs w:val="21"/>
                <w:highlight w:val="none"/>
              </w:rPr>
            </w:pPr>
            <w:r>
              <w:rPr>
                <w:rFonts w:ascii="宋体" w:hAnsi="宋体" w:eastAsia="宋体" w:cs="Times New Roman"/>
                <w:color w:val="auto"/>
                <w:szCs w:val="21"/>
                <w:highlight w:val="none"/>
              </w:rPr>
              <w:t>1.</w:t>
            </w:r>
            <w:r>
              <w:rPr>
                <w:rFonts w:hint="eastAsia" w:ascii="宋体" w:hAnsi="宋体" w:eastAsia="宋体" w:cs="Times New Roman"/>
                <w:color w:val="auto"/>
                <w:szCs w:val="21"/>
                <w:highlight w:val="none"/>
              </w:rPr>
              <w:t>响应函</w:t>
            </w:r>
            <w:r>
              <w:rPr>
                <w:rFonts w:hint="eastAsia" w:ascii="宋体" w:hAnsi="宋体" w:eastAsia="宋体" w:cs="宋体"/>
                <w:color w:val="auto"/>
                <w:szCs w:val="21"/>
                <w:highlight w:val="none"/>
              </w:rPr>
              <w:t>（格式后附）</w:t>
            </w:r>
            <w:r>
              <w:rPr>
                <w:rFonts w:hint="eastAsia" w:ascii="宋体" w:hAnsi="宋体" w:eastAsia="宋体" w:cs="Times New Roman"/>
                <w:color w:val="auto"/>
                <w:szCs w:val="21"/>
                <w:highlight w:val="none"/>
              </w:rPr>
              <w:t>；</w:t>
            </w:r>
            <w:r>
              <w:rPr>
                <w:rFonts w:hint="eastAsia" w:ascii="宋体" w:hAnsi="宋体" w:eastAsia="宋体" w:cs="Times New Roman"/>
                <w:b/>
                <w:color w:val="auto"/>
                <w:szCs w:val="21"/>
                <w:highlight w:val="none"/>
              </w:rPr>
              <w:t>（必须提供，否则</w:t>
            </w:r>
            <w:r>
              <w:rPr>
                <w:rFonts w:hint="eastAsia" w:ascii="宋体" w:hAnsi="宋体" w:eastAsia="宋体" w:cs="宋体"/>
                <w:b/>
                <w:color w:val="auto"/>
                <w:szCs w:val="21"/>
                <w:highlight w:val="none"/>
              </w:rPr>
              <w:t>响应文件作无效</w:t>
            </w:r>
            <w:r>
              <w:rPr>
                <w:rFonts w:hint="eastAsia" w:ascii="宋体" w:hAnsi="宋体" w:eastAsia="宋体" w:cs="Times New Roman"/>
                <w:b/>
                <w:color w:val="auto"/>
                <w:szCs w:val="21"/>
                <w:highlight w:val="none"/>
              </w:rPr>
              <w:t>响应处理）</w:t>
            </w:r>
          </w:p>
          <w:p w14:paraId="7C42264B">
            <w:pPr>
              <w:spacing w:line="38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2.响应报价表（格式后附）；（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791295FD">
            <w:pPr>
              <w:pStyle w:val="22"/>
              <w:spacing w:line="380" w:lineRule="exact"/>
              <w:rPr>
                <w:rFonts w:hint="eastAsia" w:ascii="宋体" w:hAnsi="宋体" w:cs="宋体"/>
                <w:color w:val="auto"/>
                <w:sz w:val="21"/>
                <w:szCs w:val="21"/>
                <w:highlight w:val="none"/>
                <w:lang w:val="en-US"/>
              </w:rPr>
            </w:pPr>
            <w:r>
              <w:rPr>
                <w:rFonts w:hint="eastAsia" w:ascii="宋体" w:hAnsi="宋体"/>
                <w:color w:val="auto"/>
                <w:sz w:val="21"/>
                <w:szCs w:val="24"/>
                <w:highlight w:val="none"/>
              </w:rPr>
              <w:t>3.</w:t>
            </w:r>
            <w:r>
              <w:rPr>
                <w:rFonts w:hint="eastAsia" w:ascii="宋体" w:hAnsi="宋体" w:cs="宋体"/>
                <w:color w:val="auto"/>
                <w:sz w:val="21"/>
                <w:szCs w:val="21"/>
                <w:highlight w:val="none"/>
              </w:rPr>
              <w:t>中小企业声明函或者残疾人福利性单位声明函（格式后附）或者供应商属于监狱企业的，提供由省级以上监狱管理局、戒毒管理局（含新疆生产建设兵团）出具的属于监狱企业的证明文件；</w:t>
            </w:r>
            <w:r>
              <w:rPr>
                <w:rFonts w:hint="eastAsia" w:ascii="宋体" w:hAnsi="宋体" w:cs="宋体"/>
                <w:b/>
                <w:bCs/>
                <w:color w:val="auto"/>
                <w:sz w:val="21"/>
                <w:szCs w:val="21"/>
                <w:highlight w:val="none"/>
              </w:rPr>
              <w:t>（如有，请提供）</w:t>
            </w:r>
          </w:p>
          <w:p w14:paraId="5454F801">
            <w:pPr>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color w:val="auto"/>
                <w:highlight w:val="none"/>
              </w:rPr>
              <w:t>关于符合本国产品标准的声明函</w:t>
            </w:r>
            <w:r>
              <w:rPr>
                <w:rFonts w:hint="eastAsia" w:ascii="宋体" w:hAnsi="宋体" w:eastAsia="宋体" w:cs="宋体"/>
                <w:color w:val="auto"/>
                <w:szCs w:val="21"/>
                <w:highlight w:val="none"/>
              </w:rPr>
              <w:t>（格式后附）或</w:t>
            </w:r>
            <w:r>
              <w:rPr>
                <w:rFonts w:hint="eastAsia" w:ascii="Times New Roman" w:hAnsi="Times New Roman" w:eastAsia="宋体" w:cs="Times New Roman"/>
                <w:color w:val="auto"/>
                <w:szCs w:val="24"/>
                <w:highlight w:val="none"/>
              </w:rPr>
              <w:t>财政部会同有关部门规定的有关证明文件</w:t>
            </w:r>
            <w:r>
              <w:rPr>
                <w:rFonts w:hint="eastAsia" w:ascii="宋体" w:hAnsi="宋体" w:cs="宋体"/>
                <w:color w:val="auto"/>
                <w:szCs w:val="21"/>
                <w:highlight w:val="none"/>
              </w:rPr>
              <w:t>；</w:t>
            </w:r>
            <w:r>
              <w:rPr>
                <w:rFonts w:hint="eastAsia" w:ascii="宋体" w:hAnsi="宋体" w:cs="宋体"/>
                <w:b/>
                <w:bCs/>
                <w:color w:val="auto"/>
                <w:szCs w:val="21"/>
                <w:highlight w:val="none"/>
              </w:rPr>
              <w:t>（如有，请提供）</w:t>
            </w:r>
          </w:p>
          <w:p w14:paraId="6807FFE6">
            <w:pPr>
              <w:spacing w:line="380" w:lineRule="exact"/>
              <w:jc w:val="left"/>
              <w:rPr>
                <w:rFonts w:hint="eastAsia" w:ascii="宋体" w:hAnsi="宋体" w:eastAsia="宋体" w:cs="Times New Roman"/>
                <w:color w:val="auto"/>
                <w:szCs w:val="21"/>
                <w:highlight w:val="none"/>
              </w:rPr>
            </w:pPr>
            <w:r>
              <w:rPr>
                <w:rFonts w:hint="eastAsia" w:ascii="宋体" w:hAnsi="宋体" w:cs="宋体"/>
                <w:color w:val="auto"/>
                <w:szCs w:val="21"/>
                <w:highlight w:val="none"/>
              </w:rPr>
              <w:t>5.供应商针对报价需要说明的其他文件和说明</w:t>
            </w:r>
            <w:r>
              <w:rPr>
                <w:rFonts w:hint="eastAsia" w:ascii="宋体" w:hAnsi="宋体" w:eastAsia="宋体" w:cs="宋体"/>
                <w:color w:val="auto"/>
                <w:szCs w:val="21"/>
                <w:highlight w:val="none"/>
              </w:rPr>
              <w:t>（格式自拟）</w:t>
            </w:r>
            <w:r>
              <w:rPr>
                <w:rFonts w:hint="eastAsia" w:ascii="宋体" w:hAnsi="宋体" w:cs="宋体"/>
                <w:color w:val="auto"/>
                <w:szCs w:val="21"/>
                <w:highlight w:val="none"/>
              </w:rPr>
              <w:t>。</w:t>
            </w:r>
            <w:r>
              <w:rPr>
                <w:rFonts w:hint="eastAsia" w:ascii="宋体" w:hAnsi="宋体" w:cs="宋体"/>
                <w:b/>
                <w:bCs/>
                <w:color w:val="auto"/>
                <w:szCs w:val="21"/>
                <w:highlight w:val="none"/>
              </w:rPr>
              <w:t>（如有，请提供）</w:t>
            </w:r>
          </w:p>
        </w:tc>
      </w:tr>
      <w:tr w14:paraId="4A491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931BB7D">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2</w:t>
            </w:r>
          </w:p>
        </w:tc>
        <w:tc>
          <w:tcPr>
            <w:tcW w:w="2195" w:type="dxa"/>
            <w:vAlign w:val="center"/>
          </w:tcPr>
          <w:p w14:paraId="63A7A9F6">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73" w:type="dxa"/>
            <w:vAlign w:val="center"/>
          </w:tcPr>
          <w:p w14:paraId="7AD74F3C">
            <w:pPr>
              <w:pStyle w:val="12"/>
              <w:spacing w:line="380" w:lineRule="exac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w:t>
            </w:r>
            <w:r>
              <w:rPr>
                <w:rFonts w:hint="eastAsia" w:ascii="宋体" w:hAnsi="宋体" w:cs="宋体"/>
                <w:color w:val="auto"/>
                <w:szCs w:val="21"/>
                <w:highlight w:val="none"/>
                <w:lang w:val="en-US"/>
              </w:rPr>
              <w:t>竞争性谈判</w:t>
            </w:r>
            <w:r>
              <w:rPr>
                <w:rFonts w:hint="eastAsia" w:ascii="宋体" w:hAnsi="宋体" w:cs="宋体"/>
                <w:color w:val="auto"/>
                <w:szCs w:val="21"/>
                <w:highlight w:val="none"/>
              </w:rPr>
              <w:t>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w:t>
            </w:r>
          </w:p>
          <w:p w14:paraId="760A1EAF">
            <w:pPr>
              <w:snapToGrid w:val="0"/>
              <w:spacing w:line="38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Courier New"/>
                <w:color w:val="auto"/>
                <w:szCs w:val="21"/>
                <w:highlight w:val="none"/>
              </w:rPr>
              <w:t>.响应文件电子版加密提交方式：电子版响应文件通过平台有效CA加密后在</w:t>
            </w:r>
            <w:r>
              <w:rPr>
                <w:rFonts w:hint="eastAsia" w:ascii="宋体" w:hAnsi="宋体" w:cs="宋体"/>
                <w:color w:val="auto"/>
                <w:szCs w:val="21"/>
                <w:highlight w:val="none"/>
              </w:rPr>
              <w:t>广西政府采购云平台</w:t>
            </w:r>
            <w:r>
              <w:rPr>
                <w:rFonts w:hint="eastAsia" w:ascii="宋体" w:hAnsi="宋体" w:eastAsia="宋体" w:cs="Courier New"/>
                <w:color w:val="auto"/>
                <w:szCs w:val="21"/>
                <w:highlight w:val="none"/>
              </w:rPr>
              <w:t>上传。</w:t>
            </w:r>
          </w:p>
        </w:tc>
      </w:tr>
      <w:tr w14:paraId="3414D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6" w:hRule="atLeast"/>
          <w:jc w:val="center"/>
        </w:trPr>
        <w:tc>
          <w:tcPr>
            <w:tcW w:w="992" w:type="dxa"/>
            <w:vAlign w:val="center"/>
          </w:tcPr>
          <w:p w14:paraId="1327D2CC">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195" w:type="dxa"/>
            <w:vAlign w:val="center"/>
          </w:tcPr>
          <w:p w14:paraId="7E93D269">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73" w:type="dxa"/>
            <w:vAlign w:val="center"/>
          </w:tcPr>
          <w:p w14:paraId="48984E44">
            <w:pPr>
              <w:snapToGrid w:val="0"/>
              <w:spacing w:line="360" w:lineRule="auto"/>
              <w:rPr>
                <w:rFonts w:hint="eastAsia" w:ascii="宋体" w:hAnsi="宋体" w:eastAsia="宋体" w:cs="宋体"/>
                <w:b/>
                <w:bCs/>
                <w:color w:val="auto"/>
                <w:highlight w:val="none"/>
              </w:rPr>
            </w:pPr>
            <w:r>
              <w:rPr>
                <w:rFonts w:hint="eastAsia" w:ascii="宋体" w:hAnsi="宋体" w:eastAsia="宋体" w:cs="宋体"/>
                <w:color w:val="auto"/>
                <w:highlight w:val="none"/>
              </w:rPr>
              <w:t>响应报价必须包含</w:t>
            </w:r>
            <w:r>
              <w:rPr>
                <w:rFonts w:hint="eastAsia" w:ascii="宋体" w:hAnsi="宋体" w:eastAsia="宋体" w:cs="宋体"/>
                <w:color w:val="auto"/>
                <w:szCs w:val="21"/>
                <w:highlight w:val="none"/>
              </w:rPr>
              <w:t>货物、货物标准附件、备品备件、专用工具、设备安装辅材、包装、运输、装卸、保险、货到就位的各种费用以及安装、调试、检测、验收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费用</w:t>
            </w:r>
            <w:r>
              <w:rPr>
                <w:rFonts w:hint="eastAsia" w:ascii="宋体" w:hAnsi="宋体" w:eastAsia="宋体" w:cs="宋体"/>
                <w:color w:val="auto"/>
                <w:highlight w:val="none"/>
              </w:rPr>
              <w:t>。</w:t>
            </w:r>
          </w:p>
          <w:p w14:paraId="0CD0C2C5">
            <w:pPr>
              <w:snapToGrid w:val="0"/>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☑响应报价包含验收费用</w:t>
            </w:r>
          </w:p>
          <w:p w14:paraId="05FC838E">
            <w:pPr>
              <w:pStyle w:val="14"/>
              <w:spacing w:line="360" w:lineRule="auto"/>
              <w:rPr>
                <w:rFonts w:hint="eastAsia" w:ascii="宋体" w:hAnsi="宋体" w:cs="宋体"/>
                <w:color w:val="auto"/>
                <w:highlight w:val="none"/>
              </w:rPr>
            </w:pPr>
            <w:r>
              <w:rPr>
                <w:rFonts w:hint="eastAsia" w:ascii="宋体" w:hAnsi="宋体" w:cs="宋体"/>
                <w:b/>
                <w:bCs/>
                <w:color w:val="auto"/>
                <w:highlight w:val="none"/>
              </w:rPr>
              <w:t>□响应报价不包含验收费用</w:t>
            </w:r>
          </w:p>
        </w:tc>
      </w:tr>
      <w:tr w14:paraId="5A630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5CB87B6">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w:t>
            </w:r>
            <w:r>
              <w:rPr>
                <w:rFonts w:ascii="宋体" w:hAnsi="宋体" w:eastAsia="宋体" w:cs="宋体"/>
                <w:color w:val="auto"/>
                <w:szCs w:val="21"/>
                <w:highlight w:val="none"/>
              </w:rPr>
              <w:t>2</w:t>
            </w:r>
          </w:p>
        </w:tc>
        <w:tc>
          <w:tcPr>
            <w:tcW w:w="2195" w:type="dxa"/>
            <w:vAlign w:val="center"/>
          </w:tcPr>
          <w:p w14:paraId="396D6DB3">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73" w:type="dxa"/>
            <w:vAlign w:val="center"/>
          </w:tcPr>
          <w:p w14:paraId="2D4F4D99">
            <w:pPr>
              <w:tabs>
                <w:tab w:val="left" w:pos="720"/>
                <w:tab w:val="left" w:pos="840"/>
              </w:tabs>
              <w:snapToGrid w:val="0"/>
              <w:spacing w:after="50" w:line="380" w:lineRule="exact"/>
              <w:ind w:left="283" w:hanging="283" w:hangingChars="135"/>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自首次响应文件提交截止之日起</w:t>
            </w:r>
            <w:r>
              <w:rPr>
                <w:rFonts w:hint="eastAsia" w:ascii="宋体" w:hAnsi="宋体" w:eastAsia="宋体" w:cs="宋体"/>
                <w:color w:val="auto"/>
                <w:szCs w:val="21"/>
                <w:highlight w:val="none"/>
                <w:u w:val="single"/>
              </w:rPr>
              <w:t>90</w:t>
            </w:r>
            <w:r>
              <w:rPr>
                <w:rFonts w:hint="eastAsia" w:ascii="宋体" w:hAnsi="宋体" w:eastAsia="宋体" w:cs="宋体"/>
                <w:color w:val="auto"/>
                <w:szCs w:val="21"/>
                <w:highlight w:val="none"/>
              </w:rPr>
              <w:t>日。</w:t>
            </w:r>
          </w:p>
        </w:tc>
      </w:tr>
      <w:tr w14:paraId="5DE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9ED3F25">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195" w:type="dxa"/>
            <w:vAlign w:val="center"/>
          </w:tcPr>
          <w:p w14:paraId="39329881">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谈判保证金</w:t>
            </w:r>
          </w:p>
        </w:tc>
        <w:tc>
          <w:tcPr>
            <w:tcW w:w="6773" w:type="dxa"/>
            <w:vAlign w:val="center"/>
          </w:tcPr>
          <w:p w14:paraId="5B459B45">
            <w:pPr>
              <w:spacing w:line="380" w:lineRule="exact"/>
              <w:rPr>
                <w:rFonts w:hint="eastAsia" w:ascii="宋体" w:hAnsi="宋体"/>
                <w:b/>
                <w:bCs/>
                <w:color w:val="auto"/>
                <w:szCs w:val="21"/>
                <w:highlight w:val="none"/>
              </w:rPr>
            </w:pPr>
            <w:r>
              <w:rPr>
                <w:rFonts w:hint="eastAsia" w:ascii="宋体" w:hAnsi="宋体"/>
                <w:b/>
                <w:bCs/>
                <w:color w:val="auto"/>
                <w:szCs w:val="21"/>
                <w:highlight w:val="none"/>
              </w:rPr>
              <w:t>本项目是否需要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纳谈判</w:t>
            </w:r>
            <w:r>
              <w:rPr>
                <w:rFonts w:hint="eastAsia" w:ascii="宋体" w:hAnsi="宋体"/>
                <w:b/>
                <w:bCs/>
                <w:color w:val="auto"/>
                <w:szCs w:val="21"/>
                <w:highlight w:val="none"/>
              </w:rPr>
              <w:t>保证金详见竞争性谈判公告。</w:t>
            </w:r>
          </w:p>
          <w:p w14:paraId="5DB0828C">
            <w:pPr>
              <w:snapToGrid w:val="0"/>
              <w:spacing w:line="380" w:lineRule="exact"/>
              <w:rPr>
                <w:rFonts w:hint="eastAsia" w:ascii="宋体" w:hAnsi="宋体" w:cs="宋体"/>
                <w:b/>
                <w:bCs/>
                <w:color w:val="auto"/>
                <w:szCs w:val="21"/>
                <w:highlight w:val="none"/>
              </w:rPr>
            </w:pPr>
            <w:r>
              <w:rPr>
                <w:rFonts w:hint="eastAsia" w:ascii="宋体" w:hAnsi="宋体"/>
                <w:b/>
                <w:bCs/>
                <w:color w:val="auto"/>
                <w:szCs w:val="21"/>
                <w:highlight w:val="none"/>
              </w:rPr>
              <w:t>如本项目需要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纳谈判</w:t>
            </w:r>
            <w:r>
              <w:rPr>
                <w:rFonts w:hint="eastAsia" w:ascii="宋体" w:hAnsi="宋体"/>
                <w:b/>
                <w:bCs/>
                <w:color w:val="auto"/>
                <w:szCs w:val="21"/>
                <w:highlight w:val="none"/>
              </w:rPr>
              <w:t>保证金，</w:t>
            </w:r>
            <w:r>
              <w:rPr>
                <w:rFonts w:hint="eastAsia" w:ascii="宋体" w:hAnsi="宋体" w:cs="宋体"/>
                <w:b/>
                <w:bCs/>
                <w:color w:val="auto"/>
                <w:szCs w:val="21"/>
                <w:highlight w:val="none"/>
              </w:rPr>
              <w:t>相关要求如下：</w:t>
            </w:r>
          </w:p>
          <w:p w14:paraId="6CB1A070">
            <w:pPr>
              <w:snapToGrid w:val="0"/>
              <w:spacing w:line="380" w:lineRule="exact"/>
              <w:rPr>
                <w:rFonts w:hint="eastAsia" w:ascii="宋体" w:hAnsi="宋体" w:cs="宋体"/>
                <w:color w:val="auto"/>
                <w:szCs w:val="21"/>
                <w:highlight w:val="none"/>
              </w:rPr>
            </w:pPr>
            <w:r>
              <w:rPr>
                <w:rFonts w:hint="eastAsia" w:ascii="宋体" w:hAnsi="宋体" w:cs="宋体"/>
                <w:color w:val="auto"/>
                <w:szCs w:val="21"/>
                <w:highlight w:val="none"/>
              </w:rPr>
              <w:t>1.谈判保证金的缴纳方式：详见竞争性谈判公告。</w:t>
            </w:r>
          </w:p>
          <w:p w14:paraId="018E92CE">
            <w:pPr>
              <w:snapToGrid w:val="0"/>
              <w:spacing w:line="380" w:lineRule="exact"/>
              <w:rPr>
                <w:rFonts w:hint="eastAsia" w:ascii="宋体" w:hAnsi="宋体" w:cs="宋体"/>
                <w:color w:val="auto"/>
                <w:szCs w:val="21"/>
                <w:highlight w:val="none"/>
              </w:rPr>
            </w:pPr>
            <w:r>
              <w:rPr>
                <w:rFonts w:hint="eastAsia" w:ascii="宋体" w:hAnsi="宋体" w:cs="宋体"/>
                <w:color w:val="auto"/>
                <w:szCs w:val="21"/>
                <w:highlight w:val="none"/>
              </w:rPr>
              <w:t>2.谈判保证金的金额：详见竞争性谈判公告。</w:t>
            </w:r>
          </w:p>
          <w:p w14:paraId="42FA63BC">
            <w:pPr>
              <w:snapToGrid w:val="0"/>
              <w:spacing w:line="380" w:lineRule="exact"/>
              <w:rPr>
                <w:rFonts w:hint="eastAsia" w:ascii="宋体" w:hAnsi="宋体" w:cs="宋体"/>
                <w:color w:val="auto"/>
                <w:szCs w:val="21"/>
                <w:highlight w:val="none"/>
              </w:rPr>
            </w:pPr>
            <w:r>
              <w:rPr>
                <w:rFonts w:hint="eastAsia" w:ascii="宋体" w:hAnsi="宋体" w:cs="宋体"/>
                <w:color w:val="auto"/>
                <w:szCs w:val="21"/>
                <w:highlight w:val="none"/>
              </w:rPr>
              <w:t>3.谈判保证金采用银行转账缴纳方式的，在首次响应文件提交截止时间前交至采购代理机构指定账户并且到账，供应商应将银行转账底单的复印件</w:t>
            </w:r>
            <w:r>
              <w:rPr>
                <w:rFonts w:hint="eastAsia" w:ascii="宋体" w:hAnsi="宋体" w:eastAsia="宋体" w:cs="宋体"/>
                <w:color w:val="auto"/>
                <w:szCs w:val="21"/>
                <w:highlight w:val="none"/>
              </w:rPr>
              <w:t>或者金融机构、担保机构出具的</w:t>
            </w:r>
            <w:r>
              <w:rPr>
                <w:rFonts w:hint="eastAsia" w:ascii="宋体" w:hAnsi="宋体" w:cs="宋体"/>
                <w:color w:val="auto"/>
                <w:kern w:val="0"/>
                <w:szCs w:val="21"/>
                <w:highlight w:val="none"/>
              </w:rPr>
              <w:t>电子保函</w:t>
            </w:r>
            <w:r>
              <w:rPr>
                <w:rFonts w:hint="eastAsia" w:ascii="宋体" w:hAnsi="宋体" w:cs="宋体"/>
                <w:color w:val="auto"/>
                <w:szCs w:val="21"/>
                <w:highlight w:val="none"/>
              </w:rPr>
              <w:t>作为谈判保证金提交凭证，放置于商务文件中，</w:t>
            </w:r>
            <w:r>
              <w:rPr>
                <w:rFonts w:hint="eastAsia" w:ascii="宋体" w:hAnsi="宋体" w:eastAsia="宋体" w:cs="宋体"/>
                <w:b/>
                <w:color w:val="auto"/>
                <w:szCs w:val="21"/>
                <w:highlight w:val="none"/>
              </w:rPr>
              <w:t>否则响应文件作无效响应处理</w:t>
            </w:r>
            <w:r>
              <w:rPr>
                <w:rFonts w:hint="eastAsia" w:ascii="宋体" w:hAnsi="宋体" w:cs="宋体"/>
                <w:color w:val="auto"/>
                <w:szCs w:val="21"/>
                <w:highlight w:val="none"/>
              </w:rPr>
              <w:t>。</w:t>
            </w:r>
          </w:p>
          <w:p w14:paraId="032608E4">
            <w:pPr>
              <w:snapToGrid w:val="0"/>
              <w:spacing w:line="380" w:lineRule="exact"/>
              <w:rPr>
                <w:rFonts w:hint="eastAsia" w:ascii="宋体" w:hAnsi="宋体"/>
                <w:color w:val="auto"/>
                <w:szCs w:val="21"/>
                <w:highlight w:val="none"/>
              </w:rPr>
            </w:pPr>
            <w:r>
              <w:rPr>
                <w:rFonts w:hint="eastAsia" w:ascii="宋体" w:hAnsi="宋体"/>
                <w:color w:val="auto"/>
                <w:szCs w:val="21"/>
                <w:highlight w:val="none"/>
              </w:rPr>
              <w:t>4.谈判保证金采用支票、汇票、本票或者金融机构、担保机构出具的保函等缴纳方式的，供应商应将支票、汇票、本票或者金融机构、担保机构出具的保函等的复印件作为谈判保证金提交凭证，放置于</w:t>
            </w:r>
            <w:r>
              <w:rPr>
                <w:rFonts w:hint="eastAsia" w:ascii="宋体" w:hAnsi="宋体" w:cs="宋体"/>
                <w:color w:val="auto"/>
                <w:szCs w:val="21"/>
                <w:highlight w:val="none"/>
              </w:rPr>
              <w:t>商务文件</w:t>
            </w:r>
            <w:r>
              <w:rPr>
                <w:rFonts w:hint="eastAsia" w:ascii="宋体" w:hAnsi="宋体"/>
                <w:color w:val="auto"/>
                <w:szCs w:val="21"/>
                <w:highlight w:val="none"/>
              </w:rPr>
              <w:t>中，</w:t>
            </w:r>
            <w:r>
              <w:rPr>
                <w:rFonts w:hint="eastAsia" w:ascii="宋体" w:hAnsi="宋体" w:eastAsia="宋体" w:cs="宋体"/>
                <w:b/>
                <w:color w:val="auto"/>
                <w:szCs w:val="21"/>
                <w:highlight w:val="none"/>
              </w:rPr>
              <w:t>否则响应文件作无效响应处理</w:t>
            </w:r>
            <w:r>
              <w:rPr>
                <w:rFonts w:hint="eastAsia" w:ascii="宋体" w:hAnsi="宋体"/>
                <w:color w:val="auto"/>
                <w:szCs w:val="21"/>
                <w:highlight w:val="none"/>
              </w:rPr>
              <w:t>。供应商必须在首次响应文件提交截止时间前将支票、汇票、本票或者金融机构、担保机构出具的保函</w:t>
            </w:r>
            <w:r>
              <w:rPr>
                <w:rFonts w:hint="eastAsia" w:ascii="宋体" w:hAnsi="宋体" w:cs="宋体"/>
                <w:color w:val="auto"/>
                <w:szCs w:val="21"/>
                <w:highlight w:val="none"/>
              </w:rPr>
              <w:t>（</w:t>
            </w:r>
            <w:r>
              <w:rPr>
                <w:rFonts w:hint="eastAsia" w:ascii="宋体" w:hAnsi="宋体" w:cs="宋体"/>
                <w:color w:val="auto"/>
                <w:kern w:val="0"/>
                <w:szCs w:val="21"/>
                <w:highlight w:val="none"/>
              </w:rPr>
              <w:t>电子保函除外</w:t>
            </w:r>
            <w:r>
              <w:rPr>
                <w:rFonts w:hint="eastAsia" w:ascii="宋体" w:hAnsi="宋体" w:cs="宋体"/>
                <w:color w:val="auto"/>
                <w:szCs w:val="21"/>
                <w:highlight w:val="none"/>
              </w:rPr>
              <w:t>）</w:t>
            </w:r>
            <w:r>
              <w:rPr>
                <w:rFonts w:hint="eastAsia" w:ascii="宋体" w:hAnsi="宋体"/>
                <w:color w:val="auto"/>
                <w:szCs w:val="21"/>
                <w:highlight w:val="none"/>
              </w:rPr>
              <w:t>等原件提交给采购代理机构，由采购代理机构向供应商出具回执，并妥善保管。</w:t>
            </w:r>
          </w:p>
          <w:p w14:paraId="2873A643">
            <w:pPr>
              <w:snapToGrid w:val="0"/>
              <w:spacing w:line="380" w:lineRule="exact"/>
              <w:rPr>
                <w:rFonts w:hint="eastAsia" w:ascii="宋体" w:hAnsi="宋体" w:cs="宋体"/>
                <w:color w:val="auto"/>
                <w:szCs w:val="21"/>
                <w:highlight w:val="none"/>
              </w:rPr>
            </w:pPr>
            <w:r>
              <w:rPr>
                <w:rFonts w:hint="eastAsia" w:ascii="宋体" w:hAnsi="宋体" w:cs="宋体"/>
                <w:color w:val="auto"/>
                <w:szCs w:val="21"/>
                <w:highlight w:val="none"/>
              </w:rPr>
              <w:t>5.谈判保证金指定账户：详见竞争性谈判公告。</w:t>
            </w:r>
          </w:p>
          <w:p w14:paraId="24699A86">
            <w:pPr>
              <w:pStyle w:val="12"/>
              <w:spacing w:line="380" w:lineRule="exact"/>
              <w:rPr>
                <w:rFonts w:hint="eastAsia" w:ascii="宋体" w:hAnsi="宋体" w:cs="宋体"/>
                <w:b/>
                <w:color w:val="auto"/>
                <w:szCs w:val="21"/>
                <w:highlight w:val="none"/>
              </w:rPr>
            </w:pPr>
            <w:r>
              <w:rPr>
                <w:rFonts w:hint="eastAsia" w:ascii="宋体" w:hAnsi="宋体" w:cs="宋体"/>
                <w:color w:val="auto"/>
                <w:szCs w:val="21"/>
                <w:highlight w:val="none"/>
                <w:lang w:val="en-US"/>
              </w:rPr>
              <w:t>6</w:t>
            </w:r>
            <w:r>
              <w:rPr>
                <w:rFonts w:hint="eastAsia" w:ascii="宋体" w:hAnsi="宋体" w:cs="宋体"/>
                <w:color w:val="auto"/>
                <w:szCs w:val="21"/>
                <w:highlight w:val="none"/>
              </w:rPr>
              <w:t>.供应商为联合体的，可以由联合体中的一方或者多方共同缴纳</w:t>
            </w:r>
            <w:r>
              <w:rPr>
                <w:rFonts w:hint="eastAsia"/>
                <w:color w:val="auto"/>
                <w:highlight w:val="none"/>
              </w:rPr>
              <w:t>谈判保证金</w:t>
            </w:r>
            <w:r>
              <w:rPr>
                <w:rFonts w:hint="eastAsia" w:ascii="宋体" w:hAnsi="宋体" w:cs="宋体"/>
                <w:color w:val="auto"/>
                <w:szCs w:val="21"/>
                <w:highlight w:val="none"/>
              </w:rPr>
              <w:t>，其缴纳的谈判保证金对联合体各方均具有约束力。</w:t>
            </w:r>
          </w:p>
          <w:p w14:paraId="34C8746F">
            <w:pPr>
              <w:snapToGrid w:val="0"/>
              <w:spacing w:line="380" w:lineRule="exact"/>
              <w:rPr>
                <w:rFonts w:hint="eastAsia" w:ascii="宋体" w:hAnsi="宋体" w:cs="宋体"/>
                <w:b/>
                <w:color w:val="auto"/>
                <w:szCs w:val="21"/>
                <w:highlight w:val="none"/>
              </w:rPr>
            </w:pPr>
            <w:r>
              <w:rPr>
                <w:rFonts w:hint="eastAsia" w:ascii="宋体" w:hAnsi="宋体" w:cs="宋体"/>
                <w:b/>
                <w:color w:val="auto"/>
                <w:szCs w:val="21"/>
                <w:highlight w:val="none"/>
              </w:rPr>
              <w:t xml:space="preserve">备注： </w:t>
            </w:r>
          </w:p>
          <w:p w14:paraId="53FBC6D7">
            <w:pPr>
              <w:snapToGrid w:val="0"/>
              <w:spacing w:line="380" w:lineRule="exact"/>
              <w:rPr>
                <w:rFonts w:hint="eastAsia" w:ascii="宋体" w:hAnsi="宋体" w:cs="宋体"/>
                <w:b/>
                <w:color w:val="auto"/>
                <w:szCs w:val="21"/>
                <w:highlight w:val="none"/>
              </w:rPr>
            </w:pPr>
            <w:r>
              <w:rPr>
                <w:rFonts w:hint="eastAsia" w:ascii="宋体" w:hAnsi="宋体" w:cs="宋体"/>
                <w:b/>
                <w:color w:val="auto"/>
                <w:szCs w:val="21"/>
                <w:highlight w:val="none"/>
              </w:rPr>
              <w:t>1.首次响应文件提交截止时间后提交的，或者未足额缴纳的，或者保函额度不足的，视为无效谈判保证金。</w:t>
            </w:r>
          </w:p>
          <w:p w14:paraId="568B66BE">
            <w:pPr>
              <w:snapToGrid w:val="0"/>
              <w:spacing w:line="380" w:lineRule="exact"/>
              <w:rPr>
                <w:rFonts w:hint="eastAsia" w:ascii="宋体" w:hAnsi="宋体" w:cs="宋体"/>
                <w:b/>
                <w:color w:val="auto"/>
                <w:szCs w:val="21"/>
                <w:highlight w:val="none"/>
              </w:rPr>
            </w:pPr>
            <w:r>
              <w:rPr>
                <w:rFonts w:hint="eastAsia" w:ascii="宋体" w:hAnsi="宋体" w:cs="宋体"/>
                <w:b/>
                <w:color w:val="auto"/>
                <w:szCs w:val="21"/>
                <w:highlight w:val="none"/>
              </w:rPr>
              <w:t>2.供应商采用现金方式或者从个人账户（自然人竞标除外）转出的谈判保证金，视为无效谈判保证金。</w:t>
            </w:r>
          </w:p>
          <w:p w14:paraId="31ADF8A3">
            <w:pPr>
              <w:snapToGrid w:val="0"/>
              <w:spacing w:line="380" w:lineRule="exact"/>
              <w:rPr>
                <w:rFonts w:hint="eastAsia" w:ascii="宋体" w:hAnsi="宋体" w:cs="宋体"/>
                <w:b/>
                <w:color w:val="auto"/>
                <w:szCs w:val="21"/>
                <w:highlight w:val="none"/>
              </w:rPr>
            </w:pPr>
            <w:r>
              <w:rPr>
                <w:rFonts w:hint="eastAsia" w:ascii="宋体" w:hAnsi="宋体" w:cs="宋体"/>
                <w:b/>
                <w:color w:val="auto"/>
                <w:szCs w:val="21"/>
                <w:highlight w:val="none"/>
              </w:rPr>
              <w:t>3.支票、汇票或者本票出现无效或者背书情形的，视为无效谈判保证金。</w:t>
            </w:r>
          </w:p>
          <w:p w14:paraId="39DD595D">
            <w:pPr>
              <w:snapToGrid w:val="0"/>
              <w:spacing w:line="380" w:lineRule="exact"/>
              <w:rPr>
                <w:rFonts w:hint="eastAsia" w:ascii="宋体" w:hAnsi="宋体" w:cs="宋体"/>
                <w:b/>
                <w:color w:val="auto"/>
                <w:szCs w:val="21"/>
                <w:highlight w:val="none"/>
              </w:rPr>
            </w:pPr>
            <w:r>
              <w:rPr>
                <w:rFonts w:hint="eastAsia" w:ascii="宋体" w:hAnsi="宋体" w:cs="宋体"/>
                <w:b/>
                <w:color w:val="auto"/>
                <w:szCs w:val="21"/>
                <w:highlight w:val="none"/>
              </w:rPr>
              <w:t>4.保函有效期低于竞标有效期的，视为无效谈判保证金。</w:t>
            </w:r>
          </w:p>
          <w:p w14:paraId="435017A8">
            <w:pPr>
              <w:autoSpaceDE w:val="0"/>
              <w:autoSpaceDN w:val="0"/>
              <w:snapToGrid w:val="0"/>
              <w:spacing w:line="380" w:lineRule="exact"/>
              <w:textAlignment w:val="bottom"/>
              <w:rPr>
                <w:rFonts w:hint="eastAsia" w:ascii="宋体" w:hAnsi="宋体" w:eastAsia="宋体" w:cs="Times New Roman"/>
                <w:color w:val="auto"/>
                <w:szCs w:val="21"/>
                <w:highlight w:val="none"/>
              </w:rPr>
            </w:pPr>
            <w:r>
              <w:rPr>
                <w:rFonts w:hint="eastAsia" w:ascii="宋体" w:hAnsi="宋体" w:cs="宋体"/>
                <w:b/>
                <w:color w:val="auto"/>
                <w:szCs w:val="21"/>
                <w:highlight w:val="none"/>
              </w:rPr>
              <w:t>5.谈判保证金采用金融、担保机构出具的保函为有条件保函的，视为无效谈判保证金</w:t>
            </w:r>
            <w:r>
              <w:rPr>
                <w:rFonts w:hint="eastAsia" w:ascii="宋体" w:hAnsi="宋体" w:eastAsia="宋体" w:cs="Times New Roman"/>
                <w:color w:val="auto"/>
                <w:szCs w:val="21"/>
                <w:highlight w:val="none"/>
              </w:rPr>
              <w:t>。</w:t>
            </w:r>
          </w:p>
        </w:tc>
      </w:tr>
      <w:tr w14:paraId="4B446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92" w:type="dxa"/>
            <w:vMerge w:val="restart"/>
            <w:vAlign w:val="center"/>
          </w:tcPr>
          <w:p w14:paraId="5A824FB6">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195" w:type="dxa"/>
            <w:vAlign w:val="center"/>
          </w:tcPr>
          <w:p w14:paraId="0B5C33A0">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首次响应文件提交截止时间</w:t>
            </w:r>
          </w:p>
        </w:tc>
        <w:tc>
          <w:tcPr>
            <w:tcW w:w="6773" w:type="dxa"/>
            <w:vAlign w:val="center"/>
          </w:tcPr>
          <w:p w14:paraId="5CEE9C48">
            <w:pPr>
              <w:snapToGrid w:val="0"/>
              <w:spacing w:line="380" w:lineRule="exact"/>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详见竞争性谈判公告。</w:t>
            </w:r>
          </w:p>
        </w:tc>
      </w:tr>
      <w:tr w14:paraId="02280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92" w:type="dxa"/>
            <w:vMerge w:val="continue"/>
            <w:vAlign w:val="center"/>
          </w:tcPr>
          <w:p w14:paraId="1265C690">
            <w:pPr>
              <w:spacing w:line="380" w:lineRule="exact"/>
              <w:jc w:val="center"/>
              <w:rPr>
                <w:rFonts w:hint="eastAsia" w:ascii="宋体" w:hAnsi="宋体" w:eastAsia="宋体" w:cs="宋体"/>
                <w:color w:val="auto"/>
                <w:szCs w:val="21"/>
                <w:highlight w:val="none"/>
              </w:rPr>
            </w:pPr>
          </w:p>
        </w:tc>
        <w:tc>
          <w:tcPr>
            <w:tcW w:w="2195" w:type="dxa"/>
            <w:vAlign w:val="center"/>
          </w:tcPr>
          <w:p w14:paraId="1C92E84F">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首次响应文件开启时间</w:t>
            </w:r>
          </w:p>
        </w:tc>
        <w:tc>
          <w:tcPr>
            <w:tcW w:w="6773" w:type="dxa"/>
            <w:vAlign w:val="center"/>
          </w:tcPr>
          <w:p w14:paraId="0D6A443C">
            <w:pPr>
              <w:snapToGrid w:val="0"/>
              <w:spacing w:line="38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详见竞争性谈判公告。</w:t>
            </w:r>
          </w:p>
        </w:tc>
      </w:tr>
      <w:tr w14:paraId="7A032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92" w:type="dxa"/>
            <w:vMerge w:val="continue"/>
            <w:vAlign w:val="center"/>
          </w:tcPr>
          <w:p w14:paraId="6DAC5AB5">
            <w:pPr>
              <w:spacing w:line="380" w:lineRule="exact"/>
              <w:jc w:val="center"/>
              <w:rPr>
                <w:rFonts w:hint="eastAsia" w:ascii="宋体" w:hAnsi="宋体" w:eastAsia="宋体" w:cs="宋体"/>
                <w:color w:val="auto"/>
                <w:szCs w:val="21"/>
                <w:highlight w:val="none"/>
              </w:rPr>
            </w:pPr>
          </w:p>
        </w:tc>
        <w:tc>
          <w:tcPr>
            <w:tcW w:w="2195" w:type="dxa"/>
            <w:vAlign w:val="center"/>
          </w:tcPr>
          <w:p w14:paraId="23677CE6">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73" w:type="dxa"/>
            <w:vAlign w:val="center"/>
          </w:tcPr>
          <w:p w14:paraId="56D0B9B1">
            <w:pPr>
              <w:snapToGrid w:val="0"/>
              <w:spacing w:line="380" w:lineRule="exact"/>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详见竞争性谈判公告。</w:t>
            </w:r>
          </w:p>
        </w:tc>
      </w:tr>
      <w:tr w14:paraId="3E372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92" w:type="dxa"/>
            <w:vAlign w:val="center"/>
          </w:tcPr>
          <w:p w14:paraId="70F6CAB8">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195" w:type="dxa"/>
            <w:vAlign w:val="center"/>
          </w:tcPr>
          <w:p w14:paraId="6A9C66CE">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73" w:type="dxa"/>
            <w:vAlign w:val="center"/>
          </w:tcPr>
          <w:p w14:paraId="14831CE2">
            <w:pPr>
              <w:snapToGrid w:val="0"/>
              <w:spacing w:line="380" w:lineRule="exact"/>
              <w:jc w:val="left"/>
              <w:rPr>
                <w:rFonts w:hint="eastAsia" w:ascii="宋体" w:hAnsi="宋体" w:eastAsia="宋体" w:cs="宋体"/>
                <w:color w:val="auto"/>
                <w:szCs w:val="21"/>
                <w:highlight w:val="none"/>
              </w:rPr>
            </w:pPr>
            <w:r>
              <w:rPr>
                <w:rFonts w:hint="eastAsia" w:ascii="宋体" w:hAnsi="宋体" w:eastAsia="宋体" w:cs="Times New Roman"/>
                <w:color w:val="auto"/>
                <w:szCs w:val="21"/>
                <w:highlight w:val="none"/>
              </w:rPr>
              <w:t>本项目不接受备份响应文件。</w:t>
            </w:r>
          </w:p>
        </w:tc>
      </w:tr>
      <w:tr w14:paraId="67A4E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92" w:type="dxa"/>
            <w:vAlign w:val="center"/>
          </w:tcPr>
          <w:p w14:paraId="24692095">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ascii="宋体" w:hAnsi="宋体" w:eastAsia="宋体" w:cs="宋体"/>
                <w:color w:val="auto"/>
                <w:szCs w:val="21"/>
                <w:highlight w:val="none"/>
              </w:rPr>
              <w:t>1</w:t>
            </w:r>
          </w:p>
        </w:tc>
        <w:tc>
          <w:tcPr>
            <w:tcW w:w="2195" w:type="dxa"/>
            <w:vAlign w:val="center"/>
          </w:tcPr>
          <w:p w14:paraId="2BE32799">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首次响应文件的补充、修改与撤回</w:t>
            </w:r>
          </w:p>
        </w:tc>
        <w:tc>
          <w:tcPr>
            <w:tcW w:w="6773" w:type="dxa"/>
            <w:vAlign w:val="center"/>
          </w:tcPr>
          <w:p w14:paraId="3EA6F368">
            <w:pPr>
              <w:snapToGrid w:val="0"/>
              <w:spacing w:line="38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w:t>
            </w:r>
            <w:r>
              <w:rPr>
                <w:rFonts w:hint="eastAsia" w:ascii="宋体" w:hAnsi="宋体"/>
                <w:bCs/>
                <w:color w:val="auto"/>
                <w:highlight w:val="none"/>
              </w:rPr>
              <w:t>供应商须知正文</w:t>
            </w:r>
            <w:r>
              <w:rPr>
                <w:rFonts w:hint="eastAsia" w:ascii="宋体" w:hAnsi="宋体" w:eastAsia="宋体" w:cs="宋体"/>
                <w:color w:val="auto"/>
                <w:szCs w:val="21"/>
                <w:highlight w:val="none"/>
              </w:rPr>
              <w:t>。</w:t>
            </w:r>
          </w:p>
        </w:tc>
      </w:tr>
      <w:tr w14:paraId="2EADC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992" w:type="dxa"/>
            <w:vMerge w:val="restart"/>
            <w:vAlign w:val="center"/>
          </w:tcPr>
          <w:p w14:paraId="4E930F55">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25</w:t>
            </w:r>
          </w:p>
        </w:tc>
        <w:tc>
          <w:tcPr>
            <w:tcW w:w="2195" w:type="dxa"/>
            <w:vAlign w:val="center"/>
          </w:tcPr>
          <w:p w14:paraId="0526B7B6">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谈判的顺序</w:t>
            </w:r>
          </w:p>
        </w:tc>
        <w:tc>
          <w:tcPr>
            <w:tcW w:w="6773" w:type="dxa"/>
            <w:vAlign w:val="center"/>
          </w:tcPr>
          <w:p w14:paraId="14FB827E">
            <w:pPr>
              <w:snapToGrid w:val="0"/>
              <w:spacing w:line="380" w:lineRule="exact"/>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系统自动提取的顺序</w:t>
            </w:r>
          </w:p>
        </w:tc>
      </w:tr>
      <w:tr w14:paraId="06130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7FA9FAFB">
            <w:pPr>
              <w:spacing w:line="380" w:lineRule="exact"/>
              <w:jc w:val="center"/>
              <w:rPr>
                <w:rFonts w:hint="eastAsia" w:ascii="宋体" w:hAnsi="宋体" w:eastAsia="宋体" w:cs="宋体"/>
                <w:color w:val="auto"/>
                <w:szCs w:val="21"/>
                <w:highlight w:val="none"/>
              </w:rPr>
            </w:pPr>
          </w:p>
        </w:tc>
        <w:tc>
          <w:tcPr>
            <w:tcW w:w="2195" w:type="dxa"/>
            <w:vAlign w:val="center"/>
          </w:tcPr>
          <w:p w14:paraId="1492C65E">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评审方法</w:t>
            </w:r>
          </w:p>
        </w:tc>
        <w:tc>
          <w:tcPr>
            <w:tcW w:w="6773" w:type="dxa"/>
            <w:vAlign w:val="center"/>
          </w:tcPr>
          <w:p w14:paraId="7929DF58">
            <w:pPr>
              <w:snapToGrid w:val="0"/>
              <w:spacing w:line="380" w:lineRule="exact"/>
              <w:rPr>
                <w:rFonts w:hint="eastAsia" w:ascii="宋体" w:hAnsi="宋体" w:eastAsia="宋体" w:cs="宋体"/>
                <w:color w:val="auto"/>
                <w:szCs w:val="21"/>
                <w:highlight w:val="none"/>
              </w:rPr>
            </w:pPr>
            <w:r>
              <w:rPr>
                <w:rFonts w:hint="eastAsia"/>
                <w:color w:val="auto"/>
                <w:highlight w:val="none"/>
              </w:rPr>
              <w:t>本项目采用最低评标价法。最低评标价法是指响应文件满足竞争性谈判文件全部实质性要求且评</w:t>
            </w:r>
            <w:r>
              <w:rPr>
                <w:rFonts w:hint="eastAsia" w:ascii="宋体" w:hAnsi="宋体" w:eastAsia="宋体" w:cs="宋体"/>
                <w:color w:val="auto"/>
                <w:szCs w:val="21"/>
                <w:highlight w:val="none"/>
              </w:rPr>
              <w:t>审价</w:t>
            </w:r>
            <w:r>
              <w:rPr>
                <w:rFonts w:hint="eastAsia"/>
                <w:color w:val="auto"/>
                <w:highlight w:val="none"/>
              </w:rPr>
              <w:t>最低的供应商为成交候选人的评审方法。</w:t>
            </w:r>
          </w:p>
        </w:tc>
      </w:tr>
      <w:tr w14:paraId="75FC0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2175F074">
            <w:pPr>
              <w:spacing w:line="380" w:lineRule="exact"/>
              <w:jc w:val="center"/>
              <w:rPr>
                <w:rFonts w:hint="eastAsia" w:ascii="宋体" w:hAnsi="宋体" w:eastAsia="宋体" w:cs="宋体"/>
                <w:color w:val="auto"/>
                <w:szCs w:val="21"/>
                <w:highlight w:val="none"/>
              </w:rPr>
            </w:pPr>
          </w:p>
        </w:tc>
        <w:tc>
          <w:tcPr>
            <w:tcW w:w="2195" w:type="dxa"/>
            <w:vAlign w:val="center"/>
          </w:tcPr>
          <w:p w14:paraId="1300B8CB">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评审价相同时成交原则</w:t>
            </w:r>
          </w:p>
        </w:tc>
        <w:tc>
          <w:tcPr>
            <w:tcW w:w="6773" w:type="dxa"/>
            <w:vAlign w:val="center"/>
          </w:tcPr>
          <w:p w14:paraId="07D52D0E">
            <w:pPr>
              <w:snapToGrid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评审价相同时，按照最后报价由低到高顺序依次推荐；最后报价相同时，按以下原则确定成交候选人的顺序：</w:t>
            </w:r>
          </w:p>
          <w:p w14:paraId="4133524B">
            <w:pPr>
              <w:snapToGrid w:val="0"/>
              <w:spacing w:line="380" w:lineRule="exact"/>
              <w:rPr>
                <w:rFonts w:hint="eastAsia" w:ascii="宋体" w:hAnsi="宋体" w:eastAsia="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依次按带“▲”的实质性要求正偏离项数多的优先、均无正偏离或者正偏离项数一致时负偏离项数少的优先、质量保证期长优先、交货期短优先、故障响应时间短优先的顺序排列</w:t>
            </w:r>
          </w:p>
          <w:p w14:paraId="4463A0E5">
            <w:pPr>
              <w:snapToGrid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□由谈判小组推荐代表随机抽取。</w:t>
            </w:r>
          </w:p>
        </w:tc>
      </w:tr>
      <w:tr w14:paraId="0BA98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F896F87">
            <w:pPr>
              <w:spacing w:line="380" w:lineRule="exact"/>
              <w:jc w:val="center"/>
              <w:rPr>
                <w:rFonts w:hint="eastAsia"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7</w:t>
            </w:r>
          </w:p>
        </w:tc>
        <w:tc>
          <w:tcPr>
            <w:tcW w:w="2195" w:type="dxa"/>
            <w:vAlign w:val="center"/>
          </w:tcPr>
          <w:p w14:paraId="05EAA838">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73" w:type="dxa"/>
            <w:vAlign w:val="center"/>
          </w:tcPr>
          <w:p w14:paraId="4846C726">
            <w:pPr>
              <w:spacing w:line="380" w:lineRule="exact"/>
              <w:rPr>
                <w:rFonts w:hint="eastAsia" w:ascii="宋体" w:hAnsi="宋体"/>
                <w:b/>
                <w:bCs/>
                <w:color w:val="auto"/>
                <w:szCs w:val="21"/>
                <w:highlight w:val="none"/>
              </w:rPr>
            </w:pPr>
            <w:r>
              <w:rPr>
                <w:rFonts w:hint="eastAsia" w:ascii="宋体" w:hAnsi="宋体"/>
                <w:b/>
                <w:bCs/>
                <w:color w:val="auto"/>
                <w:szCs w:val="21"/>
                <w:highlight w:val="none"/>
              </w:rPr>
              <w:t>☑ 本项目不需要缴纳履约保证金。</w:t>
            </w:r>
          </w:p>
          <w:p w14:paraId="256026CF">
            <w:pPr>
              <w:spacing w:line="380" w:lineRule="exact"/>
              <w:rPr>
                <w:rFonts w:hint="eastAsia" w:ascii="宋体" w:hAnsi="宋体"/>
                <w:b/>
                <w:bCs/>
                <w:color w:val="auto"/>
                <w:szCs w:val="21"/>
                <w:highlight w:val="none"/>
              </w:rPr>
            </w:pPr>
            <w:r>
              <w:rPr>
                <w:rFonts w:hint="eastAsia" w:ascii="宋体" w:hAnsi="宋体"/>
                <w:b/>
                <w:bCs/>
                <w:color w:val="auto"/>
                <w:szCs w:val="21"/>
                <w:highlight w:val="none"/>
              </w:rPr>
              <w:t>□ 本项目需要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w:t>
            </w:r>
            <w:r>
              <w:rPr>
                <w:rFonts w:hint="eastAsia" w:cs="宋体"/>
                <w:b/>
                <w:bCs/>
                <w:color w:val="auto"/>
                <w:szCs w:val="21"/>
                <w:highlight w:val="none"/>
              </w:rPr>
              <w:t>履约</w:t>
            </w:r>
            <w:r>
              <w:rPr>
                <w:rFonts w:hint="eastAsia" w:ascii="宋体" w:hAnsi="宋体"/>
                <w:b/>
                <w:bCs/>
                <w:color w:val="auto"/>
                <w:szCs w:val="21"/>
                <w:highlight w:val="none"/>
              </w:rPr>
              <w:t xml:space="preserve">保证金，要求如下： </w:t>
            </w:r>
          </w:p>
          <w:p w14:paraId="12039392">
            <w:pPr>
              <w:spacing w:line="380" w:lineRule="exact"/>
              <w:rPr>
                <w:rFonts w:hint="eastAsia" w:ascii="宋体" w:hAnsi="宋体"/>
                <w:b/>
                <w:bCs/>
                <w:color w:val="auto"/>
                <w:szCs w:val="21"/>
                <w:highlight w:val="none"/>
              </w:rPr>
            </w:pPr>
            <w:r>
              <w:rPr>
                <w:rFonts w:hint="eastAsia" w:ascii="宋体" w:hAnsi="宋体"/>
                <w:b/>
                <w:bCs/>
                <w:color w:val="auto"/>
                <w:szCs w:val="21"/>
                <w:highlight w:val="none"/>
              </w:rPr>
              <w:t>1.履约保证金金额：成交金额的</w:t>
            </w:r>
            <w:r>
              <w:rPr>
                <w:rFonts w:hint="eastAsia" w:ascii="宋体" w:hAnsi="宋体"/>
                <w:b/>
                <w:bCs/>
                <w:color w:val="auto"/>
                <w:szCs w:val="21"/>
                <w:highlight w:val="none"/>
                <w:u w:val="single"/>
              </w:rPr>
              <w:t xml:space="preserve">    </w:t>
            </w:r>
            <w:r>
              <w:rPr>
                <w:rFonts w:hint="eastAsia" w:ascii="宋体" w:hAnsi="宋体"/>
                <w:b/>
                <w:bCs/>
                <w:color w:val="auto"/>
                <w:szCs w:val="21"/>
                <w:highlight w:val="none"/>
              </w:rPr>
              <w:t>%（如为中小企业为2%）。</w:t>
            </w:r>
          </w:p>
          <w:p w14:paraId="15349FF7">
            <w:pPr>
              <w:spacing w:line="380" w:lineRule="exact"/>
              <w:rPr>
                <w:rFonts w:hint="eastAsia" w:ascii="宋体" w:hAnsi="宋体"/>
                <w:b/>
                <w:bCs/>
                <w:color w:val="auto"/>
                <w:szCs w:val="21"/>
                <w:highlight w:val="none"/>
              </w:rPr>
            </w:pPr>
            <w:r>
              <w:rPr>
                <w:rFonts w:hint="eastAsia" w:ascii="宋体" w:hAnsi="宋体"/>
                <w:b/>
                <w:bCs/>
                <w:color w:val="auto"/>
                <w:szCs w:val="21"/>
                <w:highlight w:val="none"/>
              </w:rPr>
              <w:t>2.履约保证金递交方式：转账或电汇形式</w:t>
            </w:r>
          </w:p>
          <w:p w14:paraId="076D7716">
            <w:pPr>
              <w:spacing w:line="380" w:lineRule="exact"/>
              <w:ind w:firstLine="211" w:firstLineChars="100"/>
              <w:rPr>
                <w:rFonts w:hint="eastAsia" w:ascii="宋体" w:hAnsi="宋体"/>
                <w:b/>
                <w:bCs/>
                <w:color w:val="auto"/>
                <w:szCs w:val="21"/>
                <w:highlight w:val="none"/>
              </w:rPr>
            </w:pPr>
            <w:r>
              <w:rPr>
                <w:rFonts w:hint="eastAsia" w:ascii="宋体" w:hAnsi="宋体"/>
                <w:b/>
                <w:bCs/>
                <w:color w:val="auto"/>
                <w:szCs w:val="21"/>
                <w:highlight w:val="none"/>
              </w:rPr>
              <w:t>保证金缴纳的账号信息：</w:t>
            </w:r>
          </w:p>
          <w:p w14:paraId="6D62FB7D">
            <w:pPr>
              <w:spacing w:line="380" w:lineRule="exact"/>
              <w:ind w:firstLine="211" w:firstLineChars="100"/>
              <w:rPr>
                <w:rFonts w:hint="eastAsia" w:ascii="宋体" w:hAnsi="宋体"/>
                <w:b/>
                <w:bCs/>
                <w:color w:val="auto"/>
                <w:szCs w:val="21"/>
                <w:highlight w:val="none"/>
              </w:rPr>
            </w:pPr>
            <w:r>
              <w:rPr>
                <w:rFonts w:hint="eastAsia" w:ascii="宋体" w:hAnsi="宋体"/>
                <w:b/>
                <w:bCs/>
                <w:color w:val="auto"/>
                <w:szCs w:val="21"/>
                <w:highlight w:val="none"/>
              </w:rPr>
              <w:t>开户名称： 广西广播电视台</w:t>
            </w:r>
          </w:p>
          <w:p w14:paraId="79C128F5">
            <w:pPr>
              <w:spacing w:line="380" w:lineRule="exact"/>
              <w:ind w:firstLine="211" w:firstLineChars="100"/>
              <w:rPr>
                <w:rFonts w:hint="eastAsia" w:ascii="宋体" w:hAnsi="宋体"/>
                <w:b/>
                <w:bCs/>
                <w:color w:val="auto"/>
                <w:szCs w:val="21"/>
                <w:highlight w:val="none"/>
              </w:rPr>
            </w:pPr>
            <w:r>
              <w:rPr>
                <w:rFonts w:hint="eastAsia" w:ascii="宋体" w:hAnsi="宋体"/>
                <w:b/>
                <w:bCs/>
                <w:color w:val="auto"/>
                <w:szCs w:val="21"/>
                <w:highlight w:val="none"/>
              </w:rPr>
              <w:t xml:space="preserve">开户银行： </w:t>
            </w:r>
          </w:p>
          <w:p w14:paraId="2A2E8B4F">
            <w:pPr>
              <w:spacing w:line="380" w:lineRule="exact"/>
              <w:ind w:firstLine="211" w:firstLineChars="100"/>
              <w:rPr>
                <w:rFonts w:hint="eastAsia" w:ascii="宋体" w:hAnsi="宋体"/>
                <w:b/>
                <w:bCs/>
                <w:color w:val="auto"/>
                <w:szCs w:val="21"/>
                <w:highlight w:val="none"/>
              </w:rPr>
            </w:pPr>
            <w:r>
              <w:rPr>
                <w:rFonts w:hint="eastAsia" w:ascii="宋体" w:hAnsi="宋体"/>
                <w:b/>
                <w:bCs/>
                <w:color w:val="auto"/>
                <w:szCs w:val="21"/>
                <w:highlight w:val="none"/>
              </w:rPr>
              <w:t xml:space="preserve">银行账号： </w:t>
            </w:r>
          </w:p>
          <w:p w14:paraId="0C5F379A">
            <w:pPr>
              <w:spacing w:line="380" w:lineRule="exact"/>
              <w:rPr>
                <w:color w:val="auto"/>
                <w:highlight w:val="none"/>
              </w:rPr>
            </w:pPr>
            <w:r>
              <w:rPr>
                <w:rFonts w:hint="eastAsia" w:ascii="宋体" w:hAnsi="宋体"/>
                <w:b/>
                <w:bCs/>
                <w:color w:val="auto"/>
                <w:szCs w:val="21"/>
                <w:highlight w:val="none"/>
              </w:rPr>
              <w:t>3.履约保证金退付方式、时间及条件：待验收合格满一年后无质量问题及违约问题，由中标人向采购人提供项目履约保证金退付申请，采购人在收到合格材料后进行核对转账退还（无息）；如有违约或赔偿的，涉及违约的违约金和损失赔偿从履约保证金中扣减后，采购人审核后转账退还（无息）；不足以扣除的，采购人有权继续向中标人追索。</w:t>
            </w:r>
          </w:p>
        </w:tc>
      </w:tr>
      <w:tr w14:paraId="11720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4D58A11">
            <w:pPr>
              <w:spacing w:line="380" w:lineRule="exact"/>
              <w:jc w:val="center"/>
              <w:rPr>
                <w:rFonts w:hint="eastAsia"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8</w:t>
            </w:r>
            <w:r>
              <w:rPr>
                <w:rFonts w:ascii="宋体" w:hAnsi="宋体" w:eastAsia="宋体" w:cs="宋体"/>
                <w:color w:val="auto"/>
                <w:szCs w:val="21"/>
                <w:highlight w:val="none"/>
              </w:rPr>
              <w:t>.</w:t>
            </w:r>
            <w:r>
              <w:rPr>
                <w:rFonts w:hint="eastAsia" w:ascii="宋体" w:hAnsi="宋体" w:eastAsia="宋体" w:cs="宋体"/>
                <w:color w:val="auto"/>
                <w:szCs w:val="21"/>
                <w:highlight w:val="none"/>
              </w:rPr>
              <w:t>5</w:t>
            </w:r>
          </w:p>
        </w:tc>
        <w:tc>
          <w:tcPr>
            <w:tcW w:w="2195" w:type="dxa"/>
            <w:vAlign w:val="center"/>
          </w:tcPr>
          <w:p w14:paraId="3CF36919">
            <w:pPr>
              <w:spacing w:line="380" w:lineRule="exact"/>
              <w:jc w:val="center"/>
              <w:rPr>
                <w:rFonts w:hint="eastAsia" w:ascii="宋体" w:hAnsi="宋体" w:eastAsia="宋体" w:cs="宋体"/>
                <w:color w:val="auto"/>
                <w:szCs w:val="21"/>
                <w:highlight w:val="none"/>
              </w:rPr>
            </w:pPr>
            <w:r>
              <w:rPr>
                <w:rFonts w:hint="eastAsia" w:ascii="宋体" w:hAnsi="宋体" w:eastAsia="宋体" w:cs="Times New Roman"/>
                <w:color w:val="auto"/>
                <w:szCs w:val="21"/>
                <w:highlight w:val="none"/>
              </w:rPr>
              <w:t>签订合同携带的材料</w:t>
            </w:r>
          </w:p>
        </w:tc>
        <w:tc>
          <w:tcPr>
            <w:tcW w:w="6773" w:type="dxa"/>
            <w:vAlign w:val="center"/>
          </w:tcPr>
          <w:p w14:paraId="412FF7E2">
            <w:pPr>
              <w:autoSpaceDE w:val="0"/>
              <w:autoSpaceDN w:val="0"/>
              <w:snapToGrid w:val="0"/>
              <w:spacing w:line="380" w:lineRule="exac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委托代理人负责签订合同的，须携带有效的法定代表人授权委托书及其委托代理人身份证原件等其他资格证件。</w:t>
            </w:r>
          </w:p>
          <w:p w14:paraId="5D63A2AA">
            <w:pPr>
              <w:pStyle w:val="14"/>
              <w:spacing w:line="380" w:lineRule="exact"/>
              <w:rPr>
                <w:color w:val="auto"/>
                <w:highlight w:val="none"/>
              </w:rPr>
            </w:pPr>
            <w:r>
              <w:rPr>
                <w:rFonts w:hint="eastAsia" w:ascii="宋体" w:hAnsi="宋体" w:cs="宋体"/>
                <w:color w:val="auto"/>
                <w:szCs w:val="21"/>
                <w:highlight w:val="none"/>
              </w:rPr>
              <w:t>法定代表人负责签订合同的，须携带法定代表人身份证明原件及身份证原件等其他证明材料。</w:t>
            </w:r>
          </w:p>
        </w:tc>
      </w:tr>
      <w:tr w14:paraId="5991E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restart"/>
            <w:vAlign w:val="center"/>
          </w:tcPr>
          <w:p w14:paraId="189C45AB">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30</w:t>
            </w:r>
            <w:r>
              <w:rPr>
                <w:rFonts w:ascii="宋体" w:hAnsi="宋体" w:eastAsia="宋体" w:cs="宋体"/>
                <w:color w:val="auto"/>
                <w:szCs w:val="21"/>
                <w:highlight w:val="none"/>
              </w:rPr>
              <w:t>.2</w:t>
            </w:r>
          </w:p>
        </w:tc>
        <w:tc>
          <w:tcPr>
            <w:tcW w:w="2195" w:type="dxa"/>
            <w:vAlign w:val="center"/>
          </w:tcPr>
          <w:p w14:paraId="6164A05F">
            <w:pPr>
              <w:spacing w:line="380" w:lineRule="exact"/>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接收质疑函方式</w:t>
            </w:r>
          </w:p>
        </w:tc>
        <w:tc>
          <w:tcPr>
            <w:tcW w:w="6773" w:type="dxa"/>
            <w:vAlign w:val="center"/>
          </w:tcPr>
          <w:p w14:paraId="6564B283">
            <w:pPr>
              <w:snapToGrid w:val="0"/>
              <w:spacing w:line="380" w:lineRule="exac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以书面形式</w:t>
            </w:r>
          </w:p>
        </w:tc>
      </w:tr>
      <w:tr w14:paraId="74A3C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6B41F53C">
            <w:pPr>
              <w:spacing w:line="380" w:lineRule="exact"/>
              <w:jc w:val="center"/>
              <w:rPr>
                <w:rFonts w:hint="eastAsia" w:ascii="宋体" w:hAnsi="宋体" w:eastAsia="宋体" w:cs="宋体"/>
                <w:color w:val="auto"/>
                <w:szCs w:val="21"/>
                <w:highlight w:val="none"/>
              </w:rPr>
            </w:pPr>
          </w:p>
        </w:tc>
        <w:tc>
          <w:tcPr>
            <w:tcW w:w="2195" w:type="dxa"/>
            <w:vAlign w:val="center"/>
          </w:tcPr>
          <w:p w14:paraId="468A0912">
            <w:pPr>
              <w:spacing w:line="380" w:lineRule="exact"/>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质疑联系部门及联系方式</w:t>
            </w:r>
          </w:p>
        </w:tc>
        <w:tc>
          <w:tcPr>
            <w:tcW w:w="6773" w:type="dxa"/>
            <w:vAlign w:val="center"/>
          </w:tcPr>
          <w:p w14:paraId="12A99A76">
            <w:pPr>
              <w:snapToGrid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w:t>
            </w:r>
            <w:bookmarkStart w:id="71" w:name="PO_3000001867_PM031_3"/>
            <w:r>
              <w:rPr>
                <w:rFonts w:hint="eastAsia" w:ascii="宋体" w:hAnsi="宋体" w:eastAsia="宋体" w:cs="宋体"/>
                <w:color w:val="auto"/>
                <w:szCs w:val="21"/>
                <w:highlight w:val="none"/>
              </w:rPr>
              <w:t>广西科联招标中心有限公司</w:t>
            </w:r>
            <w:bookmarkEnd w:id="71"/>
          </w:p>
          <w:p w14:paraId="3C9F9631">
            <w:pPr>
              <w:snapToGrid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联系电话：0771-3486228</w:t>
            </w:r>
          </w:p>
          <w:p w14:paraId="52620140">
            <w:pPr>
              <w:snapToGrid w:val="0"/>
              <w:spacing w:line="380" w:lineRule="exact"/>
              <w:rPr>
                <w:rFonts w:hint="eastAsia" w:ascii="宋体" w:hAnsi="宋体" w:eastAsia="宋体" w:cs="Times New Roman"/>
                <w:color w:val="auto"/>
                <w:szCs w:val="21"/>
                <w:highlight w:val="none"/>
              </w:rPr>
            </w:pPr>
            <w:r>
              <w:rPr>
                <w:rFonts w:hint="eastAsia" w:ascii="宋体" w:hAnsi="宋体" w:eastAsia="宋体" w:cs="宋体"/>
                <w:color w:val="auto"/>
                <w:szCs w:val="21"/>
                <w:highlight w:val="none"/>
              </w:rPr>
              <w:t>通讯地址：广西科联招标中心有限公司103室（广西南宁市大学东路170号）</w:t>
            </w:r>
          </w:p>
        </w:tc>
      </w:tr>
      <w:tr w14:paraId="2C6F6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1E91E5DD">
            <w:pPr>
              <w:spacing w:line="380" w:lineRule="exact"/>
              <w:jc w:val="center"/>
              <w:rPr>
                <w:rFonts w:hint="eastAsia" w:ascii="宋体" w:hAnsi="宋体" w:eastAsia="宋体" w:cs="宋体"/>
                <w:color w:val="auto"/>
                <w:szCs w:val="21"/>
                <w:highlight w:val="none"/>
              </w:rPr>
            </w:pPr>
          </w:p>
        </w:tc>
        <w:tc>
          <w:tcPr>
            <w:tcW w:w="2195" w:type="dxa"/>
            <w:vAlign w:val="center"/>
          </w:tcPr>
          <w:p w14:paraId="120DC73C">
            <w:pPr>
              <w:spacing w:line="380" w:lineRule="exact"/>
              <w:jc w:val="center"/>
              <w:rPr>
                <w:rFonts w:hint="eastAsia" w:ascii="宋体" w:hAnsi="宋体" w:eastAsia="宋体" w:cs="Times New Roman"/>
                <w:color w:val="auto"/>
                <w:szCs w:val="21"/>
                <w:highlight w:val="none"/>
              </w:rPr>
            </w:pPr>
            <w:r>
              <w:rPr>
                <w:rFonts w:hint="eastAsia" w:ascii="Times New Roman" w:hAnsi="宋体" w:eastAsia="宋体" w:cs="Times New Roman"/>
                <w:color w:val="auto"/>
                <w:szCs w:val="24"/>
                <w:highlight w:val="none"/>
              </w:rPr>
              <w:t>现场提交质疑办理业务时间</w:t>
            </w:r>
          </w:p>
        </w:tc>
        <w:tc>
          <w:tcPr>
            <w:tcW w:w="6773" w:type="dxa"/>
            <w:vAlign w:val="center"/>
          </w:tcPr>
          <w:p w14:paraId="12A99DC9">
            <w:pPr>
              <w:snapToGrid w:val="0"/>
              <w:spacing w:line="380" w:lineRule="exact"/>
              <w:rPr>
                <w:rFonts w:hint="eastAsia" w:ascii="宋体" w:hAnsi="宋体" w:eastAsia="宋体" w:cs="Times New Roman"/>
                <w:color w:val="auto"/>
                <w:szCs w:val="21"/>
                <w:highlight w:val="none"/>
              </w:rPr>
            </w:pPr>
            <w:r>
              <w:rPr>
                <w:rFonts w:hint="eastAsia" w:ascii="Times New Roman" w:hAnsi="宋体" w:eastAsia="宋体" w:cs="Times New Roman"/>
                <w:color w:val="auto"/>
                <w:szCs w:val="24"/>
                <w:highlight w:val="none"/>
              </w:rPr>
              <w:t>质疑期内每个工作日</w:t>
            </w:r>
            <w:r>
              <w:rPr>
                <w:rFonts w:hint="eastAsia" w:ascii="宋体" w:hAnsi="宋体" w:eastAsia="宋体" w:cs="宋体"/>
                <w:color w:val="auto"/>
                <w:highlight w:val="none"/>
              </w:rPr>
              <w:t>（北京时间）上午</w:t>
            </w:r>
            <w:r>
              <w:rPr>
                <w:rFonts w:hint="eastAsia" w:ascii="宋体" w:hAnsi="宋体" w:eastAsia="宋体" w:cs="宋体"/>
                <w:color w:val="auto"/>
                <w:highlight w:val="none"/>
                <w:u w:val="single"/>
              </w:rPr>
              <w:t>8</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分，下午</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18</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Calibri"/>
                <w:color w:val="auto"/>
                <w:highlight w:val="none"/>
              </w:rPr>
              <w:t>。</w:t>
            </w:r>
          </w:p>
        </w:tc>
      </w:tr>
      <w:tr w14:paraId="4FB5A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EA4EAF9">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30.6</w:t>
            </w:r>
          </w:p>
        </w:tc>
        <w:tc>
          <w:tcPr>
            <w:tcW w:w="2195" w:type="dxa"/>
            <w:vAlign w:val="center"/>
          </w:tcPr>
          <w:p w14:paraId="0F31D11A">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73" w:type="dxa"/>
            <w:vAlign w:val="center"/>
          </w:tcPr>
          <w:p w14:paraId="6D4C7EF3">
            <w:pPr>
              <w:snapToGrid w:val="0"/>
              <w:spacing w:line="380" w:lineRule="exac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1.受理方式：纸质方式受理，投诉书正、副本（经过质疑的事项才可投诉）。</w:t>
            </w:r>
          </w:p>
          <w:p w14:paraId="3DE2A322">
            <w:pPr>
              <w:snapToGrid w:val="0"/>
              <w:spacing w:line="380" w:lineRule="exac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2.通讯方式</w:t>
            </w:r>
          </w:p>
          <w:p w14:paraId="1E2EE501">
            <w:pPr>
              <w:snapToGrid w:val="0"/>
              <w:spacing w:line="380" w:lineRule="exac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名称：</w:t>
            </w:r>
            <w:bookmarkStart w:id="72" w:name="PO_3000001867_PM036"/>
            <w:r>
              <w:rPr>
                <w:rFonts w:hint="eastAsia" w:ascii="宋体" w:hAnsi="宋体" w:eastAsia="宋体" w:cs="Times New Roman"/>
                <w:color w:val="auto"/>
                <w:szCs w:val="21"/>
                <w:highlight w:val="none"/>
              </w:rPr>
              <w:t>广西壮族自治区财政厅政府采购监督管理</w:t>
            </w:r>
            <w:bookmarkEnd w:id="72"/>
            <w:r>
              <w:rPr>
                <w:rFonts w:hint="eastAsia" w:ascii="宋体" w:hAnsi="宋体" w:eastAsia="宋体" w:cs="Times New Roman"/>
                <w:color w:val="auto"/>
                <w:szCs w:val="21"/>
                <w:highlight w:val="none"/>
              </w:rPr>
              <w:t>处</w:t>
            </w:r>
          </w:p>
          <w:p w14:paraId="5600FB6D">
            <w:pPr>
              <w:snapToGrid w:val="0"/>
              <w:spacing w:line="380" w:lineRule="exac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地址：南宁市桃源路69号广西财政大厦7楼</w:t>
            </w:r>
          </w:p>
          <w:p w14:paraId="1ECF50A8">
            <w:pPr>
              <w:snapToGrid w:val="0"/>
              <w:spacing w:line="380" w:lineRule="exact"/>
              <w:rPr>
                <w:rFonts w:hint="eastAsia" w:ascii="宋体" w:hAnsi="宋体" w:eastAsia="宋体" w:cs="宋体"/>
                <w:color w:val="auto"/>
                <w:kern w:val="0"/>
                <w:szCs w:val="21"/>
                <w:highlight w:val="none"/>
              </w:rPr>
            </w:pPr>
            <w:r>
              <w:rPr>
                <w:rFonts w:hint="eastAsia" w:ascii="宋体" w:hAnsi="宋体" w:eastAsia="宋体" w:cs="Times New Roman"/>
                <w:color w:val="auto"/>
                <w:szCs w:val="21"/>
                <w:highlight w:val="none"/>
              </w:rPr>
              <w:t>联系电话：</w:t>
            </w:r>
            <w:bookmarkStart w:id="73" w:name="PO_3000001867_PM038"/>
            <w:r>
              <w:rPr>
                <w:rFonts w:hint="eastAsia" w:ascii="宋体" w:hAnsi="宋体" w:eastAsia="宋体" w:cs="Times New Roman"/>
                <w:color w:val="auto"/>
                <w:szCs w:val="21"/>
                <w:highlight w:val="none"/>
              </w:rPr>
              <w:t>0771-</w:t>
            </w:r>
            <w:bookmarkEnd w:id="73"/>
            <w:r>
              <w:rPr>
                <w:rFonts w:hint="eastAsia" w:ascii="宋体" w:hAnsi="宋体" w:eastAsia="宋体" w:cs="Times New Roman"/>
                <w:color w:val="auto"/>
                <w:szCs w:val="21"/>
                <w:highlight w:val="none"/>
              </w:rPr>
              <w:t>5331544</w:t>
            </w:r>
          </w:p>
        </w:tc>
      </w:tr>
      <w:tr w14:paraId="53541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17CCE39">
            <w:pPr>
              <w:spacing w:line="380" w:lineRule="exact"/>
              <w:jc w:val="center"/>
              <w:rPr>
                <w:rFonts w:hint="eastAsia" w:ascii="宋体" w:hAnsi="宋体" w:eastAsia="宋体" w:cs="宋体"/>
                <w:color w:val="auto"/>
                <w:szCs w:val="21"/>
                <w:highlight w:val="none"/>
              </w:rPr>
            </w:pPr>
            <w:r>
              <w:rPr>
                <w:rFonts w:ascii="宋体" w:hAnsi="宋体" w:eastAsia="宋体" w:cs="宋体"/>
                <w:color w:val="auto"/>
                <w:szCs w:val="21"/>
                <w:highlight w:val="none"/>
              </w:rPr>
              <w:t>3</w:t>
            </w:r>
            <w:r>
              <w:rPr>
                <w:rFonts w:hint="eastAsia" w:ascii="宋体" w:hAnsi="宋体" w:eastAsia="宋体" w:cs="宋体"/>
                <w:color w:val="auto"/>
                <w:szCs w:val="21"/>
                <w:highlight w:val="none"/>
              </w:rPr>
              <w:t>2</w:t>
            </w:r>
          </w:p>
        </w:tc>
        <w:tc>
          <w:tcPr>
            <w:tcW w:w="2195" w:type="dxa"/>
            <w:vAlign w:val="center"/>
          </w:tcPr>
          <w:p w14:paraId="71F2CADD">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采购代理服务费</w:t>
            </w:r>
          </w:p>
        </w:tc>
        <w:tc>
          <w:tcPr>
            <w:tcW w:w="6773" w:type="dxa"/>
            <w:vAlign w:val="center"/>
          </w:tcPr>
          <w:p w14:paraId="11211E81">
            <w:pPr>
              <w:snapToGrid w:val="0"/>
              <w:spacing w:line="38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 是否收取采购代理服务费：</w:t>
            </w:r>
          </w:p>
          <w:p w14:paraId="67609BC9">
            <w:pPr>
              <w:snapToGrid w:val="0"/>
              <w:spacing w:line="38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☑是    □ 否</w:t>
            </w:r>
          </w:p>
          <w:p w14:paraId="0375132A">
            <w:pPr>
              <w:snapToGrid w:val="0"/>
              <w:spacing w:line="38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2.采购代理服务费支付方式：</w:t>
            </w:r>
          </w:p>
          <w:p w14:paraId="53B05A0D">
            <w:pPr>
              <w:snapToGrid w:val="0"/>
              <w:spacing w:line="38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☑本项目采购代理服务费由</w:t>
            </w:r>
            <w:r>
              <w:rPr>
                <w:rFonts w:hint="eastAsia" w:ascii="宋体" w:hAnsi="宋体" w:eastAsia="宋体" w:cs="宋体"/>
                <w:color w:val="auto"/>
                <w:kern w:val="0"/>
                <w:szCs w:val="21"/>
                <w:highlight w:val="none"/>
                <w:u w:val="single"/>
              </w:rPr>
              <w:t>成交供应商</w:t>
            </w:r>
            <w:r>
              <w:rPr>
                <w:rFonts w:hint="eastAsia" w:ascii="宋体" w:hAnsi="宋体" w:eastAsia="宋体" w:cs="宋体"/>
                <w:color w:val="auto"/>
                <w:kern w:val="0"/>
                <w:szCs w:val="21"/>
                <w:highlight w:val="none"/>
              </w:rPr>
              <w:t>在签订合同前，</w:t>
            </w:r>
            <w:r>
              <w:rPr>
                <w:rFonts w:hint="eastAsia" w:ascii="宋体" w:hAnsi="宋体" w:eastAsia="宋体" w:cs="宋体"/>
                <w:color w:val="auto"/>
                <w:highlight w:val="none"/>
              </w:rPr>
              <w:t>以银行转账、电汇等方式</w:t>
            </w:r>
            <w:r>
              <w:rPr>
                <w:rFonts w:hint="eastAsia" w:ascii="宋体" w:hAnsi="宋体" w:eastAsia="宋体" w:cs="宋体"/>
                <w:color w:val="auto"/>
                <w:kern w:val="0"/>
                <w:szCs w:val="21"/>
                <w:highlight w:val="none"/>
              </w:rPr>
              <w:t>一次性向采购代理机构支付。</w:t>
            </w:r>
          </w:p>
          <w:p w14:paraId="7FF13492">
            <w:pPr>
              <w:snapToGrid w:val="0"/>
              <w:spacing w:line="38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3.采购代理费收取标准：</w:t>
            </w:r>
          </w:p>
          <w:p w14:paraId="1DBCF927">
            <w:pPr>
              <w:snapToGrid w:val="0"/>
              <w:spacing w:line="380" w:lineRule="exact"/>
              <w:rPr>
                <w:rFonts w:hint="eastAsia" w:ascii="宋体" w:hAnsi="宋体" w:eastAsia="宋体" w:cs="宋体"/>
                <w:color w:val="auto"/>
                <w:kern w:val="0"/>
                <w:szCs w:val="21"/>
                <w:highlight w:val="none"/>
              </w:rPr>
            </w:pPr>
            <w:bookmarkStart w:id="74" w:name="PO_3000001871_PM025"/>
            <w:r>
              <w:rPr>
                <w:rFonts w:hint="eastAsia" w:ascii="宋体" w:hAnsi="宋体" w:eastAsia="宋体" w:cs="宋体"/>
                <w:color w:val="auto"/>
                <w:kern w:val="0"/>
                <w:szCs w:val="21"/>
                <w:highlight w:val="none"/>
              </w:rPr>
              <w:t>☑以项目（☑成交总金额/□采购预算/□暂定成交金额/□其他</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）为计费额，按</w:t>
            </w:r>
            <w:r>
              <w:rPr>
                <w:rFonts w:hint="eastAsia" w:ascii="宋体" w:hAnsi="宋体" w:eastAsia="宋体" w:cs="宋体"/>
                <w:color w:val="auto"/>
                <w:highlight w:val="none"/>
              </w:rPr>
              <w:t>本须知正文第32.2条规定的收费计算标准</w:t>
            </w:r>
            <w:r>
              <w:rPr>
                <w:rFonts w:hint="eastAsia" w:ascii="宋体" w:hAnsi="宋体" w:eastAsia="宋体" w:cs="宋体"/>
                <w:color w:val="auto"/>
                <w:kern w:val="0"/>
                <w:szCs w:val="21"/>
                <w:highlight w:val="none"/>
              </w:rPr>
              <w:t>采用差额定率累进法计算出收费基准价格，采购代理机构收费以（☑收费基准价格/□收费基准价格下浮</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/□收费基准价格上浮</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）收取。</w:t>
            </w:r>
            <w:bookmarkEnd w:id="74"/>
          </w:p>
          <w:p w14:paraId="44E2452E">
            <w:pPr>
              <w:snapToGrid w:val="0"/>
              <w:spacing w:line="380" w:lineRule="exact"/>
              <w:rPr>
                <w:rFonts w:hint="eastAsia" w:ascii="宋体" w:hAnsi="宋体" w:eastAsia="宋体" w:cs="宋体"/>
                <w:color w:val="auto"/>
                <w:highlight w:val="none"/>
              </w:rPr>
            </w:pPr>
            <w:r>
              <w:rPr>
                <w:rFonts w:hint="eastAsia" w:ascii="宋体" w:hAnsi="宋体" w:eastAsia="宋体" w:cs="宋体"/>
                <w:color w:val="auto"/>
                <w:kern w:val="0"/>
                <w:szCs w:val="21"/>
                <w:highlight w:val="none"/>
              </w:rPr>
              <w:t>□固定采购代理收费：</w:t>
            </w:r>
            <w:r>
              <w:rPr>
                <w:rFonts w:hint="eastAsia" w:ascii="宋体" w:hAnsi="宋体" w:eastAsia="宋体" w:cs="宋体"/>
                <w:color w:val="auto"/>
                <w:kern w:val="0"/>
                <w:szCs w:val="21"/>
                <w:highlight w:val="none"/>
                <w:u w:val="single"/>
              </w:rPr>
              <w:t xml:space="preserve">           。</w:t>
            </w:r>
          </w:p>
          <w:p w14:paraId="5C807121">
            <w:pPr>
              <w:snapToGrid w:val="0"/>
              <w:spacing w:line="38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 采购代理服务费收取银行账户的信息</w:t>
            </w:r>
          </w:p>
          <w:p w14:paraId="5D2D5FAA">
            <w:pPr>
              <w:snapToGrid w:val="0"/>
              <w:spacing w:line="38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开户名称：广西科联招标中心有限公司</w:t>
            </w:r>
          </w:p>
          <w:p w14:paraId="005E6BDC">
            <w:pPr>
              <w:snapToGrid w:val="0"/>
              <w:spacing w:line="38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开户银行：中国工商银行南宁市高新科技支行</w:t>
            </w:r>
          </w:p>
          <w:p w14:paraId="05A21674">
            <w:pPr>
              <w:snapToGrid w:val="0"/>
              <w:spacing w:line="38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银行账号：2102111229300032105</w:t>
            </w:r>
          </w:p>
        </w:tc>
      </w:tr>
      <w:tr w14:paraId="401BA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E616159">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r>
              <w:rPr>
                <w:rFonts w:ascii="宋体" w:hAnsi="宋体" w:eastAsia="宋体" w:cs="宋体"/>
                <w:color w:val="auto"/>
                <w:szCs w:val="21"/>
                <w:highlight w:val="none"/>
              </w:rPr>
              <w:t>.1</w:t>
            </w:r>
          </w:p>
        </w:tc>
        <w:tc>
          <w:tcPr>
            <w:tcW w:w="2195" w:type="dxa"/>
            <w:vAlign w:val="center"/>
          </w:tcPr>
          <w:p w14:paraId="32044F6C">
            <w:pPr>
              <w:spacing w:line="380" w:lineRule="exact"/>
              <w:jc w:val="center"/>
              <w:rPr>
                <w:rFonts w:hint="eastAsia" w:ascii="宋体" w:hAnsi="宋体" w:eastAsia="宋体" w:cs="宋体"/>
                <w:color w:val="auto"/>
                <w:szCs w:val="21"/>
                <w:highlight w:val="none"/>
              </w:rPr>
            </w:pPr>
            <w:r>
              <w:rPr>
                <w:rFonts w:hint="eastAsia" w:ascii="Times New Roman" w:hAnsi="宋体" w:eastAsia="宋体" w:cs="Times New Roman"/>
                <w:color w:val="auto"/>
                <w:szCs w:val="24"/>
                <w:highlight w:val="none"/>
              </w:rPr>
              <w:t>解释</w:t>
            </w:r>
          </w:p>
        </w:tc>
        <w:tc>
          <w:tcPr>
            <w:tcW w:w="6773" w:type="dxa"/>
            <w:vAlign w:val="center"/>
          </w:tcPr>
          <w:p w14:paraId="2B972541">
            <w:pPr>
              <w:tabs>
                <w:tab w:val="left" w:pos="1080"/>
              </w:tabs>
              <w:spacing w:line="380" w:lineRule="exact"/>
              <w:rPr>
                <w:rFonts w:hint="eastAsia"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解释：</w:t>
            </w:r>
            <w:r>
              <w:rPr>
                <w:rFonts w:ascii="宋体" w:hAnsi="宋体" w:eastAsia="宋体" w:cs="Times New Roman"/>
                <w:color w:val="auto"/>
                <w:kern w:val="0"/>
                <w:szCs w:val="21"/>
                <w:highlight w:val="none"/>
              </w:rPr>
              <w:t>构成本</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的各个组成文件应互为解释，互为说明；除</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中有特别规定外，仅适用于</w:t>
            </w:r>
            <w:r>
              <w:rPr>
                <w:rFonts w:hint="eastAsia" w:ascii="宋体" w:hAnsi="宋体" w:eastAsia="宋体" w:cs="Times New Roman"/>
                <w:color w:val="auto"/>
                <w:kern w:val="0"/>
                <w:szCs w:val="21"/>
                <w:highlight w:val="none"/>
              </w:rPr>
              <w:t>竞标</w:t>
            </w:r>
            <w:r>
              <w:rPr>
                <w:rFonts w:ascii="宋体" w:hAnsi="宋体" w:eastAsia="宋体" w:cs="Times New Roman"/>
                <w:color w:val="auto"/>
                <w:kern w:val="0"/>
                <w:szCs w:val="21"/>
                <w:highlight w:val="none"/>
              </w:rPr>
              <w:t>阶段的规定，按</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竞争性谈判</w:t>
            </w:r>
            <w:r>
              <w:rPr>
                <w:rFonts w:ascii="宋体" w:hAnsi="宋体" w:eastAsia="宋体" w:cs="Times New Roman"/>
                <w:color w:val="auto"/>
                <w:kern w:val="0"/>
                <w:szCs w:val="21"/>
                <w:highlight w:val="none"/>
              </w:rPr>
              <w:t>公告、</w:t>
            </w:r>
            <w:r>
              <w:rPr>
                <w:rFonts w:hint="eastAsia" w:ascii="宋体" w:hAnsi="宋体" w:eastAsia="宋体" w:cs="Times New Roman"/>
                <w:color w:val="auto"/>
                <w:kern w:val="0"/>
                <w:szCs w:val="21"/>
                <w:highlight w:val="none"/>
              </w:rPr>
              <w:t>采购需求</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供应商</w:t>
            </w:r>
            <w:r>
              <w:rPr>
                <w:rFonts w:ascii="宋体" w:hAnsi="宋体" w:eastAsia="宋体" w:cs="Times New Roman"/>
                <w:color w:val="auto"/>
                <w:kern w:val="0"/>
                <w:szCs w:val="21"/>
                <w:highlight w:val="none"/>
              </w:rPr>
              <w:t>须知</w:t>
            </w:r>
            <w:r>
              <w:rPr>
                <w:rFonts w:hint="eastAsia" w:ascii="宋体" w:hAnsi="宋体" w:eastAsia="宋体" w:cs="Times New Roman"/>
                <w:color w:val="auto"/>
                <w:kern w:val="0"/>
                <w:szCs w:val="21"/>
                <w:highlight w:val="none"/>
              </w:rPr>
              <w:t>、</w:t>
            </w:r>
            <w:r>
              <w:rPr>
                <w:rFonts w:hint="eastAsia" w:ascii="Times New Roman" w:hAnsi="Times New Roman" w:eastAsia="宋体" w:cs="Times New Roman"/>
                <w:bCs/>
                <w:color w:val="auto"/>
                <w:kern w:val="44"/>
                <w:szCs w:val="44"/>
                <w:highlight w:val="none"/>
                <w:lang w:val="zh-CN"/>
              </w:rPr>
              <w:t>评审程序、评审方法和成交标准</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响应</w:t>
            </w:r>
            <w:r>
              <w:rPr>
                <w:rFonts w:ascii="宋体" w:hAnsi="宋体" w:eastAsia="宋体" w:cs="Times New Roman"/>
                <w:color w:val="auto"/>
                <w:kern w:val="0"/>
                <w:szCs w:val="21"/>
                <w:highlight w:val="none"/>
              </w:rPr>
              <w:t>文件格式</w:t>
            </w:r>
            <w:r>
              <w:rPr>
                <w:rFonts w:hint="eastAsia" w:ascii="宋体" w:hAnsi="宋体" w:eastAsia="宋体" w:cs="Times New Roman"/>
                <w:color w:val="auto"/>
                <w:kern w:val="0"/>
                <w:szCs w:val="21"/>
                <w:highlight w:val="none"/>
              </w:rPr>
              <w:t>、合同文本</w:t>
            </w:r>
            <w:r>
              <w:rPr>
                <w:rFonts w:ascii="宋体" w:hAnsi="宋体" w:eastAsia="宋体" w:cs="Times New Roman"/>
                <w:color w:val="auto"/>
                <w:kern w:val="0"/>
                <w:szCs w:val="21"/>
                <w:highlight w:val="none"/>
              </w:rPr>
              <w:t>的先后顺序解释；同一组成文件中就同一事项的规定或者约定不一致的，以编排顺序在后者为准；同一组成文件不同版本之间有不一致的，以形成时间在后者为准；</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与同步更新的</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不一致时以</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为准。按本款前述规定仍不能形成结论的，</w:t>
            </w:r>
            <w:r>
              <w:rPr>
                <w:rFonts w:ascii="宋体" w:hAnsi="宋体" w:eastAsia="宋体" w:cs="Times New Roman"/>
                <w:b/>
                <w:color w:val="auto"/>
                <w:kern w:val="0"/>
                <w:szCs w:val="21"/>
                <w:highlight w:val="none"/>
              </w:rPr>
              <w:t>由</w:t>
            </w:r>
            <w:r>
              <w:rPr>
                <w:rFonts w:hint="eastAsia" w:ascii="宋体" w:hAnsi="宋体" w:eastAsia="宋体" w:cs="Times New Roman"/>
                <w:b/>
                <w:color w:val="auto"/>
                <w:kern w:val="0"/>
                <w:szCs w:val="21"/>
                <w:highlight w:val="none"/>
              </w:rPr>
              <w:t>采购</w:t>
            </w:r>
            <w:r>
              <w:rPr>
                <w:rFonts w:ascii="宋体" w:hAnsi="宋体" w:eastAsia="宋体" w:cs="Times New Roman"/>
                <w:b/>
                <w:color w:val="auto"/>
                <w:kern w:val="0"/>
                <w:szCs w:val="21"/>
                <w:highlight w:val="none"/>
              </w:rPr>
              <w:t>人</w:t>
            </w:r>
            <w:r>
              <w:rPr>
                <w:rFonts w:hint="eastAsia" w:ascii="宋体" w:hAnsi="宋体" w:eastAsia="宋体" w:cs="Times New Roman"/>
                <w:b/>
                <w:color w:val="auto"/>
                <w:kern w:val="0"/>
                <w:szCs w:val="21"/>
                <w:highlight w:val="none"/>
              </w:rPr>
              <w:t>或者采购代理机构</w:t>
            </w:r>
            <w:r>
              <w:rPr>
                <w:rFonts w:ascii="宋体" w:hAnsi="宋体" w:eastAsia="宋体" w:cs="Times New Roman"/>
                <w:b/>
                <w:color w:val="auto"/>
                <w:kern w:val="0"/>
                <w:szCs w:val="21"/>
                <w:highlight w:val="none"/>
              </w:rPr>
              <w:t>负责解释。</w:t>
            </w:r>
          </w:p>
          <w:p w14:paraId="53FD9202">
            <w:pPr>
              <w:tabs>
                <w:tab w:val="left" w:pos="1080"/>
              </w:tabs>
              <w:spacing w:line="380" w:lineRule="exact"/>
              <w:rPr>
                <w:rFonts w:hint="eastAsia" w:ascii="宋体" w:hAnsi="宋体" w:eastAsia="宋体" w:cs="Times New Roman"/>
                <w:color w:val="auto"/>
                <w:kern w:val="0"/>
                <w:szCs w:val="21"/>
                <w:highlight w:val="none"/>
              </w:rPr>
            </w:pPr>
            <w:r>
              <w:rPr>
                <w:rFonts w:hint="eastAsia" w:ascii="宋体" w:hAnsi="宋体" w:eastAsia="宋体" w:cs="Times New Roman"/>
                <w:b/>
                <w:color w:val="auto"/>
                <w:kern w:val="0"/>
                <w:szCs w:val="21"/>
                <w:highlight w:val="none"/>
              </w:rPr>
              <w:t>法律责任：</w:t>
            </w:r>
          </w:p>
          <w:p w14:paraId="4665CEF6">
            <w:pPr>
              <w:tabs>
                <w:tab w:val="left" w:pos="1080"/>
              </w:tabs>
              <w:spacing w:line="380" w:lineRule="exact"/>
              <w:rPr>
                <w:rFonts w:hint="eastAsia" w:ascii="宋体" w:hAnsi="宋体" w:eastAsia="宋体" w:cs="宋体"/>
                <w:color w:val="auto"/>
                <w:szCs w:val="24"/>
                <w:highlight w:val="none"/>
              </w:rPr>
            </w:pPr>
            <w:r>
              <w:rPr>
                <w:rFonts w:hint="eastAsia" w:ascii="宋体" w:hAnsi="宋体" w:eastAsia="宋体" w:cs="Times New Roman"/>
                <w:color w:val="auto"/>
                <w:kern w:val="0"/>
                <w:szCs w:val="21"/>
                <w:highlight w:val="none"/>
              </w:rPr>
              <w:t>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tc>
      </w:tr>
      <w:tr w14:paraId="1441C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BF528D5">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r>
              <w:rPr>
                <w:rFonts w:ascii="宋体" w:hAnsi="宋体" w:eastAsia="宋体" w:cs="宋体"/>
                <w:color w:val="auto"/>
                <w:szCs w:val="21"/>
                <w:highlight w:val="none"/>
              </w:rPr>
              <w:t>.2</w:t>
            </w:r>
          </w:p>
        </w:tc>
        <w:tc>
          <w:tcPr>
            <w:tcW w:w="2195" w:type="dxa"/>
            <w:vAlign w:val="center"/>
          </w:tcPr>
          <w:p w14:paraId="4794CBC9">
            <w:pPr>
              <w:spacing w:line="3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73" w:type="dxa"/>
            <w:vAlign w:val="center"/>
          </w:tcPr>
          <w:p w14:paraId="12DB40D1">
            <w:pPr>
              <w:pStyle w:val="12"/>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本竞争性谈判文件中描述供应商的“公章”是指根据我国对公章的管理规定，用供应商法定主体行为名称制作的实物印章或供应商通过指定电子化政府采购平台办理数字证书（CA认证）获得的以法定主体行为名称制作的电子印章。除本竞争性谈判文件有特殊规定外，供应商的财务章、部门章、分公司章、工会章、合同章、</w:t>
            </w:r>
            <w:r>
              <w:rPr>
                <w:rFonts w:hint="eastAsia" w:ascii="宋体" w:hAnsi="宋体" w:cs="宋体"/>
                <w:color w:val="auto"/>
                <w:szCs w:val="21"/>
                <w:highlight w:val="none"/>
                <w:lang w:val="en-US"/>
              </w:rPr>
              <w:t>竞标</w:t>
            </w:r>
            <w:r>
              <w:rPr>
                <w:rFonts w:hint="eastAsia" w:ascii="宋体" w:hAnsi="宋体" w:cs="宋体"/>
                <w:color w:val="auto"/>
                <w:szCs w:val="21"/>
                <w:highlight w:val="none"/>
              </w:rPr>
              <w:t>专用章、业务专用章及银行的转账章、现金收讫章、现金付讫章等其他形式印章均不能代替公章。</w:t>
            </w:r>
          </w:p>
          <w:p w14:paraId="5E374751">
            <w:pPr>
              <w:pStyle w:val="12"/>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2.本竞争性谈判文件中描述供应商的“签字”是指供应商通过指定电子化政府采购平台办理数字证书（CA认证）获得的以供应商法定代表人或者委托代理人姓名制作的电子印章或手写签字。</w:t>
            </w:r>
          </w:p>
          <w:p w14:paraId="62697F7D">
            <w:pPr>
              <w:pStyle w:val="12"/>
              <w:tabs>
                <w:tab w:val="center" w:pos="4153"/>
                <w:tab w:val="right" w:pos="8306"/>
              </w:tabs>
              <w:spacing w:line="380" w:lineRule="exact"/>
              <w:ind w:firstLine="420" w:firstLineChars="200"/>
              <w:rPr>
                <w:rFonts w:hint="eastAsia" w:ascii="宋体" w:hAnsi="宋体" w:cs="宋体"/>
                <w:color w:val="auto"/>
                <w:szCs w:val="21"/>
                <w:highlight w:val="none"/>
                <w:lang w:val="en-US"/>
              </w:rPr>
            </w:pPr>
            <w:r>
              <w:rPr>
                <w:rFonts w:hint="eastAsia" w:ascii="宋体" w:hAnsi="宋体" w:cs="宋体"/>
                <w:color w:val="auto"/>
                <w:szCs w:val="21"/>
                <w:highlight w:val="none"/>
                <w:lang w:val="en-US"/>
              </w:rPr>
              <w:t>3.本竞争性谈判文件所称的“电子签章”“电子签名”，是指经广西政府采购云平台认可的CA认证的电子签名数据为表现形式的印章，可用于签署电子版响应文件，电子印章与实物印章具有同等法律效力，不因其采用电子化表现形式而否定其法律效力。</w:t>
            </w:r>
          </w:p>
          <w:p w14:paraId="7F73FC4D">
            <w:pPr>
              <w:pStyle w:val="12"/>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rPr>
              <w:t>4</w:t>
            </w:r>
            <w:r>
              <w:rPr>
                <w:rFonts w:hint="eastAsia" w:ascii="宋体" w:hAnsi="宋体" w:cs="宋体"/>
                <w:color w:val="auto"/>
                <w:szCs w:val="21"/>
                <w:highlight w:val="none"/>
              </w:rPr>
              <w:t>.供应商为其他组织或者自然人时，本竞争性谈判文件规定的法定代表人指负责人或者自然人。本竞争性谈判文件所称负责人是指参加竞标的其他组织营业执照上的负责人，本竞争性谈判文件所称自然人指参与竞标的自然人本人。</w:t>
            </w:r>
          </w:p>
          <w:p w14:paraId="0A0198E8">
            <w:pPr>
              <w:pStyle w:val="12"/>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rPr>
              <w:t>5</w:t>
            </w:r>
            <w:r>
              <w:rPr>
                <w:rFonts w:hint="eastAsia" w:ascii="宋体" w:hAnsi="宋体" w:cs="宋体"/>
                <w:color w:val="auto"/>
                <w:szCs w:val="21"/>
                <w:highlight w:val="none"/>
              </w:rPr>
              <w:t>.自然人竞标的，竞争性谈判文件规定盖公章处由自然人摁手指指印。</w:t>
            </w:r>
          </w:p>
          <w:p w14:paraId="0F5814F1">
            <w:pPr>
              <w:snapToGrid w:val="0"/>
              <w:spacing w:line="380" w:lineRule="exac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 xml:space="preserve">    6.本竞争性谈判文件所称的“以上”“以下”“以内”“届满”，包括本数；所称的“不满”“超过”“以外”，不包括本数。</w:t>
            </w:r>
          </w:p>
        </w:tc>
      </w:tr>
    </w:tbl>
    <w:p w14:paraId="1D950C16">
      <w:pPr>
        <w:keepNext/>
        <w:keepLines/>
        <w:spacing w:before="260" w:after="260" w:line="420" w:lineRule="exact"/>
        <w:jc w:val="center"/>
        <w:outlineLvl w:val="1"/>
        <w:rPr>
          <w:rFonts w:hint="eastAsia" w:ascii="宋体" w:hAnsi="宋体" w:eastAsia="宋体" w:cs="Times New Roman"/>
          <w:bCs/>
          <w:color w:val="auto"/>
          <w:sz w:val="32"/>
          <w:szCs w:val="32"/>
          <w:highlight w:val="none"/>
          <w:lang w:val="zh-CN"/>
        </w:rPr>
      </w:pPr>
      <w:r>
        <w:rPr>
          <w:rFonts w:ascii="宋体" w:hAnsi="宋体" w:eastAsia="宋体" w:cs="Times New Roman"/>
          <w:bCs/>
          <w:color w:val="auto"/>
          <w:sz w:val="32"/>
          <w:szCs w:val="32"/>
          <w:highlight w:val="none"/>
          <w:lang w:val="zh-CN"/>
        </w:rPr>
        <w:br w:type="page"/>
      </w:r>
      <w:bookmarkStart w:id="75" w:name="_Toc20165"/>
      <w:bookmarkStart w:id="76" w:name="_Toc29286"/>
      <w:bookmarkStart w:id="77" w:name="_Toc80205924"/>
      <w:r>
        <w:rPr>
          <w:rFonts w:hint="eastAsia" w:ascii="宋体" w:hAnsi="宋体" w:eastAsia="宋体" w:cs="Times New Roman"/>
          <w:bCs/>
          <w:color w:val="auto"/>
          <w:sz w:val="32"/>
          <w:szCs w:val="32"/>
          <w:highlight w:val="none"/>
          <w:lang w:val="zh-CN"/>
        </w:rPr>
        <w:t>第二节 供应商须知正文</w:t>
      </w:r>
      <w:bookmarkEnd w:id="75"/>
      <w:bookmarkEnd w:id="76"/>
      <w:bookmarkEnd w:id="77"/>
    </w:p>
    <w:p w14:paraId="165E0451">
      <w:pPr>
        <w:keepNext/>
        <w:keepLines/>
        <w:spacing w:line="360" w:lineRule="auto"/>
        <w:ind w:firstLine="640" w:firstLineChars="200"/>
        <w:outlineLvl w:val="2"/>
        <w:rPr>
          <w:rFonts w:hint="eastAsia" w:ascii="宋体" w:hAnsi="宋体" w:eastAsia="宋体" w:cs="Times New Roman"/>
          <w:bCs/>
          <w:color w:val="auto"/>
          <w:sz w:val="32"/>
          <w:szCs w:val="32"/>
          <w:highlight w:val="none"/>
          <w:lang w:val="zh-CN"/>
        </w:rPr>
      </w:pPr>
      <w:bookmarkStart w:id="78" w:name="_Toc80205925"/>
      <w:bookmarkStart w:id="79" w:name="_Toc27704"/>
      <w:bookmarkStart w:id="80" w:name="_Toc18711"/>
      <w:r>
        <w:rPr>
          <w:rFonts w:hint="eastAsia" w:ascii="宋体" w:hAnsi="宋体" w:eastAsia="宋体" w:cs="Times New Roman"/>
          <w:bCs/>
          <w:color w:val="auto"/>
          <w:sz w:val="32"/>
          <w:szCs w:val="32"/>
          <w:highlight w:val="none"/>
          <w:lang w:val="zh-CN"/>
        </w:rPr>
        <w:t>一、总则</w:t>
      </w:r>
      <w:bookmarkEnd w:id="78"/>
      <w:bookmarkEnd w:id="79"/>
      <w:bookmarkEnd w:id="80"/>
    </w:p>
    <w:p w14:paraId="40EE196B">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1.适用范围</w:t>
      </w:r>
    </w:p>
    <w:p w14:paraId="2BC2F9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1.1适用法律：本项目采购人、采购代理机构、供应商、谈判小组的相关行为均受《中华人民共和国政府采购法》 《中华人民共和国政府采购法实施条例》 《政府采购非招标采购方式管理办法》及本项目本级和上级财政部门政府采购有关规定的约束和保护。</w:t>
      </w:r>
    </w:p>
    <w:p w14:paraId="5DC69AB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本竞争性谈判文件（以下简称谈判文件）适用于本项目的所有采购程序和环节（法律、法规另有规定的，从其规定）。</w:t>
      </w:r>
    </w:p>
    <w:p w14:paraId="6E39E750">
      <w:pPr>
        <w:spacing w:line="360" w:lineRule="auto"/>
        <w:ind w:firstLine="482" w:firstLineChars="200"/>
        <w:rPr>
          <w:rFonts w:hint="eastAsia" w:ascii="宋体" w:hAnsi="宋体" w:eastAsia="宋体" w:cs="宋体"/>
          <w:color w:val="auto"/>
          <w:szCs w:val="21"/>
          <w:highlight w:val="none"/>
        </w:rPr>
      </w:pPr>
      <w:r>
        <w:rPr>
          <w:rFonts w:hint="eastAsia" w:ascii="黑体" w:hAnsi="黑体" w:eastAsia="黑体" w:cs="宋体"/>
          <w:b/>
          <w:bCs/>
          <w:color w:val="auto"/>
          <w:sz w:val="24"/>
          <w:szCs w:val="24"/>
          <w:highlight w:val="none"/>
        </w:rPr>
        <w:t>2.定义</w:t>
      </w:r>
    </w:p>
    <w:p w14:paraId="09507CE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2.1“采购人”是指依法进行采购的国家机关、事业单位、团体组织。</w:t>
      </w:r>
    </w:p>
    <w:p w14:paraId="7507C988">
      <w:pPr>
        <w:spacing w:line="360" w:lineRule="auto"/>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2.2“采购代理机构”是指政府采购集中采购机构和集中采购机构以外的采购代理机构。</w:t>
      </w:r>
    </w:p>
    <w:p w14:paraId="47980D7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6FCAD72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2.4“货物”是指各种形态和种类的物品，包括原材料、燃料、设备、产品等。</w:t>
      </w:r>
    </w:p>
    <w:p w14:paraId="306DF84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2.5“竞标”是指按照本项目竞争性谈判公告规定的方式供应商获取谈判文件、提交响应文件并希望获得标的的行为。</w:t>
      </w:r>
    </w:p>
    <w:p w14:paraId="7E856E2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2.6“售后服务” 是指包含但不限于供应商须承担的备品备件、包装、运输、装卸、保险、货到就位以及安装、调试、培训、保修和其他类似的义务。</w:t>
      </w:r>
    </w:p>
    <w:p w14:paraId="36D8C8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2.7“书面形式”是指合同书、信件和数据电文（包括电报、电传、传真、电子数据交换和电子邮件）等可以有形地表现所载内容的形式。</w:t>
      </w:r>
    </w:p>
    <w:p w14:paraId="06634FF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2.8“响应文件”</w:t>
      </w:r>
      <w:r>
        <w:rPr>
          <w:rFonts w:hint="eastAsia" w:ascii="宋体" w:hAnsi="宋体" w:eastAsia="宋体" w:cs="宋体"/>
          <w:color w:val="auto"/>
          <w:spacing w:val="-6"/>
          <w:szCs w:val="21"/>
          <w:highlight w:val="none"/>
        </w:rPr>
        <w:t>是指供应商根据本文件要求，编制包含报价、技术和货物等所有内容的文件。</w:t>
      </w:r>
    </w:p>
    <w:p w14:paraId="656552D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 “实质性要求”：详见供应商须知前附表。</w:t>
      </w:r>
    </w:p>
    <w:p w14:paraId="52252C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2.10“正偏离”是指响应文件对谈判文件“采购需求”中有关条款作出优于条款要求并有利于采购人的响应情形；</w:t>
      </w:r>
    </w:p>
    <w:p w14:paraId="52C262E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2.11“负偏离”是指响应文件对谈判文件“采购需求”中有关条款作出的响应不满足条款要求，导致采购人要求不能得到满足的情形。</w:t>
      </w:r>
    </w:p>
    <w:p w14:paraId="64B9133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2.12“首次报价”是指供应商提交的首次响应文件中的响应报价。</w:t>
      </w:r>
    </w:p>
    <w:p w14:paraId="151DA65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2.13“评审价”是指供应商提交的最后报价并经修正和政策功能价格扣除后的价格。</w:t>
      </w:r>
    </w:p>
    <w:p w14:paraId="31101F77">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3.供应商的资格条件</w:t>
      </w:r>
    </w:p>
    <w:p w14:paraId="1CA8892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01224F81">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4.谈判费用</w:t>
      </w:r>
    </w:p>
    <w:p w14:paraId="1EB45DA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供应商应承担参与本次采购活动有关的所有费用，包括但不限于勘查现场、编制和提交响应文件、参加谈判与应答、签订合同等，不论竞标结果如何，均应自行承担。</w:t>
      </w:r>
    </w:p>
    <w:p w14:paraId="730CBC31">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5.联合体竞标</w:t>
      </w:r>
    </w:p>
    <w:p w14:paraId="6D80BE6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4EB87B9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Times New Roman"/>
          <w:color w:val="auto"/>
          <w:szCs w:val="24"/>
          <w:highlight w:val="none"/>
        </w:rPr>
        <w:t>如接受联合体竞标，</w:t>
      </w:r>
      <w:r>
        <w:rPr>
          <w:rFonts w:hint="eastAsia" w:ascii="宋体" w:hAnsi="宋体" w:eastAsia="宋体" w:cs="宋体"/>
          <w:color w:val="auto"/>
          <w:szCs w:val="21"/>
          <w:highlight w:val="none"/>
        </w:rPr>
        <w:t>联合体竞标要求详见“供应商须知前附表”。</w:t>
      </w:r>
    </w:p>
    <w:p w14:paraId="491F8A10">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 xml:space="preserve">6.转包与分包             </w:t>
      </w:r>
    </w:p>
    <w:p w14:paraId="1007D4A1">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6.1本项目不允许转包。</w:t>
      </w:r>
    </w:p>
    <w:p w14:paraId="53C9264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6.2本项目是否允许分包详见“供应商须知前附表”，本项目不允许违法分包。</w:t>
      </w:r>
    </w:p>
    <w:p w14:paraId="797F4008">
      <w:pPr>
        <w:spacing w:line="360" w:lineRule="auto"/>
        <w:ind w:firstLine="482" w:firstLineChars="200"/>
        <w:rPr>
          <w:rFonts w:hint="eastAsia" w:ascii="黑体" w:hAnsi="黑体" w:eastAsia="黑体" w:cs="宋体"/>
          <w:b/>
          <w:bCs/>
          <w:color w:val="auto"/>
          <w:sz w:val="24"/>
          <w:szCs w:val="24"/>
          <w:highlight w:val="none"/>
        </w:rPr>
      </w:pPr>
      <w:bookmarkStart w:id="81" w:name="_Toc254970532"/>
      <w:bookmarkStart w:id="82" w:name="_Toc254970673"/>
      <w:r>
        <w:rPr>
          <w:rFonts w:hint="eastAsia" w:ascii="黑体" w:hAnsi="黑体" w:eastAsia="黑体" w:cs="宋体"/>
          <w:b/>
          <w:bCs/>
          <w:color w:val="auto"/>
          <w:sz w:val="24"/>
          <w:szCs w:val="24"/>
          <w:highlight w:val="none"/>
        </w:rPr>
        <w:t>7.特别说明</w:t>
      </w:r>
      <w:bookmarkEnd w:id="81"/>
      <w:bookmarkEnd w:id="82"/>
    </w:p>
    <w:p w14:paraId="37AF2559">
      <w:pPr>
        <w:spacing w:line="360" w:lineRule="auto"/>
        <w:ind w:firstLine="420" w:firstLineChars="200"/>
        <w:rPr>
          <w:rFonts w:hint="eastAsia" w:ascii="宋体" w:hAnsi="宋体" w:eastAsia="宋体" w:cs="宋体"/>
          <w:color w:val="auto"/>
          <w:szCs w:val="21"/>
          <w:highlight w:val="none"/>
        </w:rPr>
      </w:pPr>
      <w:bookmarkStart w:id="83" w:name="_8.1提供相同品牌产品且通过资格审查、符合性审查的不同投标人参加同一合"/>
      <w:bookmarkEnd w:id="83"/>
      <w:r>
        <w:rPr>
          <w:rFonts w:hint="eastAsia" w:ascii="宋体" w:hAnsi="宋体" w:eastAsia="宋体" w:cs="宋体"/>
          <w:color w:val="auto"/>
          <w:szCs w:val="21"/>
          <w:highlight w:val="none"/>
        </w:rPr>
        <w:t>7.1如果本谈判文件要求提供供应商或制造商的资格、信誉、荣誉、业绩与企业认证等材料的，资格、信誉、荣誉、业绩与企业认证等必须为供应商或者制造商所拥有或自身获得 。</w:t>
      </w:r>
    </w:p>
    <w:p w14:paraId="67FC207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7.2供应商应仔细阅读谈判文件的所有内容，按照谈判文件的要求提交响应文件，并对所提供的全部资料的真实性承担法律责任。</w:t>
      </w:r>
    </w:p>
    <w:p w14:paraId="7CF775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虚假材料,其响应文件作无效处理，并报监管部门查处；签订合同后发现的，成交供应商须依照《中华人民共和国民法典》规定赔偿采购人，且民事赔偿并不免除违法供应商的行政与刑事责任。</w:t>
      </w:r>
    </w:p>
    <w:p w14:paraId="6ABDF7B4">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7.4在政府采购活动中，采购人员及相关人员与供应商有下列利害关系之一的，应当回避：</w:t>
      </w:r>
    </w:p>
    <w:p w14:paraId="04A67D06">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（1）参加采购活动前3年内与供应商存在劳动关系；</w:t>
      </w:r>
    </w:p>
    <w:p w14:paraId="0E1633B6">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（2）参加采购活动前3年内担任供应商的董事、监事；</w:t>
      </w:r>
    </w:p>
    <w:p w14:paraId="142B5726">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（3）参加采购活动前3年内是供应商的控股股东或者实际控制人；</w:t>
      </w:r>
    </w:p>
    <w:p w14:paraId="6391F9BA">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（4）与供应商的法定代表人或者负责人有夫妻、直系血亲、三代以内旁系血亲或者近姻亲关系；</w:t>
      </w:r>
    </w:p>
    <w:p w14:paraId="3941C760">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（5）与供应商有其他可能影响政府采购活动公平、公正进行的关系。</w:t>
      </w:r>
    </w:p>
    <w:p w14:paraId="4CB67BD7">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9DEA5B4">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7.5有下列情形之一的视为供应商相互串通竞标，响应文件将被视为无效：</w:t>
      </w:r>
    </w:p>
    <w:p w14:paraId="07897446">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（1）不同供应商的响应文件由同一单位或者个人编制；或不同供应商报名的IP地址一致的；</w:t>
      </w:r>
    </w:p>
    <w:p w14:paraId="3C724543">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（2）不同供应商委托同一单位或者个人办理竞标事宜；</w:t>
      </w:r>
    </w:p>
    <w:p w14:paraId="7625C202">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（3）不同的供应商的响应文件载明的项目管理员为同一个人；</w:t>
      </w:r>
    </w:p>
    <w:p w14:paraId="7ED31D40">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（4）不同供应商的响应文件异常一致或者报价呈规律性差异；</w:t>
      </w:r>
    </w:p>
    <w:p w14:paraId="5EFC712E">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（5）不同供应商的响应文件相互混装；</w:t>
      </w:r>
    </w:p>
    <w:p w14:paraId="6F321A28">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（6）不同供应商的谈判保证金从同一单位或者个人账户转出。</w:t>
      </w:r>
    </w:p>
    <w:p w14:paraId="6B55D43E">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7.6供应商有下列情形之一的，属于恶意串通行为</w:t>
      </w:r>
      <w:bookmarkStart w:id="84" w:name="_Hlk54682620"/>
      <w:r>
        <w:rPr>
          <w:rFonts w:hint="eastAsia" w:ascii="宋体" w:hAnsi="宋体" w:eastAsia="宋体" w:cs="宋体"/>
          <w:b/>
          <w:bCs/>
          <w:color w:val="auto"/>
          <w:szCs w:val="21"/>
          <w:highlight w:val="none"/>
        </w:rPr>
        <w:t>，将报同级监督管理部门</w:t>
      </w:r>
      <w:bookmarkEnd w:id="84"/>
      <w:r>
        <w:rPr>
          <w:rFonts w:hint="eastAsia" w:ascii="宋体" w:hAnsi="宋体" w:eastAsia="宋体" w:cs="宋体"/>
          <w:b/>
          <w:bCs/>
          <w:color w:val="auto"/>
          <w:szCs w:val="21"/>
          <w:highlight w:val="none"/>
        </w:rPr>
        <w:t>：</w:t>
      </w:r>
    </w:p>
    <w:p w14:paraId="3EE16422">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（1）供应商直接或者间接从采购人或者采购代理机构处获得其他供应商的相关信息并修改其响应文件；</w:t>
      </w:r>
    </w:p>
    <w:p w14:paraId="5E99762C">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（2）供应商按照采购人或者采购代理机构的授意撤换、修改响应文件；</w:t>
      </w:r>
    </w:p>
    <w:p w14:paraId="74CC8054">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（3）供应商之间协商报价、技术方案等响应文件的实质性内容；</w:t>
      </w:r>
    </w:p>
    <w:p w14:paraId="5E08B40C">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（4）属于同一集团、协会、商会等组织成员的供应商按照该组织要求协同参加政府采购活动；</w:t>
      </w:r>
    </w:p>
    <w:p w14:paraId="3FF4218C">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6D590136">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（6）供应商之间商定部分供应商放弃参加政府采购活动或者放弃成交；</w:t>
      </w:r>
    </w:p>
    <w:p w14:paraId="21437B7D">
      <w:pPr>
        <w:spacing w:line="360" w:lineRule="auto"/>
        <w:ind w:firstLine="422" w:firstLineChars="200"/>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（7）供应商与采购人或者采购代理机构之间、供应商相互之间，为谋求特定供应商成交或者排斥其他供应商的其他串通行为。</w:t>
      </w:r>
      <w:bookmarkStart w:id="85" w:name="_Toc254970534"/>
      <w:bookmarkStart w:id="86" w:name="_Toc254970675"/>
    </w:p>
    <w:p w14:paraId="1A80B8D3">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4"/>
          <w:highlight w:val="none"/>
        </w:rPr>
        <w:t>7.7</w:t>
      </w:r>
      <w:r>
        <w:rPr>
          <w:rFonts w:hint="eastAsia" w:ascii="宋体" w:hAnsi="宋体" w:eastAsia="宋体" w:cs="宋体"/>
          <w:b/>
          <w:bCs/>
          <w:color w:val="auto"/>
          <w:szCs w:val="21"/>
          <w:highlight w:val="none"/>
        </w:rPr>
        <w:t>单一产品采购项目，提供相同品牌产品的不同供应商参加同一合同项下竞标的，以其中通过资格审查、符合性审查、谈判且最后报价最低的参加评审；最后报价相同的，由采购人或者采购人委托谈判小组按照竞争性谈判文件规定的方式确定一个参加评审的供应商，竞争性谈判文件未规定的采取随机抽取方式确定，</w:t>
      </w:r>
      <w:r>
        <w:rPr>
          <w:rFonts w:hint="eastAsia" w:ascii="宋体" w:hAnsi="宋体" w:eastAsia="宋体" w:cs="宋体"/>
          <w:b/>
          <w:bCs/>
          <w:color w:val="auto"/>
          <w:kern w:val="0"/>
          <w:szCs w:val="21"/>
          <w:highlight w:val="none"/>
        </w:rPr>
        <w:t>其他竞标无效</w:t>
      </w:r>
      <w:r>
        <w:rPr>
          <w:rFonts w:hint="eastAsia" w:ascii="宋体" w:hAnsi="宋体" w:eastAsia="宋体" w:cs="宋体"/>
          <w:b/>
          <w:bCs/>
          <w:color w:val="auto"/>
          <w:szCs w:val="21"/>
          <w:highlight w:val="none"/>
        </w:rPr>
        <w:t>。</w:t>
      </w:r>
    </w:p>
    <w:p w14:paraId="389D0632">
      <w:pPr>
        <w:spacing w:line="360" w:lineRule="auto"/>
        <w:ind w:firstLine="422" w:firstLineChars="200"/>
        <w:rPr>
          <w:rFonts w:hint="eastAsia" w:ascii="宋体" w:hAnsi="宋体" w:eastAsia="宋体" w:cs="宋体"/>
          <w:b/>
          <w:bCs/>
          <w:color w:val="auto"/>
          <w:highlight w:val="none"/>
        </w:rPr>
      </w:pPr>
      <w:r>
        <w:rPr>
          <w:rFonts w:hint="eastAsia" w:ascii="宋体" w:hAnsi="宋体" w:eastAsia="宋体" w:cs="宋体"/>
          <w:b/>
          <w:bCs/>
          <w:color w:val="auto"/>
          <w:szCs w:val="21"/>
          <w:highlight w:val="none"/>
        </w:rPr>
        <w:t>非单一产品采购项目，多家供应商提供的核心产品品牌相同的，按前款规定处理。</w:t>
      </w:r>
    </w:p>
    <w:p w14:paraId="14005FC1">
      <w:pPr>
        <w:keepNext/>
        <w:keepLines/>
        <w:spacing w:line="360" w:lineRule="auto"/>
        <w:ind w:firstLine="640" w:firstLineChars="200"/>
        <w:outlineLvl w:val="2"/>
        <w:rPr>
          <w:rFonts w:hint="eastAsia" w:ascii="宋体" w:hAnsi="宋体" w:eastAsia="宋体" w:cs="Times New Roman"/>
          <w:color w:val="auto"/>
          <w:sz w:val="32"/>
          <w:szCs w:val="32"/>
          <w:highlight w:val="none"/>
          <w:lang w:val="zh-CN"/>
        </w:rPr>
      </w:pPr>
      <w:bookmarkStart w:id="87" w:name="_Toc30516"/>
      <w:bookmarkStart w:id="88" w:name="_Toc80205926"/>
      <w:bookmarkStart w:id="89" w:name="_Toc10931"/>
      <w:r>
        <w:rPr>
          <w:rFonts w:hint="eastAsia" w:ascii="宋体" w:hAnsi="宋体" w:eastAsia="宋体" w:cs="Times New Roman"/>
          <w:color w:val="auto"/>
          <w:sz w:val="32"/>
          <w:szCs w:val="32"/>
          <w:highlight w:val="none"/>
          <w:lang w:val="zh-CN"/>
        </w:rPr>
        <w:t>二、谈判文件</w:t>
      </w:r>
      <w:bookmarkEnd w:id="85"/>
      <w:bookmarkEnd w:id="86"/>
      <w:bookmarkEnd w:id="87"/>
      <w:bookmarkEnd w:id="88"/>
      <w:bookmarkEnd w:id="89"/>
    </w:p>
    <w:p w14:paraId="2C8D2DC3">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8.谈判文件的构成</w:t>
      </w:r>
    </w:p>
    <w:p w14:paraId="4855B6C6">
      <w:pPr>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第一章 竞争性谈判公告；</w:t>
      </w:r>
    </w:p>
    <w:p w14:paraId="7CDD5633">
      <w:pPr>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第二章 采购需求；</w:t>
      </w:r>
    </w:p>
    <w:p w14:paraId="5382A043">
      <w:pPr>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第三章 供应商须知； </w:t>
      </w:r>
    </w:p>
    <w:p w14:paraId="488D7E20">
      <w:pPr>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第四章 评审程序、评审方法和成交标准；</w:t>
      </w:r>
    </w:p>
    <w:p w14:paraId="1EF648DB">
      <w:pPr>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第五章 响应文件格式；</w:t>
      </w:r>
    </w:p>
    <w:p w14:paraId="2B3599EF">
      <w:pPr>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第六章 合同文本；</w:t>
      </w:r>
    </w:p>
    <w:p w14:paraId="79332C39">
      <w:pPr>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第七章 质疑、投诉材料格式。</w:t>
      </w:r>
    </w:p>
    <w:p w14:paraId="1978D203">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9.供应商的询问</w:t>
      </w:r>
    </w:p>
    <w:p w14:paraId="77E33D0D">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供应商应认真阅读谈判文件的采购需求，如供应商对谈判文件有疑问的，如要求采购人作出澄清或者修改的，供应商应在</w:t>
      </w:r>
      <w:r>
        <w:rPr>
          <w:rFonts w:ascii="宋体" w:hAnsi="宋体" w:eastAsia="宋体" w:cs="Times New Roman"/>
          <w:color w:val="auto"/>
          <w:szCs w:val="21"/>
          <w:highlight w:val="none"/>
        </w:rPr>
        <w:t>提交首次响应文件截止之日前</w:t>
      </w:r>
      <w:r>
        <w:rPr>
          <w:rFonts w:hint="eastAsia" w:ascii="宋体" w:hAnsi="宋体" w:eastAsia="宋体" w:cs="Times New Roman"/>
          <w:color w:val="auto"/>
          <w:szCs w:val="21"/>
          <w:highlight w:val="none"/>
        </w:rPr>
        <w:t>，以书面形式向</w:t>
      </w:r>
      <w:r>
        <w:rPr>
          <w:rFonts w:ascii="宋体" w:hAnsi="宋体" w:eastAsia="宋体" w:cs="Times New Roman"/>
          <w:color w:val="auto"/>
          <w:szCs w:val="21"/>
          <w:highlight w:val="none"/>
        </w:rPr>
        <w:t>采购人、采购代理机构</w:t>
      </w:r>
      <w:r>
        <w:rPr>
          <w:rFonts w:hint="eastAsia" w:ascii="宋体" w:hAnsi="宋体" w:eastAsia="宋体" w:cs="Times New Roman"/>
          <w:color w:val="auto"/>
          <w:szCs w:val="21"/>
          <w:highlight w:val="none"/>
        </w:rPr>
        <w:t>提出。</w:t>
      </w:r>
    </w:p>
    <w:p w14:paraId="00EBA4E3">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10.谈判文件的澄清和修改</w:t>
      </w:r>
    </w:p>
    <w:p w14:paraId="7685398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10.1已获取谈判文件的潜在供应商，若有问题需要澄清，应于应标截止时间前，以书面形式向采购代理机构提出，采购代理机构与采购人研究后，对认为有必要回答的问题，按照本章10.3的内容处理。</w:t>
      </w:r>
    </w:p>
    <w:p w14:paraId="7A3D67A9">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谈判文件进行必要的澄清或者修改，但不得改变采购标的和资格条件。澄清或者修改应当在原公告发布媒体上发布澄清公告。澄清或者修改的内容为谈判文件的组成部分。</w:t>
      </w:r>
    </w:p>
    <w:p w14:paraId="58BA99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在提交首次响应文件截止之日3个工作日前，以书面形式（目前为网上公告和系统短信等形式）通知所有接收谈判文件的供应商，不足3个工作日的，应当顺延提交首次响应文件截止之日。澄清或者更正公告在竞争性谈判公告发布媒体上发布，一经发布，视作已以书面形式通知所有接收谈判文件的潜在供应商，不再另行通知，所有潜在供应商应密切关注竞争性谈判公告发布媒体，因未能及时获知，由此产生的后果均应自行承担。</w:t>
      </w:r>
    </w:p>
    <w:p w14:paraId="175F7B5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szCs w:val="24"/>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0CC34615">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10.5采购人和采购代理机构可以视采购具体情况，变更提交首次响应文件截止时间和竞谈时间，将变更时间将在“竞争性谈判公告”中“七、其他补充事宜</w:t>
      </w:r>
      <w:r>
        <w:rPr>
          <w:rFonts w:hint="eastAsia" w:ascii="宋体" w:hAnsi="宋体" w:eastAsia="宋体" w:cs="宋体"/>
          <w:color w:val="auto"/>
          <w:kern w:val="0"/>
          <w:szCs w:val="21"/>
          <w:highlight w:val="none"/>
        </w:rPr>
        <w:t>（二）</w:t>
      </w:r>
      <w:r>
        <w:rPr>
          <w:rFonts w:hint="eastAsia" w:ascii="宋体" w:hAnsi="宋体" w:eastAsia="宋体" w:cs="宋体"/>
          <w:color w:val="auto"/>
          <w:szCs w:val="24"/>
          <w:highlight w:val="none"/>
        </w:rPr>
        <w:t>网上查询地址”规定的政府采购信息发布媒体上发布更正公告。</w:t>
      </w:r>
    </w:p>
    <w:p w14:paraId="03DCE54B">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响应文件未按谈判文件的澄清、修改的内容编制，又不符合实质性要求的，其响应文件作无效处理。</w:t>
      </w:r>
    </w:p>
    <w:p w14:paraId="4C96BF51">
      <w:pPr>
        <w:keepNext/>
        <w:keepLines/>
        <w:spacing w:line="360" w:lineRule="auto"/>
        <w:ind w:firstLine="640" w:firstLineChars="200"/>
        <w:outlineLvl w:val="2"/>
        <w:rPr>
          <w:rFonts w:hint="eastAsia" w:ascii="宋体" w:hAnsi="宋体" w:eastAsia="宋体" w:cs="Times New Roman"/>
          <w:color w:val="auto"/>
          <w:sz w:val="32"/>
          <w:szCs w:val="32"/>
          <w:highlight w:val="none"/>
          <w:lang w:val="zh-CN"/>
        </w:rPr>
      </w:pPr>
      <w:bookmarkStart w:id="90" w:name="_Toc12627"/>
      <w:bookmarkStart w:id="91" w:name="_Toc80205927"/>
      <w:bookmarkStart w:id="92" w:name="_Toc11107"/>
      <w:r>
        <w:rPr>
          <w:rFonts w:hint="eastAsia" w:ascii="宋体" w:hAnsi="宋体" w:eastAsia="宋体" w:cs="Times New Roman"/>
          <w:color w:val="auto"/>
          <w:sz w:val="32"/>
          <w:szCs w:val="32"/>
          <w:highlight w:val="none"/>
          <w:lang w:val="zh-CN"/>
        </w:rPr>
        <w:t>三、响应文件的编制</w:t>
      </w:r>
      <w:bookmarkEnd w:id="90"/>
      <w:bookmarkEnd w:id="91"/>
      <w:bookmarkEnd w:id="92"/>
    </w:p>
    <w:p w14:paraId="770A6A6B">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11.响应文件的编制原则</w:t>
      </w:r>
    </w:p>
    <w:p w14:paraId="5C68F27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供应商必须按照谈判文件的要求编制响应文件，并对其提交的响应文件的真实性、合法性承担法律责任。响应文件必须对谈判文件作出实质性响应。</w:t>
      </w:r>
    </w:p>
    <w:p w14:paraId="1AE94E6D">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12.响应文件的组成</w:t>
      </w:r>
    </w:p>
    <w:p w14:paraId="4B0383F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12.1响应文件由资格文件、报价文件、商务技术文件三部分组成。</w:t>
      </w:r>
    </w:p>
    <w:p w14:paraId="7005D63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2.1.1</w:t>
      </w:r>
      <w:r>
        <w:rPr>
          <w:rFonts w:hint="eastAsia" w:ascii="宋体" w:hAnsi="宋体" w:eastAsia="宋体" w:cs="宋体"/>
          <w:color w:val="auto"/>
          <w:szCs w:val="21"/>
          <w:highlight w:val="none"/>
        </w:rPr>
        <w:t>资格文件：详见供应商须知前附表</w:t>
      </w:r>
    </w:p>
    <w:p w14:paraId="3B5252A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12.1.2商务技术文件：详见供应商须知前附表</w:t>
      </w:r>
    </w:p>
    <w:p w14:paraId="61C16CF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2.1.</w:t>
      </w:r>
      <w:r>
        <w:rPr>
          <w:rFonts w:hint="eastAsia" w:ascii="宋体" w:hAnsi="宋体" w:eastAsia="宋体" w:cs="宋体"/>
          <w:color w:val="auto"/>
          <w:szCs w:val="21"/>
          <w:highlight w:val="none"/>
        </w:rPr>
        <w:t>3报价文件：详见供应商须知前附表</w:t>
      </w:r>
    </w:p>
    <w:p w14:paraId="651802C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2</w:t>
      </w:r>
      <w:r>
        <w:rPr>
          <w:rFonts w:hint="eastAsia" w:ascii="宋体" w:hAnsi="宋体" w:eastAsia="宋体" w:cs="宋体"/>
          <w:color w:val="auto"/>
          <w:szCs w:val="21"/>
          <w:highlight w:val="none"/>
        </w:rPr>
        <w:t>响应文件电子版：详见供应商须知前附表</w:t>
      </w:r>
    </w:p>
    <w:p w14:paraId="37C3B8F7">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13.计量单位</w:t>
      </w:r>
    </w:p>
    <w:p w14:paraId="6F88E91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谈判文件已有明确规定的，使用谈判文件规定的计量单位；谈判文件没有规定的，应采用中华人民共和国法定计量单位，货币种类为人民币，否则视同未响应。</w:t>
      </w:r>
    </w:p>
    <w:p w14:paraId="34C20FE5">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14.竞标的风险</w:t>
      </w:r>
    </w:p>
    <w:p w14:paraId="10B0748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供应商没有按照谈判文件要求提供全部资料，或者供应商没有对谈判文件在各方面作出实质性响应可能导致其响应无效，是供应商应当考虑的风险。</w:t>
      </w:r>
    </w:p>
    <w:p w14:paraId="43FE2E1E">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15.响应报价要求和构成</w:t>
      </w:r>
    </w:p>
    <w:p w14:paraId="3868C965">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14:paraId="02B27ACB">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14:paraId="58B4FBA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14:paraId="140FD00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15.3.1供应商的响应报价应符合以下要求，否则响应文件作无效响应处理：</w:t>
      </w:r>
    </w:p>
    <w:p w14:paraId="4124B3B1">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（1）供应商必须就“采购需求”中所竞标的项目/每个分标的全部内容分别作完整唯一总价报价，不得存在漏项报价；</w:t>
      </w:r>
    </w:p>
    <w:p w14:paraId="788C310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（2）供应商必须就所竞标的项目/分标的单项内容作唯一报价。</w:t>
      </w:r>
    </w:p>
    <w:p w14:paraId="4AE05BB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15.3.2响应报价（包含首次报价、最后报价）超过所竞标项目/分标规定的采购预算金额或者最高限价的（如本项目公布了最高限价），其响应文件将作无效处理。</w:t>
      </w:r>
    </w:p>
    <w:p w14:paraId="04A4B4F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93" w:name="_Hlk42592874"/>
      <w:r>
        <w:rPr>
          <w:rFonts w:hint="eastAsia" w:ascii="宋体" w:hAnsi="宋体" w:eastAsia="宋体" w:cs="宋体"/>
          <w:color w:val="auto"/>
          <w:szCs w:val="21"/>
          <w:highlight w:val="none"/>
        </w:rPr>
        <w:t>响应报价（包含首次报价、最后报价）超过分项采购预算金额或者最高限价的（如本项目公布了最高限价），其响应文件将作无效处理。</w:t>
      </w:r>
    </w:p>
    <w:bookmarkEnd w:id="93"/>
    <w:p w14:paraId="6EEEAB61">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16.竞标有效期</w:t>
      </w:r>
    </w:p>
    <w:p w14:paraId="21DDF7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093645E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540F550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465B8FA0">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17.谈判保证金</w:t>
      </w:r>
    </w:p>
    <w:p w14:paraId="64193D0C">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17.1供应商须按“供应商须知前附表”的规定提交谈判保证金。</w:t>
      </w:r>
    </w:p>
    <w:p w14:paraId="6DE60C7B">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17.2谈判保证金的退还</w:t>
      </w:r>
    </w:p>
    <w:p w14:paraId="71937CE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17.2.1未</w:t>
      </w:r>
      <w:r>
        <w:rPr>
          <w:rFonts w:hint="eastAsia" w:ascii="宋体" w:hAnsi="宋体" w:eastAsia="宋体" w:cs="宋体"/>
          <w:color w:val="auto"/>
          <w:spacing w:val="-6"/>
          <w:szCs w:val="21"/>
          <w:highlight w:val="none"/>
        </w:rPr>
        <w:t>成交供应商的谈判保证金自成交通知书发出之日起5个工作日内退还，退还方式如下：</w:t>
      </w:r>
    </w:p>
    <w:p w14:paraId="731C5A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（1）采用银行转账方式的，以转账方式退回到供应商银行账户。</w:t>
      </w:r>
    </w:p>
    <w:p w14:paraId="3E0D3A4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（2）采用支票、汇票、本票或者金融机构、担保机构出具的保函等方式的，由供应商代表持相关授权证明材料至采购代理机构办理支票、汇票、本票或者金融机构、担保机构出具的保函等原件退还手续。</w:t>
      </w:r>
    </w:p>
    <w:p w14:paraId="268C13E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17.2.2成交供应商的谈判保证金自签订合同之日起5个工作日内退还，退还方式同未成交供应商的谈判保证金的退还方式。 </w:t>
      </w:r>
    </w:p>
    <w:p w14:paraId="6196673A">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17.3谈判保证金不计息。</w:t>
      </w:r>
    </w:p>
    <w:p w14:paraId="0A168F63">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17.4供应商有下列情形之一的，谈判保证金将不予退还： </w:t>
      </w:r>
    </w:p>
    <w:p w14:paraId="3877B1F8">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（1）供应商在提交响应文件截止时间后撤回响应文件的；</w:t>
      </w:r>
    </w:p>
    <w:p w14:paraId="7F19E8F2">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（2）供应商在响应文件中提供虚假材料的；</w:t>
      </w:r>
    </w:p>
    <w:p w14:paraId="483AADC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（3）除因不可抗力或者竞争性谈判文件认可的情形以外，成交供应商不与采购人签订合同的；</w:t>
      </w:r>
    </w:p>
    <w:p w14:paraId="3FF8A888">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（4）供应商与采购人、其他供应商或者采购代理机构恶意串通的；</w:t>
      </w:r>
    </w:p>
    <w:p w14:paraId="1D61B84F">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（5）竞争性谈判文件规定的其他情形。</w:t>
      </w:r>
    </w:p>
    <w:p w14:paraId="7BCB8CE6">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18.响应文件编制的要求</w:t>
      </w:r>
    </w:p>
    <w:p w14:paraId="341DE6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18.1各供应商在编制响应文件时请按照谈判文件“第五章 响应文件格式”规定的格式进行，混乱的编排导致响应文件被误读或谈判小组查找不到有效文件是供应商的风险。不完整、编排混乱导致响应文件被误读、漏读或者查找不到相关内容的，</w:t>
      </w:r>
      <w:r>
        <w:rPr>
          <w:rFonts w:hint="eastAsia" w:ascii="宋体" w:hAnsi="宋体" w:eastAsia="宋体" w:cs="宋体"/>
          <w:color w:val="auto"/>
          <w:szCs w:val="24"/>
          <w:highlight w:val="none"/>
        </w:rPr>
        <w:t>由此引发的</w:t>
      </w:r>
      <w:r>
        <w:rPr>
          <w:rFonts w:hint="eastAsia" w:ascii="宋体" w:hAnsi="宋体" w:eastAsia="宋体" w:cs="宋体"/>
          <w:color w:val="auto"/>
          <w:szCs w:val="21"/>
          <w:highlight w:val="none"/>
        </w:rPr>
        <w:t>后果由供应商承担。</w:t>
      </w:r>
    </w:p>
    <w:p w14:paraId="3A639EB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18.2响应文件应按资格证明、报价分别编制，商务文件与技术文件合并编制，本谈判只接收电子版响应文件，要求见本章“12.2响应文件电子版要求”。</w:t>
      </w:r>
    </w:p>
    <w:p w14:paraId="37B049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94" w:name="_Hlk65832699"/>
      <w:r>
        <w:rPr>
          <w:rFonts w:hint="eastAsia" w:ascii="宋体" w:hAnsi="宋体" w:eastAsia="宋体" w:cs="宋体"/>
          <w:color w:val="auto"/>
          <w:szCs w:val="21"/>
          <w:highlight w:val="none"/>
        </w:rPr>
        <w:t>3</w:t>
      </w:r>
      <w:r>
        <w:rPr>
          <w:rFonts w:hint="eastAsia" w:ascii="宋体" w:hAnsi="宋体" w:eastAsia="宋体" w:cs="Times New Roman"/>
          <w:color w:val="auto"/>
          <w:szCs w:val="21"/>
          <w:highlight w:val="none"/>
        </w:rPr>
        <w:t>响应文件须由供应商按</w:t>
      </w:r>
      <w:r>
        <w:rPr>
          <w:rFonts w:hint="eastAsia" w:ascii="宋体" w:hAnsi="宋体" w:eastAsia="宋体" w:cs="仿宋_GB2312"/>
          <w:color w:val="auto"/>
          <w:kern w:val="0"/>
          <w:szCs w:val="21"/>
          <w:highlight w:val="none"/>
          <w:lang w:val="zh-CN"/>
        </w:rPr>
        <w:t>“</w:t>
      </w:r>
      <w:r>
        <w:rPr>
          <w:rFonts w:hint="eastAsia" w:ascii="宋体" w:hAnsi="宋体" w:eastAsia="宋体" w:cs="Times New Roman"/>
          <w:color w:val="auto"/>
          <w:szCs w:val="21"/>
          <w:highlight w:val="none"/>
        </w:rPr>
        <w:t>第五章 响应文件格式</w:t>
      </w:r>
      <w:r>
        <w:rPr>
          <w:rFonts w:hint="eastAsia" w:ascii="宋体" w:hAnsi="宋体" w:eastAsia="宋体" w:cs="仿宋_GB2312"/>
          <w:color w:val="auto"/>
          <w:kern w:val="0"/>
          <w:szCs w:val="21"/>
          <w:highlight w:val="none"/>
          <w:lang w:val="zh-CN"/>
        </w:rPr>
        <w:t>”</w:t>
      </w:r>
      <w:r>
        <w:rPr>
          <w:rFonts w:hint="eastAsia" w:ascii="宋体" w:hAnsi="宋体" w:eastAsia="宋体" w:cs="Times New Roman"/>
          <w:color w:val="auto"/>
          <w:szCs w:val="21"/>
          <w:highlight w:val="none"/>
        </w:rPr>
        <w:t>要求</w:t>
      </w:r>
      <w:r>
        <w:rPr>
          <w:rFonts w:hint="eastAsia" w:ascii="宋体" w:hAnsi="宋体" w:eastAsia="宋体" w:cs="仿宋_GB2312"/>
          <w:color w:val="auto"/>
          <w:szCs w:val="21"/>
          <w:highlight w:val="none"/>
        </w:rPr>
        <w:t>进行签署、盖章</w:t>
      </w:r>
      <w:bookmarkEnd w:id="94"/>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否则其响应文件作无效响应处理。</w:t>
      </w:r>
    </w:p>
    <w:p w14:paraId="3943503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18.4响应文件中标注的供应商名称应与营业执照（事业单位法人证书、执业许可证、自然人身份证）及公章一致，</w:t>
      </w:r>
      <w:r>
        <w:rPr>
          <w:rFonts w:hint="eastAsia" w:ascii="宋体" w:hAnsi="宋体" w:eastAsia="宋体" w:cs="宋体"/>
          <w:b/>
          <w:bCs/>
          <w:color w:val="auto"/>
          <w:szCs w:val="21"/>
          <w:highlight w:val="none"/>
        </w:rPr>
        <w:t>否则其响应文件作无效响应处理</w:t>
      </w:r>
      <w:r>
        <w:rPr>
          <w:rFonts w:hint="eastAsia" w:ascii="宋体" w:hAnsi="宋体" w:eastAsia="宋体" w:cs="宋体"/>
          <w:color w:val="auto"/>
          <w:szCs w:val="21"/>
          <w:highlight w:val="none"/>
        </w:rPr>
        <w:t>。</w:t>
      </w:r>
    </w:p>
    <w:p w14:paraId="1967741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w:t>
      </w:r>
    </w:p>
    <w:p w14:paraId="2938ADCF">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19.响应文件的加密</w:t>
      </w:r>
    </w:p>
    <w:p w14:paraId="1C4C4049">
      <w:pPr>
        <w:spacing w:line="360" w:lineRule="auto"/>
        <w:ind w:firstLine="420" w:firstLineChars="200"/>
        <w:rPr>
          <w:rFonts w:hint="eastAsia"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19.1供应商进行电子交易应安装客户端软件—“</w:t>
      </w:r>
      <w:r>
        <w:rPr>
          <w:rFonts w:hint="eastAsia" w:ascii="宋体" w:hAnsi="宋体" w:cs="宋体"/>
          <w:color w:val="auto"/>
          <w:szCs w:val="21"/>
          <w:highlight w:val="none"/>
        </w:rPr>
        <w:t>广西政府采购云平台新版客户端</w:t>
      </w:r>
      <w:r>
        <w:rPr>
          <w:rFonts w:hint="eastAsia" w:ascii="宋体" w:hAnsi="宋体" w:eastAsia="宋体" w:cs="仿宋_GB2312"/>
          <w:color w:val="auto"/>
          <w:kern w:val="0"/>
          <w:szCs w:val="21"/>
          <w:highlight w:val="none"/>
          <w:lang w:val="zh-CN"/>
        </w:rPr>
        <w:t>”，并按照谈判文件和电子交易平台的要求编制并加密响应文件。供应商未按规定加密的响应文件，电子交易平台将拒收并提示。</w:t>
      </w:r>
    </w:p>
    <w:p w14:paraId="71C059F3">
      <w:pPr>
        <w:spacing w:line="360" w:lineRule="auto"/>
        <w:ind w:firstLine="420" w:firstLineChars="200"/>
        <w:rPr>
          <w:rFonts w:hint="eastAsia"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19.2使用“</w:t>
      </w:r>
      <w:r>
        <w:rPr>
          <w:rFonts w:hint="eastAsia" w:ascii="宋体" w:hAnsi="宋体" w:cs="宋体"/>
          <w:color w:val="auto"/>
          <w:szCs w:val="21"/>
          <w:highlight w:val="none"/>
        </w:rPr>
        <w:t>广西政府采购云平台</w:t>
      </w:r>
      <w:r>
        <w:rPr>
          <w:rFonts w:hint="eastAsia" w:ascii="宋体" w:hAnsi="宋体" w:eastAsia="宋体" w:cs="仿宋_GB2312"/>
          <w:color w:val="auto"/>
          <w:kern w:val="0"/>
          <w:szCs w:val="21"/>
          <w:highlight w:val="none"/>
          <w:lang w:val="zh-CN"/>
        </w:rPr>
        <w:t>电子交易客户端”需要提前申领CA数字证书。</w:t>
      </w:r>
    </w:p>
    <w:p w14:paraId="14BF4F16">
      <w:pPr>
        <w:spacing w:line="360" w:lineRule="auto"/>
        <w:ind w:firstLine="420" w:firstLineChars="200"/>
        <w:rPr>
          <w:rFonts w:hint="eastAsia"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19.3为确保网上操作合法、有效和安全，供应商应当在响应文件提交截止时间前完成在“</w:t>
      </w:r>
      <w:r>
        <w:rPr>
          <w:rFonts w:hint="eastAsia" w:ascii="宋体" w:hAnsi="宋体" w:cs="宋体"/>
          <w:color w:val="auto"/>
          <w:szCs w:val="21"/>
          <w:highlight w:val="none"/>
        </w:rPr>
        <w:t>广西政府采购云平台</w:t>
      </w:r>
      <w:r>
        <w:rPr>
          <w:rFonts w:hint="eastAsia" w:ascii="宋体" w:hAnsi="宋体" w:eastAsia="宋体" w:cs="仿宋_GB2312"/>
          <w:color w:val="auto"/>
          <w:kern w:val="0"/>
          <w:szCs w:val="21"/>
          <w:highlight w:val="none"/>
          <w:lang w:val="zh-CN"/>
        </w:rPr>
        <w:t>”的身份认证，确保在电子交易过程中能够对相关数据电文进行加密和使用电子签名。</w:t>
      </w:r>
    </w:p>
    <w:p w14:paraId="43C65E24">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20.响应文件的提交</w:t>
      </w:r>
    </w:p>
    <w:p w14:paraId="313E1D8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193D7924">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宋体"/>
          <w:color w:val="auto"/>
          <w:szCs w:val="21"/>
          <w:highlight w:val="none"/>
        </w:rPr>
        <w:t>20</w:t>
      </w:r>
      <w:r>
        <w:rPr>
          <w:rFonts w:hint="eastAsia" w:ascii="宋体" w:hAnsi="宋体" w:eastAsia="宋体" w:cs="Times New Roman"/>
          <w:color w:val="auto"/>
          <w:szCs w:val="21"/>
          <w:highlight w:val="none"/>
        </w:rPr>
        <w:t>.2 在响应文件提交截止时间以后，不能补充、修改响应文件。</w:t>
      </w:r>
    </w:p>
    <w:p w14:paraId="55F65D6C">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20.3 在提交“最后报价”后，供应商不能退出谈判。</w:t>
      </w:r>
    </w:p>
    <w:p w14:paraId="052130CC">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6F11B35A">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20.5 采购机构不可视情况延长提交响应文件的截止时间。</w:t>
      </w:r>
    </w:p>
    <w:p w14:paraId="105633EE">
      <w:pPr>
        <w:spacing w:line="360" w:lineRule="auto"/>
        <w:ind w:firstLine="420" w:firstLineChars="200"/>
        <w:rPr>
          <w:rFonts w:hint="eastAsia" w:ascii="黑体" w:hAnsi="黑体" w:eastAsia="黑体" w:cs="Times New Roman"/>
          <w:color w:val="auto"/>
          <w:sz w:val="24"/>
          <w:szCs w:val="24"/>
          <w:highlight w:val="none"/>
        </w:rPr>
      </w:pPr>
      <w:r>
        <w:rPr>
          <w:rFonts w:hint="eastAsia" w:ascii="宋体" w:hAnsi="宋体" w:eastAsia="宋体" w:cs="Times New Roman"/>
          <w:color w:val="auto"/>
          <w:szCs w:val="21"/>
          <w:highlight w:val="none"/>
        </w:rPr>
        <w:t>20.6备份响应文件。</w:t>
      </w:r>
      <w:r>
        <w:rPr>
          <w:rFonts w:hint="eastAsia" w:ascii="Times New Roman" w:hAnsi="宋体" w:eastAsia="宋体" w:cs="Times New Roman"/>
          <w:bCs/>
          <w:color w:val="auto"/>
          <w:szCs w:val="21"/>
          <w:highlight w:val="none"/>
        </w:rPr>
        <w:t>详见“供应商须知前附表”。</w:t>
      </w:r>
    </w:p>
    <w:p w14:paraId="542F55B8">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21.首次响应文件的补充、修改与撤回</w:t>
      </w:r>
    </w:p>
    <w:p w14:paraId="4F11F17B">
      <w:pPr>
        <w:adjustRightInd w:val="0"/>
        <w:spacing w:line="360" w:lineRule="auto"/>
        <w:ind w:firstLine="420" w:firstLineChars="200"/>
        <w:rPr>
          <w:rFonts w:hint="eastAsia" w:ascii="宋体" w:hAnsi="宋体" w:eastAsia="宋体" w:cs="仿宋_GB2312"/>
          <w:color w:val="auto"/>
          <w:kern w:val="0"/>
          <w:szCs w:val="21"/>
          <w:highlight w:val="none"/>
        </w:rPr>
      </w:pPr>
      <w:r>
        <w:rPr>
          <w:rFonts w:hint="eastAsia" w:ascii="宋体" w:hAnsi="宋体" w:eastAsia="宋体" w:cs="仿宋_GB2312"/>
          <w:color w:val="auto"/>
          <w:kern w:val="0"/>
          <w:szCs w:val="21"/>
          <w:highlight w:val="none"/>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4966CAF7">
      <w:pPr>
        <w:spacing w:line="360" w:lineRule="auto"/>
        <w:ind w:firstLine="482" w:firstLineChars="200"/>
        <w:rPr>
          <w:rFonts w:hint="eastAsia" w:ascii="黑体" w:hAnsi="黑体" w:eastAsia="黑体" w:cs="宋体"/>
          <w:b/>
          <w:bCs/>
          <w:color w:val="auto"/>
          <w:sz w:val="24"/>
          <w:szCs w:val="24"/>
          <w:highlight w:val="none"/>
        </w:rPr>
      </w:pPr>
      <w:bookmarkStart w:id="95" w:name="_Hlk45702405"/>
      <w:r>
        <w:rPr>
          <w:rFonts w:hint="eastAsia" w:ascii="黑体" w:hAnsi="黑体" w:eastAsia="黑体" w:cs="宋体"/>
          <w:b/>
          <w:bCs/>
          <w:color w:val="auto"/>
          <w:sz w:val="24"/>
          <w:szCs w:val="24"/>
          <w:highlight w:val="none"/>
        </w:rPr>
        <w:t>22.截止时间后的撤回</w:t>
      </w:r>
    </w:p>
    <w:bookmarkEnd w:id="95"/>
    <w:p w14:paraId="737105C0">
      <w:pPr>
        <w:pStyle w:val="14"/>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供应商在首次响应文件提交截止时间后向采购人、采购代理机构书面申请撤回响应文件的，将根据本须知正文第17.4条的规定不予退还其谈判保证金（</w:t>
      </w:r>
      <w:r>
        <w:rPr>
          <w:rFonts w:hint="eastAsia" w:ascii="宋体" w:hAnsi="宋体" w:cs="宋体"/>
          <w:color w:val="auto"/>
          <w:szCs w:val="21"/>
          <w:highlight w:val="none"/>
          <w:lang w:val="en-US"/>
        </w:rPr>
        <w:t>如有</w:t>
      </w:r>
      <w:r>
        <w:rPr>
          <w:rFonts w:hint="eastAsia" w:ascii="宋体" w:hAnsi="宋体" w:cs="宋体"/>
          <w:color w:val="auto"/>
          <w:szCs w:val="21"/>
          <w:highlight w:val="none"/>
        </w:rPr>
        <w:t>）。</w:t>
      </w:r>
    </w:p>
    <w:p w14:paraId="245398DB">
      <w:pPr>
        <w:keepNext/>
        <w:keepLines/>
        <w:spacing w:line="360" w:lineRule="auto"/>
        <w:ind w:firstLine="640" w:firstLineChars="200"/>
        <w:outlineLvl w:val="2"/>
        <w:rPr>
          <w:rFonts w:hint="eastAsia" w:ascii="宋体" w:hAnsi="宋体" w:eastAsia="宋体" w:cs="Times New Roman"/>
          <w:color w:val="auto"/>
          <w:sz w:val="32"/>
          <w:szCs w:val="32"/>
          <w:highlight w:val="none"/>
          <w:lang w:val="zh-CN"/>
        </w:rPr>
      </w:pPr>
      <w:bookmarkStart w:id="96" w:name="_Toc29978"/>
      <w:bookmarkStart w:id="97" w:name="_Toc80205928"/>
      <w:bookmarkStart w:id="98" w:name="_Toc8836"/>
      <w:r>
        <w:rPr>
          <w:rFonts w:hint="eastAsia" w:ascii="宋体" w:hAnsi="宋体" w:eastAsia="宋体" w:cs="Times New Roman"/>
          <w:color w:val="auto"/>
          <w:sz w:val="32"/>
          <w:szCs w:val="32"/>
          <w:highlight w:val="none"/>
          <w:lang w:val="zh-CN"/>
        </w:rPr>
        <w:t>四、评审及谈判</w:t>
      </w:r>
      <w:bookmarkEnd w:id="96"/>
      <w:bookmarkEnd w:id="97"/>
      <w:bookmarkEnd w:id="98"/>
    </w:p>
    <w:p w14:paraId="2F1BE9F0">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23.谈判小组成立</w:t>
      </w:r>
    </w:p>
    <w:p w14:paraId="7AA069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23.1谈判小组由采购人代表和评审专家共3人以上单数组成，其中评审专家人数不得少于谈判小组成员总数的2/3。采购人代表不得以评审专家身份参加本部门或者本单位采购项目的评审。采购代理机构人员不得参加本机构代理的采购项目的评审。达到公开招标数额标准的货物或者货物采购项目，或者达到公开招标规模标准的政府采购工程，经批准采用竞争性谈判方式采购的，谈判小组由5人以上单数组成。</w:t>
      </w:r>
    </w:p>
    <w:p w14:paraId="1D780E1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23.2评审专家应当从政府采购评审专家库内相关专业的专家名单中随机抽取。</w:t>
      </w:r>
    </w:p>
    <w:p w14:paraId="4F8171B7">
      <w:pPr>
        <w:spacing w:line="360" w:lineRule="auto"/>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4</w:t>
      </w:r>
      <w:r>
        <w:rPr>
          <w:rFonts w:ascii="黑体" w:hAnsi="黑体" w:eastAsia="黑体" w:cs="宋体"/>
          <w:b/>
          <w:bCs/>
          <w:color w:val="auto"/>
          <w:sz w:val="24"/>
          <w:szCs w:val="24"/>
          <w:highlight w:val="none"/>
        </w:rPr>
        <w:t>.</w:t>
      </w:r>
      <w:r>
        <w:rPr>
          <w:rFonts w:hint="eastAsia" w:ascii="黑体" w:hAnsi="黑体" w:eastAsia="黑体" w:cs="宋体"/>
          <w:b/>
          <w:bCs/>
          <w:color w:val="auto"/>
          <w:sz w:val="24"/>
          <w:szCs w:val="24"/>
          <w:highlight w:val="none"/>
        </w:rPr>
        <w:t>首次响应文件的开启</w:t>
      </w:r>
    </w:p>
    <w:p w14:paraId="500EF7E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24.1首次响应文件由谈判小组或者采购代理机构在“供应商须知前附表”规定的时间开启。</w:t>
      </w:r>
    </w:p>
    <w:p w14:paraId="154A6467">
      <w:pPr>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zh-CN"/>
        </w:rPr>
        <w:t>.2 响应文件解密</w:t>
      </w:r>
    </w:p>
    <w:p w14:paraId="4378434C">
      <w:pPr>
        <w:snapToGrid w:val="0"/>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bCs/>
          <w:color w:val="auto"/>
          <w:kern w:val="0"/>
          <w:szCs w:val="21"/>
          <w:highlight w:val="none"/>
          <w:lang w:val="zh-CN"/>
        </w:rPr>
        <w:t>采购代理机构将在“供应商须知前附表”规定的时</w:t>
      </w:r>
      <w:r>
        <w:rPr>
          <w:rFonts w:hint="eastAsia" w:ascii="宋体" w:hAnsi="宋体" w:eastAsia="宋体" w:cs="宋体"/>
          <w:color w:val="auto"/>
          <w:kern w:val="0"/>
          <w:szCs w:val="21"/>
          <w:highlight w:val="none"/>
          <w:lang w:val="zh-CN"/>
        </w:rPr>
        <w:t>间通过电子交易平台组织响应文件开启，采购机构依托电子交易平台发起开始解密指令，供应商的法定代表人或其委托代理人</w:t>
      </w:r>
      <w:r>
        <w:rPr>
          <w:rFonts w:hint="eastAsia" w:ascii="宋体" w:hAnsi="宋体" w:eastAsia="宋体" w:cs="宋体"/>
          <w:b/>
          <w:color w:val="auto"/>
          <w:kern w:val="0"/>
          <w:szCs w:val="21"/>
          <w:highlight w:val="none"/>
          <w:lang w:val="zh-CN"/>
        </w:rPr>
        <w:t>须携带加密时所用的CA锁按平台提示和采购文件的规定登录到广西政府采购云平台电子开标大厅签到并在发起解密指令之时起在</w:t>
      </w:r>
      <w:r>
        <w:rPr>
          <w:rFonts w:hint="eastAsia" w:ascii="宋体" w:hAnsi="宋体" w:eastAsia="宋体" w:cs="宋体"/>
          <w:b/>
          <w:color w:val="auto"/>
          <w:kern w:val="0"/>
          <w:szCs w:val="21"/>
          <w:highlight w:val="none"/>
        </w:rPr>
        <w:t>规定的时间内</w:t>
      </w:r>
      <w:r>
        <w:rPr>
          <w:rFonts w:hint="eastAsia" w:ascii="宋体" w:hAnsi="宋体" w:eastAsia="宋体" w:cs="宋体"/>
          <w:b/>
          <w:color w:val="auto"/>
          <w:kern w:val="0"/>
          <w:szCs w:val="21"/>
          <w:highlight w:val="none"/>
          <w:lang w:val="zh-CN"/>
        </w:rPr>
        <w:t>完成对电子</w:t>
      </w:r>
      <w:r>
        <w:rPr>
          <w:rFonts w:hint="eastAsia" w:ascii="宋体" w:hAnsi="宋体" w:eastAsia="宋体" w:cs="宋体"/>
          <w:b/>
          <w:color w:val="auto"/>
          <w:kern w:val="0"/>
          <w:szCs w:val="21"/>
          <w:highlight w:val="none"/>
        </w:rPr>
        <w:t>版</w:t>
      </w:r>
      <w:r>
        <w:rPr>
          <w:rFonts w:hint="eastAsia" w:ascii="宋体" w:hAnsi="宋体" w:eastAsia="宋体" w:cs="宋体"/>
          <w:b/>
          <w:color w:val="auto"/>
          <w:kern w:val="0"/>
          <w:szCs w:val="21"/>
          <w:highlight w:val="none"/>
          <w:lang w:val="zh-CN"/>
        </w:rPr>
        <w:t>响应文件在线解密</w:t>
      </w: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1"/>
          <w:szCs w:val="21"/>
          <w:highlight w:val="none"/>
        </w:rPr>
        <w:t>响应文件未按时</w:t>
      </w:r>
      <w:r>
        <w:rPr>
          <w:rFonts w:hint="eastAsia" w:ascii="宋体" w:hAnsi="宋体" w:eastAsia="宋体" w:cs="宋体"/>
          <w:color w:val="auto"/>
          <w:kern w:val="0"/>
          <w:szCs w:val="21"/>
          <w:highlight w:val="none"/>
          <w:lang w:val="zh-CN"/>
        </w:rPr>
        <w:t>解密的，</w:t>
      </w:r>
      <w:r>
        <w:rPr>
          <w:rFonts w:hint="eastAsia" w:ascii="宋体" w:hAnsi="宋体" w:eastAsia="宋体" w:cs="宋体"/>
          <w:b/>
          <w:color w:val="auto"/>
          <w:kern w:val="0"/>
          <w:szCs w:val="21"/>
          <w:highlight w:val="none"/>
          <w:lang w:val="zh-CN"/>
        </w:rPr>
        <w:t>视为响应文件无效。</w:t>
      </w:r>
      <w:r>
        <w:rPr>
          <w:rFonts w:hint="eastAsia" w:ascii="宋体" w:hAnsi="宋体" w:eastAsia="宋体" w:cs="宋体"/>
          <w:color w:val="auto"/>
          <w:kern w:val="0"/>
          <w:szCs w:val="21"/>
          <w:highlight w:val="none"/>
          <w:lang w:val="zh-CN"/>
        </w:rPr>
        <w:t>（解密</w:t>
      </w:r>
      <w:r>
        <w:rPr>
          <w:rFonts w:hint="eastAsia" w:ascii="宋体" w:hAnsi="宋体" w:eastAsia="宋体" w:cs="宋体"/>
          <w:bCs/>
          <w:color w:val="auto"/>
          <w:kern w:val="0"/>
          <w:szCs w:val="21"/>
          <w:highlight w:val="none"/>
          <w:lang w:val="zh-CN"/>
        </w:rPr>
        <w:t>异常情况处理：详见本章</w:t>
      </w:r>
      <w:r>
        <w:rPr>
          <w:rFonts w:hint="eastAsia" w:ascii="宋体" w:hAnsi="宋体" w:eastAsia="宋体" w:cs="宋体"/>
          <w:color w:val="auto"/>
          <w:kern w:val="0"/>
          <w:szCs w:val="21"/>
          <w:highlight w:val="none"/>
          <w:lang w:val="zh-CN"/>
        </w:rPr>
        <w:t>2</w:t>
      </w:r>
      <w:r>
        <w:rPr>
          <w:rFonts w:hint="eastAsia" w:ascii="宋体" w:hAnsi="宋体" w:eastAsia="宋体" w:cs="宋体"/>
          <w:color w:val="auto"/>
          <w:kern w:val="0"/>
          <w:szCs w:val="21"/>
          <w:highlight w:val="none"/>
        </w:rPr>
        <w:t>5</w:t>
      </w:r>
      <w:r>
        <w:rPr>
          <w:rFonts w:hint="eastAsia" w:ascii="宋体" w:hAnsi="宋体" w:eastAsia="宋体" w:cs="宋体"/>
          <w:color w:val="auto"/>
          <w:kern w:val="0"/>
          <w:szCs w:val="21"/>
          <w:highlight w:val="none"/>
          <w:lang w:val="zh-CN"/>
        </w:rPr>
        <w:t>.3 电子交易活动的中止。）</w:t>
      </w:r>
    </w:p>
    <w:p w14:paraId="51C9AA85">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如</w:t>
      </w:r>
      <w:r>
        <w:rPr>
          <w:rFonts w:hint="eastAsia" w:ascii="宋体" w:hAnsi="宋体" w:eastAsia="宋体" w:cs="宋体"/>
          <w:bCs/>
          <w:color w:val="auto"/>
          <w:kern w:val="0"/>
          <w:szCs w:val="21"/>
          <w:highlight w:val="none"/>
          <w:lang w:val="zh-CN"/>
        </w:rPr>
        <w:t>供应商成功解密响应文件，但未在“</w:t>
      </w:r>
      <w:r>
        <w:rPr>
          <w:rFonts w:hint="eastAsia" w:ascii="宋体" w:hAnsi="宋体" w:cs="宋体"/>
          <w:color w:val="auto"/>
          <w:szCs w:val="21"/>
          <w:highlight w:val="none"/>
        </w:rPr>
        <w:t>广西政府采购云平台</w:t>
      </w:r>
      <w:r>
        <w:rPr>
          <w:rFonts w:hint="eastAsia" w:ascii="宋体" w:hAnsi="宋体" w:eastAsia="宋体" w:cs="宋体"/>
          <w:bCs/>
          <w:color w:val="auto"/>
          <w:kern w:val="0"/>
          <w:szCs w:val="21"/>
          <w:highlight w:val="none"/>
          <w:lang w:val="zh-CN"/>
        </w:rPr>
        <w:t>”电子开标大厅参加谈判的，视同认可谈判过程和结果，</w:t>
      </w:r>
      <w:r>
        <w:rPr>
          <w:rFonts w:hint="eastAsia" w:ascii="宋体" w:hAnsi="宋体" w:eastAsia="宋体" w:cs="宋体"/>
          <w:color w:val="auto"/>
          <w:kern w:val="0"/>
          <w:szCs w:val="21"/>
          <w:highlight w:val="none"/>
          <w:lang w:val="zh-CN"/>
        </w:rPr>
        <w:t>由此产生的后果由供应商自行负责。 参与谈判的供应商不足3家的，不得谈判。</w:t>
      </w:r>
    </w:p>
    <w:p w14:paraId="661B9CB8">
      <w:pPr>
        <w:spacing w:line="360" w:lineRule="auto"/>
        <w:ind w:firstLine="482" w:firstLineChars="200"/>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25.评审程序、评审方法和成交标准</w:t>
      </w:r>
    </w:p>
    <w:p w14:paraId="6A6A2DC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w:t>
      </w:r>
      <w:r>
        <w:rPr>
          <w:rFonts w:hint="eastAsia" w:ascii="宋体" w:hAnsi="宋体" w:eastAsia="宋体" w:cs="宋体"/>
          <w:color w:val="auto"/>
          <w:highlight w:val="none"/>
        </w:rPr>
        <w:t>本项目的评审方法详见“供应商须知前附表”。</w:t>
      </w:r>
      <w:r>
        <w:rPr>
          <w:rFonts w:hint="eastAsia" w:ascii="宋体" w:hAnsi="宋体" w:eastAsia="宋体" w:cs="宋体"/>
          <w:color w:val="auto"/>
          <w:szCs w:val="21"/>
          <w:highlight w:val="none"/>
        </w:rPr>
        <w:t>谈判小组按照“第四章 评审程序、评审方法和成交标准”规定的方法、评审因素、标准和程序对响应文件进行评审。</w:t>
      </w:r>
    </w:p>
    <w:p w14:paraId="20154E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25.2 谈判顺序详见 “供应商须知前附表”。</w:t>
      </w:r>
    </w:p>
    <w:p w14:paraId="569354A0">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25.3电子交易活动的中止。采购过程中出现以下情形，导致电子交易平台无法正常运行，或者无法保证电子交易的公平、公正和安全时，采购机构可中止电子交易活动：</w:t>
      </w:r>
    </w:p>
    <w:p w14:paraId="35FA3DCD">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（1）电子交易平台发生故障而无法登录访问的； </w:t>
      </w:r>
    </w:p>
    <w:p w14:paraId="12D5E9E7">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（2）电子交易平台应用或数据库出现错误，不能进行正常操作的；</w:t>
      </w:r>
    </w:p>
    <w:p w14:paraId="3CAB1A75">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（3）电子交易平台发现严重安全漏洞，有潜在泄密危险的；</w:t>
      </w:r>
    </w:p>
    <w:p w14:paraId="0C042945">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（4）病毒发作导致不能进行正常操作的； </w:t>
      </w:r>
    </w:p>
    <w:p w14:paraId="578F56E4">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（5）其他无法保证电子交易的公平、公正和安全的情况。</w:t>
      </w:r>
    </w:p>
    <w:p w14:paraId="7D5D8AFB">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25.4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37A989E">
      <w:pPr>
        <w:keepNext/>
        <w:keepLines/>
        <w:spacing w:line="360" w:lineRule="auto"/>
        <w:ind w:firstLine="640" w:firstLineChars="200"/>
        <w:outlineLvl w:val="2"/>
        <w:rPr>
          <w:rFonts w:hint="eastAsia" w:ascii="宋体" w:hAnsi="宋体" w:eastAsia="宋体" w:cs="Times New Roman"/>
          <w:color w:val="auto"/>
          <w:sz w:val="32"/>
          <w:szCs w:val="32"/>
          <w:highlight w:val="none"/>
          <w:lang w:val="zh-CN"/>
        </w:rPr>
      </w:pPr>
      <w:bookmarkStart w:id="99" w:name="_Toc29707"/>
      <w:bookmarkStart w:id="100" w:name="_Toc27003"/>
      <w:bookmarkStart w:id="101" w:name="_Toc80205929"/>
      <w:r>
        <w:rPr>
          <w:rFonts w:hint="eastAsia" w:ascii="宋体" w:hAnsi="宋体" w:eastAsia="宋体" w:cs="Times New Roman"/>
          <w:color w:val="auto"/>
          <w:sz w:val="32"/>
          <w:szCs w:val="32"/>
          <w:highlight w:val="none"/>
          <w:lang w:val="zh-CN"/>
        </w:rPr>
        <w:t>五、成交及合同</w:t>
      </w:r>
      <w:bookmarkEnd w:id="99"/>
      <w:bookmarkEnd w:id="100"/>
      <w:bookmarkEnd w:id="101"/>
    </w:p>
    <w:p w14:paraId="6E3CED7A">
      <w:pPr>
        <w:spacing w:line="360" w:lineRule="auto"/>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6.确定成交供应商及结果公告</w:t>
      </w:r>
    </w:p>
    <w:p w14:paraId="513C8B7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确定成交供应商。采购代理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425AE94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26.2成交通知及成交结果公告。采购代理机构应当在</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供应商确定后2个工作日内，在省级以上财政部门指定的媒体上公告成交结果，同时向成交供应商发出成交通知书。</w:t>
      </w:r>
    </w:p>
    <w:p w14:paraId="0EC458F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依法确定排名第二的成交候选人为成交供应商。排名第二的成交候选人因上述规定的同样原因被取消成交资格的，采购人可以依法确定排名第三的成交候选人为成交供应商，以此类推。以上信息查询记录及相关证据与谈判文件一并保存。</w:t>
      </w:r>
      <w:bookmarkStart w:id="102" w:name="_Hlk66782294"/>
      <w:r>
        <w:rPr>
          <w:rFonts w:hint="eastAsia" w:ascii="宋体" w:hAnsi="宋体" w:eastAsia="宋体" w:cs="宋体"/>
          <w:color w:val="auto"/>
          <w:szCs w:val="21"/>
          <w:highlight w:val="none"/>
        </w:rPr>
        <w:t>成交供应商享受《政府采购促进中小企业发展管理办法》（财库〔2020〕46号）规定的中小企业扶持政策的，采购人、采购代理机构应当随成交结果公开成交供应商的《中小企业声明函》。</w:t>
      </w:r>
      <w:bookmarkEnd w:id="102"/>
    </w:p>
    <w:p w14:paraId="0AB1A5D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2B8D7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26.5排名第一的成交候选人放弃成交，采购人可以按照评审报告推荐的成交候选人名单排序，依法确定下一候选人为成交</w:t>
      </w:r>
      <w:r>
        <w:rPr>
          <w:rFonts w:hint="eastAsia" w:ascii="宋体" w:hAnsi="宋体" w:eastAsia="宋体" w:cs="宋体"/>
          <w:color w:val="auto"/>
          <w:szCs w:val="21"/>
          <w:highlight w:val="none"/>
        </w:rPr>
        <w:t>供应商</w:t>
      </w:r>
      <w:r>
        <w:rPr>
          <w:rFonts w:hint="eastAsia" w:ascii="宋体" w:hAnsi="宋体" w:eastAsia="宋体" w:cs="宋体"/>
          <w:bCs/>
          <w:color w:val="auto"/>
          <w:szCs w:val="21"/>
          <w:highlight w:val="none"/>
        </w:rPr>
        <w:t>，也可以重新开展政府采购活动。</w:t>
      </w:r>
    </w:p>
    <w:p w14:paraId="423B2CCC">
      <w:pPr>
        <w:spacing w:line="360" w:lineRule="auto"/>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7.履约保证金</w:t>
      </w:r>
    </w:p>
    <w:p w14:paraId="09D9B25C">
      <w:pPr>
        <w:pStyle w:val="12"/>
        <w:spacing w:line="360" w:lineRule="auto"/>
        <w:ind w:firstLine="420" w:firstLineChars="200"/>
        <w:rPr>
          <w:rFonts w:hint="eastAsia" w:ascii="宋体" w:hAnsi="宋体" w:cs="宋体"/>
          <w:color w:val="auto"/>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rPr>
        <w:t>7</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rFonts w:hint="eastAsia" w:ascii="宋体" w:hAnsi="宋体" w:cs="宋体"/>
          <w:color w:val="auto"/>
          <w:highlight w:val="none"/>
        </w:rPr>
        <w:t>与采购人</w:t>
      </w:r>
      <w:r>
        <w:rPr>
          <w:rFonts w:hint="eastAsia" w:ascii="宋体" w:hAnsi="宋体" w:cs="宋体"/>
          <w:color w:val="auto"/>
          <w:szCs w:val="21"/>
          <w:highlight w:val="none"/>
        </w:rPr>
        <w:t>签订合同，采购人可以按照评审报告推荐的成交候选人名单排序，</w:t>
      </w:r>
      <w:r>
        <w:rPr>
          <w:rFonts w:hint="eastAsia" w:ascii="宋体" w:hAnsi="宋体" w:cs="宋体"/>
          <w:color w:val="auto"/>
          <w:szCs w:val="21"/>
          <w:highlight w:val="none"/>
          <w:lang w:val="en-US"/>
        </w:rPr>
        <w:t>依法</w:t>
      </w:r>
      <w:r>
        <w:rPr>
          <w:rFonts w:hint="eastAsia" w:ascii="宋体" w:hAnsi="宋体" w:cs="宋体"/>
          <w:color w:val="auto"/>
          <w:szCs w:val="21"/>
          <w:highlight w:val="none"/>
        </w:rPr>
        <w:t>确定下一候选人为成交供应商，也可以重新开展政府采购活动。</w:t>
      </w:r>
    </w:p>
    <w:p w14:paraId="757AF9AF">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27.2签订合同后，如成交供应商不按双方签订的合同规定履约，则没收其全部履约保证金，履约保证金不足以赔偿损失的，按实际损失赔偿。</w:t>
      </w:r>
    </w:p>
    <w:p w14:paraId="49D2ABD3">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27.3在履约保证金退还日期前，若成交供应商的开户名称、开户银行、账号有变动的，请以书面形式通知履约保证金收取单位，否则由此产生的后果由成交供应商自负。</w:t>
      </w:r>
    </w:p>
    <w:p w14:paraId="47973919">
      <w:pPr>
        <w:spacing w:line="360" w:lineRule="auto"/>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8.签订合同</w:t>
      </w:r>
    </w:p>
    <w:p w14:paraId="17D51B46">
      <w:pPr>
        <w:adjustRightInd w:val="0"/>
        <w:snapToGrid w:val="0"/>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rPr>
        <w:t>28.1采购人与成交供应商应当在成交通知书规定的时间内，按照谈判文件确定的合同文本以及采购标的、货物技术、采购金额、采购数量、技术和货物要求等事项签订政府采购合同。</w:t>
      </w:r>
      <w:r>
        <w:rPr>
          <w:rFonts w:hint="eastAsia" w:ascii="宋体" w:hAnsi="宋体" w:eastAsia="宋体" w:cs="宋体"/>
          <w:color w:val="auto"/>
          <w:kern w:val="0"/>
          <w:szCs w:val="21"/>
          <w:highlight w:val="none"/>
          <w:lang w:val="zh-CN"/>
        </w:rPr>
        <w:t>如成交供应商为联合体的，由联合体成员各方法定代表人或其授权代表与采购人代表签订合同。</w:t>
      </w:r>
    </w:p>
    <w:p w14:paraId="7EF9F5E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28.2采购人不得向成交供应商提出超出谈判文件以外的任何要求作为签订合同的条件，不得与成交供应商订立背离谈判文件确定的合同文本以及采购标的、货物技术、采购金额、采购数量、技术和货物要求等实质性内容的协议。</w:t>
      </w:r>
    </w:p>
    <w:p w14:paraId="1C01FFE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28.3成交供应商拒绝签订政府采购合同的，采购人可以按照评审报告推荐的成交候选人名单排序，依法确定下一候选人为成交供应商，也可以重新开展采购活动。拒绝签订政府采购合同的成交供应商不得参加对该项目重新开展的采购活动。</w:t>
      </w:r>
    </w:p>
    <w:p w14:paraId="61B716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28.4如签订合同并生效后，供应商无故拒绝或延期，除按照合同条款处理外，列入不良行为记录，并给予通报。</w:t>
      </w:r>
    </w:p>
    <w:p w14:paraId="0464FB38">
      <w:pPr>
        <w:spacing w:line="360" w:lineRule="auto"/>
        <w:ind w:firstLine="420" w:firstLineChars="200"/>
        <w:rPr>
          <w:rFonts w:hint="eastAsia" w:ascii="宋体" w:hAnsi="宋体" w:eastAsia="宋体" w:cs="宋体"/>
          <w:color w:val="auto"/>
          <w:kern w:val="0"/>
          <w:sz w:val="24"/>
          <w:szCs w:val="21"/>
          <w:highlight w:val="none"/>
        </w:rPr>
      </w:pPr>
      <w:r>
        <w:rPr>
          <w:rFonts w:hint="eastAsia" w:ascii="宋体" w:hAnsi="宋体" w:eastAsia="宋体" w:cs="宋体"/>
          <w:color w:val="auto"/>
          <w:kern w:val="0"/>
          <w:szCs w:val="21"/>
          <w:highlight w:val="none"/>
        </w:rPr>
        <w:t>28.5采购合同由采购人与成交供应商根据谈判文件、响应文件等内容签订，</w:t>
      </w:r>
      <w:r>
        <w:rPr>
          <w:rFonts w:hint="eastAsia" w:ascii="宋体" w:hAnsi="宋体" w:eastAsia="宋体" w:cs="宋体"/>
          <w:color w:val="auto"/>
          <w:szCs w:val="21"/>
          <w:highlight w:val="none"/>
        </w:rPr>
        <w:t>成交供应商应当在签订合同时按供应商须知前附表规定向采购人出示相关证明材料，经采购人核验合格后方可签订合同。</w:t>
      </w:r>
    </w:p>
    <w:p w14:paraId="41961CA3">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29.政府采购合同公告</w:t>
      </w:r>
    </w:p>
    <w:p w14:paraId="621CA0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5EE77069">
      <w:pPr>
        <w:spacing w:line="360" w:lineRule="auto"/>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3</w:t>
      </w:r>
      <w:r>
        <w:rPr>
          <w:rFonts w:hint="eastAsia" w:ascii="黑体" w:hAnsi="黑体" w:eastAsia="黑体" w:cs="宋体"/>
          <w:b/>
          <w:bCs/>
          <w:color w:val="auto"/>
          <w:sz w:val="24"/>
          <w:szCs w:val="24"/>
          <w:highlight w:val="none"/>
        </w:rPr>
        <w:t>0.询问、质疑和投诉</w:t>
      </w:r>
    </w:p>
    <w:p w14:paraId="18FE5634">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30.1供应商对政府采购活动事项有疑问的，可以向采购人或者采购代理机构提出询问，采购人或者采购代理机构应当在3个工作日内对供应商依法提出的询问作出答复。</w:t>
      </w:r>
    </w:p>
    <w:p w14:paraId="1FC0DC7B">
      <w:pPr>
        <w:spacing w:line="360" w:lineRule="auto"/>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4"/>
          <w:highlight w:val="none"/>
        </w:rPr>
        <w:t>30.2供应商认为谈判文件、采购过程或者成交结果使自己的合法权益受到损害的，应当在知道或者应知其权益受到损害之日起7个工作日内，以书面形式向采购人或者采购代理机构提出质疑，采购人或者采购代理机构应当在7个工作日内对供应商依法提出的质疑作出答复。</w:t>
      </w:r>
      <w:r>
        <w:rPr>
          <w:rFonts w:hint="eastAsia" w:ascii="宋体" w:hAnsi="宋体" w:eastAsia="宋体" w:cs="宋体"/>
          <w:color w:val="auto"/>
          <w:szCs w:val="24"/>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szCs w:val="24"/>
          <w:highlight w:val="none"/>
        </w:rPr>
        <w:t>。</w:t>
      </w:r>
      <w:r>
        <w:rPr>
          <w:rFonts w:hint="eastAsia" w:ascii="宋体" w:hAnsi="宋体" w:eastAsia="宋体" w:cs="宋体"/>
          <w:b/>
          <w:color w:val="auto"/>
          <w:szCs w:val="21"/>
          <w:highlight w:val="none"/>
        </w:rPr>
        <w:t xml:space="preserve">具体质疑起算时间及处理方式如下： </w:t>
      </w:r>
    </w:p>
    <w:p w14:paraId="312BA1A2">
      <w:pPr>
        <w:spacing w:line="360" w:lineRule="auto"/>
        <w:ind w:firstLine="42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（1）潜在供应商依法获取采购文件后，认为采购文件使自己的权益受到损害的，应当在竞争性谈判文件公告期限届满之日起7个工作日内提出质疑。</w:t>
      </w:r>
    </w:p>
    <w:p w14:paraId="52CC38B6">
      <w:pPr>
        <w:spacing w:line="360" w:lineRule="auto"/>
        <w:ind w:firstLine="42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2）供应商认为采购过程使自己的权益受到损害的，应当在各采购程序环节结束之日起7个工作日内提出质疑。对采购过程中资格审查、符合性审查等具体评审情况的质疑应向采购人或者采购代理机构提出，由采购人或者采购代理机构受理并负责答复；对采购过程中采购执行程序的质疑由采购代理机构受理并负责答复。</w:t>
      </w:r>
    </w:p>
    <w:p w14:paraId="015770A0">
      <w:pPr>
        <w:spacing w:line="360" w:lineRule="auto"/>
        <w:ind w:firstLine="42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（3）供应商认为成交结果使自己的权益受到损害的，应当在成交结果公告期限届满之日起7个工作日内提出质疑，由采购人受理并负责答复。</w:t>
      </w:r>
    </w:p>
    <w:p w14:paraId="18D875E5">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30.3供应商提出的询问或者质疑超出采购人对采购代理机构委托授权范围的，采购代理机构应当告知供应商向采购人提出。政府采购评审专家应当配合采购人或者采购代理机构答复供应商的询问和质疑。</w:t>
      </w:r>
    </w:p>
    <w:p w14:paraId="57432B36">
      <w:pPr>
        <w:spacing w:line="360" w:lineRule="auto"/>
        <w:ind w:firstLine="422" w:firstLineChars="200"/>
        <w:rPr>
          <w:rFonts w:hint="eastAsia" w:ascii="宋体" w:hAnsi="宋体" w:eastAsia="宋体" w:cs="宋体"/>
          <w:color w:val="auto"/>
          <w:szCs w:val="24"/>
          <w:highlight w:val="none"/>
        </w:rPr>
      </w:pPr>
      <w:r>
        <w:rPr>
          <w:rFonts w:hint="eastAsia" w:ascii="宋体" w:hAnsi="宋体" w:eastAsia="宋体" w:cs="宋体"/>
          <w:b/>
          <w:bCs/>
          <w:color w:val="auto"/>
          <w:szCs w:val="24"/>
          <w:highlight w:val="none"/>
        </w:rPr>
        <w:t>30.4 供应商提出质疑应当提交质疑函和必要的证明材料，针对同一采购程序环节的质疑必须在法定质疑期内一次性提出。质疑函应当包括下列内容（质疑函格式后附）：</w:t>
      </w:r>
    </w:p>
    <w:p w14:paraId="2911F25E">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（1）供应商的姓名或者名称、地址、邮编、联系人及联系电话；</w:t>
      </w:r>
    </w:p>
    <w:p w14:paraId="5CC1A315">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（2）质疑项目的名称、编号；</w:t>
      </w:r>
    </w:p>
    <w:p w14:paraId="62B38E3F">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（3）具体、明确的质疑事项和与质疑事项相关的请求；</w:t>
      </w:r>
    </w:p>
    <w:p w14:paraId="469E98EE">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（4）事实依据；</w:t>
      </w:r>
    </w:p>
    <w:p w14:paraId="0CC2D3A1">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（5）必要的法律依据；</w:t>
      </w:r>
    </w:p>
    <w:p w14:paraId="2E398BD6">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（6）提出质疑的日期。</w:t>
      </w:r>
    </w:p>
    <w:p w14:paraId="4B3C3ECA">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供应商为自然人的，应当由本人签字；供应商为法人或者其他组织的，应当由法定代表人、主要负责人，或者其委托代理人签字或者盖章，并加盖公章。</w:t>
      </w:r>
    </w:p>
    <w:p w14:paraId="7836E730">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30.5采购人、采购代理机构认为供应商质疑不成立，或者成立但未对成交结果构成影响的，继续开展采购活动；认为供应商质疑成立且影响或者可能影响成交结果的，按照下列情况处理：</w:t>
      </w:r>
    </w:p>
    <w:p w14:paraId="1E6312ED">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（一）对采购文件提出的质疑，依法通过澄清或者修改可以继续开展采购活动的，澄清或者修改采购文件后继续开展采购活动；否则应当修改采购文件后重新开展采购活动。</w:t>
      </w:r>
    </w:p>
    <w:p w14:paraId="7E071E9F">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（二）对采购过程或者成交结果提出的质疑，合格供应商符合法定数量时，可以从合格的成交候选人中另行确定成交供应商的，应当依法另行确定成交供应商；否则应当重新开展采购活动。</w:t>
      </w:r>
    </w:p>
    <w:p w14:paraId="449BCAC5">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质疑答复导致成交结果改变的，采购人或者采购代理机构应当将有关情况书面报告本级财政部门。</w:t>
      </w:r>
    </w:p>
    <w:p w14:paraId="72664830">
      <w:pPr>
        <w:spacing w:line="360" w:lineRule="auto"/>
        <w:ind w:firstLine="422" w:firstLineChars="200"/>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30.6投诉的权利。质疑供应商对采购人或采购代理机构的答复不满意，或者采购人或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10FF472F">
      <w:pPr>
        <w:keepNext/>
        <w:keepLines/>
        <w:spacing w:line="360" w:lineRule="auto"/>
        <w:ind w:firstLine="640" w:firstLineChars="200"/>
        <w:outlineLvl w:val="2"/>
        <w:rPr>
          <w:rFonts w:hint="eastAsia" w:ascii="宋体" w:hAnsi="宋体" w:eastAsia="宋体" w:cs="Times New Roman"/>
          <w:bCs/>
          <w:color w:val="auto"/>
          <w:sz w:val="32"/>
          <w:szCs w:val="32"/>
          <w:highlight w:val="none"/>
          <w:lang w:val="zh-CN"/>
        </w:rPr>
      </w:pPr>
      <w:bookmarkStart w:id="103" w:name="_Toc25772"/>
      <w:bookmarkStart w:id="104" w:name="_Toc6502"/>
      <w:bookmarkStart w:id="105" w:name="_Toc80205930"/>
      <w:r>
        <w:rPr>
          <w:rFonts w:hint="eastAsia" w:ascii="宋体" w:hAnsi="宋体" w:eastAsia="宋体" w:cs="Times New Roman"/>
          <w:color w:val="auto"/>
          <w:sz w:val="32"/>
          <w:szCs w:val="32"/>
          <w:highlight w:val="none"/>
          <w:lang w:val="zh-CN"/>
        </w:rPr>
        <w:t>六</w:t>
      </w:r>
      <w:r>
        <w:rPr>
          <w:rFonts w:hint="eastAsia" w:ascii="宋体" w:hAnsi="宋体" w:eastAsia="宋体" w:cs="Times New Roman"/>
          <w:bCs/>
          <w:color w:val="auto"/>
          <w:sz w:val="32"/>
          <w:szCs w:val="32"/>
          <w:highlight w:val="none"/>
          <w:lang w:val="zh-CN"/>
        </w:rPr>
        <w:t>、验收</w:t>
      </w:r>
      <w:bookmarkEnd w:id="103"/>
      <w:bookmarkEnd w:id="104"/>
      <w:bookmarkEnd w:id="105"/>
    </w:p>
    <w:p w14:paraId="4B417BF5">
      <w:pPr>
        <w:tabs>
          <w:tab w:val="left" w:pos="0"/>
        </w:tabs>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31.验收</w:t>
      </w:r>
    </w:p>
    <w:p w14:paraId="6B357CE9">
      <w:pPr>
        <w:tabs>
          <w:tab w:val="left" w:pos="0"/>
        </w:tabs>
        <w:spacing w:line="360" w:lineRule="auto"/>
        <w:ind w:firstLine="420" w:firstLineChars="200"/>
        <w:rPr>
          <w:rFonts w:hint="eastAsia"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2FD7B83">
      <w:pPr>
        <w:tabs>
          <w:tab w:val="left" w:pos="0"/>
        </w:tabs>
        <w:spacing w:line="360" w:lineRule="auto"/>
        <w:ind w:firstLine="420" w:firstLineChars="200"/>
        <w:rPr>
          <w:rFonts w:hint="eastAsia"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31.2采购人可以邀请参加本项目的其他供应商或者第三方机构参与验收。参与验收的供应商或者第三方机构的意见作为验收书的参考资料一并存档。</w:t>
      </w:r>
    </w:p>
    <w:p w14:paraId="25C6C29C">
      <w:pPr>
        <w:tabs>
          <w:tab w:val="left" w:pos="0"/>
        </w:tabs>
        <w:spacing w:line="360" w:lineRule="auto"/>
        <w:ind w:firstLine="420" w:firstLineChars="200"/>
        <w:rPr>
          <w:rFonts w:hint="eastAsia"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w:t>
      </w:r>
      <w:r>
        <w:rPr>
          <w:rFonts w:hint="eastAsia" w:ascii="宋体" w:hAnsi="宋体" w:eastAsia="宋体" w:cs="宋体"/>
          <w:color w:val="auto"/>
          <w:kern w:val="0"/>
          <w:szCs w:val="21"/>
          <w:highlight w:val="none"/>
        </w:rPr>
        <w:t>（如有）</w:t>
      </w:r>
      <w:r>
        <w:rPr>
          <w:rFonts w:hint="eastAsia" w:ascii="宋体" w:hAnsi="宋体" w:eastAsia="宋体" w:cs="Helvetica"/>
          <w:color w:val="auto"/>
          <w:kern w:val="0"/>
          <w:szCs w:val="21"/>
          <w:highlight w:val="none"/>
        </w:rPr>
        <w:t>返还条件挂钩。履约验收的各项资料应当存档备查。</w:t>
      </w:r>
    </w:p>
    <w:p w14:paraId="3470F36A">
      <w:pPr>
        <w:tabs>
          <w:tab w:val="left" w:pos="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Helvetica"/>
          <w:color w:val="auto"/>
          <w:kern w:val="0"/>
          <w:szCs w:val="21"/>
          <w:highlight w:val="none"/>
        </w:rPr>
        <w:t>31.4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8B898C4">
      <w:pPr>
        <w:keepNext/>
        <w:keepLines/>
        <w:spacing w:line="360" w:lineRule="auto"/>
        <w:ind w:firstLine="640" w:firstLineChars="200"/>
        <w:outlineLvl w:val="2"/>
        <w:rPr>
          <w:rFonts w:hint="eastAsia" w:ascii="宋体" w:hAnsi="宋体" w:eastAsia="宋体" w:cs="Times New Roman"/>
          <w:color w:val="auto"/>
          <w:sz w:val="32"/>
          <w:szCs w:val="32"/>
          <w:highlight w:val="none"/>
          <w:lang w:val="zh-CN"/>
        </w:rPr>
      </w:pPr>
      <w:bookmarkStart w:id="106" w:name="_Toc15842"/>
      <w:bookmarkStart w:id="107" w:name="_Toc80205931"/>
      <w:bookmarkStart w:id="108" w:name="_Toc1379"/>
      <w:r>
        <w:rPr>
          <w:rFonts w:hint="eastAsia" w:ascii="宋体" w:hAnsi="宋体" w:eastAsia="宋体" w:cs="Times New Roman"/>
          <w:color w:val="auto"/>
          <w:sz w:val="32"/>
          <w:szCs w:val="32"/>
          <w:highlight w:val="none"/>
          <w:lang w:val="zh-CN"/>
        </w:rPr>
        <w:t>七、其他事项</w:t>
      </w:r>
      <w:bookmarkEnd w:id="106"/>
      <w:bookmarkEnd w:id="107"/>
      <w:bookmarkEnd w:id="108"/>
    </w:p>
    <w:p w14:paraId="7B9C6E03">
      <w:pPr>
        <w:spacing w:line="360" w:lineRule="auto"/>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3</w:t>
      </w:r>
      <w:r>
        <w:rPr>
          <w:rFonts w:hint="eastAsia" w:ascii="黑体" w:hAnsi="黑体" w:eastAsia="黑体" w:cs="宋体"/>
          <w:b/>
          <w:bCs/>
          <w:color w:val="auto"/>
          <w:sz w:val="24"/>
          <w:szCs w:val="24"/>
          <w:highlight w:val="none"/>
        </w:rPr>
        <w:t>2.采购代理服务费</w:t>
      </w:r>
    </w:p>
    <w:p w14:paraId="5F11D67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32.1采购代理服务费收费标准及缴费账户详见“供应商须知前附表”，供应商为联合体的，可以由联合体中的一方或者多方共同缴纳采购代理服务费。</w:t>
      </w:r>
    </w:p>
    <w:p w14:paraId="5EC60F4B">
      <w:pPr>
        <w:pStyle w:val="14"/>
        <w:ind w:firstLine="420" w:firstLineChars="200"/>
        <w:rPr>
          <w:rFonts w:hint="eastAsia" w:ascii="宋体" w:hAnsi="宋体" w:cs="宋体"/>
          <w:color w:val="auto"/>
          <w:highlight w:val="none"/>
          <w:lang w:val="en-US"/>
        </w:rPr>
      </w:pPr>
      <w:r>
        <w:rPr>
          <w:rFonts w:hint="eastAsia" w:ascii="宋体" w:hAnsi="宋体" w:cs="宋体"/>
          <w:color w:val="auto"/>
          <w:highlight w:val="none"/>
          <w:lang w:val="en-US"/>
        </w:rPr>
        <w:t>32.2采购代理服务费收费计算标准：</w:t>
      </w:r>
    </w:p>
    <w:tbl>
      <w:tblPr>
        <w:tblStyle w:val="32"/>
        <w:tblW w:w="5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tblGrid>
      <w:tr w14:paraId="4B5F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2" w:type="dxa"/>
          </w:tcPr>
          <w:p w14:paraId="79F74448">
            <w:pPr>
              <w:spacing w:line="360" w:lineRule="auto"/>
              <w:ind w:left="210" w:leftChars="10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金额</w:t>
            </w:r>
          </w:p>
        </w:tc>
        <w:tc>
          <w:tcPr>
            <w:tcW w:w="1659" w:type="dxa"/>
          </w:tcPr>
          <w:p w14:paraId="3980AFC4">
            <w:pPr>
              <w:spacing w:line="360" w:lineRule="auto"/>
              <w:ind w:left="210" w:leftChars="100"/>
              <w:jc w:val="center"/>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费率</w:t>
            </w:r>
          </w:p>
        </w:tc>
      </w:tr>
      <w:tr w14:paraId="3FDF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6F43030">
            <w:pPr>
              <w:spacing w:line="360" w:lineRule="auto"/>
              <w:ind w:left="210" w:left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659" w:type="dxa"/>
          </w:tcPr>
          <w:p w14:paraId="14ADF3D4">
            <w:pPr>
              <w:spacing w:line="360" w:lineRule="auto"/>
              <w:ind w:left="210" w:left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1.5%                </w:t>
            </w:r>
          </w:p>
        </w:tc>
      </w:tr>
      <w:tr w14:paraId="4BC8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117C6DC">
            <w:pPr>
              <w:spacing w:line="360" w:lineRule="auto"/>
              <w:ind w:left="210" w:left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659" w:type="dxa"/>
          </w:tcPr>
          <w:p w14:paraId="6B3D1631">
            <w:pPr>
              <w:spacing w:line="360" w:lineRule="auto"/>
              <w:ind w:left="210" w:leftChars="100"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1.1%                 </w:t>
            </w:r>
          </w:p>
        </w:tc>
      </w:tr>
      <w:tr w14:paraId="752E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8CB813B">
            <w:pPr>
              <w:spacing w:line="360" w:lineRule="auto"/>
              <w:ind w:left="210" w:left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659" w:type="dxa"/>
          </w:tcPr>
          <w:p w14:paraId="09B2D72D">
            <w:pPr>
              <w:spacing w:line="360" w:lineRule="auto"/>
              <w:ind w:left="210" w:left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0.8%                </w:t>
            </w:r>
          </w:p>
        </w:tc>
      </w:tr>
      <w:tr w14:paraId="3384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05A15B0">
            <w:pPr>
              <w:spacing w:line="360" w:lineRule="auto"/>
              <w:ind w:left="210" w:left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659" w:type="dxa"/>
          </w:tcPr>
          <w:p w14:paraId="154CF4A2">
            <w:pPr>
              <w:spacing w:line="360" w:lineRule="auto"/>
              <w:ind w:left="210" w:leftChars="100"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0.5%                </w:t>
            </w:r>
          </w:p>
        </w:tc>
      </w:tr>
      <w:tr w14:paraId="6CEE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F224894">
            <w:pPr>
              <w:spacing w:line="360" w:lineRule="auto"/>
              <w:ind w:left="210" w:left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659" w:type="dxa"/>
          </w:tcPr>
          <w:p w14:paraId="6C1C94F6">
            <w:pPr>
              <w:spacing w:line="360" w:lineRule="auto"/>
              <w:ind w:left="210" w:leftChars="100"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0.25%                 </w:t>
            </w:r>
          </w:p>
        </w:tc>
      </w:tr>
      <w:tr w14:paraId="09B3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6446307">
            <w:pPr>
              <w:spacing w:line="360" w:lineRule="auto"/>
              <w:ind w:left="210" w:left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659" w:type="dxa"/>
          </w:tcPr>
          <w:p w14:paraId="25C86560">
            <w:pPr>
              <w:spacing w:line="360" w:lineRule="auto"/>
              <w:ind w:left="210" w:leftChars="100"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r>
      <w:tr w14:paraId="4497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1BD22D7">
            <w:pPr>
              <w:spacing w:line="360" w:lineRule="auto"/>
              <w:ind w:left="210" w:left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659" w:type="dxa"/>
          </w:tcPr>
          <w:p w14:paraId="66E871C1">
            <w:pPr>
              <w:spacing w:line="360" w:lineRule="auto"/>
              <w:ind w:left="210" w:leftChars="100"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r>
      <w:tr w14:paraId="1B70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34B8192">
            <w:pPr>
              <w:spacing w:line="360" w:lineRule="auto"/>
              <w:ind w:left="210" w:left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659" w:type="dxa"/>
          </w:tcPr>
          <w:p w14:paraId="1AA92468">
            <w:pPr>
              <w:spacing w:line="360" w:lineRule="auto"/>
              <w:ind w:left="210" w:leftChars="100"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r>
      <w:tr w14:paraId="3BEB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368812A">
            <w:pPr>
              <w:spacing w:line="360" w:lineRule="auto"/>
              <w:ind w:left="210" w:left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659" w:type="dxa"/>
          </w:tcPr>
          <w:p w14:paraId="5534B262">
            <w:pPr>
              <w:spacing w:line="360" w:lineRule="auto"/>
              <w:ind w:left="210" w:left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0.006%</w:t>
            </w:r>
          </w:p>
        </w:tc>
      </w:tr>
      <w:tr w14:paraId="0688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93C1DD1">
            <w:pPr>
              <w:spacing w:line="360" w:lineRule="auto"/>
              <w:ind w:left="210" w:left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100亿元以上</w:t>
            </w:r>
          </w:p>
        </w:tc>
        <w:tc>
          <w:tcPr>
            <w:tcW w:w="1659" w:type="dxa"/>
          </w:tcPr>
          <w:p w14:paraId="20F56E32">
            <w:pPr>
              <w:spacing w:line="360" w:lineRule="auto"/>
              <w:ind w:left="210" w:left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0.004%</w:t>
            </w:r>
          </w:p>
        </w:tc>
      </w:tr>
    </w:tbl>
    <w:p w14:paraId="632FA26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注： </w:t>
      </w:r>
    </w:p>
    <w:p w14:paraId="1FC04BC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（1）按本表费率计算的收费为采购代理的收费基准价格；</w:t>
      </w:r>
    </w:p>
    <w:p w14:paraId="09442EB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（2）采购代理收费按差额定率累进法计算。</w:t>
      </w:r>
    </w:p>
    <w:p w14:paraId="061C6D2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例如：某货物采购代理业务成交金额或者暂定价为150万元，计算采购代理收费额如下：</w:t>
      </w:r>
    </w:p>
    <w:p w14:paraId="6C8DDA7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100 万元 ×l.5 ％＝ 1.5 万元</w:t>
      </w:r>
    </w:p>
    <w:p w14:paraId="011CAA6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150 － 100 ）万元 ×1.1％＝ 0.55 万元</w:t>
      </w:r>
    </w:p>
    <w:p w14:paraId="4F48F72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合计收费＝ 1.5 ＋ 0.55＝ 2.05 （万元）</w:t>
      </w:r>
    </w:p>
    <w:p w14:paraId="0094F37D">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33</w:t>
      </w:r>
      <w:r>
        <w:rPr>
          <w:rFonts w:ascii="黑体" w:hAnsi="黑体" w:eastAsia="黑体" w:cs="宋体"/>
          <w:b/>
          <w:bCs/>
          <w:color w:val="auto"/>
          <w:sz w:val="24"/>
          <w:szCs w:val="24"/>
          <w:highlight w:val="none"/>
        </w:rPr>
        <w:t>.需要补充的其他内容</w:t>
      </w:r>
    </w:p>
    <w:p w14:paraId="476E071B">
      <w:pPr>
        <w:spacing w:line="360" w:lineRule="auto"/>
        <w:ind w:firstLine="420" w:firstLineChars="200"/>
        <w:contextualSpacing/>
        <w:rPr>
          <w:rFonts w:hint="eastAsia" w:ascii="宋体" w:hAnsi="宋体" w:eastAsia="宋体" w:cs="Times New Roman"/>
          <w:color w:val="auto"/>
          <w:kern w:val="0"/>
          <w:szCs w:val="21"/>
          <w:highlight w:val="none"/>
          <w:lang w:val="zh-CN"/>
        </w:rPr>
      </w:pPr>
      <w:r>
        <w:rPr>
          <w:rFonts w:ascii="宋体" w:hAnsi="宋体" w:eastAsia="宋体" w:cs="Times New Roman"/>
          <w:color w:val="auto"/>
          <w:kern w:val="0"/>
          <w:szCs w:val="21"/>
          <w:highlight w:val="none"/>
          <w:lang w:val="zh-CN"/>
        </w:rPr>
        <w:t>3</w:t>
      </w:r>
      <w:r>
        <w:rPr>
          <w:rFonts w:hint="eastAsia" w:ascii="宋体" w:hAnsi="宋体" w:eastAsia="宋体" w:cs="Times New Roman"/>
          <w:color w:val="auto"/>
          <w:kern w:val="0"/>
          <w:szCs w:val="21"/>
          <w:highlight w:val="none"/>
        </w:rPr>
        <w:t>3</w:t>
      </w:r>
      <w:r>
        <w:rPr>
          <w:rFonts w:ascii="宋体" w:hAnsi="宋体" w:eastAsia="宋体" w:cs="Times New Roman"/>
          <w:color w:val="auto"/>
          <w:kern w:val="0"/>
          <w:szCs w:val="21"/>
          <w:highlight w:val="none"/>
          <w:lang w:val="zh-CN"/>
        </w:rPr>
        <w:t>.1</w:t>
      </w:r>
      <w:r>
        <w:rPr>
          <w:rFonts w:hint="eastAsia" w:ascii="宋体" w:hAnsi="宋体" w:eastAsia="宋体" w:cs="宋体"/>
          <w:color w:val="auto"/>
          <w:kern w:val="0"/>
          <w:szCs w:val="21"/>
          <w:highlight w:val="none"/>
          <w:lang w:val="zh-CN"/>
        </w:rPr>
        <w:t>本谈判文件解释规则详见</w:t>
      </w:r>
      <w:r>
        <w:rPr>
          <w:rFonts w:hint="eastAsia" w:ascii="宋体" w:hAnsi="宋体" w:eastAsia="宋体" w:cs="Times New Roman"/>
          <w:color w:val="auto"/>
          <w:kern w:val="0"/>
          <w:szCs w:val="21"/>
          <w:highlight w:val="none"/>
          <w:lang w:val="zh-CN"/>
        </w:rPr>
        <w:t>“供应商须知前附表”。</w:t>
      </w:r>
    </w:p>
    <w:p w14:paraId="43910E45">
      <w:pPr>
        <w:spacing w:line="360" w:lineRule="auto"/>
        <w:ind w:firstLine="420" w:firstLineChars="200"/>
        <w:contextualSpacing/>
        <w:rPr>
          <w:rFonts w:hint="eastAsia" w:ascii="Times New Roman" w:hAnsi="宋体" w:eastAsia="宋体" w:cs="Times New Roman"/>
          <w:color w:val="auto"/>
          <w:szCs w:val="24"/>
          <w:highlight w:val="none"/>
        </w:rPr>
      </w:pPr>
      <w:r>
        <w:rPr>
          <w:rFonts w:ascii="宋体" w:hAnsi="宋体" w:eastAsia="宋体" w:cs="宋体"/>
          <w:color w:val="auto"/>
          <w:kern w:val="0"/>
          <w:szCs w:val="21"/>
          <w:highlight w:val="none"/>
        </w:rPr>
        <w:t>3</w:t>
      </w:r>
      <w:r>
        <w:rPr>
          <w:rFonts w:hint="eastAsia" w:ascii="宋体" w:hAnsi="宋体" w:eastAsia="宋体" w:cs="宋体"/>
          <w:color w:val="auto"/>
          <w:kern w:val="0"/>
          <w:szCs w:val="21"/>
          <w:highlight w:val="none"/>
        </w:rPr>
        <w:t>3</w:t>
      </w:r>
      <w:r>
        <w:rPr>
          <w:rFonts w:ascii="宋体" w:hAnsi="宋体" w:eastAsia="宋体" w:cs="宋体"/>
          <w:color w:val="auto"/>
          <w:kern w:val="0"/>
          <w:szCs w:val="21"/>
          <w:highlight w:val="none"/>
        </w:rPr>
        <w:t>.2</w:t>
      </w:r>
      <w:r>
        <w:rPr>
          <w:rFonts w:hint="eastAsia" w:ascii="宋体" w:hAnsi="宋体" w:eastAsia="宋体" w:cs="宋体"/>
          <w:color w:val="auto"/>
          <w:kern w:val="0"/>
          <w:szCs w:val="21"/>
          <w:highlight w:val="none"/>
        </w:rPr>
        <w:t xml:space="preserve"> 其他事</w:t>
      </w:r>
      <w:r>
        <w:rPr>
          <w:rFonts w:hint="eastAsia" w:ascii="Times New Roman" w:hAnsi="宋体" w:eastAsia="宋体" w:cs="Times New Roman"/>
          <w:color w:val="auto"/>
          <w:szCs w:val="24"/>
          <w:highlight w:val="none"/>
        </w:rPr>
        <w:t>项详见“供应商须知前附表”。</w:t>
      </w:r>
    </w:p>
    <w:p w14:paraId="172BD974">
      <w:pPr>
        <w:spacing w:line="360" w:lineRule="auto"/>
        <w:ind w:firstLine="420" w:firstLineChars="200"/>
        <w:contextualSpacing/>
        <w:rPr>
          <w:rFonts w:hint="eastAsia" w:hAnsi="宋体" w:cs="宋体"/>
          <w:color w:val="auto"/>
          <w:highlight w:val="none"/>
        </w:rPr>
      </w:pPr>
      <w:r>
        <w:rPr>
          <w:rFonts w:hint="eastAsia" w:ascii="宋体" w:hAnsi="宋体" w:eastAsia="宋体" w:cs="Times New Roman"/>
          <w:color w:val="auto"/>
          <w:kern w:val="0"/>
          <w:szCs w:val="21"/>
          <w:highlight w:val="none"/>
          <w:lang w:val="zh-CN"/>
        </w:rPr>
        <w:t>3</w:t>
      </w:r>
      <w:r>
        <w:rPr>
          <w:rFonts w:hint="eastAsia" w:ascii="宋体" w:hAnsi="宋体" w:eastAsia="宋体" w:cs="Times New Roman"/>
          <w:color w:val="auto"/>
          <w:kern w:val="0"/>
          <w:szCs w:val="21"/>
          <w:highlight w:val="none"/>
        </w:rPr>
        <w:t>3</w:t>
      </w:r>
      <w:r>
        <w:rPr>
          <w:rFonts w:ascii="宋体" w:hAnsi="宋体" w:eastAsia="宋体" w:cs="Times New Roman"/>
          <w:color w:val="auto"/>
          <w:kern w:val="0"/>
          <w:szCs w:val="21"/>
          <w:highlight w:val="none"/>
          <w:lang w:val="zh-CN"/>
        </w:rPr>
        <w:t>.3</w:t>
      </w:r>
      <w:bookmarkStart w:id="109" w:name="_Hlk65857140"/>
      <w:r>
        <w:rPr>
          <w:rFonts w:hint="eastAsia" w:ascii="宋体" w:hAnsi="宋体" w:eastAsia="宋体" w:cs="Times New Roman"/>
          <w:color w:val="auto"/>
          <w:kern w:val="0"/>
          <w:szCs w:val="21"/>
          <w:highlight w:val="none"/>
          <w:lang w:val="zh-CN"/>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Pr>
          <w:rFonts w:hint="eastAsia" w:hAnsi="宋体" w:cs="宋体"/>
          <w:color w:val="auto"/>
          <w:highlight w:val="none"/>
        </w:rPr>
        <w:t>在政府采购活动中，供应商提供的货物由中小企业制造，即货物由中小企业生产且使用该中小企业商号或者注册商标，不对其中涉及的工程承建商和服务的承接商作出要求，享受本文件规定的中小企业扶持政策。</w:t>
      </w:r>
    </w:p>
    <w:p w14:paraId="32EA1DB4">
      <w:pPr>
        <w:pStyle w:val="18"/>
        <w:spacing w:line="360" w:lineRule="auto"/>
        <w:ind w:firstLine="420" w:firstLineChars="200"/>
        <w:rPr>
          <w:rFonts w:hint="eastAsia" w:hAnsi="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6F02D33B">
      <w:pPr>
        <w:spacing w:line="360" w:lineRule="auto"/>
        <w:ind w:firstLine="420" w:firstLineChars="200"/>
        <w:textAlignment w:val="center"/>
        <w:rPr>
          <w:rFonts w:hint="eastAsia"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依据本文件规定享受扶持政策获得政府采购合同的，小微企业不得将合同分包给大中型企业，中型企业不得将合同分包给大型企业。</w:t>
      </w:r>
      <w:bookmarkEnd w:id="109"/>
    </w:p>
    <w:p w14:paraId="00BA431C">
      <w:pPr>
        <w:spacing w:line="360" w:lineRule="auto"/>
        <w:ind w:firstLine="420" w:firstLineChars="200"/>
        <w:textAlignment w:val="center"/>
        <w:rPr>
          <w:rFonts w:hint="eastAsia"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rPr>
        <w:t>33.4</w:t>
      </w:r>
      <w:r>
        <w:rPr>
          <w:rFonts w:hint="eastAsia" w:ascii="宋体" w:hAnsi="宋体" w:eastAsia="宋体" w:cs="宋体"/>
          <w:color w:val="auto"/>
          <w:szCs w:val="20"/>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43461FA">
      <w:pPr>
        <w:spacing w:line="360" w:lineRule="auto"/>
        <w:ind w:firstLine="482" w:firstLineChars="200"/>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34.</w:t>
      </w:r>
      <w:r>
        <w:rPr>
          <w:rFonts w:hint="eastAsia" w:ascii="黑体" w:hAnsi="黑体" w:eastAsia="黑体" w:cs="黑体"/>
          <w:b/>
          <w:bCs/>
          <w:color w:val="auto"/>
          <w:sz w:val="24"/>
          <w:highlight w:val="none"/>
        </w:rPr>
        <w:t>广西线上“政采贷”</w:t>
      </w:r>
      <w:r>
        <w:rPr>
          <w:rFonts w:hint="eastAsia" w:ascii="黑体" w:hAnsi="黑体" w:eastAsia="黑体" w:cs="黑体"/>
          <w:b/>
          <w:bCs/>
          <w:color w:val="auto"/>
          <w:sz w:val="24"/>
          <w:szCs w:val="24"/>
          <w:highlight w:val="none"/>
        </w:rPr>
        <w:t>政策告知函</w:t>
      </w:r>
    </w:p>
    <w:p w14:paraId="0C86C58F">
      <w:pPr>
        <w:spacing w:line="58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广西线上“政采贷”政策告知函</w:t>
      </w:r>
    </w:p>
    <w:p w14:paraId="19103FA8">
      <w:pPr>
        <w:spacing w:line="580" w:lineRule="exact"/>
        <w:rPr>
          <w:rFonts w:hint="eastAsia" w:ascii="宋体" w:hAnsi="宋体" w:cs="宋体"/>
          <w:color w:val="auto"/>
          <w:szCs w:val="21"/>
          <w:highlight w:val="none"/>
        </w:rPr>
      </w:pPr>
      <w:r>
        <w:rPr>
          <w:rFonts w:hint="eastAsia" w:ascii="宋体" w:hAnsi="宋体" w:cs="宋体"/>
          <w:color w:val="auto"/>
          <w:szCs w:val="21"/>
          <w:highlight w:val="none"/>
        </w:rPr>
        <w:t>各供应商：</w:t>
      </w:r>
    </w:p>
    <w:p w14:paraId="598F74BD">
      <w:pPr>
        <w:spacing w:line="5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欢迎贵公司参与广西政府采购活动！</w:t>
      </w:r>
    </w:p>
    <w:p w14:paraId="07782F0F">
      <w:pPr>
        <w:spacing w:line="5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w:t>
      </w:r>
      <w:r>
        <w:rPr>
          <w:rFonts w:hint="eastAsia" w:ascii="宋体" w:hAnsi="宋体" w:eastAsia="宋体" w:cs="宋体"/>
          <w:color w:val="auto"/>
          <w:szCs w:val="21"/>
          <w:highlight w:val="none"/>
        </w:rPr>
        <w:t>银行业金融机构</w:t>
      </w:r>
      <w:r>
        <w:rPr>
          <w:rFonts w:hint="eastAsia" w:ascii="宋体" w:hAnsi="宋体" w:cs="宋体"/>
          <w:color w:val="auto"/>
          <w:szCs w:val="21"/>
          <w:highlight w:val="none"/>
        </w:rPr>
        <w:t>申请贷款，融资机构将根据《中国人民银行南宁中心支行 广西壮族自治区财政厅关于推广线上“政采贷”融资模式的通知》（南宁银发〔2021〕258号），按照双方自愿的原则提供便捷、优惠的贷款服务。</w:t>
      </w:r>
    </w:p>
    <w:p w14:paraId="23B8F29E">
      <w:pPr>
        <w:spacing w:line="5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相关金融产品和</w:t>
      </w:r>
      <w:r>
        <w:rPr>
          <w:rFonts w:hint="eastAsia" w:ascii="宋体" w:hAnsi="宋体" w:eastAsia="宋体" w:cs="宋体"/>
          <w:color w:val="auto"/>
          <w:szCs w:val="21"/>
          <w:highlight w:val="none"/>
        </w:rPr>
        <w:t>银行业金融机构</w:t>
      </w:r>
      <w:r>
        <w:rPr>
          <w:rFonts w:hint="eastAsia" w:ascii="宋体" w:hAnsi="宋体" w:cs="宋体"/>
          <w:color w:val="auto"/>
          <w:szCs w:val="21"/>
          <w:highlight w:val="none"/>
        </w:rPr>
        <w:t>联系方式，可在中征应收账款融资服务平台查询（网址：</w:t>
      </w:r>
      <w:r>
        <w:rPr>
          <w:color w:val="auto"/>
          <w:highlight w:val="none"/>
        </w:rPr>
        <w:fldChar w:fldCharType="begin"/>
      </w:r>
      <w:r>
        <w:rPr>
          <w:color w:val="auto"/>
          <w:highlight w:val="none"/>
        </w:rPr>
        <w:instrText xml:space="preserve"> HYPERLINK "https://www.crcrfsp.com/" </w:instrText>
      </w:r>
      <w:r>
        <w:rPr>
          <w:color w:val="auto"/>
          <w:highlight w:val="none"/>
        </w:rPr>
        <w:fldChar w:fldCharType="separate"/>
      </w:r>
      <w:r>
        <w:rPr>
          <w:rStyle w:val="38"/>
          <w:rFonts w:hint="eastAsia" w:ascii="宋体" w:hAnsi="宋体" w:eastAsia="宋体" w:cs="宋体"/>
          <w:color w:val="auto"/>
          <w:szCs w:val="21"/>
          <w:highlight w:val="none"/>
        </w:rPr>
        <w:t>https://www.crcrfsp.com/</w:t>
      </w:r>
      <w:r>
        <w:rPr>
          <w:rStyle w:val="38"/>
          <w:rFonts w:hint="eastAsia" w:ascii="宋体" w:hAnsi="宋体" w:eastAsia="宋体" w:cs="宋体"/>
          <w:color w:val="auto"/>
          <w:szCs w:val="21"/>
          <w:highlight w:val="none"/>
        </w:rPr>
        <w:fldChar w:fldCharType="end"/>
      </w:r>
      <w:r>
        <w:rPr>
          <w:rFonts w:hint="eastAsia" w:ascii="宋体" w:hAnsi="宋体" w:cs="宋体"/>
          <w:color w:val="auto"/>
          <w:szCs w:val="21"/>
          <w:highlight w:val="none"/>
        </w:rPr>
        <w:t>，客服电话：400-009-0001）。</w:t>
      </w:r>
    </w:p>
    <w:p w14:paraId="4B9841B8">
      <w:pPr>
        <w:spacing w:line="360" w:lineRule="auto"/>
        <w:ind w:firstLine="402" w:firstLineChars="200"/>
        <w:contextualSpacing/>
        <w:rPr>
          <w:rFonts w:hint="eastAsia" w:ascii="宋体" w:hAnsi="宋体" w:eastAsia="宋体" w:cs="Times New Roman"/>
          <w:b/>
          <w:color w:val="auto"/>
          <w:kern w:val="0"/>
          <w:sz w:val="20"/>
          <w:szCs w:val="21"/>
          <w:highlight w:val="none"/>
        </w:rPr>
      </w:pPr>
    </w:p>
    <w:p w14:paraId="073E45E2">
      <w:pPr>
        <w:rPr>
          <w:rFonts w:hint="eastAsia" w:ascii="宋体" w:hAnsi="宋体" w:eastAsia="宋体" w:cs="Times New Roman"/>
          <w:b/>
          <w:color w:val="auto"/>
          <w:kern w:val="0"/>
          <w:sz w:val="20"/>
          <w:szCs w:val="21"/>
          <w:highlight w:val="none"/>
        </w:rPr>
      </w:pPr>
      <w:r>
        <w:rPr>
          <w:rFonts w:ascii="宋体" w:hAnsi="宋体" w:eastAsia="宋体" w:cs="Times New Roman"/>
          <w:b/>
          <w:color w:val="auto"/>
          <w:kern w:val="0"/>
          <w:sz w:val="20"/>
          <w:szCs w:val="21"/>
          <w:highlight w:val="none"/>
        </w:rPr>
        <w:br w:type="page"/>
      </w:r>
    </w:p>
    <w:p w14:paraId="63DC3F5F">
      <w:pPr>
        <w:pStyle w:val="2"/>
        <w:spacing w:line="360" w:lineRule="auto"/>
        <w:ind w:firstLine="1325" w:firstLineChars="300"/>
        <w:rPr>
          <w:color w:val="auto"/>
          <w:highlight w:val="none"/>
        </w:rPr>
      </w:pPr>
      <w:bookmarkStart w:id="110" w:name="_Toc11174"/>
      <w:bookmarkStart w:id="111" w:name="_Toc23199"/>
      <w:bookmarkStart w:id="112" w:name="_Toc80205932"/>
      <w:bookmarkStart w:id="113" w:name="_Toc17139"/>
      <w:r>
        <w:rPr>
          <w:rFonts w:hint="eastAsia"/>
          <w:color w:val="auto"/>
          <w:highlight w:val="none"/>
        </w:rPr>
        <w:t>第四章 评审程序、评审方法和成交标准</w:t>
      </w:r>
      <w:bookmarkEnd w:id="110"/>
      <w:bookmarkEnd w:id="111"/>
      <w:bookmarkEnd w:id="112"/>
      <w:bookmarkEnd w:id="113"/>
    </w:p>
    <w:p w14:paraId="5B86CA2A">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bookmarkStart w:id="114" w:name="_Toc10464"/>
      <w:bookmarkStart w:id="115" w:name="_Toc18230"/>
      <w:bookmarkStart w:id="116" w:name="_Toc80205933"/>
      <w:r>
        <w:rPr>
          <w:rFonts w:hint="eastAsia" w:ascii="宋体" w:hAnsi="宋体" w:eastAsia="宋体" w:cs="Times New Roman"/>
          <w:bCs/>
          <w:color w:val="auto"/>
          <w:sz w:val="32"/>
          <w:szCs w:val="32"/>
          <w:highlight w:val="none"/>
          <w:lang w:val="zh-CN"/>
        </w:rPr>
        <w:t>第一节 评审程序和评审方法</w:t>
      </w:r>
      <w:bookmarkEnd w:id="114"/>
      <w:bookmarkEnd w:id="115"/>
      <w:bookmarkEnd w:id="116"/>
    </w:p>
    <w:p w14:paraId="5DF3FC7E">
      <w:pPr>
        <w:spacing w:line="360" w:lineRule="auto"/>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1</w:t>
      </w:r>
      <w:r>
        <w:rPr>
          <w:rFonts w:hint="eastAsia" w:ascii="黑体" w:hAnsi="黑体" w:eastAsia="黑体" w:cs="宋体"/>
          <w:b/>
          <w:bCs/>
          <w:color w:val="auto"/>
          <w:sz w:val="24"/>
          <w:szCs w:val="24"/>
          <w:highlight w:val="none"/>
        </w:rPr>
        <w:t>.确认谈判文件</w:t>
      </w:r>
    </w:p>
    <w:p w14:paraId="7E99C4C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由谈判小组确认谈判文件。</w:t>
      </w:r>
    </w:p>
    <w:p w14:paraId="0B5352D3">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2.资格审查</w:t>
      </w:r>
    </w:p>
    <w:p w14:paraId="20805EAF">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2.1响应文件开启后，谈判小组依法对供应商的资格文件进行审查。</w:t>
      </w:r>
    </w:p>
    <w:p w14:paraId="149C314B">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2567334D">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eastAsia="宋体" w:cs="宋体"/>
          <w:color w:val="auto"/>
          <w:szCs w:val="21"/>
          <w:highlight w:val="none"/>
          <w:u w:val="single"/>
        </w:rPr>
        <w:t>www.creditchina.gov.cn</w:t>
      </w:r>
      <w:r>
        <w:rPr>
          <w:rFonts w:hint="eastAsia" w:ascii="宋体" w:hAnsi="宋体" w:eastAsia="宋体" w:cs="宋体"/>
          <w:color w:val="auto"/>
          <w:szCs w:val="21"/>
          <w:highlight w:val="none"/>
          <w:u w:val="single"/>
        </w:rPr>
        <w:fldChar w:fldCharType="end"/>
      </w:r>
      <w:r>
        <w:rPr>
          <w:rFonts w:hint="eastAsia" w:ascii="宋体" w:hAnsi="宋体" w:eastAsia="宋体" w:cs="宋体"/>
          <w:color w:val="auto"/>
          <w:szCs w:val="21"/>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eastAsia="宋体" w:cs="宋体"/>
          <w:color w:val="auto"/>
          <w:szCs w:val="21"/>
          <w:highlight w:val="none"/>
          <w:u w:val="single"/>
        </w:rPr>
        <w:t>www.ccgp.gov.cn</w:t>
      </w:r>
      <w:r>
        <w:rPr>
          <w:rFonts w:hint="eastAsia" w:ascii="宋体" w:hAnsi="宋体" w:eastAsia="宋体" w:cs="宋体"/>
          <w:color w:val="auto"/>
          <w:szCs w:val="21"/>
          <w:highlight w:val="none"/>
          <w:u w:val="single"/>
        </w:rPr>
        <w:fldChar w:fldCharType="end"/>
      </w:r>
      <w:r>
        <w:rPr>
          <w:rFonts w:hint="eastAsia" w:ascii="宋体" w:hAnsi="宋体" w:eastAsia="宋体" w:cs="宋体"/>
          <w:color w:val="auto"/>
          <w:szCs w:val="21"/>
          <w:highlight w:val="none"/>
        </w:rPr>
        <w:t>）链接入口。</w:t>
      </w:r>
    </w:p>
    <w:p w14:paraId="76EF4229">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5F619C9E">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查询记录和证据留存方式：在查询网站中直接查询记录，截图另存为电子文档作为评审资料保存。</w:t>
      </w:r>
    </w:p>
    <w:p w14:paraId="7056A9A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2F5852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2.2资格审查标准为本谈判文件中载明对供应商资格要求的条件。资格审查采用合格制，凡符合谈判文件规定的供应商资格要求的响应文件均通过资格审查。</w:t>
      </w:r>
    </w:p>
    <w:p w14:paraId="3DCBF607">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2.3供应商有下列情形之一的，资格审查不通过，其响应文件作无效响应处理：</w:t>
      </w:r>
    </w:p>
    <w:p w14:paraId="762D4A02">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（1）不具备谈判文件中规定的资格要求的；</w:t>
      </w:r>
    </w:p>
    <w:p w14:paraId="2AF5773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（2）响应文件未提供任一项“供应商须知前附表”资格文件规定的“必须提供”的文件资料的；</w:t>
      </w:r>
    </w:p>
    <w:p w14:paraId="168F1DB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（3）响应文件提供的资格文件出现任一项不符合“供应商须知前附表”资格文件规定的“必须提供”的文件资料要求或者无效的。</w:t>
      </w:r>
    </w:p>
    <w:p w14:paraId="10EC7FB3">
      <w:pPr>
        <w:spacing w:line="360" w:lineRule="auto"/>
        <w:ind w:firstLine="420" w:firstLineChars="200"/>
        <w:rPr>
          <w:rFonts w:hint="eastAsia" w:ascii="宋体" w:hAnsi="宋体" w:eastAsia="宋体" w:cs="宋体"/>
          <w:color w:val="auto"/>
          <w:szCs w:val="21"/>
          <w:highlight w:val="none"/>
        </w:rPr>
      </w:pPr>
      <w:bookmarkStart w:id="117"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117"/>
    </w:p>
    <w:p w14:paraId="1D6487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2D5F4EFE">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3.符合性审查</w:t>
      </w:r>
    </w:p>
    <w:p w14:paraId="622B6A71">
      <w:pPr>
        <w:spacing w:line="360" w:lineRule="auto"/>
        <w:ind w:firstLine="420" w:firstLineChars="200"/>
        <w:rPr>
          <w:rFonts w:hint="eastAsia" w:ascii="宋体" w:hAnsi="宋体" w:eastAsia="宋体" w:cs="宋体"/>
          <w:color w:val="auto"/>
          <w:szCs w:val="21"/>
          <w:highlight w:val="none"/>
        </w:rPr>
      </w:pPr>
      <w:bookmarkStart w:id="118" w:name="_Hlk42528882"/>
      <w:r>
        <w:rPr>
          <w:rFonts w:hint="eastAsia" w:ascii="宋体" w:hAnsi="宋体" w:eastAsia="宋体" w:cs="宋体"/>
          <w:color w:val="auto"/>
          <w:szCs w:val="21"/>
          <w:highlight w:val="none"/>
        </w:rPr>
        <w:t>3.1由谈判小组对通过资格审查的合格供应商的响应文件的响应报价、商务、技术等实质性要求进行符合性审查，以确定其是否满足谈判文件的实质性要求。</w:t>
      </w:r>
    </w:p>
    <w:bookmarkEnd w:id="118"/>
    <w:p w14:paraId="7521C8B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29A31D0">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由法定代表人或其授权代表签字或者加盖公章</w:t>
      </w:r>
      <w:r>
        <w:rPr>
          <w:rFonts w:hint="eastAsia" w:ascii="宋体" w:hAnsi="宋体" w:eastAsia="宋体" w:cs="宋体"/>
          <w:color w:val="auto"/>
          <w:spacing w:val="-6"/>
          <w:szCs w:val="21"/>
          <w:highlight w:val="none"/>
        </w:rPr>
        <w:t>。供应商为自然人的，必须由本人签字并附身份证明。</w:t>
      </w:r>
    </w:p>
    <w:p w14:paraId="72FE2920">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响应报价出现前后不一致的，按照下列规定修正： </w:t>
      </w:r>
    </w:p>
    <w:p w14:paraId="183C2AB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（1）响应报价表内容与响应文件中相应内容不一致的，以响应报价表为准；</w:t>
      </w:r>
    </w:p>
    <w:p w14:paraId="413829B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7D08490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（3）单价金额小数点或者百分比有明显错位的，以响应报价表的总价为准，并修改单价；</w:t>
      </w:r>
    </w:p>
    <w:p w14:paraId="124E41A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187AB3F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同时出现两种以上不一致的，按照以上（1）－（4）规定的顺序逐条进行修正。修正后的报价经供应商确认后产生约束力，供应商不确认的，其响应文件作无效响应处理。</w:t>
      </w:r>
    </w:p>
    <w:p w14:paraId="1BE8B00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27F508E2">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在评审时，如发现下列情形之一的，将被视为响应文件无效处理：</w:t>
      </w:r>
    </w:p>
    <w:p w14:paraId="6A706F7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57C64A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1）响应文件未按谈判文件要求签署、盖章；</w:t>
      </w:r>
    </w:p>
    <w:p w14:paraId="4CEC90C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66205D8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3）未对竞标有效期作出响应或者响应文件承诺的竞标有效期不满足谈判文件要求；</w:t>
      </w:r>
    </w:p>
    <w:p w14:paraId="5379174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4）响应文件的实质性内容未使用中文表述、使用计量单位不符合谈判文件要求；</w:t>
      </w:r>
    </w:p>
    <w:p w14:paraId="02ED82E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5）响应文件中的文件资料因填写不齐全或者内容虚假或者出现其他情形而导致被谈判小组认定无效；</w:t>
      </w:r>
    </w:p>
    <w:p w14:paraId="01489E1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6）响应文件含有采购人不能接受的附加条件；</w:t>
      </w:r>
    </w:p>
    <w:p w14:paraId="475431F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7）属于“供应商须知正文”第7.5条情形；</w:t>
      </w:r>
    </w:p>
    <w:p w14:paraId="4F12B30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8）虚假竞标，或者出现其他情形而导致被谈判小组认定无效；</w:t>
      </w:r>
    </w:p>
    <w:p w14:paraId="7815AC8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9）竞标技术方案不明确，谈判文件未允许但响应文件中存在一个或者一个以上备选（替代）竞标方案；</w:t>
      </w:r>
    </w:p>
    <w:p w14:paraId="171A35B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10）响应文件标注的项目名称或者项目编号与竞争性谈判文件标注的项目名称或者项目编号不一致的；</w:t>
      </w:r>
    </w:p>
    <w:p w14:paraId="21A2B70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11）未响应谈判文件实质性要求的；</w:t>
      </w:r>
    </w:p>
    <w:p w14:paraId="65FA4B9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12）提交的谈判保证金无效或者未按照竞争性谈判文件规定提交谈判保证金；</w:t>
      </w:r>
    </w:p>
    <w:p w14:paraId="69FC36A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13）法律、法规和谈判文件规定的其他无效情形。</w:t>
      </w:r>
    </w:p>
    <w:p w14:paraId="5502A01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2E38A42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14:paraId="1449780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2）未采用人民币报价或者未按照谈判文件标明的币种报价；</w:t>
      </w:r>
    </w:p>
    <w:p w14:paraId="4466F7D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项目/分标进行报价或者存在漏项报价；供应商未就所竞标项目/分标的单项内容作唯一报价；供应商未就所竞标项目/分标的全部内容作唯一总价报价；供应商响应文件中存在有选择、有条件报价的（谈判文件允许有备选方案或者其他约定的除外）；</w:t>
      </w:r>
    </w:p>
    <w:p w14:paraId="481BFE7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4）响应报价（包含首次报价、最后报价）超过所竞标项目/分标规定的采购预算金额或者最高限价的（如本项目公布了最高限价）；</w:t>
      </w:r>
      <w:bookmarkStart w:id="119" w:name="_Hlk42596405"/>
      <w:r>
        <w:rPr>
          <w:rFonts w:hint="eastAsia" w:ascii="宋体" w:hAnsi="宋体" w:eastAsia="宋体" w:cs="宋体"/>
          <w:color w:val="auto"/>
          <w:szCs w:val="21"/>
          <w:highlight w:val="none"/>
        </w:rPr>
        <w:t>响应报价（包含首次报价、最后报价）</w:t>
      </w:r>
      <w:bookmarkEnd w:id="119"/>
      <w:bookmarkStart w:id="120" w:name="_Hlk42596276"/>
      <w:r>
        <w:rPr>
          <w:rFonts w:hint="eastAsia" w:ascii="宋体" w:hAnsi="宋体" w:eastAsia="宋体" w:cs="宋体"/>
          <w:color w:val="auto"/>
          <w:szCs w:val="21"/>
          <w:highlight w:val="none"/>
        </w:rPr>
        <w:t>超过谈判文件分项采购预算金额或者最高限价的</w:t>
      </w:r>
      <w:bookmarkEnd w:id="120"/>
      <w:r>
        <w:rPr>
          <w:rFonts w:hint="eastAsia" w:ascii="宋体" w:hAnsi="宋体" w:eastAsia="宋体" w:cs="宋体"/>
          <w:color w:val="auto"/>
          <w:szCs w:val="21"/>
          <w:highlight w:val="none"/>
        </w:rPr>
        <w:t>（如本项目公布了最高限价）；</w:t>
      </w:r>
    </w:p>
    <w:p w14:paraId="4546B37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项目/分标规定的采购预算金额或者最高限价（如本项目公布了最高限价）；或者经供应商确认修正后响应报价（包含首次报价、最后报价）超过谈判文件分项采购预算金额或者最高限价的（如本项目公布了最高限价）。</w:t>
      </w:r>
    </w:p>
    <w:p w14:paraId="66C91B6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6）响应文件响应的标的数量及单位与竞争性谈判文件要求实质性不一致的。</w:t>
      </w:r>
    </w:p>
    <w:p w14:paraId="0048433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谈判小组对响应文件进行评审，未实质性响应谈判文件的响应文件作无效处理。谈判小组应当将资格和符合性不通过的情况告知有关供应商。谈判小组从符合谈判文件规定的相应资格条件的供应商名单中确定不少于3家的供应商参加谈判。</w:t>
      </w:r>
    </w:p>
    <w:p w14:paraId="048FE16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3.7通过符合性审查的合格供应商不足3家的，不得进入谈判环节，应当重新开展采购活动。</w:t>
      </w:r>
    </w:p>
    <w:p w14:paraId="6FACAE6B">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4.谈判程序</w:t>
      </w:r>
    </w:p>
    <w:p w14:paraId="224183FA">
      <w:pP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4.1谈判小组按照“供应商须知前附表”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顺序，集中与单一供应商分别进行谈判，并给予所有参加谈判的供应商平等的谈判机会。符合谈判资格的供应商必须在接到谈判通知后规定时间内参加谈判，未在规定时间内参加谈判的视同放弃参加谈判权利，</w:t>
      </w:r>
      <w:r>
        <w:rPr>
          <w:rFonts w:hint="eastAsia" w:ascii="宋体" w:hAnsi="宋体" w:eastAsia="宋体" w:cs="宋体"/>
          <w:b/>
          <w:color w:val="auto"/>
          <w:szCs w:val="21"/>
          <w:highlight w:val="none"/>
        </w:rPr>
        <w:t>其响应文件作无效响应处理。</w:t>
      </w:r>
    </w:p>
    <w:p w14:paraId="5EC67C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谈判过程中，谈判小组可以根据谈判文件和谈判情况实质性变动采购需求中的技术、货物要求以及合同草案条款，但不得变动谈判文件中的其他内容。实质性变动的内容，须经采购人代表确认。可能实质性变动的内容为采购需求中的技术、货物要求以及合同草案条款。</w:t>
      </w:r>
    </w:p>
    <w:p w14:paraId="4CB4EE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4.3对谈判文件作出的实质性变动是谈判文件的有效组成部分，由谈判小组及时以电子澄清函形式同时通知所有参加谈判的供应商。</w:t>
      </w:r>
    </w:p>
    <w:p w14:paraId="773D8E8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谈判文件的变动情况和谈判小组的要求以回函的形式重新提交响应文件，并加盖供应商公章。供应商为自然人的，必须由本人签字并附身份证明。参加谈判的供应商未在规定时间内重新提交响应文件的，视同退出谈判。</w:t>
      </w:r>
    </w:p>
    <w:p w14:paraId="154B1A7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4.5谈判中，</w:t>
      </w:r>
      <w:r>
        <w:rPr>
          <w:rFonts w:hint="eastAsia" w:ascii="宋体" w:hAnsi="宋体" w:eastAsia="宋体" w:cs="宋体"/>
          <w:color w:val="auto"/>
          <w:spacing w:val="-6"/>
          <w:szCs w:val="21"/>
          <w:highlight w:val="none"/>
        </w:rPr>
        <w:t>谈判的任何一方不得透露与谈判有关的其他供应商的技术资料、价格和其他信息。</w:t>
      </w:r>
    </w:p>
    <w:p w14:paraId="753AA779">
      <w:pPr>
        <w:adjustRightInd w:val="0"/>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4.6谈判小组应对谈判过程和重要谈判内容进行记录，作为评审报告一部分，谈判小组在记录上签字确认。</w:t>
      </w:r>
    </w:p>
    <w:p w14:paraId="5437E04D">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4.7谈判过程中重新提交的响应文件，供应商可以在开启前补充、修改。</w:t>
      </w:r>
    </w:p>
    <w:p w14:paraId="0C235BA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4.8对谈判过程提交的响应文件进行有效性、完整性和响应程度审查，通过审查的合格供应商不足3家的，采购人或者采购代理机构应当重新开展采购活动。</w:t>
      </w:r>
    </w:p>
    <w:p w14:paraId="48D5D43F">
      <w:pPr>
        <w:spacing w:line="360" w:lineRule="auto"/>
        <w:ind w:firstLine="482" w:firstLineChars="200"/>
        <w:rPr>
          <w:rFonts w:hint="eastAsia" w:ascii="宋体" w:hAnsi="宋体" w:eastAsia="宋体" w:cs="宋体"/>
          <w:color w:val="auto"/>
          <w:szCs w:val="21"/>
          <w:highlight w:val="none"/>
        </w:rPr>
      </w:pPr>
      <w:r>
        <w:rPr>
          <w:rFonts w:hint="eastAsia" w:ascii="黑体" w:hAnsi="黑体" w:eastAsia="黑体" w:cs="宋体"/>
          <w:b/>
          <w:bCs/>
          <w:color w:val="auto"/>
          <w:sz w:val="24"/>
          <w:szCs w:val="24"/>
          <w:highlight w:val="none"/>
        </w:rPr>
        <w:t>5</w:t>
      </w:r>
      <w:r>
        <w:rPr>
          <w:rFonts w:ascii="黑体" w:hAnsi="黑体" w:eastAsia="黑体" w:cs="宋体"/>
          <w:b/>
          <w:bCs/>
          <w:color w:val="auto"/>
          <w:sz w:val="24"/>
          <w:szCs w:val="24"/>
          <w:highlight w:val="none"/>
        </w:rPr>
        <w:t>.</w:t>
      </w:r>
      <w:r>
        <w:rPr>
          <w:rFonts w:hint="eastAsia" w:ascii="黑体" w:hAnsi="黑体" w:eastAsia="黑体" w:cs="宋体"/>
          <w:b/>
          <w:bCs/>
          <w:color w:val="auto"/>
          <w:sz w:val="24"/>
          <w:szCs w:val="24"/>
          <w:highlight w:val="none"/>
        </w:rPr>
        <w:t>最后报价</w:t>
      </w:r>
    </w:p>
    <w:p w14:paraId="2D00B77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5.1谈判文件能够详细列明采购标的的技术、货物要求的，谈判结束后，由谈判小组要求所有继续参加谈判的供应商在规定时间内提交最后报价，提交最后报价的供应商不得少于3家，否则必须重新采购。</w:t>
      </w:r>
    </w:p>
    <w:p w14:paraId="23F7714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谈判文件不能详细列明采购标的的技术、货物要求，需经谈判由供应商提供最后设计方案或者解决方案的，谈判结束后，由谈判小组按照少数服从多数的原则投票推荐3家以上供应商的设计方案或者解决方案，并要求其在规定时间内在</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远程不见面开标大厅响应最后报价。</w:t>
      </w:r>
    </w:p>
    <w:p w14:paraId="5DCDC33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w:t>
      </w:r>
    </w:p>
    <w:p w14:paraId="7A14047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5.4已经提交响应文件的供应商，在提交最后报价之前，可以根据谈判情况退出谈判，退出谈判的供应商的响应文件作无效响应处理。</w:t>
      </w:r>
    </w:p>
    <w:p w14:paraId="453E2D4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w:t>
      </w:r>
      <w:r>
        <w:rPr>
          <w:rFonts w:hint="eastAsia" w:ascii="宋体" w:hAnsi="宋体" w:eastAsia="宋体" w:cs="宋体"/>
          <w:b/>
          <w:color w:val="auto"/>
          <w:szCs w:val="21"/>
          <w:highlight w:val="none"/>
        </w:rPr>
        <w:t>，视同放弃报价权利退出谈判。</w:t>
      </w:r>
    </w:p>
    <w:p w14:paraId="3145616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5.6最终响应文件的报价出现前后不一致的，按照本章第3.4条的规定修正。 </w:t>
      </w:r>
    </w:p>
    <w:p w14:paraId="0653834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5.7修正后的最后报价出现下列情形的，作无效响应处理：</w:t>
      </w:r>
    </w:p>
    <w:p w14:paraId="2E3DD90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5BD8A01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项目/分标规定的采购预算金额或者最高限价的（如本项目公布了最高限价）（全流程电子化评标多轮报价设置了上限控制价，即预算价）；</w:t>
      </w:r>
    </w:p>
    <w:p w14:paraId="1C03A32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1119445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5.8经供应商确认修正后的最后报价作为评审及签订合同的依据。</w:t>
      </w:r>
    </w:p>
    <w:p w14:paraId="5AA102A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5.9供应商出现最后报价作无效响应处理或者响应文件作无效处理时</w:t>
      </w:r>
      <w:r>
        <w:rPr>
          <w:rFonts w:hint="eastAsia" w:ascii="宋体" w:hAnsi="宋体" w:eastAsia="宋体" w:cs="宋体"/>
          <w:color w:val="auto"/>
          <w:sz w:val="22"/>
          <w:highlight w:val="none"/>
        </w:rPr>
        <w:t>，</w:t>
      </w:r>
      <w:r>
        <w:rPr>
          <w:rFonts w:hint="eastAsia" w:ascii="宋体" w:hAnsi="宋体" w:eastAsia="宋体" w:cs="宋体"/>
          <w:b/>
          <w:bCs/>
          <w:color w:val="auto"/>
          <w:sz w:val="22"/>
          <w:highlight w:val="none"/>
        </w:rPr>
        <w:t>谈判小组应当告知有关供应商</w:t>
      </w:r>
      <w:r>
        <w:rPr>
          <w:rFonts w:hint="eastAsia" w:ascii="宋体" w:hAnsi="宋体" w:eastAsia="宋体" w:cs="宋体"/>
          <w:color w:val="auto"/>
          <w:szCs w:val="21"/>
          <w:highlight w:val="none"/>
        </w:rPr>
        <w:t>。</w:t>
      </w:r>
    </w:p>
    <w:p w14:paraId="2153E5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5.10最后报价结束后，谈判小组不得再与供应商进行任何形式的商谈。</w:t>
      </w:r>
    </w:p>
    <w:p w14:paraId="5E29D40F">
      <w:pPr>
        <w:widowControl/>
        <w:spacing w:line="360" w:lineRule="auto"/>
        <w:ind w:firstLine="420" w:firstLineChars="200"/>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rPr>
        <w:t>5.11采购评审中出现下列情形之一的，谈判小组应当启动异常低价响应审查程序：</w:t>
      </w:r>
    </w:p>
    <w:p w14:paraId="638D8CCF">
      <w:pPr>
        <w:spacing w:line="360" w:lineRule="auto"/>
        <w:ind w:firstLine="420" w:firstLineChars="200"/>
        <w:rPr>
          <w:rFonts w:hint="eastAsia" w:ascii="宋体" w:hAnsi="宋体" w:eastAsia="宋体" w:cs="宋体"/>
          <w:color w:val="auto"/>
          <w:szCs w:val="21"/>
          <w:highlight w:val="none"/>
          <w:shd w:val="clear" w:color="auto" w:fill="FFFFFF"/>
        </w:rPr>
      </w:pPr>
      <w:r>
        <w:rPr>
          <w:rFonts w:hint="eastAsia" w:ascii="宋体" w:hAnsi="宋体" w:cs="宋体"/>
          <w:color w:val="auto"/>
          <w:szCs w:val="21"/>
          <w:highlight w:val="none"/>
          <w:shd w:val="clear" w:color="auto" w:fill="FFFFFF"/>
        </w:rPr>
        <w:t>A.最后报价</w:t>
      </w:r>
      <w:r>
        <w:rPr>
          <w:rFonts w:hint="eastAsia" w:ascii="宋体" w:hAnsi="宋体" w:eastAsia="宋体" w:cs="宋体"/>
          <w:color w:val="auto"/>
          <w:szCs w:val="21"/>
          <w:highlight w:val="none"/>
          <w:shd w:val="clear" w:color="auto" w:fill="FFFFFF"/>
        </w:rPr>
        <w:t>低于全部通过符合性审查供应商最后报价平均值65%的，即</w:t>
      </w:r>
      <w:bookmarkStart w:id="121" w:name="OLE_LINK1"/>
      <w:r>
        <w:rPr>
          <w:rFonts w:hint="eastAsia" w:ascii="宋体" w:hAnsi="宋体" w:eastAsia="宋体" w:cs="宋体"/>
          <w:color w:val="auto"/>
          <w:szCs w:val="21"/>
          <w:highlight w:val="none"/>
          <w:shd w:val="clear" w:color="auto" w:fill="FFFFFF"/>
        </w:rPr>
        <w:t>最后报价＜</w:t>
      </w:r>
      <w:bookmarkEnd w:id="121"/>
      <w:r>
        <w:rPr>
          <w:rFonts w:hint="eastAsia" w:ascii="宋体" w:hAnsi="宋体" w:eastAsia="宋体" w:cs="宋体"/>
          <w:color w:val="auto"/>
          <w:szCs w:val="21"/>
          <w:highlight w:val="none"/>
          <w:shd w:val="clear" w:color="auto" w:fill="FFFFFF"/>
        </w:rPr>
        <w:t xml:space="preserve">全部通过符合性审查供应商最后报价平均值×65%； </w:t>
      </w:r>
    </w:p>
    <w:p w14:paraId="2CB24D35">
      <w:pPr>
        <w:spacing w:line="360" w:lineRule="auto"/>
        <w:ind w:firstLine="420" w:firstLineChars="200"/>
        <w:rPr>
          <w:rFonts w:hint="eastAsia" w:ascii="宋体" w:hAnsi="宋体" w:eastAsia="宋体" w:cs="宋体"/>
          <w:color w:val="auto"/>
          <w:szCs w:val="21"/>
          <w:highlight w:val="none"/>
          <w:shd w:val="clear" w:color="auto" w:fill="FFFFFF"/>
        </w:rPr>
      </w:pPr>
      <w:r>
        <w:rPr>
          <w:rFonts w:hint="eastAsia" w:ascii="宋体" w:hAnsi="宋体" w:cs="宋体"/>
          <w:color w:val="auto"/>
          <w:szCs w:val="21"/>
          <w:highlight w:val="none"/>
          <w:shd w:val="clear" w:color="auto" w:fill="FFFFFF"/>
        </w:rPr>
        <w:t>B.</w:t>
      </w:r>
      <w:r>
        <w:rPr>
          <w:rFonts w:hint="eastAsia" w:ascii="宋体" w:hAnsi="宋体" w:eastAsia="宋体" w:cs="宋体"/>
          <w:color w:val="auto"/>
          <w:szCs w:val="21"/>
          <w:highlight w:val="none"/>
          <w:shd w:val="clear" w:color="auto" w:fill="FFFFFF"/>
        </w:rPr>
        <w:t xml:space="preserve">最后报价低于通过符合性审查的次低报价供应商最后报价65%的，即最后报价＜通过符合性审查的次低报价供应商最后报价×65%； </w:t>
      </w:r>
    </w:p>
    <w:p w14:paraId="1A1BB8DF">
      <w:pPr>
        <w:spacing w:line="360" w:lineRule="auto"/>
        <w:ind w:firstLine="420" w:firstLineChars="200"/>
        <w:rPr>
          <w:rFonts w:hint="eastAsia" w:ascii="宋体" w:hAnsi="宋体" w:eastAsia="宋体" w:cs="宋体"/>
          <w:color w:val="auto"/>
          <w:szCs w:val="21"/>
          <w:highlight w:val="none"/>
          <w:shd w:val="clear" w:color="auto" w:fill="FFFFFF"/>
        </w:rPr>
      </w:pPr>
      <w:r>
        <w:rPr>
          <w:rFonts w:hint="eastAsia" w:ascii="宋体" w:hAnsi="宋体" w:cs="宋体"/>
          <w:color w:val="auto"/>
          <w:szCs w:val="21"/>
          <w:highlight w:val="none"/>
          <w:shd w:val="clear" w:color="auto" w:fill="FFFFFF"/>
        </w:rPr>
        <w:t>C.</w:t>
      </w:r>
      <w:r>
        <w:rPr>
          <w:rFonts w:hint="eastAsia" w:ascii="宋体" w:hAnsi="宋体" w:eastAsia="宋体" w:cs="宋体"/>
          <w:color w:val="auto"/>
          <w:szCs w:val="21"/>
          <w:highlight w:val="none"/>
          <w:shd w:val="clear" w:color="auto" w:fill="FFFFFF"/>
        </w:rPr>
        <w:t>最后报价低于采购项目最高限价65%的，即最后报价＜采购项目最高限价×65%；</w:t>
      </w:r>
    </w:p>
    <w:p w14:paraId="2AF73AEC">
      <w:pPr>
        <w:spacing w:line="360" w:lineRule="auto"/>
        <w:ind w:firstLine="420" w:firstLineChars="200"/>
        <w:rPr>
          <w:rFonts w:hint="eastAsia" w:ascii="宋体" w:hAnsi="宋体" w:eastAsia="宋体" w:cs="宋体"/>
          <w:color w:val="auto"/>
          <w:szCs w:val="21"/>
          <w:highlight w:val="none"/>
          <w:shd w:val="clear" w:color="auto" w:fill="FFFFFF"/>
        </w:rPr>
      </w:pPr>
      <w:r>
        <w:rPr>
          <w:rFonts w:hint="eastAsia" w:ascii="宋体" w:hAnsi="宋体" w:cs="宋体"/>
          <w:color w:val="auto"/>
          <w:szCs w:val="21"/>
          <w:highlight w:val="none"/>
          <w:shd w:val="clear" w:color="auto" w:fill="FFFFFF"/>
        </w:rPr>
        <w:t>D.</w:t>
      </w:r>
      <w:r>
        <w:rPr>
          <w:rFonts w:hint="eastAsia" w:ascii="宋体" w:hAnsi="宋体" w:eastAsia="宋体" w:cs="宋体"/>
          <w:color w:val="auto"/>
          <w:szCs w:val="21"/>
          <w:highlight w:val="none"/>
          <w:shd w:val="clear" w:color="auto" w:fill="FFFFFF"/>
        </w:rPr>
        <w:t>谈判小组基于专业判断，认为供应商报价过低，有可能影响产品质量或者不能诚信履约的其他情形。</w:t>
      </w:r>
    </w:p>
    <w:p w14:paraId="7685DCAB">
      <w:pPr>
        <w:spacing w:line="360" w:lineRule="auto"/>
        <w:ind w:firstLine="420" w:firstLineChars="200"/>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rPr>
        <w:t>相关法律法规对供应商报价有规定的，从其规定。</w:t>
      </w:r>
    </w:p>
    <w:p w14:paraId="1E7A1412">
      <w:pPr>
        <w:spacing w:line="360" w:lineRule="auto"/>
        <w:ind w:left="105"/>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rPr>
        <w:t xml:space="preserve"> </w:t>
      </w:r>
      <w:r>
        <w:rPr>
          <w:rFonts w:hint="eastAsia" w:ascii="宋体" w:hAnsi="宋体" w:cs="宋体"/>
          <w:color w:val="auto"/>
          <w:szCs w:val="21"/>
          <w:highlight w:val="none"/>
          <w:shd w:val="clear" w:color="auto" w:fill="FFFFFF"/>
        </w:rPr>
        <w:t xml:space="preserve">  </w:t>
      </w:r>
      <w:r>
        <w:rPr>
          <w:rFonts w:hint="eastAsia" w:ascii="宋体" w:hAnsi="宋体" w:eastAsia="宋体" w:cs="宋体"/>
          <w:color w:val="auto"/>
          <w:szCs w:val="21"/>
          <w:highlight w:val="none"/>
          <w:shd w:val="clear" w:color="auto" w:fill="FFFFFF"/>
        </w:rPr>
        <w:t>谈判小组启动异常低价响应审查后，属于上述A项至D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上述C项情形，供应商已随响应文件一并提交相关书面说明及必要的证明材料的，在评审现场可不再重复提交。</w:t>
      </w:r>
    </w:p>
    <w:p w14:paraId="6BF865E9">
      <w:pPr>
        <w:spacing w:line="360" w:lineRule="auto"/>
        <w:ind w:firstLine="420" w:firstLineChars="200"/>
        <w:rPr>
          <w:rFonts w:hint="eastAsia" w:ascii="宋体" w:hAnsi="宋体" w:eastAsia="宋体" w:cs="宋体"/>
          <w:b/>
          <w:bCs/>
          <w:color w:val="auto"/>
          <w:szCs w:val="21"/>
          <w:highlight w:val="none"/>
          <w:lang w:val="zh-CN"/>
        </w:rPr>
      </w:pPr>
      <w:r>
        <w:rPr>
          <w:rFonts w:hint="eastAsia" w:ascii="宋体" w:hAnsi="宋体" w:eastAsia="宋体" w:cs="宋体"/>
          <w:color w:val="auto"/>
          <w:szCs w:val="21"/>
          <w:highlight w:val="none"/>
          <w:shd w:val="clear" w:color="auto" w:fill="FFFFFF"/>
        </w:rPr>
        <w:t>谈判小组依据专业经验，参考同类项目中标（成交）价格、类似产品市场价格水平、行业人工费用标准、国家有关部门指导行业协会发布的行业平均成本等情况，对报价合理性进行判断。</w:t>
      </w:r>
      <w:r>
        <w:rPr>
          <w:rFonts w:hint="eastAsia" w:ascii="宋体" w:hAnsi="宋体" w:eastAsia="宋体" w:cs="宋体"/>
          <w:b/>
          <w:bCs/>
          <w:color w:val="auto"/>
          <w:szCs w:val="21"/>
          <w:highlight w:val="none"/>
          <w:shd w:val="clear" w:color="auto" w:fill="FFFFFF"/>
        </w:rPr>
        <w:t>供应商不能提供书面说明、证明材料，或者提供的书面说明、证明材料不能证明其报价合理性的，谈判小组应当将其作为无效响应处理。</w:t>
      </w:r>
    </w:p>
    <w:p w14:paraId="79F3001B">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6.最后报价政府采购政策性扣除</w:t>
      </w:r>
    </w:p>
    <w:p w14:paraId="391DDD6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6.1评审价为供应商最后报价进行政策性扣除后的价格，评审价只是作为评审时使用。最终成交供应商的成交金额等于最后报价（如有修正，以确认修正后的最后报价为准）。</w:t>
      </w:r>
    </w:p>
    <w:p w14:paraId="2F9FFAB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6.2政策性扣除计算方法。</w:t>
      </w:r>
    </w:p>
    <w:p w14:paraId="68279FBC">
      <w:pPr>
        <w:spacing w:line="360" w:lineRule="auto"/>
        <w:ind w:firstLine="422" w:firstLineChars="200"/>
        <w:rPr>
          <w:color w:val="auto"/>
          <w:highlight w:val="none"/>
        </w:rPr>
      </w:pPr>
      <w:r>
        <w:rPr>
          <w:rFonts w:hint="eastAsia" w:ascii="宋体" w:hAnsi="宋体" w:eastAsia="宋体" w:cs="宋体"/>
          <w:b/>
          <w:bCs/>
          <w:color w:val="auto"/>
          <w:highlight w:val="none"/>
        </w:rPr>
        <w:t>6.2.1</w:t>
      </w:r>
      <w:r>
        <w:rPr>
          <w:rFonts w:hint="eastAsia"/>
          <w:b/>
          <w:bCs/>
          <w:color w:val="auto"/>
          <w:highlight w:val="none"/>
        </w:rPr>
        <w:t>对小微企业的</w:t>
      </w:r>
      <w:r>
        <w:rPr>
          <w:rFonts w:hint="eastAsia" w:asciiTheme="minorEastAsia" w:hAnsiTheme="minorEastAsia" w:cstheme="minorEastAsia"/>
          <w:b/>
          <w:bCs/>
          <w:color w:val="auto"/>
          <w:szCs w:val="21"/>
          <w:highlight w:val="none"/>
        </w:rPr>
        <w:t>价格评审优惠</w:t>
      </w:r>
    </w:p>
    <w:p w14:paraId="522FBF85">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☑适用于非专门面向中小企业采购项目</w:t>
      </w:r>
    </w:p>
    <w:p w14:paraId="37C0B70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bCs/>
          <w:color w:val="auto"/>
          <w:szCs w:val="21"/>
          <w:highlight w:val="none"/>
        </w:rPr>
        <w:t>供应商</w:t>
      </w:r>
      <w:r>
        <w:rPr>
          <w:rFonts w:hint="eastAsia" w:ascii="宋体" w:hAnsi="宋体" w:eastAsia="宋体" w:cs="宋体"/>
          <w:color w:val="auto"/>
          <w:szCs w:val="21"/>
          <w:highlight w:val="none"/>
        </w:rPr>
        <w:t>被评定为</w:t>
      </w:r>
      <w:r>
        <w:rPr>
          <w:rFonts w:hint="eastAsia" w:ascii="宋体" w:hAnsi="宋体" w:eastAsia="宋体" w:cs="宋体"/>
          <w:bCs/>
          <w:color w:val="auto"/>
          <w:szCs w:val="21"/>
          <w:highlight w:val="none"/>
        </w:rPr>
        <w:t>监狱企业或者残疾人福利性单位或者其</w:t>
      </w:r>
      <w:r>
        <w:rPr>
          <w:rFonts w:hint="eastAsia" w:ascii="宋体" w:hAnsi="宋体" w:eastAsia="宋体" w:cs="宋体"/>
          <w:color w:val="auto"/>
          <w:szCs w:val="21"/>
          <w:highlight w:val="none"/>
        </w:rPr>
        <w:t>提供的货物全部由符合政策要求的小型、微型企业制造，即货物由小型、微型企业生产且使用该小型、微型企业商号或者注册商标的，</w:t>
      </w:r>
      <w:r>
        <w:rPr>
          <w:rFonts w:hint="eastAsia" w:ascii="宋体" w:hAnsi="宋体" w:eastAsia="宋体" w:cs="宋体"/>
          <w:bCs/>
          <w:color w:val="auto"/>
          <w:szCs w:val="21"/>
          <w:highlight w:val="none"/>
        </w:rPr>
        <w:t>该供应商的最后报价</w:t>
      </w:r>
      <w:r>
        <w:rPr>
          <w:rFonts w:hint="eastAsia" w:ascii="宋体" w:hAnsi="宋体" w:eastAsia="宋体" w:cs="宋体"/>
          <w:color w:val="auto"/>
          <w:szCs w:val="21"/>
          <w:highlight w:val="none"/>
        </w:rPr>
        <w:t>给予</w:t>
      </w:r>
      <w:r>
        <w:rPr>
          <w:rFonts w:hint="eastAsia" w:ascii="宋体" w:hAnsi="宋体" w:eastAsia="宋体" w:cs="宋体"/>
          <w:color w:val="auto"/>
          <w:highlight w:val="none"/>
          <w:u w:val="single"/>
        </w:rPr>
        <w:t>10%</w:t>
      </w:r>
      <w:r>
        <w:rPr>
          <w:rFonts w:hint="eastAsia" w:ascii="宋体" w:hAnsi="宋体" w:eastAsia="宋体" w:cs="宋体"/>
          <w:color w:val="auto"/>
          <w:szCs w:val="21"/>
          <w:highlight w:val="none"/>
        </w:rPr>
        <w:t>的扣除</w:t>
      </w: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rPr>
        <w:t>扣除后的价格为评审价，即评审价=最后报价×（1-</w:t>
      </w:r>
      <w:r>
        <w:rPr>
          <w:rFonts w:hint="eastAsia" w:ascii="宋体" w:hAnsi="宋体" w:eastAsia="宋体" w:cs="宋体"/>
          <w:color w:val="auto"/>
          <w:highlight w:val="none"/>
          <w:u w:val="single"/>
        </w:rPr>
        <w:t>10%</w:t>
      </w:r>
      <w:r>
        <w:rPr>
          <w:rFonts w:hint="eastAsia" w:ascii="宋体" w:hAnsi="宋体" w:eastAsia="宋体" w:cs="宋体"/>
          <w:color w:val="auto"/>
          <w:szCs w:val="21"/>
          <w:highlight w:val="none"/>
        </w:rPr>
        <w:t xml:space="preserve">）；接受大中型企业与小微企业组成联合体或者允许大中型企业向一家或者多家小微企业分包的采购项目，对于联合协议或者分包意向协议约定小微企业的合同份额占到合同总金额 30%以上的，对联合体或者大中型企业的最后报价给予 </w:t>
      </w:r>
      <w:r>
        <w:rPr>
          <w:rFonts w:hint="eastAsia" w:ascii="宋体" w:hAnsi="宋体" w:eastAsia="宋体" w:cs="宋体"/>
          <w:color w:val="auto"/>
          <w:highlight w:val="none"/>
          <w:u w:val="single"/>
        </w:rPr>
        <w:t>4%</w:t>
      </w:r>
      <w:r>
        <w:rPr>
          <w:rFonts w:hint="eastAsia" w:ascii="宋体" w:hAnsi="宋体" w:eastAsia="宋体" w:cs="宋体"/>
          <w:color w:val="auto"/>
          <w:szCs w:val="21"/>
          <w:highlight w:val="none"/>
        </w:rPr>
        <w:t>的扣除，用扣除后的价格参加评审，扣除后的价格为评审价，即评审价=最后报价×（1－</w:t>
      </w:r>
      <w:r>
        <w:rPr>
          <w:rFonts w:hint="eastAsia" w:ascii="宋体" w:hAnsi="宋体" w:eastAsia="宋体" w:cs="宋体"/>
          <w:color w:val="auto"/>
          <w:highlight w:val="none"/>
          <w:u w:val="single"/>
        </w:rPr>
        <w:t>4%</w:t>
      </w:r>
      <w:r>
        <w:rPr>
          <w:rFonts w:hint="eastAsia" w:ascii="宋体" w:hAnsi="宋体" w:eastAsia="宋体" w:cs="宋体"/>
          <w:color w:val="auto"/>
          <w:szCs w:val="21"/>
          <w:highlight w:val="none"/>
        </w:rPr>
        <w:t>）。</w:t>
      </w:r>
    </w:p>
    <w:p w14:paraId="0D5DC14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□适用于专门面向中小企业采购项目</w:t>
      </w:r>
    </w:p>
    <w:p w14:paraId="37567DF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按照《政府采购促进中小企业发展管理办法》（财库〔2020〕46号）的规定，对小微企业的最后报价不再执行价格评审优惠的扶持政策。</w:t>
      </w:r>
    </w:p>
    <w:p w14:paraId="43BD9F8F">
      <w:pPr>
        <w:spacing w:line="360" w:lineRule="auto"/>
        <w:ind w:firstLine="422" w:firstLineChars="200"/>
        <w:rPr>
          <w:color w:val="auto"/>
          <w:highlight w:val="none"/>
        </w:rPr>
      </w:pPr>
      <w:r>
        <w:rPr>
          <w:rFonts w:hint="eastAsia" w:asciiTheme="minorEastAsia" w:hAnsiTheme="minorEastAsia" w:cstheme="minorEastAsia"/>
          <w:b/>
          <w:bCs/>
          <w:color w:val="auto"/>
          <w:szCs w:val="21"/>
          <w:highlight w:val="none"/>
        </w:rPr>
        <w:t>6.2.2对本国产品的价格评审优惠</w:t>
      </w:r>
    </w:p>
    <w:p w14:paraId="6196464C">
      <w:pPr>
        <w:spacing w:line="360" w:lineRule="auto"/>
        <w:ind w:firstLine="420" w:firstLineChars="200"/>
        <w:rPr>
          <w:rFonts w:hint="eastAsia"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对本国产品的支持政策：政府采购活动中既有本国产品又有非本国产品参与竞争的，依法对本国产品给予价格评审优惠，对本国产品的最后报价给予20%的价格扣除，用扣除后的价格参与评审。</w:t>
      </w:r>
    </w:p>
    <w:p w14:paraId="7FF05F2E">
      <w:pPr>
        <w:spacing w:line="360" w:lineRule="auto"/>
        <w:ind w:firstLine="420" w:firstLineChars="200"/>
        <w:rPr>
          <w:rFonts w:hint="eastAsia"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最后总报价给予20%的价格扣除，用扣除后的价格参与评审。</w:t>
      </w:r>
    </w:p>
    <w:p w14:paraId="1F39D9C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6.3除上述情况外，评审价＝最后报价。</w:t>
      </w:r>
    </w:p>
    <w:p w14:paraId="202B6F35">
      <w:pPr>
        <w:spacing w:line="360" w:lineRule="auto"/>
        <w:ind w:firstLine="420" w:firstLineChars="200"/>
        <w:rPr>
          <w:rFonts w:hint="eastAsia" w:ascii="宋体" w:hAnsi="宋体" w:cs="宋体"/>
          <w:color w:val="auto"/>
          <w:highlight w:val="none"/>
        </w:rPr>
      </w:pPr>
    </w:p>
    <w:p w14:paraId="2C809CEF">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bookmarkStart w:id="122" w:name="_Toc5389"/>
      <w:bookmarkStart w:id="123" w:name="_Toc17730"/>
      <w:bookmarkStart w:id="124" w:name="_Toc80205934"/>
      <w:r>
        <w:rPr>
          <w:rFonts w:hint="eastAsia" w:ascii="宋体" w:hAnsi="宋体" w:eastAsia="宋体" w:cs="Times New Roman"/>
          <w:bCs/>
          <w:color w:val="auto"/>
          <w:sz w:val="32"/>
          <w:szCs w:val="32"/>
          <w:highlight w:val="none"/>
          <w:lang w:val="zh-CN"/>
        </w:rPr>
        <w:t>第二节 评审原则</w:t>
      </w:r>
      <w:bookmarkEnd w:id="122"/>
      <w:bookmarkEnd w:id="123"/>
      <w:bookmarkEnd w:id="124"/>
    </w:p>
    <w:p w14:paraId="52DCF114">
      <w:pPr>
        <w:spacing w:line="360" w:lineRule="auto"/>
        <w:ind w:firstLine="482" w:firstLineChars="200"/>
        <w:jc w:val="left"/>
        <w:rPr>
          <w:rFonts w:hint="eastAsia"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1.评审原则</w:t>
      </w:r>
    </w:p>
    <w:p w14:paraId="04B35139">
      <w:pPr>
        <w:spacing w:line="360" w:lineRule="auto"/>
        <w:ind w:firstLine="42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1.1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34735594">
      <w:pPr>
        <w:spacing w:line="360" w:lineRule="auto"/>
        <w:ind w:firstLine="42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1.2根据《政府采购非招标采购方式管理办法》（财政部令第74号）第二十一条规定，</w:t>
      </w:r>
      <w:r>
        <w:rPr>
          <w:rFonts w:hint="eastAsia" w:ascii="宋体" w:hAnsi="宋体" w:eastAsia="宋体" w:cs="宋体"/>
          <w:color w:val="auto"/>
          <w:kern w:val="0"/>
          <w:szCs w:val="21"/>
          <w:highlight w:val="none"/>
        </w:rPr>
        <w:t>除资格性审查认定错误和价格计算错误外，采购人或者采购代理机构不得以任何理由组织重新评审。采购人、采购代理机构发现谈判小组未按照竞争性谈判文件规定的评定成交的标准进行评审的，应当重新开展采购活动，并同时书面报告本级财政部门</w:t>
      </w:r>
      <w:r>
        <w:rPr>
          <w:rFonts w:hint="eastAsia" w:ascii="宋体" w:hAnsi="宋体" w:eastAsia="宋体" w:cs="宋体"/>
          <w:color w:val="auto"/>
          <w:szCs w:val="24"/>
          <w:highlight w:val="none"/>
        </w:rPr>
        <w:t>。</w:t>
      </w:r>
      <w:bookmarkStart w:id="125" w:name="_Toc321836413"/>
      <w:bookmarkStart w:id="126" w:name="_Toc432106535"/>
      <w:bookmarkStart w:id="127" w:name="_Toc432194885"/>
    </w:p>
    <w:bookmarkEnd w:id="125"/>
    <w:bookmarkEnd w:id="126"/>
    <w:bookmarkEnd w:id="127"/>
    <w:p w14:paraId="6F6C9A85">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1.3谈判小组发现竞争性谈判文件存在歧义、重大缺陷导致评审工作无法进行，或者竞争性谈判文件内容违反国家有关规定的，要停止评审工作并向采购人或采购代理机构书面说明情况，采购人或采购代理机构应当修改竞争性谈判文件后重新组织采购活动；发现供应商提供虚假材料、串通等违法违规行为的，要及时向采购人或采购代理机构报告。</w:t>
      </w:r>
    </w:p>
    <w:p w14:paraId="28CEE03A">
      <w:pPr>
        <w:spacing w:line="360" w:lineRule="auto"/>
        <w:ind w:firstLine="482" w:firstLineChars="200"/>
        <w:rPr>
          <w:rFonts w:hint="eastAsia"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2.终止竞争性谈判采购活动</w:t>
      </w:r>
    </w:p>
    <w:p w14:paraId="3A7C3F7E">
      <w:pPr>
        <w:spacing w:line="360" w:lineRule="auto"/>
        <w:ind w:firstLine="42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出现下列情形之一的，采购人或者采购代理机构应当终止竞争性谈判采购活动，发布项目终止公告并说明原因，重新开展采购活动：</w:t>
      </w:r>
    </w:p>
    <w:p w14:paraId="0D93B908">
      <w:pPr>
        <w:spacing w:line="360" w:lineRule="auto"/>
        <w:ind w:firstLine="42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（1）因情况变化，不再符合规定的竞争性谈判采购方式适用情形的； </w:t>
      </w:r>
    </w:p>
    <w:p w14:paraId="6048439D">
      <w:pPr>
        <w:spacing w:line="360" w:lineRule="auto"/>
        <w:ind w:firstLine="42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（2）出现影响采购公正的违法、违规行为的；</w:t>
      </w:r>
    </w:p>
    <w:p w14:paraId="3134A1CA">
      <w:pPr>
        <w:spacing w:line="360" w:lineRule="auto"/>
        <w:ind w:firstLine="42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（3）在采购过程中符合竞争要求的供应商或者报价未超过采购预算的供应商不足3家的，但《政府采购非招标采购方式管理办法》第二十七条第二款规定的情形除外。</w:t>
      </w:r>
    </w:p>
    <w:p w14:paraId="552EEAEA">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bookmarkStart w:id="128" w:name="_Toc9627"/>
      <w:bookmarkStart w:id="129" w:name="_Toc80205935"/>
      <w:bookmarkStart w:id="130" w:name="_Toc16039"/>
    </w:p>
    <w:p w14:paraId="6AEEB82C">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r>
        <w:rPr>
          <w:rFonts w:hint="eastAsia" w:ascii="宋体" w:hAnsi="宋体" w:eastAsia="宋体" w:cs="Times New Roman"/>
          <w:bCs/>
          <w:color w:val="auto"/>
          <w:sz w:val="32"/>
          <w:szCs w:val="32"/>
          <w:highlight w:val="none"/>
          <w:lang w:val="zh-CN"/>
        </w:rPr>
        <w:t>第三节 评审报告</w:t>
      </w:r>
      <w:bookmarkEnd w:id="128"/>
      <w:bookmarkEnd w:id="129"/>
      <w:bookmarkEnd w:id="130"/>
    </w:p>
    <w:p w14:paraId="2E8FB0A8">
      <w:pPr>
        <w:spacing w:line="360" w:lineRule="auto"/>
        <w:ind w:firstLine="482" w:firstLineChars="200"/>
        <w:rPr>
          <w:rFonts w:hint="eastAsia"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1.成交标准</w:t>
      </w:r>
    </w:p>
    <w:p w14:paraId="3F6310AD">
      <w:pPr>
        <w:spacing w:line="360"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szCs w:val="24"/>
          <w:highlight w:val="none"/>
        </w:rPr>
        <w:t>谈判小组应当从质量和货物均能满足谈判文件实质性响应要求的供应商中，按照评审价由低到高的顺序提出3名以上成交候选人（评审价相同时，按照最后报价由低到高顺序依次推荐；最后报价相同时，由谈判小组按“供应商须知前附表”第25条规定的顺序推荐），并在线编写电子评审报告。</w:t>
      </w:r>
    </w:p>
    <w:p w14:paraId="65D70F3D">
      <w:pPr>
        <w:spacing w:line="360" w:lineRule="auto"/>
        <w:ind w:firstLine="482" w:firstLineChars="200"/>
        <w:rPr>
          <w:rFonts w:hint="eastAsia"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2.评审争议</w:t>
      </w:r>
      <w:r>
        <w:rPr>
          <w:rFonts w:ascii="黑体" w:hAnsi="黑体" w:eastAsia="黑体" w:cs="宋体"/>
          <w:b/>
          <w:bCs/>
          <w:color w:val="auto"/>
          <w:sz w:val="24"/>
          <w:szCs w:val="32"/>
          <w:highlight w:val="none"/>
        </w:rPr>
        <w:t>事项</w:t>
      </w:r>
      <w:r>
        <w:rPr>
          <w:rFonts w:hint="eastAsia" w:ascii="黑体" w:hAnsi="黑体" w:eastAsia="黑体" w:cs="宋体"/>
          <w:b/>
          <w:bCs/>
          <w:color w:val="auto"/>
          <w:sz w:val="24"/>
          <w:szCs w:val="32"/>
          <w:highlight w:val="none"/>
        </w:rPr>
        <w:t>处理</w:t>
      </w:r>
    </w:p>
    <w:p w14:paraId="2FB4DA72">
      <w:pPr>
        <w:adjustRightInd w:val="0"/>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成员对需要共同认定的事项存在争议的，应当按照少数服从多数的原则作出结论。持不同意见的</w:t>
      </w: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成员应当在评</w:t>
      </w:r>
      <w:r>
        <w:rPr>
          <w:rFonts w:hint="eastAsia" w:ascii="宋体" w:hAnsi="宋体" w:eastAsia="宋体" w:cs="宋体"/>
          <w:color w:val="auto"/>
          <w:szCs w:val="24"/>
          <w:highlight w:val="none"/>
        </w:rPr>
        <w:t>审</w:t>
      </w:r>
      <w:r>
        <w:rPr>
          <w:rFonts w:ascii="宋体" w:hAnsi="宋体" w:eastAsia="宋体" w:cs="宋体"/>
          <w:color w:val="auto"/>
          <w:szCs w:val="24"/>
          <w:highlight w:val="none"/>
        </w:rPr>
        <w:t>报告上签署不同意见及理由，否则视为同意评</w:t>
      </w:r>
      <w:r>
        <w:rPr>
          <w:rFonts w:hint="eastAsia" w:ascii="宋体" w:hAnsi="宋体" w:eastAsia="宋体" w:cs="宋体"/>
          <w:color w:val="auto"/>
          <w:szCs w:val="24"/>
          <w:highlight w:val="none"/>
        </w:rPr>
        <w:t>审</w:t>
      </w:r>
      <w:r>
        <w:rPr>
          <w:rFonts w:ascii="宋体" w:hAnsi="宋体" w:eastAsia="宋体" w:cs="宋体"/>
          <w:color w:val="auto"/>
          <w:szCs w:val="24"/>
          <w:highlight w:val="none"/>
        </w:rPr>
        <w:t>报告。</w:t>
      </w:r>
    </w:p>
    <w:p w14:paraId="61308A73">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bookmarkStart w:id="131" w:name="_Toc27241"/>
      <w:bookmarkStart w:id="132" w:name="_Toc17221"/>
      <w:bookmarkStart w:id="133" w:name="_Toc80205936"/>
    </w:p>
    <w:p w14:paraId="1628DFBE">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r>
        <w:rPr>
          <w:rFonts w:hint="eastAsia" w:ascii="宋体" w:hAnsi="宋体" w:eastAsia="宋体" w:cs="Times New Roman"/>
          <w:bCs/>
          <w:color w:val="auto"/>
          <w:sz w:val="32"/>
          <w:szCs w:val="32"/>
          <w:highlight w:val="none"/>
          <w:lang w:val="zh-CN"/>
        </w:rPr>
        <w:t>第四节 评审过程的保密与录像</w:t>
      </w:r>
      <w:bookmarkEnd w:id="131"/>
      <w:bookmarkEnd w:id="132"/>
      <w:bookmarkEnd w:id="133"/>
    </w:p>
    <w:p w14:paraId="04EE0CB8">
      <w:pPr>
        <w:spacing w:line="360" w:lineRule="auto"/>
        <w:ind w:firstLine="482" w:firstLineChars="200"/>
        <w:rPr>
          <w:rFonts w:hint="eastAsia"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1.保密。</w:t>
      </w:r>
    </w:p>
    <w:p w14:paraId="5D5EE8B9">
      <w:pPr>
        <w:widowControl/>
        <w:spacing w:line="360" w:lineRule="auto"/>
        <w:ind w:firstLine="420" w:firstLineChars="200"/>
        <w:rPr>
          <w:rFonts w:hint="eastAsia" w:ascii="宋体" w:hAnsi="宋体" w:eastAsia="宋体" w:cs="宋体"/>
          <w:color w:val="auto"/>
          <w:szCs w:val="24"/>
          <w:highlight w:val="none"/>
        </w:rPr>
      </w:pPr>
      <w:r>
        <w:rPr>
          <w:rFonts w:ascii="宋体" w:hAnsi="宋体" w:eastAsia="宋体" w:cs="宋体"/>
          <w:color w:val="auto"/>
          <w:szCs w:val="24"/>
          <w:highlight w:val="none"/>
        </w:rPr>
        <w:t>评审活动在严格保密的情况下进行。评审过程中凡是与采购响应文件评审和比较、中标成交供应商推荐等评审有关的情况，以及涉及国家秘密和商业秘密等信息，</w:t>
      </w: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成员、采购人和采购机构工作人员、相关监督人员等与评审有关的人员应当予以保密。</w:t>
      </w:r>
    </w:p>
    <w:p w14:paraId="3F6D60A7">
      <w:pPr>
        <w:widowControl/>
        <w:spacing w:line="360" w:lineRule="auto"/>
        <w:ind w:firstLine="482" w:firstLineChars="200"/>
        <w:rPr>
          <w:rFonts w:hint="eastAsia"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2.录音录像。</w:t>
      </w:r>
    </w:p>
    <w:p w14:paraId="642B2E54">
      <w:pPr>
        <w:spacing w:line="360" w:lineRule="auto"/>
        <w:ind w:firstLine="420" w:firstLineChars="200"/>
        <w:rPr>
          <w:rFonts w:ascii="Times New Roman" w:hAnsi="Times New Roman" w:eastAsia="宋体" w:cs="Times New Roman"/>
          <w:color w:val="auto"/>
          <w:szCs w:val="24"/>
          <w:highlight w:val="none"/>
        </w:rPr>
      </w:pPr>
      <w:r>
        <w:rPr>
          <w:rFonts w:hint="eastAsia" w:ascii="宋体" w:hAnsi="宋体" w:eastAsia="宋体" w:cs="宋体"/>
          <w:color w:val="auto"/>
          <w:szCs w:val="24"/>
          <w:highlight w:val="none"/>
        </w:rPr>
        <w:t>采购代理机构对评审工作现场及操作屏幕进行全过程录音录像，录音录像资料作为采购项目文件随其他文件一并存档。</w:t>
      </w:r>
      <w:r>
        <w:rPr>
          <w:rFonts w:ascii="Times New Roman" w:hAnsi="Times New Roman" w:eastAsia="宋体" w:cs="Times New Roman"/>
          <w:color w:val="auto"/>
          <w:szCs w:val="24"/>
          <w:highlight w:val="none"/>
        </w:rPr>
        <w:br w:type="page"/>
      </w:r>
    </w:p>
    <w:p w14:paraId="50BAF1B1">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0428AFDA">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0856CF64">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2FD9A6CB">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512886EA">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2C205285">
      <w:pPr>
        <w:keepNext/>
        <w:keepLines/>
        <w:spacing w:before="340" w:after="330" w:line="578" w:lineRule="auto"/>
        <w:jc w:val="center"/>
        <w:outlineLvl w:val="0"/>
        <w:rPr>
          <w:rFonts w:ascii="Times New Roman" w:hAnsi="Times New Roman" w:eastAsia="宋体" w:cs="Times New Roman"/>
          <w:b/>
          <w:bCs/>
          <w:color w:val="auto"/>
          <w:kern w:val="44"/>
          <w:sz w:val="44"/>
          <w:szCs w:val="44"/>
          <w:highlight w:val="none"/>
          <w:lang w:val="zh-CN"/>
        </w:rPr>
      </w:pPr>
      <w:bookmarkStart w:id="134" w:name="_Toc80205937"/>
      <w:bookmarkStart w:id="135" w:name="_Toc28917"/>
      <w:bookmarkStart w:id="136" w:name="_Toc21666"/>
      <w:bookmarkStart w:id="137" w:name="_Toc4187"/>
      <w:bookmarkStart w:id="138" w:name="_Toc25678"/>
      <w:bookmarkStart w:id="139" w:name="_Toc71"/>
      <w:bookmarkStart w:id="140" w:name="_Toc9300"/>
      <w:bookmarkStart w:id="141" w:name="_Toc916"/>
      <w:bookmarkStart w:id="142" w:name="_Toc30615"/>
      <w:r>
        <w:rPr>
          <w:rFonts w:hint="eastAsia" w:ascii="Times New Roman" w:hAnsi="Times New Roman" w:eastAsia="宋体" w:cs="Times New Roman"/>
          <w:b/>
          <w:bCs/>
          <w:color w:val="auto"/>
          <w:kern w:val="44"/>
          <w:sz w:val="44"/>
          <w:szCs w:val="44"/>
          <w:highlight w:val="none"/>
          <w:lang w:val="zh-CN"/>
        </w:rPr>
        <w:t>第五章 响应文件格式</w:t>
      </w:r>
      <w:bookmarkEnd w:id="134"/>
      <w:r>
        <w:rPr>
          <w:rFonts w:ascii="Times New Roman" w:hAnsi="Times New Roman" w:eastAsia="宋体" w:cs="Times New Roman"/>
          <w:b/>
          <w:bCs/>
          <w:color w:val="auto"/>
          <w:kern w:val="44"/>
          <w:sz w:val="44"/>
          <w:szCs w:val="44"/>
          <w:highlight w:val="none"/>
          <w:lang w:val="zh-CN"/>
        </w:rPr>
        <w:br w:type="page"/>
      </w:r>
      <w:bookmarkEnd w:id="135"/>
      <w:bookmarkEnd w:id="136"/>
      <w:bookmarkEnd w:id="137"/>
      <w:bookmarkEnd w:id="138"/>
      <w:bookmarkEnd w:id="139"/>
      <w:bookmarkEnd w:id="140"/>
      <w:bookmarkEnd w:id="141"/>
      <w:bookmarkEnd w:id="142"/>
    </w:p>
    <w:p w14:paraId="5E59F6CC">
      <w:pPr>
        <w:spacing w:line="240" w:lineRule="atLeast"/>
        <w:rPr>
          <w:rFonts w:hint="eastAsia" w:ascii="宋体" w:hAnsi="宋体" w:eastAsia="宋体" w:cs="Times New Roman"/>
          <w:b/>
          <w:bCs/>
          <w:color w:val="auto"/>
          <w:szCs w:val="24"/>
          <w:highlight w:val="none"/>
        </w:rPr>
      </w:pPr>
    </w:p>
    <w:p w14:paraId="5FA3F12F">
      <w:pPr>
        <w:snapToGrid w:val="0"/>
        <w:spacing w:before="120" w:beforeLines="50" w:after="50" w:line="360" w:lineRule="auto"/>
        <w:jc w:val="center"/>
        <w:outlineLvl w:val="1"/>
        <w:rPr>
          <w:rFonts w:hint="eastAsia" w:ascii="宋体" w:hAnsi="宋体" w:eastAsia="宋体" w:cs="Times New Roman"/>
          <w:bCs/>
          <w:color w:val="auto"/>
          <w:sz w:val="32"/>
          <w:szCs w:val="32"/>
          <w:highlight w:val="none"/>
        </w:rPr>
      </w:pPr>
      <w:bookmarkStart w:id="143" w:name="_Toc17254"/>
      <w:bookmarkStart w:id="144" w:name="_Toc10486"/>
      <w:bookmarkStart w:id="145" w:name="_Toc80205939"/>
      <w:r>
        <w:rPr>
          <w:rFonts w:hint="eastAsia" w:ascii="宋体" w:hAnsi="宋体" w:eastAsia="宋体" w:cs="Times New Roman"/>
          <w:bCs/>
          <w:color w:val="auto"/>
          <w:sz w:val="32"/>
          <w:szCs w:val="32"/>
          <w:highlight w:val="none"/>
        </w:rPr>
        <w:t>第一节 资格文件格式</w:t>
      </w:r>
      <w:bookmarkEnd w:id="143"/>
      <w:bookmarkEnd w:id="144"/>
      <w:bookmarkEnd w:id="145"/>
    </w:p>
    <w:p w14:paraId="4DA6F7D9">
      <w:pPr>
        <w:pStyle w:val="22"/>
        <w:rPr>
          <w:rFonts w:hint="eastAsia" w:ascii="宋体" w:hAnsi="宋体" w:cs="宋体"/>
          <w:b/>
          <w:bCs/>
          <w:color w:val="auto"/>
          <w:sz w:val="28"/>
          <w:szCs w:val="28"/>
          <w:highlight w:val="none"/>
        </w:rPr>
      </w:pPr>
    </w:p>
    <w:p w14:paraId="1F9D84B8">
      <w:pPr>
        <w:pStyle w:val="22"/>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1.资格文件封面的格式（参照此格式自拟）：</w:t>
      </w:r>
    </w:p>
    <w:p w14:paraId="4BBCA599">
      <w:pPr>
        <w:snapToGrid w:val="0"/>
        <w:spacing w:before="120" w:beforeLines="50" w:after="5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p>
    <w:p w14:paraId="1B4BF051">
      <w:pPr>
        <w:snapToGrid w:val="0"/>
        <w:spacing w:before="120" w:beforeLines="50" w:after="50"/>
        <w:ind w:firstLine="5760" w:firstLineChars="2400"/>
        <w:rPr>
          <w:rFonts w:hint="eastAsia"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14:paraId="0F947EF3">
      <w:pPr>
        <w:snapToGrid w:val="0"/>
        <w:spacing w:before="120" w:beforeLines="50" w:after="50"/>
        <w:rPr>
          <w:rFonts w:hint="eastAsia" w:ascii="宋体" w:hAnsi="宋体" w:eastAsia="宋体" w:cs="Times New Roman"/>
          <w:color w:val="auto"/>
          <w:sz w:val="24"/>
          <w:szCs w:val="20"/>
          <w:highlight w:val="none"/>
        </w:rPr>
      </w:pPr>
    </w:p>
    <w:p w14:paraId="2C8B2DD7">
      <w:pPr>
        <w:snapToGrid w:val="0"/>
        <w:spacing w:before="120" w:beforeLines="50" w:after="50"/>
        <w:rPr>
          <w:rFonts w:hint="eastAsia" w:ascii="宋体" w:hAnsi="宋体" w:eastAsia="宋体" w:cs="Times New Roman"/>
          <w:color w:val="auto"/>
          <w:sz w:val="24"/>
          <w:szCs w:val="20"/>
          <w:highlight w:val="none"/>
        </w:rPr>
      </w:pPr>
    </w:p>
    <w:p w14:paraId="75BB57C8">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文  件</w:t>
      </w:r>
    </w:p>
    <w:p w14:paraId="3E89C18F">
      <w:pPr>
        <w:snapToGrid w:val="0"/>
        <w:spacing w:before="120" w:beforeLines="50" w:after="50"/>
        <w:rPr>
          <w:rFonts w:hint="eastAsia" w:ascii="宋体" w:hAnsi="宋体" w:eastAsia="宋体" w:cs="Times New Roman"/>
          <w:bCs/>
          <w:color w:val="auto"/>
          <w:sz w:val="24"/>
          <w:szCs w:val="20"/>
          <w:highlight w:val="none"/>
        </w:rPr>
      </w:pPr>
    </w:p>
    <w:p w14:paraId="652A2471">
      <w:pPr>
        <w:snapToGrid w:val="0"/>
        <w:spacing w:before="120" w:beforeLines="50" w:after="50"/>
        <w:rPr>
          <w:rFonts w:hint="eastAsia" w:ascii="宋体" w:hAnsi="宋体" w:eastAsia="宋体" w:cs="Times New Roman"/>
          <w:bCs/>
          <w:color w:val="auto"/>
          <w:sz w:val="24"/>
          <w:szCs w:val="20"/>
          <w:highlight w:val="none"/>
        </w:rPr>
      </w:pPr>
    </w:p>
    <w:p w14:paraId="4A3E2556">
      <w:pPr>
        <w:snapToGrid w:val="0"/>
        <w:spacing w:before="120" w:beforeLines="50" w:after="50"/>
        <w:rPr>
          <w:rFonts w:hint="eastAsia" w:ascii="宋体" w:hAnsi="宋体" w:eastAsia="宋体" w:cs="Times New Roman"/>
          <w:bCs/>
          <w:color w:val="auto"/>
          <w:sz w:val="24"/>
          <w:szCs w:val="20"/>
          <w:highlight w:val="none"/>
        </w:rPr>
      </w:pPr>
    </w:p>
    <w:p w14:paraId="2D7055AF">
      <w:pPr>
        <w:snapToGrid w:val="0"/>
        <w:spacing w:before="120" w:beforeLines="50" w:after="50"/>
        <w:rPr>
          <w:rFonts w:hint="eastAsia" w:ascii="宋体" w:hAnsi="宋体" w:eastAsia="宋体" w:cs="Times New Roman"/>
          <w:bCs/>
          <w:color w:val="auto"/>
          <w:sz w:val="24"/>
          <w:szCs w:val="20"/>
          <w:highlight w:val="none"/>
        </w:rPr>
      </w:pPr>
    </w:p>
    <w:p w14:paraId="06369E23">
      <w:pPr>
        <w:snapToGrid w:val="0"/>
        <w:spacing w:before="120" w:beforeLines="50" w:after="50"/>
        <w:rPr>
          <w:rFonts w:hint="eastAsia" w:ascii="宋体" w:hAnsi="宋体" w:eastAsia="宋体" w:cs="Times New Roman"/>
          <w:bCs/>
          <w:color w:val="auto"/>
          <w:sz w:val="24"/>
          <w:szCs w:val="20"/>
          <w:highlight w:val="none"/>
        </w:rPr>
      </w:pPr>
    </w:p>
    <w:p w14:paraId="309E808B">
      <w:pPr>
        <w:snapToGrid w:val="0"/>
        <w:spacing w:before="120"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项目名称： </w:t>
      </w:r>
    </w:p>
    <w:p w14:paraId="14A9DE71">
      <w:pPr>
        <w:snapToGrid w:val="0"/>
        <w:spacing w:before="120" w:beforeLines="50" w:after="50"/>
        <w:ind w:firstLine="720" w:firstLineChars="225"/>
        <w:rPr>
          <w:rFonts w:hint="eastAsia" w:ascii="宋体" w:hAnsi="宋体" w:eastAsia="宋体" w:cs="仿宋_GB2312"/>
          <w:bCs/>
          <w:color w:val="auto"/>
          <w:sz w:val="32"/>
          <w:szCs w:val="32"/>
          <w:highlight w:val="none"/>
        </w:rPr>
      </w:pPr>
    </w:p>
    <w:p w14:paraId="044BA356">
      <w:pPr>
        <w:snapToGrid w:val="0"/>
        <w:spacing w:before="120" w:beforeLines="50" w:after="50"/>
        <w:ind w:firstLine="720" w:firstLineChars="225"/>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项目编号： </w:t>
      </w:r>
    </w:p>
    <w:p w14:paraId="75470E97">
      <w:pPr>
        <w:snapToGrid w:val="0"/>
        <w:spacing w:before="120" w:beforeLines="50" w:after="50"/>
        <w:ind w:firstLine="720" w:firstLineChars="225"/>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14:paraId="65F0AA7B">
      <w:pPr>
        <w:snapToGrid w:val="0"/>
        <w:spacing w:before="120" w:beforeLines="50" w:after="50"/>
        <w:ind w:firstLine="720" w:firstLineChars="225"/>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14:paraId="5B1B1B45">
      <w:pPr>
        <w:snapToGrid w:val="0"/>
        <w:spacing w:before="120" w:beforeLines="50" w:after="50"/>
        <w:ind w:firstLine="720" w:firstLineChars="225"/>
        <w:rPr>
          <w:rFonts w:hint="eastAsia" w:ascii="宋体" w:hAnsi="宋体" w:eastAsia="宋体" w:cs="仿宋_GB2312"/>
          <w:bCs/>
          <w:color w:val="auto"/>
          <w:sz w:val="32"/>
          <w:szCs w:val="32"/>
          <w:highlight w:val="none"/>
        </w:rPr>
      </w:pPr>
    </w:p>
    <w:p w14:paraId="06BBFD94">
      <w:pPr>
        <w:snapToGrid w:val="0"/>
        <w:spacing w:before="50" w:after="50"/>
        <w:ind w:firstLine="720" w:firstLineChars="225"/>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14:paraId="73A7B66A">
      <w:pPr>
        <w:snapToGrid w:val="0"/>
        <w:spacing w:before="50" w:after="50"/>
        <w:ind w:firstLine="720" w:firstLineChars="225"/>
        <w:rPr>
          <w:rFonts w:hint="eastAsia" w:ascii="宋体" w:hAnsi="宋体" w:eastAsia="宋体" w:cs="仿宋_GB2312"/>
          <w:bCs/>
          <w:color w:val="auto"/>
          <w:sz w:val="32"/>
          <w:szCs w:val="32"/>
          <w:highlight w:val="none"/>
        </w:rPr>
      </w:pPr>
    </w:p>
    <w:p w14:paraId="322CE5A5">
      <w:pPr>
        <w:snapToGrid w:val="0"/>
        <w:spacing w:before="50" w:after="50"/>
        <w:ind w:firstLine="720" w:firstLineChars="225"/>
        <w:rPr>
          <w:rFonts w:hint="eastAsia" w:ascii="宋体" w:hAnsi="宋体" w:eastAsia="宋体" w:cs="仿宋_GB2312"/>
          <w:bCs/>
          <w:color w:val="auto"/>
          <w:sz w:val="32"/>
          <w:szCs w:val="32"/>
          <w:highlight w:val="none"/>
        </w:rPr>
      </w:pPr>
    </w:p>
    <w:p w14:paraId="64CCA09F">
      <w:pPr>
        <w:snapToGrid w:val="0"/>
        <w:spacing w:before="50" w:after="50"/>
        <w:ind w:firstLine="720" w:firstLineChars="225"/>
        <w:rPr>
          <w:rFonts w:hint="eastAsia" w:ascii="宋体" w:hAnsi="宋体" w:eastAsia="宋体" w:cs="仿宋_GB2312"/>
          <w:bCs/>
          <w:color w:val="auto"/>
          <w:sz w:val="32"/>
          <w:szCs w:val="32"/>
          <w:highlight w:val="none"/>
        </w:rPr>
      </w:pPr>
    </w:p>
    <w:p w14:paraId="2FDE12C0">
      <w:pPr>
        <w:snapToGrid w:val="0"/>
        <w:spacing w:before="50" w:after="50"/>
        <w:ind w:firstLine="1280" w:firstLineChars="400"/>
        <w:rPr>
          <w:rFonts w:hint="eastAsia" w:ascii="宋体" w:hAnsi="宋体" w:eastAsia="宋体" w:cs="仿宋_GB2312"/>
          <w:bCs/>
          <w:color w:val="auto"/>
          <w:sz w:val="32"/>
          <w:szCs w:val="32"/>
          <w:highlight w:val="none"/>
        </w:rPr>
      </w:pPr>
    </w:p>
    <w:p w14:paraId="391F419B">
      <w:pPr>
        <w:snapToGrid w:val="0"/>
        <w:spacing w:before="120" w:beforeLines="50" w:after="50"/>
        <w:jc w:val="center"/>
        <w:rPr>
          <w:rFonts w:hint="eastAsia"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14:paraId="38A6FFA5">
      <w:pPr>
        <w:snapToGrid w:val="0"/>
        <w:spacing w:before="120" w:beforeLines="50" w:after="50" w:line="360" w:lineRule="auto"/>
        <w:ind w:left="142"/>
        <w:jc w:val="left"/>
        <w:rPr>
          <w:rFonts w:hint="eastAsia" w:ascii="宋体" w:hAnsi="宋体" w:eastAsia="宋体" w:cs="宋体"/>
          <w:b/>
          <w:bCs/>
          <w:color w:val="auto"/>
          <w:sz w:val="28"/>
          <w:szCs w:val="28"/>
          <w:highlight w:val="none"/>
        </w:rPr>
      </w:pPr>
      <w:r>
        <w:rPr>
          <w:rFonts w:ascii="宋体" w:hAnsi="宋体" w:eastAsia="宋体" w:cs="Times New Roman"/>
          <w:color w:val="auto"/>
          <w:sz w:val="24"/>
          <w:szCs w:val="24"/>
          <w:highlight w:val="none"/>
        </w:rPr>
        <w:br w:type="page"/>
      </w:r>
      <w:r>
        <w:rPr>
          <w:rFonts w:hint="eastAsia" w:ascii="宋体" w:hAnsi="宋体" w:eastAsia="宋体" w:cs="宋体"/>
          <w:b/>
          <w:bCs/>
          <w:color w:val="auto"/>
          <w:sz w:val="28"/>
          <w:szCs w:val="28"/>
          <w:highlight w:val="none"/>
        </w:rPr>
        <w:t>2.资格文件目录</w:t>
      </w:r>
    </w:p>
    <w:p w14:paraId="17C53031">
      <w:pPr>
        <w:spacing w:line="360" w:lineRule="auto"/>
        <w:ind w:firstLine="560" w:firstLineChars="200"/>
        <w:contextualSpacing/>
        <w:jc w:val="left"/>
        <w:rPr>
          <w:rFonts w:hint="eastAsia" w:ascii="仿宋_GB2312" w:hAnsi="仿宋" w:eastAsia="仿宋_GB2312" w:cs="仿宋_GB2312"/>
          <w:color w:val="auto"/>
          <w:kern w:val="0"/>
          <w:sz w:val="24"/>
          <w:szCs w:val="24"/>
          <w:highlight w:val="none"/>
        </w:rPr>
      </w:pPr>
      <w:r>
        <w:rPr>
          <w:rFonts w:hint="eastAsia" w:ascii="宋体" w:hAnsi="宋体" w:eastAsia="宋体" w:cs="宋体"/>
          <w:color w:val="auto"/>
          <w:sz w:val="28"/>
          <w:szCs w:val="28"/>
          <w:highlight w:val="none"/>
        </w:rPr>
        <w:t>根据竞争性谈判文件规定及供应商提供的材料自行编写目录（部分格式后附）。</w:t>
      </w:r>
      <w:r>
        <w:rPr>
          <w:rFonts w:hint="eastAsia" w:ascii="仿宋_GB2312" w:hAnsi="仿宋" w:eastAsia="仿宋_GB2312" w:cs="仿宋_GB2312"/>
          <w:color w:val="auto"/>
          <w:kern w:val="0"/>
          <w:sz w:val="24"/>
          <w:szCs w:val="24"/>
          <w:highlight w:val="none"/>
        </w:rPr>
        <w:br w:type="page"/>
      </w:r>
    </w:p>
    <w:p w14:paraId="1284D8BE">
      <w:pPr>
        <w:snapToGrid w:val="0"/>
        <w:spacing w:before="50" w:after="120" w:afterLines="50" w:line="360" w:lineRule="auto"/>
        <w:rPr>
          <w:rFonts w:hint="eastAsia" w:ascii="仿宋_GB2312" w:hAnsi="仿宋" w:eastAsia="仿宋_GB2312" w:cs="仿宋_GB2312"/>
          <w:b/>
          <w:color w:val="auto"/>
          <w:kern w:val="0"/>
          <w:sz w:val="32"/>
          <w:szCs w:val="32"/>
          <w:highlight w:val="none"/>
        </w:rPr>
      </w:pPr>
      <w:r>
        <w:rPr>
          <w:rFonts w:hint="eastAsia" w:ascii="宋体" w:hAnsi="宋体" w:eastAsia="宋体" w:cs="宋体"/>
          <w:b/>
          <w:color w:val="auto"/>
          <w:kern w:val="0"/>
          <w:sz w:val="28"/>
          <w:szCs w:val="28"/>
          <w:highlight w:val="none"/>
        </w:rPr>
        <w:t>3.</w:t>
      </w:r>
      <w:r>
        <w:rPr>
          <w:rFonts w:hint="eastAsia" w:ascii="宋体" w:hAnsi="宋体" w:eastAsia="宋体" w:cs="宋体"/>
          <w:b/>
          <w:color w:val="auto"/>
          <w:sz w:val="28"/>
          <w:szCs w:val="28"/>
          <w:highlight w:val="none"/>
        </w:rPr>
        <w:t>供应商直接控股股东信息表</w:t>
      </w:r>
      <w:r>
        <w:rPr>
          <w:rFonts w:hint="eastAsia" w:ascii="宋体" w:hAnsi="宋体" w:cs="宋体"/>
          <w:b/>
          <w:color w:val="auto"/>
          <w:sz w:val="28"/>
          <w:szCs w:val="28"/>
          <w:highlight w:val="none"/>
        </w:rPr>
        <w:t>格式</w:t>
      </w:r>
      <w:r>
        <w:rPr>
          <w:rFonts w:hint="eastAsia"/>
          <w:color w:val="auto"/>
          <w:sz w:val="28"/>
          <w:szCs w:val="28"/>
          <w:highlight w:val="none"/>
        </w:rPr>
        <w:t>：</w:t>
      </w:r>
    </w:p>
    <w:p w14:paraId="29551328">
      <w:pPr>
        <w:snapToGrid w:val="0"/>
        <w:spacing w:before="50" w:after="120" w:afterLines="50" w:line="360" w:lineRule="auto"/>
        <w:jc w:val="center"/>
        <w:rPr>
          <w:rFonts w:hint="eastAsia" w:ascii="仿宋_GB2312" w:hAnsi="仿宋" w:eastAsia="仿宋_GB2312" w:cs="仿宋_GB2312"/>
          <w:b/>
          <w:color w:val="auto"/>
          <w:kern w:val="0"/>
          <w:sz w:val="32"/>
          <w:szCs w:val="32"/>
          <w:highlight w:val="none"/>
        </w:rPr>
      </w:pPr>
      <w:r>
        <w:rPr>
          <w:rFonts w:hint="eastAsia" w:ascii="宋体" w:hAnsi="宋体" w:eastAsia="宋体" w:cs="宋体"/>
          <w:b/>
          <w:color w:val="auto"/>
          <w:sz w:val="28"/>
          <w:szCs w:val="28"/>
          <w:highlight w:val="none"/>
        </w:rPr>
        <w:t>供应商直接控股股东信息表</w:t>
      </w:r>
    </w:p>
    <w:tbl>
      <w:tblPr>
        <w:tblStyle w:val="32"/>
        <w:tblW w:w="0" w:type="auto"/>
        <w:jc w:val="center"/>
        <w:shd w:val="clear" w:color="auto" w:fill="FBFBFB"/>
        <w:tblLayout w:type="fixed"/>
        <w:tblCellMar>
          <w:top w:w="0" w:type="dxa"/>
          <w:left w:w="0" w:type="dxa"/>
          <w:bottom w:w="0" w:type="dxa"/>
          <w:right w:w="0" w:type="dxa"/>
        </w:tblCellMar>
      </w:tblPr>
      <w:tblGrid>
        <w:gridCol w:w="828"/>
        <w:gridCol w:w="2269"/>
        <w:gridCol w:w="1239"/>
        <w:gridCol w:w="3879"/>
        <w:gridCol w:w="1261"/>
      </w:tblGrid>
      <w:tr w14:paraId="4AAFA308">
        <w:tblPrEx>
          <w:shd w:val="clear" w:color="auto" w:fill="FBFBFB"/>
          <w:tblCellMar>
            <w:top w:w="0" w:type="dxa"/>
            <w:left w:w="0" w:type="dxa"/>
            <w:bottom w:w="0" w:type="dxa"/>
            <w:right w:w="0" w:type="dxa"/>
          </w:tblCellMar>
        </w:tblPrEx>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9A4842F">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6775C03">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4AC8911">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87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334B6FC">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261"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969E5D8">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E545CCB">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01CDE46">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6413D5">
            <w:pPr>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677B477">
            <w:pPr>
              <w:spacing w:line="360" w:lineRule="auto"/>
              <w:jc w:val="center"/>
              <w:rPr>
                <w:rFonts w:hint="eastAsia" w:ascii="宋体" w:hAnsi="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AE68119">
            <w:pPr>
              <w:spacing w:line="360" w:lineRule="auto"/>
              <w:jc w:val="center"/>
              <w:rPr>
                <w:rFonts w:hint="eastAsia" w:ascii="宋体" w:hAnsi="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5F622F">
            <w:pPr>
              <w:spacing w:line="360" w:lineRule="auto"/>
              <w:jc w:val="center"/>
              <w:rPr>
                <w:rFonts w:hint="eastAsia" w:ascii="宋体" w:hAnsi="宋体" w:cs="宋体"/>
                <w:color w:val="auto"/>
                <w:kern w:val="0"/>
                <w:sz w:val="24"/>
                <w:highlight w:val="none"/>
              </w:rPr>
            </w:pPr>
          </w:p>
        </w:tc>
      </w:tr>
      <w:tr w14:paraId="6B8C8E3E">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12AD035">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CD00B14">
            <w:pPr>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2D8E833">
            <w:pPr>
              <w:spacing w:line="360" w:lineRule="auto"/>
              <w:jc w:val="center"/>
              <w:rPr>
                <w:rFonts w:hint="eastAsia" w:ascii="宋体" w:hAnsi="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426AD20">
            <w:pPr>
              <w:spacing w:line="360" w:lineRule="auto"/>
              <w:jc w:val="center"/>
              <w:rPr>
                <w:rFonts w:hint="eastAsia" w:ascii="宋体" w:hAnsi="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A1DE80">
            <w:pPr>
              <w:spacing w:line="360" w:lineRule="auto"/>
              <w:jc w:val="center"/>
              <w:rPr>
                <w:rFonts w:hint="eastAsia" w:ascii="宋体" w:hAnsi="宋体" w:cs="宋体"/>
                <w:color w:val="auto"/>
                <w:kern w:val="0"/>
                <w:sz w:val="24"/>
                <w:highlight w:val="none"/>
              </w:rPr>
            </w:pPr>
          </w:p>
        </w:tc>
      </w:tr>
      <w:tr w14:paraId="50D4D0BA">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EB4A31">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195570">
            <w:pPr>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8DE9BE">
            <w:pPr>
              <w:spacing w:line="360" w:lineRule="auto"/>
              <w:jc w:val="center"/>
              <w:rPr>
                <w:rFonts w:hint="eastAsia" w:ascii="宋体" w:hAnsi="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05B1B03">
            <w:pPr>
              <w:spacing w:line="360" w:lineRule="auto"/>
              <w:jc w:val="center"/>
              <w:rPr>
                <w:rFonts w:hint="eastAsia" w:ascii="宋体" w:hAnsi="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28B63D7">
            <w:pPr>
              <w:spacing w:line="360" w:lineRule="auto"/>
              <w:jc w:val="center"/>
              <w:rPr>
                <w:rFonts w:hint="eastAsia" w:ascii="宋体" w:hAnsi="宋体" w:cs="宋体"/>
                <w:color w:val="auto"/>
                <w:kern w:val="0"/>
                <w:sz w:val="24"/>
                <w:highlight w:val="none"/>
              </w:rPr>
            </w:pPr>
          </w:p>
        </w:tc>
      </w:tr>
      <w:tr w14:paraId="6B38045F">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537434">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AFCA696">
            <w:pPr>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89F95E">
            <w:pPr>
              <w:spacing w:line="360" w:lineRule="auto"/>
              <w:jc w:val="center"/>
              <w:rPr>
                <w:rFonts w:hint="eastAsia" w:ascii="宋体" w:hAnsi="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4D1BDE9">
            <w:pPr>
              <w:spacing w:line="360" w:lineRule="auto"/>
              <w:jc w:val="center"/>
              <w:rPr>
                <w:rFonts w:hint="eastAsia" w:ascii="宋体" w:hAnsi="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1AE5F0">
            <w:pPr>
              <w:spacing w:line="360" w:lineRule="auto"/>
              <w:jc w:val="center"/>
              <w:rPr>
                <w:rFonts w:hint="eastAsia" w:ascii="宋体" w:hAnsi="宋体" w:cs="宋体"/>
                <w:color w:val="auto"/>
                <w:kern w:val="0"/>
                <w:sz w:val="24"/>
                <w:highlight w:val="none"/>
              </w:rPr>
            </w:pPr>
          </w:p>
        </w:tc>
      </w:tr>
    </w:tbl>
    <w:p w14:paraId="7FB0BD27">
      <w:pPr>
        <w:snapToGrid w:val="0"/>
        <w:spacing w:line="360" w:lineRule="auto"/>
        <w:jc w:val="left"/>
        <w:rPr>
          <w:rFonts w:hint="eastAsia" w:ascii="宋体" w:hAnsi="宋体"/>
          <w:color w:val="auto"/>
          <w:szCs w:val="21"/>
          <w:highlight w:val="none"/>
        </w:rPr>
      </w:pPr>
    </w:p>
    <w:p w14:paraId="754657C3">
      <w:pPr>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注：</w:t>
      </w:r>
    </w:p>
    <w:p w14:paraId="2EF4C530">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DE3FB64">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2.本表所指的控股关系仅限于直接控股关系，不包括间接的控股关系。公司实际控制人与公司之间的关系不属于本表所指的直接控股关系。</w:t>
      </w:r>
    </w:p>
    <w:p w14:paraId="4363BB19">
      <w:pPr>
        <w:snapToGrid w:val="0"/>
        <w:spacing w:line="360" w:lineRule="auto"/>
        <w:ind w:firstLine="420" w:firstLineChars="200"/>
        <w:jc w:val="left"/>
        <w:rPr>
          <w:rFonts w:hint="eastAsia" w:ascii="宋体" w:hAnsi="宋体"/>
          <w:color w:val="auto"/>
          <w:sz w:val="24"/>
          <w:highlight w:val="none"/>
        </w:rPr>
      </w:pPr>
      <w:r>
        <w:rPr>
          <w:rFonts w:hint="eastAsia" w:ascii="宋体" w:hAnsi="宋体"/>
          <w:color w:val="auto"/>
          <w:szCs w:val="21"/>
          <w:highlight w:val="none"/>
        </w:rPr>
        <w:t>3.供应商不存在直接控股股东的，则填“无”。</w:t>
      </w:r>
    </w:p>
    <w:p w14:paraId="71C84757">
      <w:pPr>
        <w:snapToGrid w:val="0"/>
        <w:spacing w:line="360" w:lineRule="auto"/>
        <w:jc w:val="left"/>
        <w:rPr>
          <w:rFonts w:hint="eastAsia" w:ascii="宋体" w:hAnsi="宋体"/>
          <w:color w:val="auto"/>
          <w:sz w:val="24"/>
          <w:highlight w:val="none"/>
        </w:rPr>
      </w:pPr>
    </w:p>
    <w:p w14:paraId="6A5CC75A">
      <w:pPr>
        <w:snapToGrid w:val="0"/>
        <w:spacing w:line="360" w:lineRule="auto"/>
        <w:jc w:val="left"/>
        <w:rPr>
          <w:rFonts w:hint="eastAsia" w:ascii="宋体" w:hAnsi="宋体"/>
          <w:color w:val="auto"/>
          <w:sz w:val="24"/>
          <w:highlight w:val="none"/>
        </w:rPr>
      </w:pPr>
    </w:p>
    <w:p w14:paraId="61E5BC0C">
      <w:pPr>
        <w:autoSpaceDE w:val="0"/>
        <w:autoSpaceDN w:val="0"/>
        <w:spacing w:line="360" w:lineRule="exact"/>
        <w:ind w:left="4365" w:leftChars="185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34E1D867">
      <w:pPr>
        <w:autoSpaceDE w:val="0"/>
        <w:autoSpaceDN w:val="0"/>
        <w:spacing w:line="360" w:lineRule="exact"/>
        <w:ind w:left="4365" w:leftChars="1850" w:hanging="480" w:hangingChars="200"/>
        <w:rPr>
          <w:rFonts w:hint="eastAsia" w:ascii="宋体" w:hAnsi="宋体" w:eastAsia="宋体" w:cs="Times New Roman"/>
          <w:color w:val="auto"/>
          <w:sz w:val="24"/>
          <w:highlight w:val="none"/>
          <w:lang w:val="zh-CN"/>
        </w:rPr>
      </w:pPr>
      <w:r>
        <w:rPr>
          <w:rFonts w:hint="eastAsia" w:ascii="宋体" w:hAnsi="宋体" w:eastAsia="宋体" w:cs="宋体"/>
          <w:color w:val="auto"/>
          <w:kern w:val="0"/>
          <w:sz w:val="24"/>
          <w:szCs w:val="24"/>
          <w:highlight w:val="none"/>
          <w:lang w:val="zh-CN"/>
        </w:rPr>
        <w:t>日期：</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年</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月   日</w:t>
      </w:r>
    </w:p>
    <w:p w14:paraId="1A182515">
      <w:pPr>
        <w:snapToGrid w:val="0"/>
        <w:rPr>
          <w:rFonts w:hint="eastAsia" w:ascii="宋体" w:hAnsi="宋体" w:eastAsia="宋体" w:cs="宋体"/>
          <w:b/>
          <w:color w:val="auto"/>
          <w:sz w:val="28"/>
          <w:szCs w:val="28"/>
          <w:highlight w:val="none"/>
        </w:rPr>
      </w:pPr>
      <w:r>
        <w:rPr>
          <w:rFonts w:hint="eastAsia" w:ascii="宋体" w:hAnsi="宋体"/>
          <w:b/>
          <w:color w:val="auto"/>
          <w:sz w:val="28"/>
          <w:szCs w:val="28"/>
          <w:highlight w:val="none"/>
        </w:rPr>
        <w:br w:type="page"/>
      </w:r>
      <w:r>
        <w:rPr>
          <w:rFonts w:hint="eastAsia" w:ascii="宋体" w:hAnsi="宋体" w:eastAsia="宋体" w:cs="宋体"/>
          <w:b/>
          <w:color w:val="auto"/>
          <w:kern w:val="0"/>
          <w:sz w:val="28"/>
          <w:szCs w:val="28"/>
          <w:highlight w:val="none"/>
        </w:rPr>
        <w:t>4.</w:t>
      </w:r>
      <w:r>
        <w:rPr>
          <w:rFonts w:hint="eastAsia" w:ascii="宋体" w:hAnsi="宋体" w:eastAsia="宋体" w:cs="宋体"/>
          <w:b/>
          <w:color w:val="auto"/>
          <w:sz w:val="28"/>
          <w:szCs w:val="28"/>
          <w:highlight w:val="none"/>
        </w:rPr>
        <w:t>供应商直接管理关系信息表格式</w:t>
      </w:r>
      <w:r>
        <w:rPr>
          <w:rFonts w:hint="eastAsia" w:ascii="宋体" w:hAnsi="宋体" w:eastAsia="宋体" w:cs="宋体"/>
          <w:color w:val="auto"/>
          <w:sz w:val="28"/>
          <w:szCs w:val="28"/>
          <w:highlight w:val="none"/>
        </w:rPr>
        <w:t>：</w:t>
      </w:r>
    </w:p>
    <w:p w14:paraId="2B177243">
      <w:pPr>
        <w:snapToGrid w:val="0"/>
        <w:spacing w:line="360" w:lineRule="auto"/>
        <w:jc w:val="center"/>
        <w:rPr>
          <w:rFonts w:hint="eastAsia" w:ascii="宋体" w:hAnsi="宋体"/>
          <w:b/>
          <w:color w:val="auto"/>
          <w:sz w:val="32"/>
          <w:szCs w:val="32"/>
          <w:highlight w:val="none"/>
        </w:rPr>
      </w:pPr>
    </w:p>
    <w:p w14:paraId="75DEC2D0">
      <w:pPr>
        <w:snapToGrid w:val="0"/>
        <w:spacing w:line="360" w:lineRule="auto"/>
        <w:jc w:val="center"/>
        <w:rPr>
          <w:rFonts w:hint="eastAsia" w:ascii="宋体" w:hAnsi="宋体"/>
          <w:color w:val="auto"/>
          <w:sz w:val="32"/>
          <w:szCs w:val="32"/>
          <w:highlight w:val="none"/>
        </w:rPr>
      </w:pPr>
      <w:r>
        <w:rPr>
          <w:rFonts w:hint="eastAsia" w:ascii="宋体" w:hAnsi="宋体"/>
          <w:b/>
          <w:color w:val="auto"/>
          <w:sz w:val="28"/>
          <w:szCs w:val="28"/>
          <w:highlight w:val="none"/>
        </w:rPr>
        <w:t>供应商直接管理关系信息表</w:t>
      </w:r>
    </w:p>
    <w:tbl>
      <w:tblPr>
        <w:tblStyle w:val="32"/>
        <w:tblW w:w="0" w:type="auto"/>
        <w:jc w:val="center"/>
        <w:shd w:val="clear" w:color="auto" w:fill="FBFBFB"/>
        <w:tblLayout w:type="fixed"/>
        <w:tblCellMar>
          <w:top w:w="0" w:type="dxa"/>
          <w:left w:w="0" w:type="dxa"/>
          <w:bottom w:w="0" w:type="dxa"/>
          <w:right w:w="0" w:type="dxa"/>
        </w:tblCellMar>
      </w:tblPr>
      <w:tblGrid>
        <w:gridCol w:w="1005"/>
        <w:gridCol w:w="2659"/>
        <w:gridCol w:w="3924"/>
        <w:gridCol w:w="2064"/>
      </w:tblGrid>
      <w:tr w14:paraId="4BA96BD7">
        <w:tblPrEx>
          <w:shd w:val="clear" w:color="auto" w:fill="FBFBFB"/>
          <w:tblCellMar>
            <w:top w:w="0" w:type="dxa"/>
            <w:left w:w="0" w:type="dxa"/>
            <w:bottom w:w="0" w:type="dxa"/>
            <w:right w:w="0" w:type="dxa"/>
          </w:tblCellMar>
        </w:tblPrEx>
        <w:trPr>
          <w:tblHeader/>
          <w:jc w:val="cent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7FEF4EE">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00423D0">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0B1BB2A">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1042317">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4621530D">
        <w:tblPrEx>
          <w:shd w:val="clear" w:color="auto" w:fill="FBFBFB"/>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195669">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0C78F5">
            <w:pPr>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EE76204">
            <w:pPr>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58894E">
            <w:pPr>
              <w:spacing w:line="360" w:lineRule="auto"/>
              <w:jc w:val="center"/>
              <w:rPr>
                <w:rFonts w:hint="eastAsia" w:ascii="宋体" w:hAnsi="宋体" w:cs="宋体"/>
                <w:color w:val="auto"/>
                <w:kern w:val="0"/>
                <w:sz w:val="24"/>
                <w:highlight w:val="none"/>
              </w:rPr>
            </w:pPr>
          </w:p>
        </w:tc>
      </w:tr>
      <w:tr w14:paraId="6169C39D">
        <w:tblPrEx>
          <w:shd w:val="clear" w:color="auto" w:fill="FBFBFB"/>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FA815F3">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F6DFFA0">
            <w:pPr>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49A48BA">
            <w:pPr>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AFF6B52">
            <w:pPr>
              <w:spacing w:line="360" w:lineRule="auto"/>
              <w:jc w:val="center"/>
              <w:rPr>
                <w:rFonts w:hint="eastAsia" w:ascii="宋体" w:hAnsi="宋体" w:cs="宋体"/>
                <w:color w:val="auto"/>
                <w:kern w:val="0"/>
                <w:sz w:val="24"/>
                <w:highlight w:val="none"/>
              </w:rPr>
            </w:pPr>
          </w:p>
        </w:tc>
      </w:tr>
      <w:tr w14:paraId="1C930AF7">
        <w:tblPrEx>
          <w:shd w:val="clear" w:color="auto" w:fill="FBFBFB"/>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8276E6">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1D8988">
            <w:pPr>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8455966">
            <w:pPr>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994972">
            <w:pPr>
              <w:spacing w:line="360" w:lineRule="auto"/>
              <w:jc w:val="center"/>
              <w:rPr>
                <w:rFonts w:hint="eastAsia" w:ascii="宋体" w:hAnsi="宋体" w:cs="宋体"/>
                <w:color w:val="auto"/>
                <w:kern w:val="0"/>
                <w:sz w:val="24"/>
                <w:highlight w:val="none"/>
              </w:rPr>
            </w:pPr>
          </w:p>
        </w:tc>
      </w:tr>
      <w:tr w14:paraId="21E73BEE">
        <w:tblPrEx>
          <w:shd w:val="clear" w:color="auto" w:fill="FBFBFB"/>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E3E39AF">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BDD1346">
            <w:pPr>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FE2CDB">
            <w:pPr>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25FFD8E">
            <w:pPr>
              <w:spacing w:line="360" w:lineRule="auto"/>
              <w:jc w:val="center"/>
              <w:rPr>
                <w:rFonts w:hint="eastAsia" w:ascii="宋体" w:hAnsi="宋体" w:cs="宋体"/>
                <w:color w:val="auto"/>
                <w:kern w:val="0"/>
                <w:sz w:val="24"/>
                <w:highlight w:val="none"/>
              </w:rPr>
            </w:pPr>
          </w:p>
        </w:tc>
      </w:tr>
    </w:tbl>
    <w:p w14:paraId="461F5E30">
      <w:pPr>
        <w:snapToGrid w:val="0"/>
        <w:spacing w:line="360" w:lineRule="auto"/>
        <w:jc w:val="left"/>
        <w:rPr>
          <w:rFonts w:hint="eastAsia" w:ascii="宋体" w:hAnsi="宋体"/>
          <w:color w:val="auto"/>
          <w:szCs w:val="21"/>
          <w:highlight w:val="none"/>
        </w:rPr>
      </w:pPr>
    </w:p>
    <w:p w14:paraId="41BD56C7">
      <w:pPr>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注：</w:t>
      </w:r>
    </w:p>
    <w:p w14:paraId="6C35FAD7">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1.管理关系：是指不具有出资持股关系的其他单位之间存在的管理与被管理关系，如一些上下级关系的事业单位和团体组织。</w:t>
      </w:r>
    </w:p>
    <w:p w14:paraId="4B3F5029">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pacing w:val="-6"/>
          <w:szCs w:val="21"/>
          <w:highlight w:val="none"/>
        </w:rPr>
        <w:t>本表所指的管理关系仅限于直接管理关系，不包括间接的管理关系。</w:t>
      </w:r>
    </w:p>
    <w:p w14:paraId="16C34BB3">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3.供应商不存在直接管理关系的，则填“无”。</w:t>
      </w:r>
    </w:p>
    <w:p w14:paraId="473731EC">
      <w:pPr>
        <w:snapToGrid w:val="0"/>
        <w:spacing w:line="360" w:lineRule="auto"/>
        <w:jc w:val="left"/>
        <w:rPr>
          <w:color w:val="auto"/>
          <w:sz w:val="24"/>
          <w:highlight w:val="none"/>
        </w:rPr>
      </w:pPr>
    </w:p>
    <w:p w14:paraId="2F8FA194">
      <w:pPr>
        <w:snapToGrid w:val="0"/>
        <w:spacing w:line="360" w:lineRule="auto"/>
        <w:jc w:val="left"/>
        <w:rPr>
          <w:rFonts w:hint="eastAsia" w:ascii="宋体" w:hAnsi="宋体"/>
          <w:color w:val="auto"/>
          <w:sz w:val="24"/>
          <w:highlight w:val="none"/>
        </w:rPr>
      </w:pPr>
    </w:p>
    <w:p w14:paraId="54B9FCF5">
      <w:pPr>
        <w:snapToGrid w:val="0"/>
        <w:spacing w:line="360" w:lineRule="auto"/>
        <w:jc w:val="left"/>
        <w:rPr>
          <w:rFonts w:hint="eastAsia" w:ascii="宋体" w:hAnsi="宋体"/>
          <w:color w:val="auto"/>
          <w:sz w:val="24"/>
          <w:highlight w:val="none"/>
        </w:rPr>
      </w:pPr>
    </w:p>
    <w:p w14:paraId="28418027">
      <w:pPr>
        <w:autoSpaceDE w:val="0"/>
        <w:autoSpaceDN w:val="0"/>
        <w:spacing w:line="360" w:lineRule="exact"/>
        <w:ind w:left="4365" w:leftChars="1850" w:hanging="480" w:hanging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70E756E6">
      <w:pPr>
        <w:autoSpaceDE w:val="0"/>
        <w:autoSpaceDN w:val="0"/>
        <w:spacing w:line="360" w:lineRule="exact"/>
        <w:ind w:left="4365" w:leftChars="1850" w:hanging="480" w:hangingChars="200"/>
        <w:jc w:val="left"/>
        <w:rPr>
          <w:rFonts w:hint="eastAsia" w:ascii="宋体" w:hAnsi="宋体" w:eastAsia="宋体" w:cs="宋体"/>
          <w:b/>
          <w:bCs/>
          <w:color w:val="auto"/>
          <w:kern w:val="0"/>
          <w:sz w:val="28"/>
          <w:szCs w:val="28"/>
          <w:highlight w:val="none"/>
        </w:rPr>
      </w:pPr>
      <w:r>
        <w:rPr>
          <w:rFonts w:hint="eastAsia" w:ascii="宋体" w:hAnsi="宋体" w:eastAsia="宋体" w:cs="宋体"/>
          <w:color w:val="auto"/>
          <w:kern w:val="0"/>
          <w:sz w:val="24"/>
          <w:szCs w:val="24"/>
          <w:highlight w:val="none"/>
          <w:lang w:val="zh-CN"/>
        </w:rPr>
        <w:t>日期：</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年</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月   日</w:t>
      </w:r>
    </w:p>
    <w:p w14:paraId="1725D013">
      <w:pPr>
        <w:spacing w:line="320" w:lineRule="exact"/>
        <w:jc w:val="left"/>
        <w:rPr>
          <w:rFonts w:hint="eastAsia" w:ascii="宋体" w:hAnsi="宋体" w:eastAsia="宋体" w:cs="宋体"/>
          <w:b/>
          <w:bCs/>
          <w:color w:val="auto"/>
          <w:kern w:val="0"/>
          <w:sz w:val="28"/>
          <w:szCs w:val="28"/>
          <w:highlight w:val="none"/>
        </w:rPr>
      </w:pPr>
    </w:p>
    <w:p w14:paraId="2050AC8C">
      <w:pPr>
        <w:jc w:val="left"/>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br w:type="page"/>
      </w:r>
    </w:p>
    <w:p w14:paraId="57D6FD02">
      <w:pPr>
        <w:spacing w:line="320" w:lineRule="exact"/>
        <w:jc w:val="left"/>
        <w:rPr>
          <w:rFonts w:hint="eastAsia" w:ascii="宋体" w:hAnsi="宋体" w:eastAsia="宋体" w:cs="宋体"/>
          <w:color w:val="auto"/>
          <w:sz w:val="28"/>
          <w:szCs w:val="28"/>
          <w:highlight w:val="none"/>
        </w:rPr>
      </w:pPr>
      <w:r>
        <w:rPr>
          <w:rFonts w:hint="eastAsia" w:ascii="宋体" w:hAnsi="宋体" w:eastAsia="宋体" w:cs="宋体"/>
          <w:b/>
          <w:bCs/>
          <w:color w:val="auto"/>
          <w:kern w:val="0"/>
          <w:sz w:val="28"/>
          <w:szCs w:val="28"/>
          <w:highlight w:val="none"/>
        </w:rPr>
        <w:t>5</w:t>
      </w:r>
      <w:r>
        <w:rPr>
          <w:rFonts w:hint="eastAsia" w:ascii="宋体" w:hAnsi="宋体" w:eastAsia="宋体" w:cs="宋体"/>
          <w:b/>
          <w:color w:val="auto"/>
          <w:kern w:val="0"/>
          <w:sz w:val="28"/>
          <w:szCs w:val="28"/>
          <w:highlight w:val="none"/>
        </w:rPr>
        <w:t>.声明函的格式：</w:t>
      </w:r>
    </w:p>
    <w:p w14:paraId="5EEF04CC">
      <w:pPr>
        <w:spacing w:line="320" w:lineRule="exact"/>
        <w:jc w:val="center"/>
        <w:rPr>
          <w:rFonts w:hint="eastAsia" w:ascii="宋体" w:hAnsi="宋体" w:eastAsia="宋体" w:cs="Times New Roman"/>
          <w:b/>
          <w:color w:val="auto"/>
          <w:sz w:val="32"/>
          <w:szCs w:val="32"/>
          <w:highlight w:val="none"/>
        </w:rPr>
      </w:pPr>
    </w:p>
    <w:p w14:paraId="3DF3C0E9">
      <w:pPr>
        <w:spacing w:line="320" w:lineRule="exact"/>
        <w:jc w:val="center"/>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声明函</w:t>
      </w:r>
    </w:p>
    <w:p w14:paraId="78D8E45C">
      <w:pPr>
        <w:spacing w:line="320" w:lineRule="exact"/>
        <w:jc w:val="center"/>
        <w:rPr>
          <w:rFonts w:hint="eastAsia" w:ascii="宋体" w:hAnsi="宋体" w:eastAsia="宋体" w:cs="Times New Roman"/>
          <w:color w:val="auto"/>
          <w:sz w:val="24"/>
          <w:szCs w:val="20"/>
          <w:highlight w:val="none"/>
        </w:rPr>
      </w:pPr>
    </w:p>
    <w:p w14:paraId="6637D13B">
      <w:pPr>
        <w:spacing w:line="360" w:lineRule="exact"/>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bookmarkStart w:id="146" w:name="PO_3000001871_PM031"/>
      <w:r>
        <w:rPr>
          <w:rFonts w:hint="eastAsia" w:ascii="宋体" w:hAnsi="宋体" w:eastAsia="宋体" w:cs="宋体"/>
          <w:color w:val="auto"/>
          <w:sz w:val="24"/>
          <w:szCs w:val="24"/>
          <w:highlight w:val="none"/>
          <w:u w:val="single"/>
        </w:rPr>
        <w:t>广西科联招标中心有限公司</w:t>
      </w:r>
      <w:bookmarkEnd w:id="146"/>
      <w:r>
        <w:rPr>
          <w:rFonts w:hint="eastAsia" w:ascii="宋体" w:hAnsi="宋体" w:eastAsia="宋体" w:cs="宋体"/>
          <w:color w:val="auto"/>
          <w:sz w:val="24"/>
          <w:szCs w:val="24"/>
          <w:highlight w:val="none"/>
        </w:rPr>
        <w:t>：</w:t>
      </w:r>
    </w:p>
    <w:p w14:paraId="725FC546">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rPr>
        <w:t>系中华人民共和国合法供应商，经营地址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83C99BA">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我方愿意参加贵方组织的</w:t>
      </w:r>
      <w:bookmarkStart w:id="147" w:name="PO_3000001871_PM002_4"/>
      <w:r>
        <w:rPr>
          <w:rFonts w:hint="eastAsia" w:ascii="宋体" w:hAnsi="宋体" w:eastAsia="宋体" w:cs="宋体"/>
          <w:i/>
          <w:iCs/>
          <w:color w:val="auto"/>
          <w:sz w:val="24"/>
          <w:szCs w:val="24"/>
          <w:highlight w:val="none"/>
        </w:rPr>
        <w:t>（</w:t>
      </w:r>
      <w:bookmarkEnd w:id="147"/>
      <w:r>
        <w:rPr>
          <w:rFonts w:hint="eastAsia" w:ascii="宋体" w:hAnsi="宋体" w:eastAsia="宋体" w:cs="宋体"/>
          <w:i/>
          <w:iCs/>
          <w:color w:val="auto"/>
          <w:sz w:val="24"/>
          <w:szCs w:val="24"/>
          <w:highlight w:val="none"/>
          <w:u w:val="single"/>
        </w:rPr>
        <w:t>项目名称</w:t>
      </w:r>
      <w:r>
        <w:rPr>
          <w:rFonts w:hint="eastAsia" w:ascii="宋体" w:hAnsi="宋体" w:eastAsia="宋体" w:cs="宋体"/>
          <w:i/>
          <w:iCs/>
          <w:color w:val="auto"/>
          <w:sz w:val="24"/>
          <w:szCs w:val="24"/>
          <w:highlight w:val="none"/>
        </w:rPr>
        <w:t>）</w:t>
      </w:r>
      <w:r>
        <w:rPr>
          <w:rFonts w:hint="eastAsia" w:ascii="宋体" w:hAnsi="宋体" w:eastAsia="宋体" w:cs="宋体"/>
          <w:color w:val="auto"/>
          <w:sz w:val="24"/>
          <w:szCs w:val="24"/>
          <w:highlight w:val="none"/>
        </w:rPr>
        <w:t>项目的竞标，为便于贵方公正、择优地确定成交供应商及其竞标产品和服务，我方就本次竞标有关事项郑重声明如下：</w:t>
      </w:r>
    </w:p>
    <w:p w14:paraId="74FEC879">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1.我方向贵方提交的所有响应文件、资料都是准确的和真实的。</w:t>
      </w:r>
    </w:p>
    <w:p w14:paraId="6C162693">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24F63601">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3.在此，我方宣布同意如下：</w:t>
      </w:r>
    </w:p>
    <w:p w14:paraId="50EED012">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（1）将按谈判文件的约定履行合同责任和义务；</w:t>
      </w:r>
    </w:p>
    <w:p w14:paraId="57123F2C">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（2）已详细审查谈判文件的全部内容，包括澄清或者更正公告（如有）；</w:t>
      </w:r>
    </w:p>
    <w:p w14:paraId="221114A5">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（3）同意提供按照贵方可能要求的与谈判有关的一切数据或者资料。</w:t>
      </w:r>
    </w:p>
    <w:p w14:paraId="41C0ED0A">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w:t>
      </w:r>
    </w:p>
    <w:p w14:paraId="5AA4B673">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根据《中华人民共和国政府采购法实施条例》第五十条要求对政府采购合同进行公告，但政府采购合同中涉及国家秘密、商业秘密的内容除外。我方就对本次响应文件进行注明如下：（两项内容中必须选择一项）</w:t>
      </w:r>
    </w:p>
    <w:p w14:paraId="3904767F">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□我方本次响应文件</w:t>
      </w:r>
      <w:r>
        <w:rPr>
          <w:rFonts w:hint="eastAsia" w:ascii="宋体" w:hAnsi="宋体" w:eastAsia="宋体" w:cs="宋体"/>
          <w:color w:val="auto"/>
          <w:kern w:val="0"/>
          <w:sz w:val="24"/>
          <w:szCs w:val="24"/>
          <w:highlight w:val="none"/>
        </w:rPr>
        <w:t>内容中</w:t>
      </w:r>
      <w:r>
        <w:rPr>
          <w:rFonts w:hint="eastAsia" w:ascii="宋体" w:hAnsi="宋体" w:eastAsia="宋体" w:cs="宋体"/>
          <w:color w:val="auto"/>
          <w:sz w:val="24"/>
          <w:szCs w:val="24"/>
          <w:highlight w:val="none"/>
        </w:rPr>
        <w:t>未</w:t>
      </w:r>
      <w:r>
        <w:rPr>
          <w:rFonts w:hint="eastAsia" w:ascii="宋体" w:hAnsi="宋体" w:eastAsia="宋体" w:cs="宋体"/>
          <w:color w:val="auto"/>
          <w:kern w:val="0"/>
          <w:sz w:val="24"/>
          <w:szCs w:val="24"/>
          <w:highlight w:val="none"/>
        </w:rPr>
        <w:t>涉及商业秘密；</w:t>
      </w:r>
    </w:p>
    <w:p w14:paraId="3E20DAC2">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□我方本次响应文件</w:t>
      </w:r>
      <w:r>
        <w:rPr>
          <w:rFonts w:hint="eastAsia" w:ascii="宋体" w:hAnsi="宋体" w:eastAsia="宋体" w:cs="宋体"/>
          <w:color w:val="auto"/>
          <w:kern w:val="0"/>
          <w:sz w:val="24"/>
          <w:szCs w:val="24"/>
          <w:highlight w:val="none"/>
        </w:rPr>
        <w:t>涉及商业秘密的内容有：</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4567EDC2">
      <w:pPr>
        <w:tabs>
          <w:tab w:val="left" w:pos="939"/>
        </w:tabs>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6.以上事项如有虚假或者隐瞒，我方愿意承担一切后果，并不再寻求任何旨在减轻或者免除法律责任的辩解。</w:t>
      </w:r>
    </w:p>
    <w:p w14:paraId="394947E8">
      <w:pPr>
        <w:tabs>
          <w:tab w:val="left" w:pos="939"/>
        </w:tabs>
        <w:spacing w:line="360" w:lineRule="exact"/>
        <w:ind w:left="141" w:leftChars="67" w:firstLine="360" w:firstLineChars="15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76186749">
      <w:pPr>
        <w:tabs>
          <w:tab w:val="left" w:pos="939"/>
        </w:tabs>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注：如为联合体竞标，盖章处须加盖联合体各方公章，否则其响应文件作无效响应处理。</w:t>
      </w:r>
    </w:p>
    <w:p w14:paraId="7DF3EC2C">
      <w:pPr>
        <w:tabs>
          <w:tab w:val="left" w:pos="939"/>
        </w:tabs>
        <w:spacing w:line="360" w:lineRule="exact"/>
        <w:ind w:firstLine="480" w:firstLineChars="200"/>
        <w:contextualSpacing/>
        <w:rPr>
          <w:rFonts w:hint="eastAsia" w:ascii="宋体" w:hAnsi="宋体" w:eastAsia="宋体" w:cs="宋体"/>
          <w:color w:val="auto"/>
          <w:sz w:val="24"/>
          <w:szCs w:val="24"/>
          <w:highlight w:val="none"/>
        </w:rPr>
      </w:pPr>
    </w:p>
    <w:p w14:paraId="5FA67167">
      <w:pPr>
        <w:autoSpaceDE w:val="0"/>
        <w:autoSpaceDN w:val="0"/>
        <w:spacing w:line="360" w:lineRule="exact"/>
        <w:ind w:left="4365" w:leftChars="185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0526D9A6">
      <w:pPr>
        <w:autoSpaceDE w:val="0"/>
        <w:autoSpaceDN w:val="0"/>
        <w:spacing w:line="360" w:lineRule="exact"/>
        <w:ind w:firstLine="6120" w:firstLineChars="2550"/>
        <w:rPr>
          <w:rFonts w:hint="eastAsia" w:ascii="宋体" w:hAnsi="宋体" w:eastAsia="宋体" w:cs="宋体"/>
          <w:color w:val="auto"/>
          <w:kern w:val="0"/>
          <w:sz w:val="24"/>
          <w:szCs w:val="24"/>
          <w:highlight w:val="none"/>
          <w:lang w:val="zh-CN"/>
        </w:rPr>
        <w:sectPr>
          <w:footerReference r:id="rId9" w:type="default"/>
          <w:pgSz w:w="11910" w:h="16840"/>
          <w:pgMar w:top="1134" w:right="1134" w:bottom="1134" w:left="1134" w:header="720" w:footer="720" w:gutter="0"/>
          <w:cols w:space="720" w:num="1"/>
        </w:sectPr>
      </w:pPr>
      <w:r>
        <w:rPr>
          <w:rFonts w:hint="eastAsia" w:ascii="宋体" w:hAnsi="宋体" w:eastAsia="宋体" w:cs="宋体"/>
          <w:color w:val="auto"/>
          <w:kern w:val="0"/>
          <w:sz w:val="24"/>
          <w:szCs w:val="24"/>
          <w:highlight w:val="none"/>
          <w:lang w:val="zh-CN"/>
        </w:rPr>
        <w:t>日期：  年  月   日</w:t>
      </w:r>
    </w:p>
    <w:p w14:paraId="55530AE4">
      <w:pPr>
        <w:overflowPunct w:val="0"/>
        <w:spacing w:line="520" w:lineRule="exact"/>
        <w:rPr>
          <w:rFonts w:hint="eastAsia" w:ascii="宋体" w:hAnsi="宋体" w:eastAsia="宋体" w:cs="Times New Roman"/>
          <w:b/>
          <w:bCs/>
          <w:color w:val="auto"/>
          <w:sz w:val="32"/>
          <w:szCs w:val="32"/>
          <w:highlight w:val="none"/>
        </w:rPr>
      </w:pPr>
      <w:r>
        <w:rPr>
          <w:rFonts w:hint="eastAsia" w:ascii="宋体" w:hAnsi="宋体" w:eastAsia="宋体" w:cs="宋体"/>
          <w:b/>
          <w:color w:val="auto"/>
          <w:kern w:val="0"/>
          <w:sz w:val="28"/>
          <w:szCs w:val="28"/>
          <w:highlight w:val="none"/>
        </w:rPr>
        <w:t>6.联合体竞标协议书的格式：</w:t>
      </w:r>
    </w:p>
    <w:p w14:paraId="57B04256">
      <w:pPr>
        <w:spacing w:line="600" w:lineRule="exact"/>
        <w:jc w:val="center"/>
        <w:rPr>
          <w:rFonts w:hint="eastAsia" w:ascii="方正小标宋简体" w:hAnsi="方正小标宋简体" w:eastAsia="方正小标宋简体" w:cs="方正小标宋简体"/>
          <w:color w:val="auto"/>
          <w:sz w:val="44"/>
          <w:szCs w:val="44"/>
          <w:highlight w:val="none"/>
          <w:lang w:val="zh-CN"/>
        </w:rPr>
      </w:pPr>
    </w:p>
    <w:p w14:paraId="0FCC3EBB">
      <w:pPr>
        <w:spacing w:line="600" w:lineRule="exact"/>
        <w:jc w:val="center"/>
        <w:rPr>
          <w:rFonts w:hint="eastAsia" w:ascii="宋体" w:hAnsi="宋体" w:eastAsia="宋体" w:cs="宋体"/>
          <w:color w:val="auto"/>
          <w:sz w:val="44"/>
          <w:szCs w:val="44"/>
          <w:highlight w:val="none"/>
          <w:lang w:val="zh-CN"/>
        </w:rPr>
      </w:pPr>
      <w:r>
        <w:rPr>
          <w:rFonts w:hint="eastAsia" w:ascii="宋体" w:hAnsi="宋体" w:eastAsia="宋体" w:cs="宋体"/>
          <w:b/>
          <w:bCs/>
          <w:color w:val="auto"/>
          <w:sz w:val="32"/>
          <w:szCs w:val="32"/>
          <w:highlight w:val="none"/>
          <w:lang w:val="zh-CN"/>
        </w:rPr>
        <w:t>联合体竞标协议书</w:t>
      </w:r>
    </w:p>
    <w:p w14:paraId="40F0ACA1">
      <w:pPr>
        <w:autoSpaceDE w:val="0"/>
        <w:autoSpaceDN w:val="0"/>
        <w:adjustRightInd w:val="0"/>
        <w:spacing w:line="360" w:lineRule="auto"/>
        <w:jc w:val="left"/>
        <w:rPr>
          <w:rFonts w:hint="eastAsia" w:ascii="宋体" w:hAnsi="宋体" w:eastAsia="宋体" w:cs="宋体"/>
          <w:color w:val="auto"/>
          <w:kern w:val="0"/>
          <w:szCs w:val="21"/>
          <w:highlight w:val="none"/>
          <w:u w:val="single"/>
        </w:rPr>
      </w:pPr>
    </w:p>
    <w:p w14:paraId="421F9449">
      <w:pPr>
        <w:autoSpaceDE w:val="0"/>
        <w:autoSpaceDN w:val="0"/>
        <w:adjustRightInd w:val="0"/>
        <w:spacing w:line="3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（所有成员单位名称）自愿组成联合体，共同参加</w:t>
      </w:r>
      <w:r>
        <w:rPr>
          <w:rFonts w:hint="eastAsia" w:ascii="宋体" w:hAnsi="宋体" w:eastAsia="宋体" w:cs="宋体"/>
          <w:color w:val="auto"/>
          <w:kern w:val="0"/>
          <w:sz w:val="24"/>
          <w:szCs w:val="24"/>
          <w:highlight w:val="none"/>
          <w:u w:val="single"/>
        </w:rPr>
        <w:t xml:space="preserve"> </w:t>
      </w:r>
      <w:bookmarkStart w:id="148" w:name="PO_3000001871_PM031_4"/>
      <w:r>
        <w:rPr>
          <w:rFonts w:hint="eastAsia" w:ascii="宋体" w:hAnsi="宋体" w:eastAsia="宋体" w:cs="宋体"/>
          <w:color w:val="auto"/>
          <w:kern w:val="0"/>
          <w:sz w:val="24"/>
          <w:szCs w:val="24"/>
          <w:highlight w:val="none"/>
          <w:u w:val="single"/>
        </w:rPr>
        <w:t>广西科联招标中心有限公司</w:t>
      </w:r>
      <w:bookmarkEnd w:id="148"/>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组织的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i/>
          <w:iCs/>
          <w:color w:val="auto"/>
          <w:kern w:val="0"/>
          <w:sz w:val="24"/>
          <w:szCs w:val="24"/>
          <w:highlight w:val="none"/>
          <w:u w:val="single"/>
        </w:rPr>
        <w:t xml:space="preserve"> （项目名称）</w:t>
      </w:r>
      <w:r>
        <w:rPr>
          <w:rFonts w:hint="eastAsia" w:ascii="宋体" w:hAnsi="宋体" w:eastAsia="宋体" w:cs="宋体"/>
          <w:color w:val="auto"/>
          <w:kern w:val="0"/>
          <w:sz w:val="24"/>
          <w:szCs w:val="24"/>
          <w:highlight w:val="none"/>
          <w:u w:val="single"/>
        </w:rPr>
        <w:t xml:space="preserve"> </w:t>
      </w:r>
      <w:bookmarkStart w:id="149" w:name="PO_3000001871_PM001_4"/>
      <w:r>
        <w:rPr>
          <w:rFonts w:hint="eastAsia" w:ascii="宋体" w:hAnsi="宋体" w:eastAsia="宋体" w:cs="宋体"/>
          <w:i/>
          <w:iCs/>
          <w:color w:val="auto"/>
          <w:kern w:val="0"/>
          <w:sz w:val="24"/>
          <w:szCs w:val="24"/>
          <w:highlight w:val="none"/>
        </w:rPr>
        <w:t>（</w:t>
      </w:r>
      <w:bookmarkEnd w:id="149"/>
      <w:r>
        <w:rPr>
          <w:rFonts w:hint="eastAsia" w:ascii="宋体" w:hAnsi="宋体" w:eastAsia="宋体" w:cs="宋体"/>
          <w:i/>
          <w:iCs/>
          <w:color w:val="auto"/>
          <w:kern w:val="0"/>
          <w:sz w:val="24"/>
          <w:szCs w:val="24"/>
          <w:highlight w:val="none"/>
          <w:u w:val="single"/>
        </w:rPr>
        <w:t xml:space="preserve">  项目编号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）竞争性谈判采购。现就联合体竞标事宜订立如下协议：</w:t>
      </w:r>
    </w:p>
    <w:p w14:paraId="739056C0">
      <w:pPr>
        <w:autoSpaceDE w:val="0"/>
        <w:autoSpaceDN w:val="0"/>
        <w:adjustRightInd w:val="0"/>
        <w:spacing w:line="360" w:lineRule="exact"/>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（某成员单位名称）为联合体名称牵头人。</w:t>
      </w:r>
    </w:p>
    <w:p w14:paraId="2C7B5EB5">
      <w:pPr>
        <w:autoSpaceDE w:val="0"/>
        <w:autoSpaceDN w:val="0"/>
        <w:adjustRightInd w:val="0"/>
        <w:spacing w:line="360" w:lineRule="exact"/>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联合体牵头人合法代表联合体各成员负责本谈判项目响应文件编制和合同谈判活动，并代表联合体提交和接收相关的资料、信息及指示，并处理与之有关的一切事务，负责合同实施阶段的主办、组织和协调工作。</w:t>
      </w:r>
    </w:p>
    <w:p w14:paraId="27376A1B">
      <w:pPr>
        <w:autoSpaceDE w:val="0"/>
        <w:autoSpaceDN w:val="0"/>
        <w:adjustRightInd w:val="0"/>
        <w:spacing w:line="360" w:lineRule="exact"/>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3.联合体牵头人在本项目中签署和盖章的一切文件和处理的一切事宜，联合体各成员均予以承认。 联合体各成员将严格按照谈判文件、响应文件和合同的要求全面履行义务，并向采购人承担连带责任。</w:t>
      </w:r>
    </w:p>
    <w:p w14:paraId="1AF89B82">
      <w:pPr>
        <w:autoSpaceDE w:val="0"/>
        <w:autoSpaceDN w:val="0"/>
        <w:adjustRightInd w:val="0"/>
        <w:spacing w:line="360" w:lineRule="exact"/>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4.联合体各成员单位内部的职责分工如下：</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5C72A288">
      <w:pPr>
        <w:spacing w:line="360" w:lineRule="exact"/>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5</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本联合体中，</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（某成员单位名称）为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（请填写：中型、小型、微型）企业，其协议合同金额占联合体协议合同总金额的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%。【如联合体成员中有小型、微型企业的，请填写此条，否则无需填写；如联合体成员中有多个小型、微型企业的，请逐一列出。】</w:t>
      </w:r>
    </w:p>
    <w:p w14:paraId="110A7072">
      <w:pPr>
        <w:autoSpaceDE w:val="0"/>
        <w:autoSpaceDN w:val="0"/>
        <w:adjustRightInd w:val="0"/>
        <w:spacing w:line="360" w:lineRule="exact"/>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6.本协议书自签署之日起生效，合同履行完毕后自动失效。</w:t>
      </w:r>
    </w:p>
    <w:p w14:paraId="293450DD">
      <w:pPr>
        <w:autoSpaceDE w:val="0"/>
        <w:autoSpaceDN w:val="0"/>
        <w:adjustRightInd w:val="0"/>
        <w:spacing w:line="360" w:lineRule="exact"/>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7.本协议书一式</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份，联合体成员和采购代理机构各执一份。</w:t>
      </w:r>
    </w:p>
    <w:p w14:paraId="27F1D26F">
      <w:pPr>
        <w:autoSpaceDE w:val="0"/>
        <w:autoSpaceDN w:val="0"/>
        <w:adjustRightInd w:val="0"/>
        <w:spacing w:line="360" w:lineRule="exact"/>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注：本协议书由法定代表人签字的，应附法定代表人身份证明；本协议书由委托代理人签字的，应附法定代表人授权委托书。</w:t>
      </w:r>
    </w:p>
    <w:p w14:paraId="71858DE3">
      <w:pPr>
        <w:autoSpaceDE w:val="0"/>
        <w:autoSpaceDN w:val="0"/>
        <w:adjustRightInd w:val="0"/>
        <w:spacing w:line="3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牵头人名称：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14:paraId="6D2CCA4C">
      <w:pPr>
        <w:autoSpaceDE w:val="0"/>
        <w:autoSpaceDN w:val="0"/>
        <w:adjustRightInd w:val="0"/>
        <w:spacing w:line="3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（签字）</w:t>
      </w:r>
    </w:p>
    <w:p w14:paraId="14F44CFE">
      <w:pPr>
        <w:autoSpaceDE w:val="0"/>
        <w:autoSpaceDN w:val="0"/>
        <w:adjustRightInd w:val="0"/>
        <w:spacing w:line="360" w:lineRule="exact"/>
        <w:jc w:val="left"/>
        <w:rPr>
          <w:rFonts w:hint="eastAsia" w:ascii="宋体" w:hAnsi="宋体" w:eastAsia="宋体" w:cs="宋体"/>
          <w:color w:val="auto"/>
          <w:kern w:val="0"/>
          <w:sz w:val="24"/>
          <w:szCs w:val="24"/>
          <w:highlight w:val="none"/>
        </w:rPr>
      </w:pPr>
    </w:p>
    <w:p w14:paraId="360CFC0C">
      <w:pPr>
        <w:autoSpaceDE w:val="0"/>
        <w:autoSpaceDN w:val="0"/>
        <w:adjustRightInd w:val="0"/>
        <w:spacing w:line="3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成员一名称：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14:paraId="49C813FF">
      <w:pPr>
        <w:autoSpaceDE w:val="0"/>
        <w:autoSpaceDN w:val="0"/>
        <w:adjustRightInd w:val="0"/>
        <w:spacing w:line="3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（签字）</w:t>
      </w:r>
    </w:p>
    <w:p w14:paraId="2301FA5A">
      <w:pPr>
        <w:autoSpaceDE w:val="0"/>
        <w:autoSpaceDN w:val="0"/>
        <w:adjustRightInd w:val="0"/>
        <w:spacing w:line="360" w:lineRule="exact"/>
        <w:jc w:val="left"/>
        <w:rPr>
          <w:rFonts w:hint="eastAsia" w:ascii="宋体" w:hAnsi="宋体" w:eastAsia="宋体" w:cs="宋体"/>
          <w:color w:val="auto"/>
          <w:kern w:val="0"/>
          <w:szCs w:val="21"/>
          <w:highlight w:val="none"/>
        </w:rPr>
      </w:pPr>
    </w:p>
    <w:p w14:paraId="76A451B3">
      <w:pPr>
        <w:autoSpaceDE w:val="0"/>
        <w:autoSpaceDN w:val="0"/>
        <w:adjustRightInd w:val="0"/>
        <w:spacing w:line="3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成员二名称：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14:paraId="2830D2BE">
      <w:pPr>
        <w:autoSpaceDE w:val="0"/>
        <w:autoSpaceDN w:val="0"/>
        <w:adjustRightInd w:val="0"/>
        <w:spacing w:line="3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                         （签字）</w:t>
      </w:r>
    </w:p>
    <w:p w14:paraId="5B159BF3">
      <w:pPr>
        <w:pStyle w:val="7"/>
        <w:overflowPunct w:val="0"/>
        <w:spacing w:line="360" w:lineRule="exact"/>
        <w:ind w:firstLineChars="175"/>
        <w:rPr>
          <w:rFonts w:hint="eastAsia" w:ascii="宋体" w:hAnsi="宋体" w:cs="宋体"/>
          <w:color w:val="auto"/>
          <w:sz w:val="24"/>
          <w:highlight w:val="none"/>
        </w:rPr>
      </w:pPr>
      <w:r>
        <w:rPr>
          <w:rFonts w:hint="eastAsia" w:ascii="宋体" w:hAnsi="宋体" w:cs="宋体"/>
          <w:color w:val="auto"/>
          <w:sz w:val="24"/>
          <w:highlight w:val="none"/>
        </w:rPr>
        <w:t>……</w:t>
      </w:r>
    </w:p>
    <w:p w14:paraId="09D91EA8">
      <w:pPr>
        <w:autoSpaceDE w:val="0"/>
        <w:autoSpaceDN w:val="0"/>
        <w:adjustRightInd w:val="0"/>
        <w:spacing w:line="360" w:lineRule="exact"/>
        <w:jc w:val="left"/>
        <w:rPr>
          <w:rFonts w:hint="eastAsia" w:ascii="宋体" w:hAnsi="宋体" w:eastAsia="宋体" w:cs="宋体"/>
          <w:color w:val="auto"/>
          <w:kern w:val="0"/>
          <w:sz w:val="24"/>
          <w:szCs w:val="24"/>
          <w:highlight w:val="none"/>
        </w:rPr>
      </w:pPr>
    </w:p>
    <w:p w14:paraId="2E0A8299">
      <w:pPr>
        <w:autoSpaceDE w:val="0"/>
        <w:autoSpaceDN w:val="0"/>
        <w:adjustRightInd w:val="0"/>
        <w:spacing w:line="360" w:lineRule="exact"/>
        <w:jc w:val="left"/>
        <w:rPr>
          <w:rFonts w:hint="eastAsia" w:ascii="宋体" w:hAnsi="宋体" w:eastAsia="宋体" w:cs="宋体"/>
          <w:color w:val="auto"/>
          <w:kern w:val="0"/>
          <w:sz w:val="24"/>
          <w:szCs w:val="24"/>
          <w:highlight w:val="none"/>
        </w:rPr>
      </w:pPr>
    </w:p>
    <w:p w14:paraId="0F810819">
      <w:pPr>
        <w:autoSpaceDE w:val="0"/>
        <w:autoSpaceDN w:val="0"/>
        <w:spacing w:line="360" w:lineRule="exact"/>
        <w:ind w:left="4365" w:leftChars="1850" w:hanging="480" w:hangingChars="200"/>
        <w:rPr>
          <w:rFonts w:hint="eastAsia" w:ascii="宋体" w:hAnsi="宋体" w:eastAsia="宋体" w:cs="宋体"/>
          <w:color w:val="auto"/>
          <w:kern w:val="0"/>
          <w:sz w:val="24"/>
          <w:szCs w:val="24"/>
          <w:highlight w:val="none"/>
        </w:rPr>
      </w:pPr>
    </w:p>
    <w:p w14:paraId="7BE94EAA">
      <w:pPr>
        <w:autoSpaceDE w:val="0"/>
        <w:autoSpaceDN w:val="0"/>
        <w:spacing w:line="360" w:lineRule="exact"/>
        <w:ind w:firstLine="6120" w:firstLineChars="255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77D08DA5">
      <w:pPr>
        <w:autoSpaceDE w:val="0"/>
        <w:autoSpaceDN w:val="0"/>
        <w:spacing w:line="360" w:lineRule="exact"/>
        <w:ind w:firstLine="6120" w:firstLineChars="2550"/>
        <w:rPr>
          <w:rFonts w:hint="eastAsia" w:ascii="仿宋_GB2312" w:hAnsi="仿宋" w:eastAsia="仿宋_GB2312" w:cs="仿宋_GB2312"/>
          <w:color w:val="auto"/>
          <w:kern w:val="0"/>
          <w:sz w:val="24"/>
          <w:szCs w:val="24"/>
          <w:highlight w:val="none"/>
          <w:lang w:val="zh-CN"/>
        </w:rPr>
      </w:pPr>
    </w:p>
    <w:p w14:paraId="4F5E65E1">
      <w:pPr>
        <w:autoSpaceDE w:val="0"/>
        <w:autoSpaceDN w:val="0"/>
        <w:spacing w:line="360" w:lineRule="auto"/>
        <w:ind w:firstLine="6120" w:firstLineChars="2550"/>
        <w:rPr>
          <w:rFonts w:hint="eastAsia" w:ascii="仿宋_GB2312" w:hAnsi="仿宋" w:eastAsia="仿宋_GB2312" w:cs="仿宋_GB2312"/>
          <w:color w:val="auto"/>
          <w:kern w:val="0"/>
          <w:sz w:val="24"/>
          <w:szCs w:val="24"/>
          <w:highlight w:val="none"/>
          <w:lang w:val="zh-CN"/>
        </w:rPr>
      </w:pPr>
    </w:p>
    <w:p w14:paraId="7B77D4DE">
      <w:pPr>
        <w:keepNext/>
        <w:keepLines/>
        <w:spacing w:before="260" w:after="260" w:line="416" w:lineRule="auto"/>
        <w:jc w:val="center"/>
        <w:outlineLvl w:val="1"/>
        <w:rPr>
          <w:rFonts w:hint="eastAsia" w:ascii="宋体" w:hAnsi="宋体" w:eastAsia="宋体" w:cs="Times New Roman"/>
          <w:bCs/>
          <w:color w:val="auto"/>
          <w:sz w:val="32"/>
          <w:szCs w:val="32"/>
          <w:highlight w:val="none"/>
          <w:lang w:val="zh-CN"/>
        </w:rPr>
      </w:pPr>
      <w:bookmarkStart w:id="150" w:name="_Toc26899"/>
      <w:bookmarkStart w:id="151" w:name="_Toc798"/>
      <w:bookmarkStart w:id="152" w:name="_Toc80205940"/>
      <w:r>
        <w:rPr>
          <w:rFonts w:hint="eastAsia" w:ascii="宋体" w:hAnsi="宋体" w:eastAsia="宋体" w:cs="Times New Roman"/>
          <w:color w:val="auto"/>
          <w:sz w:val="32"/>
          <w:szCs w:val="32"/>
          <w:highlight w:val="none"/>
          <w:lang w:val="zh-CN"/>
        </w:rPr>
        <w:t xml:space="preserve">第二节 </w:t>
      </w:r>
      <w:r>
        <w:rPr>
          <w:rFonts w:hint="eastAsia" w:ascii="宋体" w:hAnsi="宋体" w:eastAsia="宋体" w:cs="Times New Roman"/>
          <w:bCs/>
          <w:color w:val="auto"/>
          <w:sz w:val="32"/>
          <w:szCs w:val="32"/>
          <w:highlight w:val="none"/>
          <w:lang w:val="zh-CN"/>
        </w:rPr>
        <w:t>商务技术文件格式</w:t>
      </w:r>
      <w:bookmarkEnd w:id="150"/>
      <w:bookmarkEnd w:id="151"/>
      <w:bookmarkEnd w:id="152"/>
    </w:p>
    <w:p w14:paraId="28AE7E6A">
      <w:pPr>
        <w:snapToGrid w:val="0"/>
        <w:spacing w:before="120" w:beforeLines="50" w:after="50"/>
        <w:rPr>
          <w:rFonts w:hint="eastAsia" w:ascii="宋体" w:hAnsi="宋体" w:eastAsia="宋体" w:cs="Times New Roman"/>
          <w:color w:val="auto"/>
          <w:sz w:val="24"/>
          <w:szCs w:val="24"/>
          <w:highlight w:val="none"/>
        </w:rPr>
      </w:pPr>
      <w:r>
        <w:rPr>
          <w:rFonts w:hint="eastAsia" w:ascii="宋体" w:hAnsi="宋体" w:cs="宋体"/>
          <w:b/>
          <w:color w:val="auto"/>
          <w:sz w:val="28"/>
          <w:szCs w:val="28"/>
          <w:highlight w:val="none"/>
        </w:rPr>
        <w:t>1.</w:t>
      </w:r>
      <w:r>
        <w:rPr>
          <w:rFonts w:hint="eastAsia" w:ascii="宋体" w:hAnsi="宋体" w:eastAsia="宋体" w:cs="宋体"/>
          <w:b/>
          <w:color w:val="auto"/>
          <w:sz w:val="28"/>
          <w:szCs w:val="28"/>
          <w:highlight w:val="none"/>
        </w:rPr>
        <w:t>商务技术文件封面</w:t>
      </w:r>
      <w:r>
        <w:rPr>
          <w:rFonts w:hint="eastAsia" w:ascii="宋体" w:hAnsi="宋体" w:cs="宋体"/>
          <w:b/>
          <w:color w:val="auto"/>
          <w:sz w:val="28"/>
          <w:szCs w:val="28"/>
          <w:highlight w:val="none"/>
        </w:rPr>
        <w:t>的</w:t>
      </w:r>
      <w:r>
        <w:rPr>
          <w:rFonts w:hint="eastAsia" w:ascii="宋体" w:hAnsi="宋体" w:eastAsia="宋体" w:cs="宋体"/>
          <w:b/>
          <w:color w:val="auto"/>
          <w:sz w:val="28"/>
          <w:szCs w:val="28"/>
          <w:highlight w:val="none"/>
        </w:rPr>
        <w:t>格式</w:t>
      </w:r>
      <w:r>
        <w:rPr>
          <w:rFonts w:hint="eastAsia" w:ascii="宋体" w:hAnsi="宋体" w:eastAsia="宋体" w:cs="宋体"/>
          <w:b/>
          <w:bCs/>
          <w:color w:val="auto"/>
          <w:sz w:val="28"/>
          <w:szCs w:val="28"/>
          <w:highlight w:val="none"/>
        </w:rPr>
        <w:t>（参照此格式自拟）</w:t>
      </w:r>
      <w:r>
        <w:rPr>
          <w:rFonts w:hint="eastAsia" w:ascii="宋体" w:hAnsi="宋体" w:eastAsia="宋体" w:cs="宋体"/>
          <w:b/>
          <w:color w:val="auto"/>
          <w:sz w:val="28"/>
          <w:szCs w:val="28"/>
          <w:highlight w:val="none"/>
        </w:rPr>
        <w:t>：</w:t>
      </w:r>
      <w:r>
        <w:rPr>
          <w:rFonts w:hint="eastAsia" w:ascii="宋体" w:hAnsi="宋体" w:eastAsia="宋体" w:cs="Times New Roman"/>
          <w:color w:val="auto"/>
          <w:sz w:val="24"/>
          <w:szCs w:val="24"/>
          <w:highlight w:val="none"/>
        </w:rPr>
        <w:t xml:space="preserve">                                                   </w:t>
      </w:r>
    </w:p>
    <w:p w14:paraId="7FCA7E61">
      <w:pPr>
        <w:snapToGrid w:val="0"/>
        <w:spacing w:before="120" w:beforeLines="50" w:after="50"/>
        <w:ind w:firstLine="6480" w:firstLineChars="2700"/>
        <w:rPr>
          <w:rFonts w:hint="eastAsia"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14:paraId="06A8831A">
      <w:pPr>
        <w:snapToGrid w:val="0"/>
        <w:spacing w:before="120" w:beforeLines="50" w:after="50"/>
        <w:rPr>
          <w:rFonts w:hint="eastAsia" w:ascii="宋体" w:hAnsi="宋体" w:eastAsia="宋体" w:cs="Times New Roman"/>
          <w:color w:val="auto"/>
          <w:sz w:val="24"/>
          <w:szCs w:val="20"/>
          <w:highlight w:val="none"/>
        </w:rPr>
      </w:pPr>
    </w:p>
    <w:p w14:paraId="45D74747">
      <w:pPr>
        <w:snapToGrid w:val="0"/>
        <w:spacing w:before="120" w:beforeLines="50" w:after="50"/>
        <w:rPr>
          <w:rFonts w:hint="eastAsia" w:ascii="宋体" w:hAnsi="宋体" w:eastAsia="宋体" w:cs="Times New Roman"/>
          <w:color w:val="auto"/>
          <w:sz w:val="24"/>
          <w:szCs w:val="20"/>
          <w:highlight w:val="none"/>
        </w:rPr>
      </w:pPr>
    </w:p>
    <w:p w14:paraId="46F7E94D">
      <w:pPr>
        <w:snapToGrid w:val="0"/>
        <w:spacing w:before="120" w:beforeLines="50" w:after="50"/>
        <w:rPr>
          <w:rFonts w:hint="eastAsia" w:ascii="宋体" w:hAnsi="宋体" w:eastAsia="宋体" w:cs="Times New Roman"/>
          <w:color w:val="auto"/>
          <w:sz w:val="24"/>
          <w:szCs w:val="20"/>
          <w:highlight w:val="none"/>
        </w:rPr>
      </w:pPr>
    </w:p>
    <w:p w14:paraId="3331DB8E">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3C275D58">
      <w:pPr>
        <w:snapToGrid w:val="0"/>
        <w:spacing w:before="120" w:beforeLines="50" w:after="50"/>
        <w:rPr>
          <w:rFonts w:hint="eastAsia" w:ascii="宋体" w:hAnsi="宋体" w:eastAsia="宋体" w:cs="Times New Roman"/>
          <w:bCs/>
          <w:color w:val="auto"/>
          <w:sz w:val="24"/>
          <w:szCs w:val="20"/>
          <w:highlight w:val="none"/>
        </w:rPr>
      </w:pPr>
    </w:p>
    <w:p w14:paraId="1D916742">
      <w:pPr>
        <w:snapToGrid w:val="0"/>
        <w:spacing w:before="120" w:beforeLines="50" w:after="50"/>
        <w:rPr>
          <w:rFonts w:hint="eastAsia" w:ascii="宋体" w:hAnsi="宋体" w:eastAsia="宋体" w:cs="Times New Roman"/>
          <w:bCs/>
          <w:color w:val="auto"/>
          <w:sz w:val="24"/>
          <w:szCs w:val="20"/>
          <w:highlight w:val="none"/>
        </w:rPr>
      </w:pPr>
    </w:p>
    <w:p w14:paraId="3801CAC2">
      <w:pPr>
        <w:snapToGrid w:val="0"/>
        <w:spacing w:before="120" w:beforeLines="50" w:after="50"/>
        <w:rPr>
          <w:rFonts w:hint="eastAsia" w:ascii="宋体" w:hAnsi="宋体" w:eastAsia="宋体" w:cs="Times New Roman"/>
          <w:bCs/>
          <w:color w:val="auto"/>
          <w:sz w:val="24"/>
          <w:szCs w:val="20"/>
          <w:highlight w:val="none"/>
        </w:rPr>
      </w:pPr>
    </w:p>
    <w:p w14:paraId="01A1ED30">
      <w:pPr>
        <w:snapToGrid w:val="0"/>
        <w:spacing w:before="120" w:beforeLines="50" w:after="50"/>
        <w:rPr>
          <w:rFonts w:hint="eastAsia" w:ascii="宋体" w:hAnsi="宋体" w:eastAsia="宋体" w:cs="Times New Roman"/>
          <w:bCs/>
          <w:color w:val="auto"/>
          <w:sz w:val="24"/>
          <w:szCs w:val="20"/>
          <w:highlight w:val="none"/>
        </w:rPr>
      </w:pPr>
    </w:p>
    <w:p w14:paraId="64BB52FC">
      <w:pPr>
        <w:snapToGrid w:val="0"/>
        <w:spacing w:before="120" w:beforeLines="50" w:after="50"/>
        <w:rPr>
          <w:rFonts w:hint="eastAsia" w:ascii="宋体" w:hAnsi="宋体" w:eastAsia="宋体" w:cs="Times New Roman"/>
          <w:bCs/>
          <w:color w:val="auto"/>
          <w:sz w:val="24"/>
          <w:szCs w:val="20"/>
          <w:highlight w:val="none"/>
        </w:rPr>
      </w:pPr>
    </w:p>
    <w:p w14:paraId="43D1469C">
      <w:pPr>
        <w:snapToGrid w:val="0"/>
        <w:spacing w:before="120"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项目名称： </w:t>
      </w:r>
    </w:p>
    <w:p w14:paraId="73906D66">
      <w:pPr>
        <w:snapToGrid w:val="0"/>
        <w:spacing w:before="120" w:beforeLines="50" w:after="50"/>
        <w:ind w:firstLine="720" w:firstLineChars="225"/>
        <w:rPr>
          <w:rFonts w:hint="eastAsia" w:ascii="宋体" w:hAnsi="宋体" w:eastAsia="宋体" w:cs="仿宋_GB2312"/>
          <w:bCs/>
          <w:color w:val="auto"/>
          <w:sz w:val="32"/>
          <w:szCs w:val="32"/>
          <w:highlight w:val="none"/>
        </w:rPr>
      </w:pPr>
    </w:p>
    <w:p w14:paraId="493341E1">
      <w:pPr>
        <w:snapToGrid w:val="0"/>
        <w:spacing w:before="120"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项目编号： </w:t>
      </w:r>
    </w:p>
    <w:p w14:paraId="7B0F40BD">
      <w:pPr>
        <w:snapToGrid w:val="0"/>
        <w:spacing w:before="120" w:beforeLines="50" w:after="50"/>
        <w:ind w:firstLine="720" w:firstLineChars="225"/>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14:paraId="0D08DA88">
      <w:pPr>
        <w:snapToGrid w:val="0"/>
        <w:spacing w:before="120"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14:paraId="3ADF9F02">
      <w:pPr>
        <w:snapToGrid w:val="0"/>
        <w:spacing w:before="120" w:beforeLines="50" w:after="50"/>
        <w:ind w:firstLine="720" w:firstLineChars="225"/>
        <w:rPr>
          <w:rFonts w:hint="eastAsia" w:ascii="宋体" w:hAnsi="宋体" w:eastAsia="宋体" w:cs="仿宋_GB2312"/>
          <w:bCs/>
          <w:color w:val="auto"/>
          <w:sz w:val="32"/>
          <w:szCs w:val="32"/>
          <w:highlight w:val="none"/>
        </w:rPr>
      </w:pPr>
    </w:p>
    <w:p w14:paraId="7597F891">
      <w:pPr>
        <w:snapToGrid w:val="0"/>
        <w:spacing w:before="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14:paraId="00D273F1">
      <w:pPr>
        <w:snapToGrid w:val="0"/>
        <w:spacing w:before="50" w:after="50"/>
        <w:ind w:firstLine="720" w:firstLineChars="225"/>
        <w:rPr>
          <w:rFonts w:hint="eastAsia" w:ascii="宋体" w:hAnsi="宋体" w:eastAsia="宋体" w:cs="仿宋_GB2312"/>
          <w:bCs/>
          <w:color w:val="auto"/>
          <w:sz w:val="32"/>
          <w:szCs w:val="32"/>
          <w:highlight w:val="none"/>
        </w:rPr>
      </w:pPr>
    </w:p>
    <w:p w14:paraId="149F6FBE">
      <w:pPr>
        <w:snapToGrid w:val="0"/>
        <w:spacing w:before="50" w:after="50"/>
        <w:ind w:firstLine="720" w:firstLineChars="225"/>
        <w:rPr>
          <w:rFonts w:hint="eastAsia" w:ascii="宋体" w:hAnsi="宋体" w:eastAsia="宋体" w:cs="仿宋_GB2312"/>
          <w:bCs/>
          <w:color w:val="auto"/>
          <w:sz w:val="32"/>
          <w:szCs w:val="32"/>
          <w:highlight w:val="none"/>
        </w:rPr>
      </w:pPr>
    </w:p>
    <w:p w14:paraId="71448499">
      <w:pPr>
        <w:snapToGrid w:val="0"/>
        <w:spacing w:before="50" w:after="50"/>
        <w:ind w:firstLine="1280" w:firstLineChars="400"/>
        <w:rPr>
          <w:rFonts w:hint="eastAsia" w:ascii="宋体" w:hAnsi="宋体" w:eastAsia="宋体" w:cs="仿宋_GB2312"/>
          <w:bCs/>
          <w:color w:val="auto"/>
          <w:sz w:val="32"/>
          <w:szCs w:val="32"/>
          <w:highlight w:val="none"/>
        </w:rPr>
      </w:pPr>
    </w:p>
    <w:p w14:paraId="620E47D3">
      <w:pPr>
        <w:snapToGrid w:val="0"/>
        <w:spacing w:before="120" w:beforeLines="50" w:after="50"/>
        <w:jc w:val="center"/>
        <w:rPr>
          <w:rFonts w:hint="eastAsia"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14:paraId="3470263F">
      <w:pPr>
        <w:spacing w:line="360" w:lineRule="auto"/>
        <w:ind w:right="420"/>
        <w:rPr>
          <w:rFonts w:hint="eastAsia" w:ascii="宋体" w:hAnsi="宋体" w:cs="宋体"/>
          <w:color w:val="auto"/>
          <w:sz w:val="24"/>
          <w:szCs w:val="20"/>
          <w:highlight w:val="none"/>
        </w:rPr>
      </w:pPr>
      <w:r>
        <w:rPr>
          <w:rFonts w:ascii="宋体" w:hAnsi="宋体" w:eastAsia="宋体" w:cs="Times New Roman"/>
          <w:color w:val="auto"/>
          <w:sz w:val="24"/>
          <w:szCs w:val="24"/>
          <w:highlight w:val="none"/>
        </w:rPr>
        <w:br w:type="page"/>
      </w:r>
      <w:r>
        <w:rPr>
          <w:rFonts w:hint="eastAsia" w:ascii="宋体" w:hAnsi="宋体" w:eastAsia="宋体" w:cs="宋体"/>
          <w:b/>
          <w:bCs/>
          <w:color w:val="auto"/>
          <w:sz w:val="28"/>
          <w:szCs w:val="28"/>
          <w:highlight w:val="none"/>
        </w:rPr>
        <w:t>2.商务技术文件目录</w:t>
      </w:r>
    </w:p>
    <w:p w14:paraId="30BE04B1">
      <w:pPr>
        <w:spacing w:line="360" w:lineRule="auto"/>
        <w:rPr>
          <w:rFonts w:hint="eastAsia" w:ascii="仿宋_GB2312" w:hAnsi="仿宋" w:eastAsia="仿宋_GB2312" w:cs="仿宋_GB2312"/>
          <w:b/>
          <w:bCs/>
          <w:color w:val="auto"/>
          <w:sz w:val="24"/>
          <w:szCs w:val="24"/>
          <w:highlight w:val="none"/>
        </w:rPr>
      </w:pPr>
      <w:r>
        <w:rPr>
          <w:rFonts w:hint="eastAsia" w:ascii="宋体" w:hAnsi="宋体" w:eastAsia="宋体" w:cs="宋体"/>
          <w:color w:val="auto"/>
          <w:kern w:val="0"/>
          <w:sz w:val="24"/>
          <w:szCs w:val="24"/>
          <w:highlight w:val="none"/>
        </w:rPr>
        <w:t>根据竞争性谈判文件规定及供应商提供的材料自行编写目录（部分格式后附）。</w:t>
      </w:r>
    </w:p>
    <w:p w14:paraId="1BED9E56">
      <w:pPr>
        <w:snapToGrid w:val="0"/>
        <w:spacing w:before="120" w:beforeLines="50" w:after="50" w:line="360" w:lineRule="auto"/>
        <w:ind w:left="142" w:firstLine="640" w:firstLineChars="200"/>
        <w:jc w:val="left"/>
        <w:rPr>
          <w:rFonts w:hint="eastAsia" w:ascii="仿宋_GB2312" w:hAnsi="仿宋_GB2312" w:eastAsia="仿宋_GB2312" w:cs="仿宋_GB2312"/>
          <w:color w:val="auto"/>
          <w:sz w:val="32"/>
          <w:szCs w:val="32"/>
          <w:highlight w:val="none"/>
        </w:rPr>
      </w:pPr>
    </w:p>
    <w:p w14:paraId="41C63433">
      <w:pPr>
        <w:spacing w:line="520" w:lineRule="exact"/>
        <w:ind w:firstLine="220" w:firstLineChars="50"/>
        <w:jc w:val="left"/>
        <w:rPr>
          <w:rFonts w:hint="eastAsia" w:ascii="宋体" w:hAnsi="宋体" w:eastAsia="宋体" w:cs="宋体"/>
          <w:color w:val="auto"/>
          <w:sz w:val="28"/>
          <w:szCs w:val="28"/>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eastAsia="宋体" w:cs="宋体"/>
          <w:b/>
          <w:color w:val="auto"/>
          <w:sz w:val="28"/>
          <w:szCs w:val="28"/>
          <w:highlight w:val="none"/>
        </w:rPr>
        <w:t>3.无串通竞标行为的承诺函的格式：</w:t>
      </w:r>
    </w:p>
    <w:p w14:paraId="5EE9EFB1">
      <w:pPr>
        <w:spacing w:line="520" w:lineRule="exact"/>
        <w:jc w:val="center"/>
        <w:rPr>
          <w:rFonts w:hint="eastAsia" w:ascii="方正小标宋简体" w:hAnsi="方正小标宋简体" w:eastAsia="方正小标宋简体" w:cs="方正小标宋简体"/>
          <w:color w:val="auto"/>
          <w:sz w:val="44"/>
          <w:szCs w:val="44"/>
          <w:highlight w:val="none"/>
        </w:rPr>
      </w:pPr>
    </w:p>
    <w:p w14:paraId="175CA66A">
      <w:pPr>
        <w:spacing w:line="520" w:lineRule="exact"/>
        <w:jc w:val="center"/>
        <w:rPr>
          <w:rFonts w:hint="eastAsia" w:ascii="宋体" w:hAnsi="宋体" w:eastAsia="宋体" w:cs="宋体"/>
          <w:color w:val="auto"/>
          <w:sz w:val="36"/>
          <w:szCs w:val="36"/>
          <w:highlight w:val="none"/>
        </w:rPr>
      </w:pPr>
      <w:r>
        <w:rPr>
          <w:rFonts w:hint="eastAsia" w:ascii="宋体" w:hAnsi="宋体" w:eastAsia="宋体" w:cs="宋体"/>
          <w:b/>
          <w:bCs/>
          <w:color w:val="auto"/>
          <w:sz w:val="32"/>
          <w:szCs w:val="32"/>
          <w:highlight w:val="none"/>
        </w:rPr>
        <w:t>无串通竞标行为的承诺函</w:t>
      </w:r>
    </w:p>
    <w:p w14:paraId="24F861F3">
      <w:pPr>
        <w:spacing w:line="400" w:lineRule="exact"/>
        <w:contextualSpacing/>
        <w:rPr>
          <w:rFonts w:hint="eastAsia" w:ascii="仿宋_GB2312" w:hAnsi="仿宋_GB2312" w:eastAsia="仿宋_GB2312" w:cs="仿宋_GB2312"/>
          <w:color w:val="auto"/>
          <w:sz w:val="32"/>
          <w:szCs w:val="32"/>
          <w:highlight w:val="none"/>
        </w:rPr>
      </w:pPr>
    </w:p>
    <w:p w14:paraId="399C4385">
      <w:pPr>
        <w:spacing w:line="400" w:lineRule="exact"/>
        <w:ind w:firstLine="482" w:firstLineChars="200"/>
        <w:contextualSpacing/>
        <w:rPr>
          <w:rFonts w:hint="eastAsia" w:ascii="宋体" w:hAnsi="宋体" w:eastAsia="宋体" w:cs="仿宋_GB2312"/>
          <w:b/>
          <w:bCs/>
          <w:color w:val="auto"/>
          <w:sz w:val="24"/>
          <w:szCs w:val="24"/>
          <w:highlight w:val="none"/>
        </w:rPr>
      </w:pPr>
      <w:r>
        <w:rPr>
          <w:rFonts w:hint="eastAsia" w:ascii="宋体" w:hAnsi="宋体" w:eastAsia="宋体" w:cs="仿宋_GB2312"/>
          <w:b/>
          <w:bCs/>
          <w:color w:val="auto"/>
          <w:sz w:val="24"/>
          <w:szCs w:val="24"/>
          <w:highlight w:val="none"/>
        </w:rPr>
        <w:t>一、我方承诺无下列相互串通竞标的情形：</w:t>
      </w:r>
    </w:p>
    <w:p w14:paraId="3C22E8C2">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1.不同供应商的响应文件由同一单位或者个人编制；或不同供应商报名的IP地址一致的；</w:t>
      </w:r>
    </w:p>
    <w:p w14:paraId="5418A5B6">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2.不同供应商委托同一单位或者个人办理竞标事宜；</w:t>
      </w:r>
    </w:p>
    <w:p w14:paraId="2C41D925">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3.不同的供应商的响应文件载明的项目管理员为同一个人；</w:t>
      </w:r>
    </w:p>
    <w:p w14:paraId="24490E60">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4.不</w:t>
      </w:r>
      <w:r>
        <w:rPr>
          <w:rFonts w:hint="eastAsia" w:ascii="宋体" w:hAnsi="宋体" w:eastAsia="宋体" w:cs="仿宋_GB2312"/>
          <w:color w:val="auto"/>
          <w:spacing w:val="-6"/>
          <w:sz w:val="24"/>
          <w:szCs w:val="24"/>
          <w:highlight w:val="none"/>
        </w:rPr>
        <w:t>同供应商的响应文件异常一致或者响应报价呈规律性差异；</w:t>
      </w:r>
    </w:p>
    <w:p w14:paraId="65FEF00D">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5.不同供应商的响应文件相互混装；</w:t>
      </w:r>
    </w:p>
    <w:p w14:paraId="59181B4A">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6.不同供应商的谈判保证金从同一单位或者个人账户转出。</w:t>
      </w:r>
    </w:p>
    <w:p w14:paraId="48DF5A56">
      <w:pPr>
        <w:spacing w:line="400" w:lineRule="exact"/>
        <w:ind w:firstLine="482" w:firstLineChars="200"/>
        <w:contextualSpacing/>
        <w:rPr>
          <w:rFonts w:hint="eastAsia" w:ascii="宋体" w:hAnsi="宋体" w:eastAsia="宋体" w:cs="仿宋_GB2312"/>
          <w:b/>
          <w:bCs/>
          <w:color w:val="auto"/>
          <w:sz w:val="24"/>
          <w:szCs w:val="24"/>
          <w:highlight w:val="none"/>
        </w:rPr>
      </w:pPr>
      <w:r>
        <w:rPr>
          <w:rFonts w:hint="eastAsia" w:ascii="宋体" w:hAnsi="宋体" w:eastAsia="宋体" w:cs="仿宋_GB2312"/>
          <w:b/>
          <w:bCs/>
          <w:color w:val="auto"/>
          <w:sz w:val="24"/>
          <w:szCs w:val="24"/>
          <w:highlight w:val="none"/>
        </w:rPr>
        <w:t>二、我方承诺无下列恶意串通的情形：</w:t>
      </w:r>
    </w:p>
    <w:p w14:paraId="61E31C07">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1.供应商直接或者间接从采购人或者采购代理机构处获得其他供应商的相关信息并修改其响应文件；</w:t>
      </w:r>
    </w:p>
    <w:p w14:paraId="64D9B9BB">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2.供应商按照采购人或者采购代理机构的授意撤换、修改响应文件；</w:t>
      </w:r>
    </w:p>
    <w:p w14:paraId="6CBDC627">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3.供</w:t>
      </w:r>
      <w:r>
        <w:rPr>
          <w:rFonts w:hint="eastAsia" w:ascii="宋体" w:hAnsi="宋体" w:eastAsia="宋体" w:cs="仿宋_GB2312"/>
          <w:color w:val="auto"/>
          <w:spacing w:val="-6"/>
          <w:sz w:val="24"/>
          <w:szCs w:val="24"/>
          <w:highlight w:val="none"/>
        </w:rPr>
        <w:t>应商之间协商报价、技术方案等响应文件的实质性内容；</w:t>
      </w:r>
    </w:p>
    <w:p w14:paraId="27B47305">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4.属于同一集团、协会、商会等组织成员的供应商按照该组织要求协同参加政府采购活动；</w:t>
      </w:r>
    </w:p>
    <w:p w14:paraId="79877B46">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5.供应商之间事先约定一致抬高或者压低响应报价，或者在竞争性谈判项目中事先约定轮流以高价位或者低价位成交，或者事先约定由某一特定供应商成交，然后再参加竞标；</w:t>
      </w:r>
    </w:p>
    <w:p w14:paraId="34818681">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6.供应商之间商定部分供应商放弃参加政府采购活动或者放弃成交；</w:t>
      </w:r>
    </w:p>
    <w:p w14:paraId="655B4FA2">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7.供应商与采购人或者采购代理机构之间、供应商相互之间，为</w:t>
      </w:r>
      <w:r>
        <w:rPr>
          <w:rFonts w:hint="eastAsia" w:ascii="宋体" w:hAnsi="宋体" w:eastAsia="宋体" w:cs="仿宋_GB2312"/>
          <w:color w:val="auto"/>
          <w:spacing w:val="-6"/>
          <w:sz w:val="24"/>
          <w:szCs w:val="24"/>
          <w:highlight w:val="none"/>
        </w:rPr>
        <w:t>谋求特定供应商成交或者排斥其他供应商的其他串通行为。</w:t>
      </w:r>
    </w:p>
    <w:p w14:paraId="6E5A4C25">
      <w:pPr>
        <w:spacing w:line="400" w:lineRule="exact"/>
        <w:ind w:firstLine="480" w:firstLineChars="200"/>
        <w:contextualSpacing/>
        <w:rPr>
          <w:rFonts w:hint="eastAsia" w:ascii="宋体" w:hAnsi="宋体" w:eastAsia="宋体" w:cs="仿宋_GB2312"/>
          <w:color w:val="auto"/>
          <w:sz w:val="24"/>
          <w:szCs w:val="24"/>
          <w:highlight w:val="none"/>
        </w:rPr>
      </w:pPr>
    </w:p>
    <w:p w14:paraId="1AAB1A9A">
      <w:pPr>
        <w:spacing w:line="400" w:lineRule="exact"/>
        <w:ind w:firstLine="482" w:firstLineChars="200"/>
        <w:contextualSpacing/>
        <w:rPr>
          <w:rFonts w:hint="eastAsia" w:ascii="宋体" w:hAnsi="宋体" w:eastAsia="宋体" w:cs="仿宋_GB2312"/>
          <w:b/>
          <w:bCs/>
          <w:color w:val="auto"/>
          <w:sz w:val="24"/>
          <w:szCs w:val="24"/>
          <w:highlight w:val="none"/>
        </w:rPr>
      </w:pPr>
      <w:r>
        <w:rPr>
          <w:rFonts w:hint="eastAsia" w:ascii="宋体" w:hAnsi="宋体" w:eastAsia="宋体"/>
          <w:b/>
          <w:bCs/>
          <w:color w:val="auto"/>
          <w:sz w:val="24"/>
          <w:szCs w:val="24"/>
          <w:highlight w:val="none"/>
        </w:rPr>
        <w:t>以上情形一经核查属实，接受政府采购监管部门对我方认定存在围标串标行为，我方愿意承担一切后果，并不再寻求任何旨在减轻或者免除法律责任的辩解</w:t>
      </w:r>
      <w:r>
        <w:rPr>
          <w:rFonts w:hint="eastAsia" w:ascii="宋体" w:hAnsi="宋体" w:eastAsia="宋体" w:cs="仿宋_GB2312"/>
          <w:b/>
          <w:bCs/>
          <w:color w:val="auto"/>
          <w:sz w:val="24"/>
          <w:szCs w:val="24"/>
          <w:highlight w:val="none"/>
        </w:rPr>
        <w:t>。</w:t>
      </w:r>
    </w:p>
    <w:p w14:paraId="27FDD6A4">
      <w:pPr>
        <w:pStyle w:val="22"/>
        <w:rPr>
          <w:rFonts w:hint="eastAsia" w:ascii="宋体" w:hAnsi="宋体" w:cs="仿宋_GB2312"/>
          <w:b/>
          <w:bCs/>
          <w:color w:val="auto"/>
          <w:sz w:val="24"/>
          <w:szCs w:val="24"/>
          <w:highlight w:val="none"/>
        </w:rPr>
      </w:pPr>
    </w:p>
    <w:p w14:paraId="433F8B96">
      <w:pPr>
        <w:pStyle w:val="22"/>
        <w:rPr>
          <w:rFonts w:hint="eastAsia" w:ascii="宋体" w:hAnsi="宋体" w:cs="仿宋_GB2312"/>
          <w:b/>
          <w:bCs/>
          <w:color w:val="auto"/>
          <w:sz w:val="24"/>
          <w:szCs w:val="24"/>
          <w:highlight w:val="none"/>
        </w:rPr>
      </w:pPr>
    </w:p>
    <w:p w14:paraId="4AEE9F11">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10177BD0">
      <w:pPr>
        <w:spacing w:line="520" w:lineRule="exact"/>
        <w:ind w:firstLine="6360" w:firstLineChars="2650"/>
        <w:jc w:val="left"/>
        <w:rPr>
          <w:rFonts w:hint="eastAsia" w:ascii="仿宋" w:hAnsi="仿宋" w:eastAsia="仿宋" w:cs="仿宋_GB2312"/>
          <w:b/>
          <w:color w:val="auto"/>
          <w:sz w:val="28"/>
          <w:szCs w:val="28"/>
          <w:highlight w:val="none"/>
        </w:rPr>
      </w:pPr>
      <w:r>
        <w:rPr>
          <w:rFonts w:hint="eastAsia" w:ascii="宋体" w:hAnsi="宋体" w:eastAsia="宋体" w:cs="宋体"/>
          <w:color w:val="auto"/>
          <w:kern w:val="0"/>
          <w:sz w:val="24"/>
          <w:szCs w:val="24"/>
          <w:highlight w:val="none"/>
          <w:lang w:val="zh-CN"/>
        </w:rPr>
        <w:t xml:space="preserve">日期：  年  月   日 </w:t>
      </w:r>
      <w:r>
        <w:rPr>
          <w:rFonts w:hint="eastAsia" w:ascii="仿宋_GB2312" w:hAnsi="仿宋" w:eastAsia="仿宋_GB2312" w:cs="仿宋_GB2312"/>
          <w:color w:val="auto"/>
          <w:kern w:val="0"/>
          <w:sz w:val="24"/>
          <w:szCs w:val="24"/>
          <w:highlight w:val="none"/>
          <w:lang w:val="zh-CN"/>
        </w:rPr>
        <w:t xml:space="preserve">       </w:t>
      </w:r>
      <w:r>
        <w:rPr>
          <w:rFonts w:ascii="宋体" w:hAnsi="宋体" w:eastAsia="宋体" w:cs="Times New Roman"/>
          <w:b/>
          <w:bCs/>
          <w:color w:val="auto"/>
          <w:sz w:val="32"/>
          <w:szCs w:val="32"/>
          <w:highlight w:val="none"/>
        </w:rPr>
        <w:br w:type="page"/>
      </w:r>
      <w:r>
        <w:rPr>
          <w:rFonts w:hint="eastAsia" w:ascii="宋体" w:hAnsi="宋体" w:eastAsia="宋体" w:cs="宋体"/>
          <w:b/>
          <w:color w:val="auto"/>
          <w:sz w:val="28"/>
          <w:szCs w:val="28"/>
          <w:highlight w:val="none"/>
        </w:rPr>
        <w:t>4.法定代表人身份证明的格式：</w:t>
      </w:r>
    </w:p>
    <w:p w14:paraId="6ACA9027">
      <w:pPr>
        <w:pStyle w:val="22"/>
        <w:rPr>
          <w:color w:val="auto"/>
          <w:highlight w:val="none"/>
        </w:rPr>
      </w:pPr>
    </w:p>
    <w:p w14:paraId="7B4E144A">
      <w:pPr>
        <w:spacing w:line="520" w:lineRule="exact"/>
        <w:jc w:val="center"/>
        <w:rPr>
          <w:rFonts w:hint="eastAsia" w:ascii="仿宋_GB2312" w:hAnsi="仿宋_GB2312" w:eastAsia="仿宋_GB2312" w:cs="仿宋_GB2312"/>
          <w:color w:val="auto"/>
          <w:sz w:val="32"/>
          <w:szCs w:val="32"/>
          <w:highlight w:val="none"/>
        </w:rPr>
      </w:pPr>
      <w:r>
        <w:rPr>
          <w:rFonts w:hint="eastAsia" w:ascii="宋体" w:hAnsi="宋体" w:eastAsia="宋体" w:cs="宋体"/>
          <w:b/>
          <w:color w:val="auto"/>
          <w:sz w:val="32"/>
          <w:szCs w:val="32"/>
          <w:highlight w:val="none"/>
        </w:rPr>
        <w:t>法定代表人身份证明</w:t>
      </w:r>
    </w:p>
    <w:p w14:paraId="4EC911F0">
      <w:pPr>
        <w:spacing w:line="360" w:lineRule="auto"/>
        <w:ind w:left="540"/>
        <w:contextualSpacing/>
        <w:rPr>
          <w:rFonts w:hint="eastAsia" w:ascii="仿宋_GB2312" w:hAnsi="仿宋_GB2312" w:eastAsia="仿宋_GB2312" w:cs="仿宋_GB2312"/>
          <w:color w:val="auto"/>
          <w:sz w:val="32"/>
          <w:szCs w:val="32"/>
          <w:highlight w:val="none"/>
        </w:rPr>
      </w:pPr>
    </w:p>
    <w:p w14:paraId="5EAA2AA9">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p>
    <w:p w14:paraId="757B8539">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p>
    <w:p w14:paraId="45855E59">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     别：</w:t>
      </w:r>
      <w:r>
        <w:rPr>
          <w:rFonts w:hint="eastAsia" w:ascii="宋体" w:hAnsi="宋体" w:eastAsia="宋体" w:cs="宋体"/>
          <w:color w:val="auto"/>
          <w:sz w:val="24"/>
          <w:szCs w:val="24"/>
          <w:highlight w:val="none"/>
          <w:u w:val="single"/>
        </w:rPr>
        <w:t xml:space="preserve">                </w:t>
      </w:r>
    </w:p>
    <w:p w14:paraId="3A411B1E">
      <w:pPr>
        <w:spacing w:line="360" w:lineRule="auto"/>
        <w:ind w:left="54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年    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     务：</w:t>
      </w:r>
      <w:r>
        <w:rPr>
          <w:rFonts w:hint="eastAsia" w:ascii="宋体" w:hAnsi="宋体" w:eastAsia="宋体" w:cs="宋体"/>
          <w:color w:val="auto"/>
          <w:sz w:val="24"/>
          <w:szCs w:val="24"/>
          <w:highlight w:val="none"/>
          <w:u w:val="single"/>
        </w:rPr>
        <w:t xml:space="preserve">                </w:t>
      </w:r>
    </w:p>
    <w:p w14:paraId="1ADE9386">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14:paraId="63303A9F">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w:t>
      </w: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rPr>
        <w:t>的法定代表人。</w:t>
      </w:r>
    </w:p>
    <w:p w14:paraId="6334344E">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5A2D9A22">
      <w:pPr>
        <w:spacing w:line="360" w:lineRule="auto"/>
        <w:ind w:left="540"/>
        <w:contextualSpacing/>
        <w:rPr>
          <w:rFonts w:hint="eastAsia" w:ascii="宋体" w:hAnsi="宋体" w:eastAsia="宋体" w:cs="宋体"/>
          <w:color w:val="auto"/>
          <w:sz w:val="24"/>
          <w:szCs w:val="24"/>
          <w:highlight w:val="none"/>
        </w:rPr>
      </w:pPr>
    </w:p>
    <w:p w14:paraId="21FFE49E">
      <w:pPr>
        <w:spacing w:line="360" w:lineRule="auto"/>
        <w:ind w:left="540"/>
        <w:contextualSpacing/>
        <w:rPr>
          <w:rFonts w:hint="eastAsia" w:ascii="宋体" w:hAnsi="宋体" w:eastAsia="宋体" w:cs="宋体"/>
          <w:color w:val="auto"/>
          <w:sz w:val="24"/>
          <w:szCs w:val="24"/>
          <w:highlight w:val="none"/>
        </w:rPr>
      </w:pPr>
    </w:p>
    <w:p w14:paraId="12BC5FC7">
      <w:pPr>
        <w:spacing w:line="360" w:lineRule="auto"/>
        <w:ind w:left="540"/>
        <w:contextualSpacing/>
        <w:rPr>
          <w:rFonts w:hint="eastAsia" w:ascii="宋体" w:hAnsi="宋体" w:eastAsia="宋体" w:cs="宋体"/>
          <w:color w:val="auto"/>
          <w:sz w:val="24"/>
          <w:szCs w:val="24"/>
          <w:highlight w:val="none"/>
        </w:rPr>
      </w:pPr>
    </w:p>
    <w:p w14:paraId="219962E1">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附件：法定代表人有效身份证正反面复印件</w:t>
      </w:r>
    </w:p>
    <w:p w14:paraId="5A667BE6">
      <w:pPr>
        <w:spacing w:line="360" w:lineRule="auto"/>
        <w:ind w:left="540"/>
        <w:contextualSpacing/>
        <w:rPr>
          <w:rFonts w:hint="eastAsia" w:ascii="宋体" w:hAnsi="宋体" w:eastAsia="宋体" w:cs="宋体"/>
          <w:color w:val="auto"/>
          <w:sz w:val="24"/>
          <w:szCs w:val="24"/>
          <w:highlight w:val="none"/>
        </w:rPr>
      </w:pPr>
    </w:p>
    <w:p w14:paraId="38EF9938">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22A4796C">
      <w:pPr>
        <w:spacing w:line="360" w:lineRule="auto"/>
        <w:contextualSpacing/>
        <w:jc w:val="center"/>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14:paraId="0F8D480A">
      <w:pPr>
        <w:spacing w:line="360" w:lineRule="auto"/>
        <w:contextualSpacing/>
        <w:jc w:val="left"/>
        <w:rPr>
          <w:rFonts w:hint="eastAsia" w:ascii="宋体" w:hAnsi="宋体" w:eastAsia="宋体" w:cs="宋体"/>
          <w:color w:val="auto"/>
          <w:sz w:val="24"/>
          <w:szCs w:val="24"/>
          <w:highlight w:val="none"/>
        </w:rPr>
      </w:pPr>
    </w:p>
    <w:p w14:paraId="72FD9855">
      <w:pPr>
        <w:spacing w:line="360" w:lineRule="auto"/>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注：1.自然人竞标的无需提供，联合体竞标的只需牵头人出具。</w:t>
      </w:r>
    </w:p>
    <w:p w14:paraId="56C60317">
      <w:pPr>
        <w:spacing w:line="360" w:lineRule="auto"/>
        <w:ind w:firstLine="480" w:firstLineChars="200"/>
        <w:contextualSpacing/>
        <w:jc w:val="left"/>
        <w:rPr>
          <w:rFonts w:hint="eastAsia" w:ascii="宋体" w:hAnsi="宋体" w:eastAsia="宋体" w:cs="仿宋_GB2312"/>
          <w:color w:val="auto"/>
          <w:sz w:val="24"/>
          <w:szCs w:val="24"/>
          <w:highlight w:val="none"/>
        </w:rPr>
        <w:sectPr>
          <w:pgSz w:w="11910" w:h="16840"/>
          <w:pgMar w:top="1134" w:right="1134" w:bottom="1134" w:left="1134" w:header="720" w:footer="720" w:gutter="0"/>
          <w:cols w:space="720" w:num="1"/>
        </w:sectPr>
      </w:pPr>
      <w:r>
        <w:rPr>
          <w:rFonts w:hint="eastAsia" w:ascii="宋体" w:hAnsi="宋体" w:eastAsia="宋体" w:cs="宋体"/>
          <w:color w:val="auto"/>
          <w:sz w:val="24"/>
          <w:szCs w:val="24"/>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tbl>
      <w:tblPr>
        <w:tblStyle w:val="32"/>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7AE5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Pr>
          <w:p w14:paraId="06BB46AB">
            <w:pPr>
              <w:spacing w:line="360" w:lineRule="auto"/>
              <w:rPr>
                <w:rFonts w:ascii="宋体" w:hAnsi="Times New Roman" w:eastAsia="宋体" w:cs="Times New Roman"/>
                <w:b/>
                <w:color w:val="auto"/>
                <w:sz w:val="24"/>
                <w:szCs w:val="24"/>
                <w:highlight w:val="none"/>
              </w:rPr>
            </w:pPr>
          </w:p>
          <w:p w14:paraId="693E3D07">
            <w:pPr>
              <w:spacing w:line="360" w:lineRule="auto"/>
              <w:rPr>
                <w:rFonts w:ascii="宋体" w:hAnsi="Times New Roman" w:eastAsia="宋体" w:cs="Times New Roman"/>
                <w:b/>
                <w:color w:val="auto"/>
                <w:sz w:val="24"/>
                <w:szCs w:val="24"/>
                <w:highlight w:val="none"/>
              </w:rPr>
            </w:pPr>
            <w:r>
              <w:rPr>
                <w:rFonts w:hint="eastAsia" w:ascii="宋体" w:hAnsi="Times New Roman" w:eastAsia="宋体" w:cs="Times New Roman"/>
                <w:b/>
                <w:color w:val="auto"/>
                <w:sz w:val="24"/>
                <w:szCs w:val="24"/>
                <w:highlight w:val="none"/>
              </w:rPr>
              <w:t>法定代表人身份证复印件粘贴处（正、反面）</w:t>
            </w:r>
          </w:p>
        </w:tc>
      </w:tr>
    </w:tbl>
    <w:p w14:paraId="3AC39592">
      <w:pPr>
        <w:spacing w:line="360" w:lineRule="auto"/>
        <w:ind w:firstLine="482" w:firstLineChars="200"/>
        <w:contextualSpacing/>
        <w:jc w:val="left"/>
        <w:rPr>
          <w:rFonts w:hint="eastAsia" w:ascii="仿宋_GB2312" w:hAnsi="仿宋_GB2312" w:eastAsia="仿宋_GB2312" w:cs="仿宋_GB2312"/>
          <w:b/>
          <w:color w:val="auto"/>
          <w:sz w:val="32"/>
          <w:szCs w:val="32"/>
          <w:highlight w:val="none"/>
        </w:rPr>
      </w:pPr>
      <w:r>
        <w:rPr>
          <w:rFonts w:hint="eastAsia" w:ascii="Times New Roman" w:hAnsi="宋体" w:eastAsia="宋体" w:cs="Times New Roman"/>
          <w:b/>
          <w:color w:val="auto"/>
          <w:sz w:val="24"/>
          <w:szCs w:val="24"/>
          <w:highlight w:val="none"/>
        </w:rPr>
        <w:t>附件：</w:t>
      </w:r>
    </w:p>
    <w:p w14:paraId="1A457C3D">
      <w:pPr>
        <w:adjustRightInd w:val="0"/>
        <w:snapToGrid w:val="0"/>
        <w:spacing w:line="300" w:lineRule="auto"/>
        <w:jc w:val="left"/>
        <w:rPr>
          <w:rFonts w:hint="eastAsia" w:ascii="宋体" w:hAnsi="宋体" w:eastAsia="宋体" w:cs="Times New Roman"/>
          <w:b/>
          <w:color w:val="auto"/>
          <w:szCs w:val="21"/>
          <w:highlight w:val="none"/>
        </w:rPr>
      </w:pPr>
    </w:p>
    <w:p w14:paraId="56C40639">
      <w:pPr>
        <w:snapToGrid w:val="0"/>
        <w:spacing w:line="360" w:lineRule="auto"/>
        <w:jc w:val="left"/>
        <w:rPr>
          <w:rFonts w:hint="eastAsia" w:ascii="宋体" w:hAnsi="宋体" w:eastAsia="宋体" w:cs="宋体"/>
          <w:b/>
          <w:color w:val="auto"/>
          <w:sz w:val="28"/>
          <w:szCs w:val="28"/>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eastAsia="宋体" w:cs="宋体"/>
          <w:b/>
          <w:color w:val="auto"/>
          <w:sz w:val="28"/>
          <w:szCs w:val="28"/>
          <w:highlight w:val="none"/>
        </w:rPr>
        <w:t>5.法定代表人授权委托书的格式：</w:t>
      </w:r>
    </w:p>
    <w:p w14:paraId="03C243BA">
      <w:pPr>
        <w:spacing w:line="500" w:lineRule="exact"/>
        <w:jc w:val="center"/>
        <w:rPr>
          <w:rFonts w:hint="eastAsia" w:ascii="方正小标宋简体" w:hAnsi="方正小标宋简体" w:eastAsia="方正小标宋简体" w:cs="方正小标宋简体"/>
          <w:color w:val="auto"/>
          <w:sz w:val="44"/>
          <w:szCs w:val="44"/>
          <w:highlight w:val="none"/>
        </w:rPr>
      </w:pPr>
    </w:p>
    <w:p w14:paraId="37B5628A">
      <w:pPr>
        <w:spacing w:line="520" w:lineRule="exact"/>
        <w:jc w:val="center"/>
        <w:rPr>
          <w:rFonts w:hint="eastAsia" w:ascii="方正小标宋简体" w:hAnsi="方正小标宋简体" w:eastAsia="方正小标宋简体" w:cs="方正小标宋简体"/>
          <w:b/>
          <w:bCs/>
          <w:color w:val="auto"/>
          <w:sz w:val="32"/>
          <w:szCs w:val="32"/>
          <w:highlight w:val="none"/>
        </w:rPr>
      </w:pPr>
      <w:r>
        <w:rPr>
          <w:rFonts w:hint="eastAsia" w:ascii="方正小标宋简体" w:hAnsi="方正小标宋简体" w:eastAsia="方正小标宋简体" w:cs="方正小标宋简体"/>
          <w:b/>
          <w:bCs/>
          <w:color w:val="auto"/>
          <w:sz w:val="32"/>
          <w:szCs w:val="32"/>
          <w:highlight w:val="none"/>
        </w:rPr>
        <w:t>授权委托书（非联合体竞标格式）</w:t>
      </w:r>
    </w:p>
    <w:p w14:paraId="4594D83E">
      <w:pPr>
        <w:spacing w:line="520" w:lineRule="exact"/>
        <w:jc w:val="center"/>
        <w:rPr>
          <w:rFonts w:hint="eastAsia" w:ascii="方正小标宋简体" w:hAnsi="方正小标宋简体" w:eastAsia="方正小标宋简体" w:cs="方正小标宋简体"/>
          <w:b/>
          <w:bCs/>
          <w:color w:val="auto"/>
          <w:sz w:val="32"/>
          <w:szCs w:val="32"/>
          <w:highlight w:val="none"/>
        </w:rPr>
      </w:pPr>
      <w:r>
        <w:rPr>
          <w:rFonts w:hint="eastAsia" w:ascii="方正小标宋简体" w:hAnsi="方正小标宋简体" w:eastAsia="方正小标宋简体" w:cs="方正小标宋简体"/>
          <w:b/>
          <w:bCs/>
          <w:color w:val="auto"/>
          <w:sz w:val="32"/>
          <w:szCs w:val="32"/>
          <w:highlight w:val="none"/>
        </w:rPr>
        <w:t>（如有委托时）</w:t>
      </w:r>
    </w:p>
    <w:p w14:paraId="50D68F57">
      <w:pPr>
        <w:spacing w:line="520" w:lineRule="exact"/>
        <w:rPr>
          <w:rFonts w:hint="eastAsia" w:ascii="仿宋_GB2312" w:hAnsi="仿宋_GB2312" w:eastAsia="仿宋_GB2312" w:cs="仿宋_GB2312"/>
          <w:color w:val="auto"/>
          <w:sz w:val="32"/>
          <w:szCs w:val="32"/>
          <w:highlight w:val="none"/>
        </w:rPr>
      </w:pPr>
    </w:p>
    <w:p w14:paraId="694D2BE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bookmarkStart w:id="153" w:name="PO_3000001923_PM031_1"/>
      <w:r>
        <w:rPr>
          <w:rFonts w:hint="eastAsia" w:ascii="宋体" w:hAnsi="宋体" w:eastAsia="宋体" w:cs="宋体"/>
          <w:color w:val="auto"/>
          <w:sz w:val="24"/>
          <w:szCs w:val="24"/>
          <w:highlight w:val="none"/>
          <w:u w:val="single"/>
        </w:rPr>
        <w:t>广西科联招标中心有限公司</w:t>
      </w:r>
      <w:bookmarkEnd w:id="153"/>
      <w:r>
        <w:rPr>
          <w:rFonts w:hint="eastAsia" w:ascii="宋体" w:hAnsi="宋体" w:eastAsia="宋体" w:cs="宋体"/>
          <w:color w:val="auto"/>
          <w:sz w:val="24"/>
          <w:szCs w:val="24"/>
          <w:highlight w:val="none"/>
        </w:rPr>
        <w:t>：</w:t>
      </w:r>
    </w:p>
    <w:p w14:paraId="6767A35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□法定代表人/□负责人/□自然人本人</w:t>
      </w:r>
      <w:r>
        <w:rPr>
          <w:rFonts w:hint="eastAsia" w:ascii="宋体" w:hAnsi="宋体" w:eastAsia="宋体" w:cs="宋体"/>
          <w:color w:val="auto"/>
          <w:sz w:val="24"/>
          <w:szCs w:val="24"/>
          <w:highlight w:val="none"/>
        </w:rPr>
        <w:t>），现授权</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以我方的名义参加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（项目名称）</w:t>
      </w:r>
      <w:r>
        <w:rPr>
          <w:rFonts w:hint="eastAsia" w:ascii="宋体" w:hAnsi="宋体" w:eastAsia="宋体" w:cs="宋体"/>
          <w:color w:val="auto"/>
          <w:sz w:val="24"/>
          <w:szCs w:val="24"/>
          <w:highlight w:val="none"/>
        </w:rPr>
        <w:t>项目的竞标活动，并代表我方全权办理针对上述项目的所有采购程序和环节的具体事务和签署相关文件。</w:t>
      </w:r>
    </w:p>
    <w:p w14:paraId="3494F30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我方对委托代理人的签字事项负全部责任。</w:t>
      </w:r>
    </w:p>
    <w:p w14:paraId="0E74CAB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本授权书自签署之日起生效，在撤销授权的书面通知以前，本授权书一直有效。委托代理人在授权书有效期内签署的所有文件不因授权的撤销而失效。</w:t>
      </w:r>
    </w:p>
    <w:p w14:paraId="1ADA30E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委托代理人无转委托权，特此委托。</w:t>
      </w:r>
    </w:p>
    <w:p w14:paraId="0082C21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附：委托代理人有效身份证正反面复印件</w:t>
      </w:r>
    </w:p>
    <w:p w14:paraId="2C982FF1">
      <w:pPr>
        <w:spacing w:line="360" w:lineRule="auto"/>
        <w:rPr>
          <w:rFonts w:hint="eastAsia" w:ascii="宋体" w:hAnsi="宋体" w:eastAsia="宋体" w:cs="宋体"/>
          <w:color w:val="auto"/>
          <w:sz w:val="24"/>
          <w:szCs w:val="24"/>
          <w:highlight w:val="none"/>
        </w:rPr>
      </w:pPr>
    </w:p>
    <w:p w14:paraId="4DB2669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委托代理人（签字）：                 法定代表人（签字）：                    </w:t>
      </w:r>
    </w:p>
    <w:p w14:paraId="0741CA5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委托代理人身份证号码：                              </w:t>
      </w:r>
    </w:p>
    <w:p w14:paraId="0D32C1E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5609CF46">
      <w:pPr>
        <w:spacing w:line="360" w:lineRule="auto"/>
        <w:ind w:firstLine="3840" w:firstLineChars="16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供应商名称（盖公章）：</w:t>
      </w:r>
    </w:p>
    <w:p w14:paraId="3A0C82EC">
      <w:pPr>
        <w:spacing w:line="360" w:lineRule="auto"/>
        <w:contextualSpacing/>
        <w:jc w:val="center"/>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14:paraId="35119C09">
      <w:pPr>
        <w:spacing w:line="360" w:lineRule="auto"/>
        <w:rPr>
          <w:rFonts w:hint="eastAsia" w:ascii="宋体" w:hAnsi="宋体" w:eastAsia="宋体" w:cs="宋体"/>
          <w:color w:val="auto"/>
          <w:sz w:val="24"/>
          <w:szCs w:val="24"/>
          <w:highlight w:val="none"/>
        </w:rPr>
      </w:pPr>
    </w:p>
    <w:p w14:paraId="18536A3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 法定代表人和委托代理人必须在授权委托书上签字，</w:t>
      </w:r>
      <w:r>
        <w:rPr>
          <w:rFonts w:hint="eastAsia" w:ascii="宋体" w:hAnsi="宋体" w:eastAsia="宋体" w:cs="宋体"/>
          <w:b/>
          <w:color w:val="auto"/>
          <w:sz w:val="24"/>
          <w:szCs w:val="24"/>
          <w:highlight w:val="none"/>
        </w:rPr>
        <w:t>否则其响应文件作无效响应处理。</w:t>
      </w:r>
    </w:p>
    <w:p w14:paraId="743EBE1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5DDA560B">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法人、其他组织竞标时“我方”是指“我单位”，自然人竞标时“我方”是指“本人”。</w:t>
      </w:r>
    </w:p>
    <w:p w14:paraId="779DD13D">
      <w:pPr>
        <w:spacing w:line="500" w:lineRule="exact"/>
        <w:jc w:val="center"/>
        <w:rPr>
          <w:rFonts w:hint="eastAsia" w:ascii="宋体" w:hAnsi="宋体" w:eastAsia="宋体" w:cs="宋体"/>
          <w:b/>
          <w:bCs/>
          <w:color w:val="auto"/>
          <w:sz w:val="32"/>
          <w:szCs w:val="32"/>
          <w:highlight w:val="none"/>
        </w:rPr>
      </w:pPr>
      <w:r>
        <w:rPr>
          <w:rFonts w:hint="eastAsia" w:ascii="宋体" w:hAnsi="宋体" w:eastAsia="宋体" w:cs="宋体"/>
          <w:color w:val="auto"/>
          <w:szCs w:val="21"/>
          <w:highlight w:val="none"/>
        </w:rPr>
        <w:br w:type="page"/>
      </w:r>
      <w:r>
        <w:rPr>
          <w:rFonts w:hint="eastAsia" w:ascii="宋体" w:hAnsi="宋体" w:eastAsia="宋体" w:cs="宋体"/>
          <w:b/>
          <w:bCs/>
          <w:color w:val="auto"/>
          <w:sz w:val="32"/>
          <w:szCs w:val="32"/>
          <w:highlight w:val="none"/>
        </w:rPr>
        <w:t>授权委托书（联合体竞标格式）</w:t>
      </w:r>
    </w:p>
    <w:p w14:paraId="289BEB53">
      <w:pPr>
        <w:spacing w:line="50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（如有委托时）</w:t>
      </w:r>
    </w:p>
    <w:p w14:paraId="6D73BF3B">
      <w:pPr>
        <w:spacing w:line="500" w:lineRule="exact"/>
        <w:jc w:val="center"/>
        <w:rPr>
          <w:rFonts w:hint="eastAsia" w:ascii="方正小标宋简体" w:hAnsi="方正小标宋简体" w:eastAsia="方正小标宋简体" w:cs="方正小标宋简体"/>
          <w:color w:val="auto"/>
          <w:sz w:val="44"/>
          <w:szCs w:val="44"/>
          <w:highlight w:val="none"/>
        </w:rPr>
      </w:pPr>
    </w:p>
    <w:p w14:paraId="13FACEB6">
      <w:pPr>
        <w:spacing w:line="500" w:lineRule="exact"/>
        <w:jc w:val="center"/>
        <w:rPr>
          <w:rFonts w:hint="eastAsia" w:ascii="仿宋_GB2312" w:hAnsi="仿宋_GB2312" w:eastAsia="仿宋_GB2312" w:cs="仿宋_GB2312"/>
          <w:color w:val="auto"/>
          <w:sz w:val="32"/>
          <w:szCs w:val="32"/>
          <w:highlight w:val="none"/>
        </w:rPr>
      </w:pPr>
    </w:p>
    <w:p w14:paraId="611DF1C6">
      <w:pPr>
        <w:spacing w:line="360" w:lineRule="auto"/>
        <w:ind w:firstLine="480" w:firstLineChars="200"/>
        <w:jc w:val="left"/>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本授权委托书声明：根据</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（牵头人名称）与</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（联合体其他成员名称）签订的《联合体竞标协议书》的内容，</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（牵头人名称）的法定代表人</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i/>
          <w:iCs/>
          <w:color w:val="auto"/>
          <w:sz w:val="24"/>
          <w:szCs w:val="24"/>
          <w:highlight w:val="none"/>
          <w:u w:val="single"/>
        </w:rPr>
        <w:t>（姓名）</w:t>
      </w:r>
      <w:r>
        <w:rPr>
          <w:rFonts w:hint="eastAsia" w:ascii="宋体" w:hAnsi="宋体" w:eastAsia="宋体" w:cs="仿宋_GB2312"/>
          <w:color w:val="auto"/>
          <w:sz w:val="24"/>
          <w:szCs w:val="24"/>
          <w:highlight w:val="none"/>
        </w:rPr>
        <w:t>现授权</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i/>
          <w:iCs/>
          <w:color w:val="auto"/>
          <w:sz w:val="24"/>
          <w:szCs w:val="24"/>
          <w:highlight w:val="none"/>
          <w:u w:val="single"/>
        </w:rPr>
        <w:t>（姓名）</w:t>
      </w:r>
      <w:r>
        <w:rPr>
          <w:rFonts w:hint="eastAsia" w:ascii="宋体" w:hAnsi="宋体" w:eastAsia="宋体" w:cs="仿宋_GB2312"/>
          <w:color w:val="auto"/>
          <w:sz w:val="24"/>
          <w:szCs w:val="24"/>
          <w:highlight w:val="none"/>
        </w:rPr>
        <w:t>为联合委托代理人，并代表我方全权办理针对上述项目的所有采购程序和环节的具体事务和签署相关文件。</w:t>
      </w:r>
    </w:p>
    <w:p w14:paraId="2648C0D9">
      <w:pPr>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我方对委托代理人的签字事项负全部责任。</w:t>
      </w:r>
    </w:p>
    <w:p w14:paraId="6A491B01">
      <w:pPr>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本授权书自签署之日起生效，在撤销授权的书面通知以前，本授权书一直有效。委托代理人在授权书有效期内签署的所有文件不因授权的撤销而失效。</w:t>
      </w:r>
    </w:p>
    <w:p w14:paraId="7AE70E32">
      <w:pPr>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委托代理人无转委托权，特此委托。</w:t>
      </w:r>
    </w:p>
    <w:p w14:paraId="7B02A8A4">
      <w:pPr>
        <w:spacing w:line="360" w:lineRule="auto"/>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 xml:space="preserve">    </w:t>
      </w:r>
    </w:p>
    <w:p w14:paraId="2AF726EE">
      <w:pPr>
        <w:spacing w:line="360" w:lineRule="auto"/>
        <w:ind w:firstLine="1560" w:firstLineChars="65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牵头人法定代表人（签字）：</w:t>
      </w:r>
    </w:p>
    <w:p w14:paraId="7AF8EE41">
      <w:pPr>
        <w:spacing w:line="360" w:lineRule="auto"/>
        <w:ind w:firstLine="3000" w:firstLineChars="125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牵头人名称（盖公章）：</w:t>
      </w:r>
    </w:p>
    <w:p w14:paraId="6ABC7028">
      <w:pPr>
        <w:spacing w:line="360" w:lineRule="auto"/>
        <w:ind w:firstLine="3840" w:firstLineChars="160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日期：    年   月   日</w:t>
      </w:r>
    </w:p>
    <w:p w14:paraId="5EB314B7">
      <w:pPr>
        <w:spacing w:line="360" w:lineRule="auto"/>
        <w:rPr>
          <w:rFonts w:hint="eastAsia" w:ascii="宋体" w:hAnsi="宋体" w:eastAsia="宋体" w:cs="仿宋_GB2312"/>
          <w:color w:val="auto"/>
          <w:sz w:val="24"/>
          <w:szCs w:val="24"/>
          <w:highlight w:val="none"/>
        </w:rPr>
      </w:pPr>
    </w:p>
    <w:p w14:paraId="3AEAD2CF">
      <w:pPr>
        <w:spacing w:line="360" w:lineRule="auto"/>
        <w:ind w:firstLine="3120" w:firstLineChars="130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委托代理人（签字）：</w:t>
      </w:r>
    </w:p>
    <w:p w14:paraId="661D5F7B">
      <w:pPr>
        <w:spacing w:line="360" w:lineRule="auto"/>
        <w:ind w:firstLine="3840" w:firstLineChars="160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日期：    年   月   日</w:t>
      </w:r>
    </w:p>
    <w:p w14:paraId="31011167">
      <w:pPr>
        <w:spacing w:line="360" w:lineRule="auto"/>
        <w:rPr>
          <w:rFonts w:hint="eastAsia" w:ascii="宋体" w:hAnsi="宋体" w:eastAsia="宋体" w:cs="仿宋_GB2312"/>
          <w:color w:val="auto"/>
          <w:sz w:val="24"/>
          <w:szCs w:val="24"/>
          <w:highlight w:val="none"/>
        </w:rPr>
      </w:pPr>
    </w:p>
    <w:p w14:paraId="4620B3E2">
      <w:pPr>
        <w:spacing w:line="360" w:lineRule="auto"/>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注：1. 法定代表人和委托代理人必须在授权委托书上签字，</w:t>
      </w:r>
      <w:r>
        <w:rPr>
          <w:rFonts w:hint="eastAsia" w:ascii="宋体" w:hAnsi="宋体" w:eastAsia="宋体" w:cs="仿宋_GB2312"/>
          <w:b/>
          <w:color w:val="auto"/>
          <w:sz w:val="24"/>
          <w:szCs w:val="24"/>
          <w:highlight w:val="none"/>
        </w:rPr>
        <w:t>否则其响应文件作无效响应处理。</w:t>
      </w:r>
    </w:p>
    <w:p w14:paraId="3DF88F5C">
      <w:pPr>
        <w:spacing w:line="360" w:lineRule="auto"/>
        <w:ind w:firstLine="480" w:firstLineChars="200"/>
        <w:jc w:val="left"/>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2.本授权委托书应由联合体牵头人的法定代表人按上述规定签署。</w:t>
      </w:r>
    </w:p>
    <w:p w14:paraId="18165158">
      <w:pPr>
        <w:spacing w:line="360" w:lineRule="auto"/>
        <w:ind w:firstLine="480" w:firstLineChars="200"/>
        <w:jc w:val="left"/>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w:t>
      </w:r>
      <w:r>
        <w:rPr>
          <w:rFonts w:ascii="宋体" w:hAnsi="宋体" w:eastAsia="宋体" w:cs="仿宋_GB2312"/>
          <w:color w:val="auto"/>
          <w:sz w:val="24"/>
          <w:szCs w:val="24"/>
          <w:highlight w:val="none"/>
        </w:rPr>
        <w:t>.</w:t>
      </w:r>
      <w:r>
        <w:rPr>
          <w:rFonts w:hint="eastAsia" w:ascii="宋体" w:hAnsi="宋体" w:eastAsia="宋体" w:cs="仿宋_GB2312"/>
          <w:color w:val="auto"/>
          <w:sz w:val="24"/>
          <w:szCs w:val="24"/>
          <w:highlight w:val="none"/>
        </w:rPr>
        <w:t>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3EC677F9">
      <w:pPr>
        <w:spacing w:line="360" w:lineRule="auto"/>
        <w:ind w:firstLine="480" w:firstLineChars="200"/>
        <w:jc w:val="left"/>
        <w:rPr>
          <w:rFonts w:hint="eastAsia" w:ascii="仿宋_GB2312" w:hAnsi="仿宋_GB2312" w:eastAsia="仿宋_GB2312" w:cs="仿宋_GB2312"/>
          <w:color w:val="auto"/>
          <w:szCs w:val="21"/>
          <w:highlight w:val="none"/>
        </w:rPr>
      </w:pPr>
      <w:r>
        <w:rPr>
          <w:rFonts w:hint="eastAsia" w:ascii="宋体" w:hAnsi="宋体" w:eastAsia="宋体" w:cs="仿宋_GB2312"/>
          <w:color w:val="auto"/>
          <w:sz w:val="24"/>
          <w:szCs w:val="24"/>
          <w:highlight w:val="none"/>
        </w:rPr>
        <w:t>4</w:t>
      </w:r>
      <w:r>
        <w:rPr>
          <w:rFonts w:ascii="宋体" w:hAnsi="宋体" w:eastAsia="宋体" w:cs="仿宋_GB2312"/>
          <w:color w:val="auto"/>
          <w:sz w:val="24"/>
          <w:szCs w:val="24"/>
          <w:highlight w:val="none"/>
        </w:rPr>
        <w:t>.</w:t>
      </w:r>
      <w:r>
        <w:rPr>
          <w:rFonts w:hint="eastAsia" w:ascii="宋体" w:hAnsi="宋体" w:eastAsia="宋体" w:cs="仿宋_GB2312"/>
          <w:color w:val="auto"/>
          <w:sz w:val="24"/>
          <w:szCs w:val="24"/>
          <w:highlight w:val="none"/>
        </w:rPr>
        <w:t>法人、其他组织竞标时“我方”是指“我单位”，自然人竞标时“我方”是指“本人”。</w:t>
      </w:r>
    </w:p>
    <w:p w14:paraId="52E4C6EA">
      <w:pPr>
        <w:snapToGrid w:val="0"/>
        <w:spacing w:line="360" w:lineRule="auto"/>
        <w:rPr>
          <w:rFonts w:hint="eastAsia" w:ascii="宋体" w:hAnsi="宋体" w:eastAsia="宋体" w:cs="Times New Roman"/>
          <w:b/>
          <w:bCs/>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宋体" w:hAnsi="宋体" w:eastAsia="宋体" w:cs="宋体"/>
          <w:b/>
          <w:color w:val="auto"/>
          <w:sz w:val="28"/>
          <w:szCs w:val="28"/>
          <w:highlight w:val="none"/>
        </w:rPr>
        <w:t>6.商务条款偏离表的格式：</w:t>
      </w:r>
    </w:p>
    <w:p w14:paraId="1571578F">
      <w:pPr>
        <w:spacing w:line="50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商务条款偏离表</w:t>
      </w:r>
    </w:p>
    <w:p w14:paraId="163C0D31">
      <w:pPr>
        <w:spacing w:line="360" w:lineRule="auto"/>
        <w:contextualSpacing/>
        <w:rPr>
          <w:rFonts w:cs="仿宋_GB2312"/>
          <w:color w:val="auto"/>
          <w:sz w:val="24"/>
          <w:highlight w:val="none"/>
        </w:rPr>
      </w:pPr>
    </w:p>
    <w:p w14:paraId="54F67809">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14:paraId="37378ECC">
      <w:pPr>
        <w:spacing w:line="360" w:lineRule="auto"/>
        <w:contextualSpacing/>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p>
    <w:p w14:paraId="6435F6FE">
      <w:pPr>
        <w:spacing w:line="360" w:lineRule="auto"/>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tbl>
      <w:tblPr>
        <w:tblStyle w:val="32"/>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2319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14:paraId="6AE69409">
            <w:pPr>
              <w:spacing w:line="3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5617D97D">
            <w:pPr>
              <w:spacing w:line="3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竞争性谈判文件的商务条款</w:t>
            </w:r>
          </w:p>
        </w:tc>
        <w:tc>
          <w:tcPr>
            <w:tcW w:w="3589" w:type="dxa"/>
            <w:tcBorders>
              <w:top w:val="single" w:color="auto" w:sz="4" w:space="0"/>
              <w:left w:val="single" w:color="auto" w:sz="4" w:space="0"/>
              <w:bottom w:val="single" w:color="auto" w:sz="4" w:space="0"/>
              <w:right w:val="single" w:color="auto" w:sz="4" w:space="0"/>
            </w:tcBorders>
            <w:vAlign w:val="center"/>
          </w:tcPr>
          <w:p w14:paraId="4E15D46F">
            <w:pPr>
              <w:spacing w:line="3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响应文件响应的商务条款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74F7C768">
            <w:pPr>
              <w:spacing w:line="3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偏离说明</w:t>
            </w:r>
          </w:p>
        </w:tc>
      </w:tr>
      <w:tr w14:paraId="24F2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6B88CAB2">
            <w:pPr>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3926" w:type="dxa"/>
            <w:tcBorders>
              <w:top w:val="single" w:color="auto" w:sz="4" w:space="0"/>
              <w:left w:val="single" w:color="auto" w:sz="4" w:space="0"/>
              <w:bottom w:val="single" w:color="auto" w:sz="4" w:space="0"/>
              <w:right w:val="single" w:color="auto" w:sz="4" w:space="0"/>
            </w:tcBorders>
          </w:tcPr>
          <w:p w14:paraId="78ACC2B2">
            <w:pPr>
              <w:spacing w:line="340" w:lineRule="exact"/>
              <w:rPr>
                <w:rFonts w:hint="eastAsia" w:ascii="宋体" w:hAnsi="宋体" w:eastAsia="宋体" w:cs="宋体"/>
                <w:color w:val="auto"/>
                <w:sz w:val="24"/>
                <w:szCs w:val="24"/>
                <w:highlight w:val="none"/>
              </w:rPr>
            </w:pPr>
          </w:p>
        </w:tc>
        <w:tc>
          <w:tcPr>
            <w:tcW w:w="3589" w:type="dxa"/>
            <w:tcBorders>
              <w:top w:val="single" w:color="auto" w:sz="4" w:space="0"/>
              <w:left w:val="single" w:color="auto" w:sz="4" w:space="0"/>
              <w:bottom w:val="single" w:color="auto" w:sz="4" w:space="0"/>
              <w:right w:val="single" w:color="auto" w:sz="4" w:space="0"/>
            </w:tcBorders>
          </w:tcPr>
          <w:p w14:paraId="616F9706">
            <w:pPr>
              <w:spacing w:line="340" w:lineRule="exact"/>
              <w:rPr>
                <w:rFonts w:hint="eastAsia" w:ascii="宋体" w:hAnsi="宋体" w:eastAsia="宋体" w:cs="宋体"/>
                <w:color w:val="auto"/>
                <w:sz w:val="24"/>
                <w:szCs w:val="24"/>
                <w:highlight w:val="none"/>
              </w:rPr>
            </w:pPr>
          </w:p>
        </w:tc>
        <w:tc>
          <w:tcPr>
            <w:tcW w:w="1274" w:type="dxa"/>
            <w:tcBorders>
              <w:top w:val="single" w:color="auto" w:sz="4" w:space="0"/>
              <w:left w:val="single" w:color="auto" w:sz="4" w:space="0"/>
              <w:bottom w:val="single" w:color="auto" w:sz="4" w:space="0"/>
              <w:right w:val="single" w:color="auto" w:sz="4" w:space="0"/>
            </w:tcBorders>
          </w:tcPr>
          <w:p w14:paraId="13D7155A">
            <w:pPr>
              <w:spacing w:line="300" w:lineRule="exact"/>
              <w:rPr>
                <w:rFonts w:hint="eastAsia" w:ascii="宋体" w:hAnsi="宋体" w:eastAsia="宋体" w:cs="宋体"/>
                <w:color w:val="auto"/>
                <w:sz w:val="24"/>
                <w:szCs w:val="24"/>
                <w:highlight w:val="none"/>
              </w:rPr>
            </w:pPr>
          </w:p>
        </w:tc>
      </w:tr>
      <w:tr w14:paraId="1CD6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53A0823D">
            <w:pPr>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3926" w:type="dxa"/>
            <w:tcBorders>
              <w:top w:val="single" w:color="auto" w:sz="4" w:space="0"/>
              <w:left w:val="single" w:color="auto" w:sz="4" w:space="0"/>
              <w:bottom w:val="single" w:color="auto" w:sz="4" w:space="0"/>
              <w:right w:val="single" w:color="auto" w:sz="4" w:space="0"/>
            </w:tcBorders>
          </w:tcPr>
          <w:p w14:paraId="7F0175E5">
            <w:pPr>
              <w:spacing w:line="340" w:lineRule="exact"/>
              <w:rPr>
                <w:rFonts w:hint="eastAsia" w:ascii="宋体" w:hAnsi="宋体" w:eastAsia="宋体" w:cs="宋体"/>
                <w:color w:val="auto"/>
                <w:sz w:val="24"/>
                <w:szCs w:val="24"/>
                <w:highlight w:val="none"/>
              </w:rPr>
            </w:pPr>
          </w:p>
        </w:tc>
        <w:tc>
          <w:tcPr>
            <w:tcW w:w="3589" w:type="dxa"/>
            <w:tcBorders>
              <w:top w:val="single" w:color="auto" w:sz="4" w:space="0"/>
              <w:left w:val="single" w:color="auto" w:sz="4" w:space="0"/>
              <w:bottom w:val="single" w:color="auto" w:sz="4" w:space="0"/>
              <w:right w:val="single" w:color="auto" w:sz="4" w:space="0"/>
            </w:tcBorders>
          </w:tcPr>
          <w:p w14:paraId="76650D9F">
            <w:pPr>
              <w:spacing w:line="340" w:lineRule="exact"/>
              <w:rPr>
                <w:rFonts w:hint="eastAsia" w:ascii="宋体" w:hAnsi="宋体" w:eastAsia="宋体" w:cs="宋体"/>
                <w:color w:val="auto"/>
                <w:sz w:val="24"/>
                <w:szCs w:val="24"/>
                <w:highlight w:val="none"/>
              </w:rPr>
            </w:pPr>
          </w:p>
        </w:tc>
        <w:tc>
          <w:tcPr>
            <w:tcW w:w="1274" w:type="dxa"/>
            <w:tcBorders>
              <w:top w:val="single" w:color="auto" w:sz="4" w:space="0"/>
              <w:left w:val="single" w:color="auto" w:sz="4" w:space="0"/>
              <w:bottom w:val="single" w:color="auto" w:sz="4" w:space="0"/>
              <w:right w:val="single" w:color="auto" w:sz="4" w:space="0"/>
            </w:tcBorders>
          </w:tcPr>
          <w:p w14:paraId="6A8A27CE">
            <w:pPr>
              <w:spacing w:line="300" w:lineRule="exact"/>
              <w:rPr>
                <w:rFonts w:hint="eastAsia" w:ascii="宋体" w:hAnsi="宋体" w:eastAsia="宋体" w:cs="宋体"/>
                <w:color w:val="auto"/>
                <w:sz w:val="24"/>
                <w:szCs w:val="24"/>
                <w:highlight w:val="none"/>
              </w:rPr>
            </w:pPr>
          </w:p>
        </w:tc>
      </w:tr>
      <w:tr w14:paraId="3E7E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159F9796">
            <w:pPr>
              <w:spacing w:line="3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3926" w:type="dxa"/>
            <w:tcBorders>
              <w:top w:val="single" w:color="auto" w:sz="4" w:space="0"/>
              <w:left w:val="single" w:color="auto" w:sz="4" w:space="0"/>
              <w:bottom w:val="single" w:color="auto" w:sz="4" w:space="0"/>
              <w:right w:val="single" w:color="auto" w:sz="4" w:space="0"/>
            </w:tcBorders>
          </w:tcPr>
          <w:p w14:paraId="600AAD06">
            <w:pPr>
              <w:spacing w:line="340" w:lineRule="exact"/>
              <w:rPr>
                <w:rFonts w:hint="eastAsia" w:ascii="宋体" w:hAnsi="宋体" w:eastAsia="宋体" w:cs="宋体"/>
                <w:color w:val="auto"/>
                <w:sz w:val="24"/>
                <w:szCs w:val="24"/>
                <w:highlight w:val="none"/>
              </w:rPr>
            </w:pPr>
          </w:p>
        </w:tc>
        <w:tc>
          <w:tcPr>
            <w:tcW w:w="3589" w:type="dxa"/>
            <w:tcBorders>
              <w:top w:val="single" w:color="auto" w:sz="4" w:space="0"/>
              <w:left w:val="single" w:color="auto" w:sz="4" w:space="0"/>
              <w:bottom w:val="single" w:color="auto" w:sz="4" w:space="0"/>
              <w:right w:val="single" w:color="auto" w:sz="4" w:space="0"/>
            </w:tcBorders>
          </w:tcPr>
          <w:p w14:paraId="631348EC">
            <w:pPr>
              <w:spacing w:line="340" w:lineRule="exact"/>
              <w:rPr>
                <w:rFonts w:hint="eastAsia" w:ascii="宋体" w:hAnsi="宋体" w:eastAsia="宋体" w:cs="宋体"/>
                <w:color w:val="auto"/>
                <w:sz w:val="24"/>
                <w:szCs w:val="24"/>
                <w:highlight w:val="none"/>
              </w:rPr>
            </w:pPr>
          </w:p>
        </w:tc>
        <w:tc>
          <w:tcPr>
            <w:tcW w:w="1274" w:type="dxa"/>
            <w:tcBorders>
              <w:top w:val="single" w:color="auto" w:sz="4" w:space="0"/>
              <w:left w:val="single" w:color="auto" w:sz="4" w:space="0"/>
              <w:bottom w:val="single" w:color="auto" w:sz="4" w:space="0"/>
              <w:right w:val="single" w:color="auto" w:sz="4" w:space="0"/>
            </w:tcBorders>
          </w:tcPr>
          <w:p w14:paraId="1D706A6D">
            <w:pPr>
              <w:spacing w:line="300" w:lineRule="exact"/>
              <w:rPr>
                <w:rFonts w:hint="eastAsia" w:ascii="宋体" w:hAnsi="宋体" w:eastAsia="宋体" w:cs="宋体"/>
                <w:color w:val="auto"/>
                <w:sz w:val="24"/>
                <w:szCs w:val="24"/>
                <w:highlight w:val="none"/>
              </w:rPr>
            </w:pPr>
          </w:p>
        </w:tc>
      </w:tr>
    </w:tbl>
    <w:p w14:paraId="4E0F1456">
      <w:pPr>
        <w:spacing w:line="400" w:lineRule="exact"/>
        <w:ind w:left="420"/>
        <w:contextualSpacing/>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注：</w:t>
      </w:r>
    </w:p>
    <w:p w14:paraId="6960A5DF">
      <w:pPr>
        <w:spacing w:line="400" w:lineRule="exact"/>
        <w:ind w:firstLine="480" w:firstLineChars="200"/>
        <w:contextualSpacing/>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▲1.必须对本项目谈判文件“第二章  采购需求”中“商务条款”的全部条款，详细填写响应的具体内容，并作出偏离说明。“偏离说明”一栏应当选择“正偏离”或“负偏离”或“无偏离”进行填写。</w:t>
      </w:r>
    </w:p>
    <w:p w14:paraId="223D76B4">
      <w:pPr>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2.表格内容均需按要求填写并盖公章，不得留空，</w:t>
      </w:r>
      <w:r>
        <w:rPr>
          <w:rFonts w:hint="eastAsia" w:ascii="宋体" w:hAnsi="宋体" w:eastAsia="宋体" w:cs="宋体"/>
          <w:b/>
          <w:bCs/>
          <w:color w:val="auto"/>
          <w:kern w:val="0"/>
          <w:sz w:val="24"/>
          <w:szCs w:val="24"/>
          <w:highlight w:val="none"/>
        </w:rPr>
        <w:t>否则按响应无效处理</w:t>
      </w:r>
      <w:r>
        <w:rPr>
          <w:rFonts w:hint="eastAsia" w:ascii="宋体" w:hAnsi="宋体" w:eastAsia="宋体" w:cs="宋体"/>
          <w:color w:val="auto"/>
          <w:kern w:val="0"/>
          <w:sz w:val="24"/>
          <w:szCs w:val="24"/>
          <w:highlight w:val="none"/>
        </w:rPr>
        <w:t>。</w:t>
      </w:r>
    </w:p>
    <w:p w14:paraId="13552248">
      <w:pPr>
        <w:spacing w:line="400" w:lineRule="exact"/>
        <w:ind w:firstLine="480" w:firstLineChars="200"/>
        <w:contextualSpacing/>
        <w:rPr>
          <w:rFonts w:hint="eastAsia" w:ascii="宋体" w:hAnsi="宋体" w:eastAsia="宋体" w:cs="宋体"/>
          <w:color w:val="auto"/>
          <w:kern w:val="0"/>
          <w:sz w:val="24"/>
          <w:szCs w:val="24"/>
          <w:highlight w:val="none"/>
          <w:lang w:val="zh-CN"/>
        </w:rPr>
      </w:pPr>
    </w:p>
    <w:p w14:paraId="40D70388">
      <w:pPr>
        <w:spacing w:line="400" w:lineRule="exact"/>
        <w:ind w:firstLine="480" w:firstLineChars="200"/>
        <w:contextualSpacing/>
        <w:rPr>
          <w:rFonts w:hint="eastAsia" w:ascii="宋体" w:hAnsi="宋体" w:eastAsia="宋体" w:cs="宋体"/>
          <w:color w:val="auto"/>
          <w:kern w:val="0"/>
          <w:sz w:val="24"/>
          <w:szCs w:val="24"/>
          <w:highlight w:val="none"/>
          <w:lang w:val="zh-CN"/>
        </w:rPr>
      </w:pPr>
    </w:p>
    <w:p w14:paraId="0E7B5DB8">
      <w:pPr>
        <w:spacing w:line="360" w:lineRule="auto"/>
        <w:ind w:right="-817" w:rightChars="-389"/>
        <w:contextualSpacing/>
        <w:rPr>
          <w:rFonts w:hint="eastAsia" w:ascii="宋体" w:hAnsi="宋体" w:eastAsia="宋体" w:cs="宋体"/>
          <w:color w:val="auto"/>
          <w:sz w:val="24"/>
          <w:szCs w:val="24"/>
          <w:highlight w:val="none"/>
        </w:rPr>
      </w:pPr>
    </w:p>
    <w:p w14:paraId="3D4CC803">
      <w:pPr>
        <w:spacing w:line="360" w:lineRule="auto"/>
        <w:ind w:firstLine="3840" w:firstLineChars="16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供应商名称（盖公章）：</w:t>
      </w:r>
    </w:p>
    <w:p w14:paraId="117B447F">
      <w:pPr>
        <w:spacing w:line="360" w:lineRule="auto"/>
        <w:contextualSpacing/>
        <w:jc w:val="center"/>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14:paraId="79F0DF71">
      <w:pPr>
        <w:snapToGrid w:val="0"/>
        <w:spacing w:line="360" w:lineRule="auto"/>
        <w:ind w:firstLine="602" w:firstLineChars="200"/>
        <w:rPr>
          <w:rFonts w:hint="eastAsia" w:ascii="仿宋" w:hAnsi="仿宋" w:eastAsia="仿宋" w:cs="仿宋_GB2312"/>
          <w:b/>
          <w:color w:val="auto"/>
          <w:sz w:val="30"/>
          <w:szCs w:val="30"/>
          <w:highlight w:val="none"/>
        </w:rPr>
      </w:pPr>
    </w:p>
    <w:p w14:paraId="1D131005">
      <w:pPr>
        <w:snapToGrid w:val="0"/>
        <w:spacing w:line="360" w:lineRule="auto"/>
        <w:ind w:firstLine="602" w:firstLineChars="200"/>
        <w:rPr>
          <w:rFonts w:hint="eastAsia" w:ascii="仿宋" w:hAnsi="仿宋" w:eastAsia="仿宋" w:cs="仿宋_GB2312"/>
          <w:b/>
          <w:color w:val="auto"/>
          <w:sz w:val="30"/>
          <w:szCs w:val="30"/>
          <w:highlight w:val="none"/>
        </w:rPr>
      </w:pPr>
    </w:p>
    <w:p w14:paraId="4536B2E4">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49361A19">
      <w:pPr>
        <w:snapToGrid w:val="0"/>
        <w:spacing w:before="120" w:beforeLines="50" w:after="50"/>
        <w:rPr>
          <w:rFonts w:hint="eastAsia" w:ascii="宋体" w:hAnsi="宋体" w:eastAsia="宋体" w:cs="宋体"/>
          <w:b/>
          <w:color w:val="auto"/>
          <w:sz w:val="24"/>
          <w:szCs w:val="24"/>
          <w:highlight w:val="none"/>
        </w:rPr>
      </w:pPr>
      <w:r>
        <w:rPr>
          <w:rFonts w:hint="eastAsia" w:ascii="宋体" w:hAnsi="宋体" w:eastAsia="宋体" w:cs="宋体"/>
          <w:b/>
          <w:color w:val="auto"/>
          <w:sz w:val="28"/>
          <w:szCs w:val="28"/>
          <w:highlight w:val="none"/>
        </w:rPr>
        <w:t>7.供应商类似的业绩证明文件</w:t>
      </w:r>
      <w:r>
        <w:rPr>
          <w:rFonts w:hint="eastAsia" w:ascii="宋体" w:hAnsi="宋体" w:eastAsia="宋体" w:cs="宋体"/>
          <w:b/>
          <w:bCs/>
          <w:color w:val="auto"/>
          <w:sz w:val="30"/>
          <w:szCs w:val="30"/>
          <w:highlight w:val="none"/>
        </w:rPr>
        <w:t>（如有要求）：</w:t>
      </w:r>
    </w:p>
    <w:p w14:paraId="2FC20F28">
      <w:pPr>
        <w:snapToGrid w:val="0"/>
        <w:ind w:left="480" w:hanging="480" w:hangingChars="200"/>
        <w:contextualSpacing/>
        <w:rPr>
          <w:rFonts w:hint="eastAsia" w:ascii="宋体" w:hAnsi="宋体" w:eastAsia="宋体" w:cs="Times New Roman"/>
          <w:color w:val="auto"/>
          <w:sz w:val="24"/>
          <w:szCs w:val="24"/>
          <w:highlight w:val="none"/>
        </w:rPr>
      </w:pPr>
    </w:p>
    <w:p w14:paraId="3691FBA3">
      <w:pPr>
        <w:snapToGrid w:val="0"/>
        <w:ind w:left="480" w:hanging="480" w:hangingChars="200"/>
        <w:contextualSpacing/>
        <w:rPr>
          <w:rFonts w:hint="eastAsia" w:ascii="宋体" w:hAnsi="宋体" w:eastAsia="宋体" w:cs="Times New Roman"/>
          <w:color w:val="auto"/>
          <w:sz w:val="24"/>
          <w:szCs w:val="24"/>
          <w:highlight w:val="none"/>
        </w:rPr>
      </w:pPr>
    </w:p>
    <w:p w14:paraId="08F27FA6">
      <w:pPr>
        <w:snapToGrid w:val="0"/>
        <w:ind w:left="480" w:hanging="480" w:hangingChars="200"/>
        <w:contextualSpacing/>
        <w:rPr>
          <w:rFonts w:hint="eastAsia" w:ascii="宋体" w:hAnsi="宋体" w:eastAsia="宋体" w:cs="Times New Roman"/>
          <w:color w:val="auto"/>
          <w:sz w:val="24"/>
          <w:szCs w:val="24"/>
          <w:highlight w:val="none"/>
        </w:rPr>
      </w:pPr>
    </w:p>
    <w:p w14:paraId="60BCF25A">
      <w:pPr>
        <w:autoSpaceDE w:val="0"/>
        <w:autoSpaceDN w:val="0"/>
        <w:spacing w:line="360" w:lineRule="auto"/>
        <w:ind w:left="-420" w:leftChars="-200" w:firstLine="2416" w:firstLineChars="755"/>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类似项目的业绩一览表</w:t>
      </w:r>
    </w:p>
    <w:p w14:paraId="59B6C3F3">
      <w:pPr>
        <w:autoSpaceDE w:val="0"/>
        <w:autoSpaceDN w:val="0"/>
        <w:spacing w:line="360" w:lineRule="auto"/>
        <w:rPr>
          <w:rFonts w:hint="eastAsia" w:ascii="宋体" w:hAnsi="宋体" w:eastAsia="宋体" w:cs="宋体"/>
          <w:color w:val="auto"/>
          <w:sz w:val="32"/>
          <w:szCs w:val="32"/>
          <w:highlight w:val="none"/>
        </w:rPr>
      </w:pPr>
    </w:p>
    <w:p w14:paraId="58BD31C6">
      <w:pPr>
        <w:spacing w:line="360" w:lineRule="auto"/>
        <w:ind w:left="-218" w:leftChars="-104" w:firstLine="480" w:firstLineChars="200"/>
        <w:rPr>
          <w:rFonts w:hint="eastAsia" w:ascii="宋体" w:hAnsi="宋体" w:eastAsia="宋体" w:cs="宋体"/>
          <w:color w:val="auto"/>
          <w:kern w:val="0"/>
          <w:sz w:val="20"/>
          <w:szCs w:val="21"/>
          <w:highlight w:val="none"/>
          <w:lang w:val="zh-CN"/>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p>
    <w:tbl>
      <w:tblPr>
        <w:tblStyle w:val="32"/>
        <w:tblW w:w="950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8"/>
        <w:gridCol w:w="1915"/>
        <w:gridCol w:w="1044"/>
        <w:gridCol w:w="1045"/>
        <w:gridCol w:w="1567"/>
        <w:gridCol w:w="1058"/>
        <w:gridCol w:w="1813"/>
      </w:tblGrid>
      <w:tr w14:paraId="5EAF65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058" w:type="dxa"/>
            <w:vMerge w:val="restart"/>
            <w:tcBorders>
              <w:top w:val="single" w:color="auto" w:sz="4" w:space="0"/>
              <w:left w:val="single" w:color="auto" w:sz="4" w:space="0"/>
              <w:bottom w:val="single" w:color="auto" w:sz="4" w:space="0"/>
              <w:right w:val="single" w:color="auto" w:sz="4" w:space="0"/>
            </w:tcBorders>
            <w:vAlign w:val="center"/>
          </w:tcPr>
          <w:p w14:paraId="451E7C50">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采购人名称</w:t>
            </w:r>
          </w:p>
        </w:tc>
        <w:tc>
          <w:tcPr>
            <w:tcW w:w="1915" w:type="dxa"/>
            <w:vMerge w:val="restart"/>
            <w:tcBorders>
              <w:top w:val="single" w:color="auto" w:sz="4" w:space="0"/>
              <w:left w:val="single" w:color="auto" w:sz="4" w:space="0"/>
              <w:bottom w:val="single" w:color="auto" w:sz="4" w:space="0"/>
              <w:right w:val="single" w:color="auto" w:sz="4" w:space="0"/>
            </w:tcBorders>
            <w:vAlign w:val="center"/>
          </w:tcPr>
          <w:p w14:paraId="51C423BE">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14:paraId="573A0075">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w:t>
            </w:r>
          </w:p>
          <w:p w14:paraId="04212A4D">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金额</w:t>
            </w:r>
          </w:p>
          <w:p w14:paraId="05905E16">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（万元）</w:t>
            </w:r>
          </w:p>
        </w:tc>
        <w:tc>
          <w:tcPr>
            <w:tcW w:w="3670" w:type="dxa"/>
            <w:gridSpan w:val="3"/>
            <w:tcBorders>
              <w:top w:val="single" w:color="auto" w:sz="4" w:space="0"/>
              <w:left w:val="single" w:color="auto" w:sz="4" w:space="0"/>
              <w:bottom w:val="single" w:color="auto" w:sz="4" w:space="0"/>
              <w:right w:val="single" w:color="auto" w:sz="4" w:space="0"/>
            </w:tcBorders>
            <w:vAlign w:val="center"/>
          </w:tcPr>
          <w:p w14:paraId="4568D1DF">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附件在响应文件中页码</w:t>
            </w:r>
          </w:p>
        </w:tc>
        <w:tc>
          <w:tcPr>
            <w:tcW w:w="1813" w:type="dxa"/>
            <w:vMerge w:val="restart"/>
            <w:tcBorders>
              <w:top w:val="single" w:color="auto" w:sz="4" w:space="0"/>
              <w:left w:val="single" w:color="auto" w:sz="4" w:space="0"/>
              <w:bottom w:val="single" w:color="auto" w:sz="4" w:space="0"/>
              <w:right w:val="single" w:color="auto" w:sz="4" w:space="0"/>
            </w:tcBorders>
            <w:vAlign w:val="center"/>
          </w:tcPr>
          <w:p w14:paraId="16BAC66B">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采购人联系人及联系电话</w:t>
            </w:r>
          </w:p>
        </w:tc>
      </w:tr>
      <w:tr w14:paraId="460204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2" w:hRule="atLeast"/>
        </w:trPr>
        <w:tc>
          <w:tcPr>
            <w:tcW w:w="1058" w:type="dxa"/>
            <w:vMerge w:val="continue"/>
            <w:tcBorders>
              <w:top w:val="single" w:color="auto" w:sz="4" w:space="0"/>
              <w:left w:val="single" w:color="auto" w:sz="4" w:space="0"/>
              <w:bottom w:val="single" w:color="auto" w:sz="4" w:space="0"/>
              <w:right w:val="single" w:color="auto" w:sz="4" w:space="0"/>
            </w:tcBorders>
            <w:vAlign w:val="center"/>
          </w:tcPr>
          <w:p w14:paraId="7BBC3C32">
            <w:pPr>
              <w:jc w:val="left"/>
              <w:rPr>
                <w:rFonts w:hint="eastAsia" w:ascii="宋体" w:hAnsi="宋体" w:eastAsia="宋体" w:cs="Times New Roman"/>
                <w:color w:val="auto"/>
                <w:sz w:val="24"/>
                <w:szCs w:val="24"/>
                <w:highlight w:val="none"/>
              </w:rPr>
            </w:pPr>
          </w:p>
        </w:tc>
        <w:tc>
          <w:tcPr>
            <w:tcW w:w="1915" w:type="dxa"/>
            <w:vMerge w:val="continue"/>
            <w:tcBorders>
              <w:top w:val="single" w:color="auto" w:sz="4" w:space="0"/>
              <w:left w:val="single" w:color="auto" w:sz="4" w:space="0"/>
              <w:bottom w:val="single" w:color="auto" w:sz="4" w:space="0"/>
              <w:right w:val="single" w:color="auto" w:sz="4" w:space="0"/>
            </w:tcBorders>
            <w:vAlign w:val="center"/>
          </w:tcPr>
          <w:p w14:paraId="2F114FDB">
            <w:pPr>
              <w:jc w:val="left"/>
              <w:rPr>
                <w:rFonts w:hint="eastAsia" w:ascii="宋体" w:hAnsi="宋体" w:eastAsia="宋体" w:cs="Times New Roman"/>
                <w:color w:val="auto"/>
                <w:sz w:val="24"/>
                <w:szCs w:val="24"/>
                <w:highlight w:val="none"/>
              </w:rPr>
            </w:pPr>
          </w:p>
        </w:tc>
        <w:tc>
          <w:tcPr>
            <w:tcW w:w="1044" w:type="dxa"/>
            <w:vMerge w:val="continue"/>
            <w:tcBorders>
              <w:top w:val="single" w:color="auto" w:sz="4" w:space="0"/>
              <w:left w:val="single" w:color="auto" w:sz="4" w:space="0"/>
              <w:bottom w:val="single" w:color="auto" w:sz="4" w:space="0"/>
              <w:right w:val="single" w:color="auto" w:sz="4" w:space="0"/>
            </w:tcBorders>
            <w:vAlign w:val="center"/>
          </w:tcPr>
          <w:p w14:paraId="333CA789">
            <w:pPr>
              <w:jc w:val="left"/>
              <w:rPr>
                <w:rFonts w:hint="eastAsia"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vAlign w:val="center"/>
          </w:tcPr>
          <w:p w14:paraId="54504919">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w:t>
            </w:r>
          </w:p>
        </w:tc>
        <w:tc>
          <w:tcPr>
            <w:tcW w:w="1567" w:type="dxa"/>
            <w:tcBorders>
              <w:top w:val="single" w:color="auto" w:sz="4" w:space="0"/>
              <w:left w:val="single" w:color="auto" w:sz="4" w:space="0"/>
              <w:bottom w:val="single" w:color="auto" w:sz="4" w:space="0"/>
              <w:right w:val="single" w:color="auto" w:sz="4" w:space="0"/>
            </w:tcBorders>
            <w:vAlign w:val="center"/>
          </w:tcPr>
          <w:p w14:paraId="334E2FF4">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验收报告</w:t>
            </w:r>
          </w:p>
        </w:tc>
        <w:tc>
          <w:tcPr>
            <w:tcW w:w="1058" w:type="dxa"/>
            <w:tcBorders>
              <w:top w:val="single" w:color="auto" w:sz="4" w:space="0"/>
              <w:left w:val="single" w:color="auto" w:sz="4" w:space="0"/>
              <w:bottom w:val="single" w:color="auto" w:sz="4" w:space="0"/>
              <w:right w:val="single" w:color="auto" w:sz="4" w:space="0"/>
            </w:tcBorders>
            <w:vAlign w:val="center"/>
          </w:tcPr>
          <w:p w14:paraId="1E983510">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用户</w:t>
            </w:r>
          </w:p>
          <w:p w14:paraId="13C64098">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评价</w:t>
            </w:r>
          </w:p>
        </w:tc>
        <w:tc>
          <w:tcPr>
            <w:tcW w:w="1813" w:type="dxa"/>
            <w:vMerge w:val="continue"/>
            <w:tcBorders>
              <w:top w:val="single" w:color="auto" w:sz="4" w:space="0"/>
              <w:left w:val="single" w:color="auto" w:sz="4" w:space="0"/>
              <w:bottom w:val="single" w:color="auto" w:sz="4" w:space="0"/>
              <w:right w:val="single" w:color="auto" w:sz="4" w:space="0"/>
            </w:tcBorders>
            <w:vAlign w:val="center"/>
          </w:tcPr>
          <w:p w14:paraId="37DD15CA">
            <w:pPr>
              <w:jc w:val="left"/>
              <w:rPr>
                <w:rFonts w:hint="eastAsia" w:ascii="宋体" w:hAnsi="宋体" w:eastAsia="宋体" w:cs="Times New Roman"/>
                <w:color w:val="auto"/>
                <w:sz w:val="24"/>
                <w:szCs w:val="24"/>
                <w:highlight w:val="none"/>
              </w:rPr>
            </w:pPr>
          </w:p>
        </w:tc>
      </w:tr>
      <w:tr w14:paraId="61F245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058" w:type="dxa"/>
            <w:tcBorders>
              <w:top w:val="single" w:color="auto" w:sz="4" w:space="0"/>
              <w:left w:val="single" w:color="auto" w:sz="4" w:space="0"/>
              <w:bottom w:val="single" w:color="auto" w:sz="4" w:space="0"/>
              <w:right w:val="single" w:color="auto" w:sz="4" w:space="0"/>
            </w:tcBorders>
          </w:tcPr>
          <w:p w14:paraId="4A2A7C22">
            <w:pPr>
              <w:snapToGrid w:val="0"/>
              <w:spacing w:line="240" w:lineRule="exact"/>
              <w:jc w:val="left"/>
              <w:rPr>
                <w:rFonts w:hint="eastAsia"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73F23243">
            <w:pPr>
              <w:snapToGrid w:val="0"/>
              <w:spacing w:line="240" w:lineRule="exact"/>
              <w:jc w:val="left"/>
              <w:rPr>
                <w:rFonts w:hint="eastAsia"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757C45CB">
            <w:pPr>
              <w:snapToGrid w:val="0"/>
              <w:spacing w:line="240" w:lineRule="exact"/>
              <w:jc w:val="left"/>
              <w:rPr>
                <w:rFonts w:hint="eastAsia"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0EE16969">
            <w:pPr>
              <w:snapToGrid w:val="0"/>
              <w:spacing w:line="240" w:lineRule="exact"/>
              <w:jc w:val="left"/>
              <w:rPr>
                <w:rFonts w:hint="eastAsia"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103B2D9C">
            <w:pPr>
              <w:snapToGrid w:val="0"/>
              <w:spacing w:line="240" w:lineRule="exact"/>
              <w:jc w:val="left"/>
              <w:rPr>
                <w:rFonts w:hint="eastAsia"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34E5DD04">
            <w:pPr>
              <w:snapToGrid w:val="0"/>
              <w:spacing w:line="240" w:lineRule="exact"/>
              <w:jc w:val="left"/>
              <w:rPr>
                <w:rFonts w:hint="eastAsia"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224AD767">
            <w:pPr>
              <w:snapToGrid w:val="0"/>
              <w:spacing w:line="240" w:lineRule="exact"/>
              <w:jc w:val="left"/>
              <w:rPr>
                <w:rFonts w:hint="eastAsia" w:ascii="宋体" w:hAnsi="宋体" w:eastAsia="宋体" w:cs="Times New Roman"/>
                <w:color w:val="auto"/>
                <w:sz w:val="24"/>
                <w:szCs w:val="24"/>
                <w:highlight w:val="none"/>
              </w:rPr>
            </w:pPr>
          </w:p>
        </w:tc>
      </w:tr>
      <w:tr w14:paraId="450DED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58" w:type="dxa"/>
            <w:tcBorders>
              <w:top w:val="single" w:color="auto" w:sz="4" w:space="0"/>
              <w:left w:val="single" w:color="auto" w:sz="4" w:space="0"/>
              <w:bottom w:val="single" w:color="auto" w:sz="4" w:space="0"/>
              <w:right w:val="single" w:color="auto" w:sz="4" w:space="0"/>
            </w:tcBorders>
          </w:tcPr>
          <w:p w14:paraId="5A72966B">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7748AA38">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5C908E96">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04E3221A">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1C4D66F6">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7079E0E4">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0B63BCF5">
            <w:pPr>
              <w:snapToGrid w:val="0"/>
              <w:spacing w:before="50" w:after="120" w:afterLines="50" w:line="400" w:lineRule="exact"/>
              <w:jc w:val="left"/>
              <w:rPr>
                <w:rFonts w:hint="eastAsia" w:ascii="宋体" w:hAnsi="宋体" w:eastAsia="宋体" w:cs="Times New Roman"/>
                <w:color w:val="auto"/>
                <w:sz w:val="24"/>
                <w:szCs w:val="24"/>
                <w:highlight w:val="none"/>
              </w:rPr>
            </w:pPr>
          </w:p>
        </w:tc>
      </w:tr>
      <w:tr w14:paraId="79D8B7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58" w:type="dxa"/>
            <w:tcBorders>
              <w:top w:val="single" w:color="auto" w:sz="4" w:space="0"/>
              <w:left w:val="single" w:color="auto" w:sz="4" w:space="0"/>
              <w:bottom w:val="single" w:color="auto" w:sz="4" w:space="0"/>
              <w:right w:val="single" w:color="auto" w:sz="4" w:space="0"/>
            </w:tcBorders>
          </w:tcPr>
          <w:p w14:paraId="66D6C562">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2FC3F528">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4416B0C6">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69C83BD5">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0F09FDA7">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4C2D3824">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6E3703EC">
            <w:pPr>
              <w:snapToGrid w:val="0"/>
              <w:spacing w:before="50" w:after="120" w:afterLines="50" w:line="400" w:lineRule="exact"/>
              <w:jc w:val="left"/>
              <w:rPr>
                <w:rFonts w:hint="eastAsia" w:ascii="宋体" w:hAnsi="宋体" w:eastAsia="宋体" w:cs="Times New Roman"/>
                <w:color w:val="auto"/>
                <w:sz w:val="24"/>
                <w:szCs w:val="24"/>
                <w:highlight w:val="none"/>
              </w:rPr>
            </w:pPr>
          </w:p>
        </w:tc>
      </w:tr>
      <w:tr w14:paraId="3AA8DB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58" w:type="dxa"/>
            <w:tcBorders>
              <w:top w:val="single" w:color="auto" w:sz="4" w:space="0"/>
              <w:left w:val="single" w:color="auto" w:sz="4" w:space="0"/>
              <w:bottom w:val="single" w:color="auto" w:sz="4" w:space="0"/>
              <w:right w:val="single" w:color="auto" w:sz="4" w:space="0"/>
            </w:tcBorders>
          </w:tcPr>
          <w:p w14:paraId="03A3A032">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4BA46C86">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6063764E">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5EC00E83">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3B153D6D">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10682E16">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64339E31">
            <w:pPr>
              <w:snapToGrid w:val="0"/>
              <w:spacing w:before="50" w:after="120" w:afterLines="50" w:line="400" w:lineRule="exact"/>
              <w:jc w:val="left"/>
              <w:rPr>
                <w:rFonts w:hint="eastAsia" w:ascii="宋体" w:hAnsi="宋体" w:eastAsia="宋体" w:cs="Times New Roman"/>
                <w:color w:val="auto"/>
                <w:sz w:val="24"/>
                <w:szCs w:val="24"/>
                <w:highlight w:val="none"/>
              </w:rPr>
            </w:pPr>
          </w:p>
        </w:tc>
      </w:tr>
      <w:tr w14:paraId="621C66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058" w:type="dxa"/>
            <w:tcBorders>
              <w:top w:val="single" w:color="auto" w:sz="4" w:space="0"/>
              <w:left w:val="single" w:color="auto" w:sz="4" w:space="0"/>
              <w:bottom w:val="single" w:color="auto" w:sz="4" w:space="0"/>
              <w:right w:val="single" w:color="auto" w:sz="4" w:space="0"/>
            </w:tcBorders>
          </w:tcPr>
          <w:p w14:paraId="027742B2">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582A83CD">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259E16CA">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73AC82EF">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4457B3BA">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785C7D36">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220910E4">
            <w:pPr>
              <w:snapToGrid w:val="0"/>
              <w:spacing w:before="50" w:after="120" w:afterLines="50" w:line="400" w:lineRule="exact"/>
              <w:jc w:val="left"/>
              <w:rPr>
                <w:rFonts w:hint="eastAsia" w:ascii="宋体" w:hAnsi="宋体" w:eastAsia="宋体" w:cs="Times New Roman"/>
                <w:color w:val="auto"/>
                <w:sz w:val="24"/>
                <w:szCs w:val="24"/>
                <w:highlight w:val="none"/>
              </w:rPr>
            </w:pPr>
          </w:p>
        </w:tc>
      </w:tr>
    </w:tbl>
    <w:p w14:paraId="0BE9CC3B">
      <w:pPr>
        <w:snapToGrid w:val="0"/>
        <w:spacing w:line="360" w:lineRule="auto"/>
        <w:ind w:firstLine="480" w:firstLineChars="200"/>
        <w:rPr>
          <w:rFonts w:hint="eastAsia" w:ascii="宋体" w:hAnsi="宋体" w:eastAsia="宋体" w:cs="宋体"/>
          <w:color w:val="auto"/>
          <w:sz w:val="24"/>
          <w:szCs w:val="24"/>
          <w:highlight w:val="none"/>
        </w:rPr>
      </w:pPr>
    </w:p>
    <w:p w14:paraId="220828D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注：在填写时，如本表格不适合供应商的实际情况，可参照本表格式自行制表填写，并附上相关证明材料。 </w:t>
      </w:r>
    </w:p>
    <w:p w14:paraId="76F8987E">
      <w:pPr>
        <w:snapToGrid w:val="0"/>
        <w:spacing w:line="360" w:lineRule="auto"/>
        <w:ind w:firstLine="4935" w:firstLineChars="2350"/>
        <w:rPr>
          <w:rFonts w:hint="eastAsia" w:ascii="宋体" w:hAnsi="宋体" w:eastAsia="宋体" w:cs="宋体"/>
          <w:color w:val="auto"/>
          <w:szCs w:val="21"/>
          <w:highlight w:val="none"/>
        </w:rPr>
      </w:pPr>
    </w:p>
    <w:p w14:paraId="40EED7CA">
      <w:pPr>
        <w:snapToGrid w:val="0"/>
        <w:spacing w:line="360" w:lineRule="auto"/>
        <w:ind w:left="4410" w:leftChars="2100" w:firstLine="5670" w:firstLineChars="2700"/>
        <w:rPr>
          <w:rFonts w:hint="eastAsia" w:ascii="宋体" w:hAnsi="宋体" w:eastAsia="宋体" w:cs="宋体"/>
          <w:color w:val="auto"/>
          <w:kern w:val="0"/>
          <w:sz w:val="24"/>
          <w:szCs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szCs w:val="24"/>
          <w:highlight w:val="none"/>
          <w:lang w:val="zh-CN"/>
        </w:rPr>
        <w:t>供应商名称（盖公章）：</w:t>
      </w:r>
    </w:p>
    <w:p w14:paraId="23ED849F">
      <w:pPr>
        <w:spacing w:line="500" w:lineRule="exact"/>
        <w:jc w:val="center"/>
        <w:rPr>
          <w:rFonts w:hint="eastAsia" w:ascii="仿宋_GB2312" w:hAnsi="仿宋_GB2312" w:eastAsia="仿宋_GB2312" w:cs="仿宋_GB2312"/>
          <w:color w:val="auto"/>
          <w:sz w:val="32"/>
          <w:szCs w:val="32"/>
          <w:highlight w:val="none"/>
        </w:rPr>
        <w:sectPr>
          <w:pgSz w:w="11910" w:h="16840"/>
          <w:pgMar w:top="1134" w:right="1134" w:bottom="1134" w:left="1134" w:header="720" w:footer="720" w:gutter="0"/>
          <w:cols w:space="720" w:num="1"/>
        </w:sectPr>
      </w:pPr>
      <w:r>
        <w:rPr>
          <w:rFonts w:hint="eastAsia" w:ascii="宋体" w:hAnsi="宋体" w:eastAsia="宋体" w:cs="宋体"/>
          <w:color w:val="auto"/>
          <w:kern w:val="0"/>
          <w:sz w:val="24"/>
          <w:szCs w:val="24"/>
          <w:highlight w:val="none"/>
          <w:lang w:val="zh-CN"/>
        </w:rPr>
        <w:t xml:space="preserve">                                                     日期</w:t>
      </w:r>
      <w:r>
        <w:rPr>
          <w:rFonts w:hint="eastAsia" w:ascii="宋体" w:hAnsi="宋体" w:eastAsia="宋体" w:cs="宋体"/>
          <w:color w:val="auto"/>
          <w:kern w:val="0"/>
          <w:sz w:val="24"/>
          <w:szCs w:val="24"/>
          <w:highlight w:val="none"/>
        </w:rPr>
        <w:t xml:space="preserve">：  年  </w:t>
      </w:r>
      <w:r>
        <w:rPr>
          <w:rFonts w:hint="eastAsia" w:ascii="宋体" w:hAnsi="宋体" w:eastAsia="宋体" w:cs="宋体"/>
          <w:color w:val="auto"/>
          <w:kern w:val="0"/>
          <w:sz w:val="24"/>
          <w:szCs w:val="24"/>
          <w:highlight w:val="none"/>
          <w:lang w:val="zh-CN"/>
        </w:rPr>
        <w:t>月</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日</w:t>
      </w:r>
    </w:p>
    <w:p w14:paraId="1916EC6D">
      <w:pPr>
        <w:snapToGrid w:val="0"/>
        <w:spacing w:line="360" w:lineRule="auto"/>
        <w:jc w:val="left"/>
        <w:rPr>
          <w:rFonts w:hint="eastAsia" w:ascii="仿宋" w:hAnsi="仿宋" w:eastAsia="仿宋" w:cs="仿宋_GB2312"/>
          <w:b/>
          <w:color w:val="auto"/>
          <w:sz w:val="30"/>
          <w:szCs w:val="30"/>
          <w:highlight w:val="none"/>
        </w:rPr>
      </w:pPr>
      <w:r>
        <w:rPr>
          <w:rFonts w:hint="eastAsia" w:ascii="宋体" w:hAnsi="宋体" w:eastAsia="宋体" w:cs="宋体"/>
          <w:b/>
          <w:color w:val="auto"/>
          <w:sz w:val="30"/>
          <w:szCs w:val="30"/>
          <w:highlight w:val="none"/>
        </w:rPr>
        <w:t>8.技术需求偏离表的格式：</w:t>
      </w:r>
    </w:p>
    <w:p w14:paraId="5D37C285">
      <w:pPr>
        <w:spacing w:line="500" w:lineRule="exact"/>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技术需求偏离表</w:t>
      </w:r>
    </w:p>
    <w:p w14:paraId="53955212">
      <w:pPr>
        <w:spacing w:line="500" w:lineRule="exact"/>
        <w:jc w:val="center"/>
        <w:rPr>
          <w:rFonts w:hint="eastAsia" w:ascii="宋体" w:hAnsi="宋体" w:eastAsia="宋体" w:cs="宋体"/>
          <w:b/>
          <w:color w:val="auto"/>
          <w:sz w:val="32"/>
          <w:szCs w:val="32"/>
          <w:highlight w:val="none"/>
        </w:rPr>
      </w:pPr>
    </w:p>
    <w:p w14:paraId="2696B3AE">
      <w:pPr>
        <w:spacing w:line="360" w:lineRule="auto"/>
        <w:ind w:firstLine="240" w:firstLineChars="10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14:paraId="10A4A24D">
      <w:pPr>
        <w:spacing w:line="360" w:lineRule="auto"/>
        <w:ind w:firstLine="240" w:firstLineChars="1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p>
    <w:p w14:paraId="16C500BE">
      <w:pPr>
        <w:spacing w:line="360" w:lineRule="auto"/>
        <w:ind w:firstLine="240" w:firstLineChars="100"/>
        <w:contextualSpacing/>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p>
    <w:tbl>
      <w:tblPr>
        <w:tblStyle w:val="32"/>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44"/>
        <w:gridCol w:w="2714"/>
        <w:gridCol w:w="2786"/>
        <w:gridCol w:w="1520"/>
      </w:tblGrid>
      <w:tr w14:paraId="22E2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2"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10E1F9F0">
            <w:pPr>
              <w:widowControl/>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项号</w:t>
            </w:r>
          </w:p>
        </w:tc>
        <w:tc>
          <w:tcPr>
            <w:tcW w:w="1544" w:type="dxa"/>
            <w:tcBorders>
              <w:top w:val="single" w:color="auto" w:sz="4" w:space="0"/>
              <w:left w:val="single" w:color="auto" w:sz="4" w:space="0"/>
              <w:bottom w:val="single" w:color="auto" w:sz="4" w:space="0"/>
              <w:right w:val="single" w:color="auto" w:sz="4" w:space="0"/>
            </w:tcBorders>
            <w:vAlign w:val="center"/>
          </w:tcPr>
          <w:p w14:paraId="779722E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标的名称</w:t>
            </w:r>
          </w:p>
        </w:tc>
        <w:tc>
          <w:tcPr>
            <w:tcW w:w="2714" w:type="dxa"/>
            <w:tcBorders>
              <w:top w:val="single" w:color="auto" w:sz="4" w:space="0"/>
              <w:left w:val="single" w:color="auto" w:sz="4" w:space="0"/>
              <w:bottom w:val="single" w:color="auto" w:sz="4" w:space="0"/>
              <w:right w:val="single" w:color="auto" w:sz="4" w:space="0"/>
            </w:tcBorders>
            <w:vAlign w:val="center"/>
          </w:tcPr>
          <w:p w14:paraId="76D7D4A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竞争性谈判文件</w:t>
            </w:r>
            <w:r>
              <w:rPr>
                <w:rFonts w:hint="eastAsia" w:ascii="宋体" w:hAnsi="宋体" w:cs="Times New Roman"/>
                <w:color w:val="auto"/>
                <w:sz w:val="24"/>
                <w:szCs w:val="24"/>
                <w:highlight w:val="none"/>
              </w:rPr>
              <w:t>采购需求中的</w:t>
            </w:r>
            <w:r>
              <w:rPr>
                <w:rFonts w:hint="eastAsia" w:ascii="宋体" w:hAnsi="宋体" w:cs="宋体"/>
                <w:color w:val="auto"/>
                <w:sz w:val="24"/>
                <w:szCs w:val="24"/>
                <w:highlight w:val="none"/>
              </w:rPr>
              <w:t>技术参数及配置</w:t>
            </w:r>
          </w:p>
        </w:tc>
        <w:tc>
          <w:tcPr>
            <w:tcW w:w="2786" w:type="dxa"/>
            <w:tcBorders>
              <w:top w:val="single" w:color="auto" w:sz="4" w:space="0"/>
              <w:left w:val="single" w:color="auto" w:sz="4" w:space="0"/>
              <w:bottom w:val="single" w:color="auto" w:sz="4" w:space="0"/>
              <w:right w:val="single" w:color="auto" w:sz="4" w:space="0"/>
            </w:tcBorders>
            <w:vAlign w:val="center"/>
          </w:tcPr>
          <w:p w14:paraId="67F7EDC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响应文件响应的</w:t>
            </w:r>
            <w:r>
              <w:rPr>
                <w:rFonts w:hint="eastAsia" w:ascii="宋体" w:hAnsi="宋体" w:cs="宋体"/>
                <w:color w:val="auto"/>
                <w:sz w:val="24"/>
                <w:szCs w:val="24"/>
                <w:highlight w:val="none"/>
              </w:rPr>
              <w:t>技术参数及配置</w:t>
            </w:r>
          </w:p>
        </w:tc>
        <w:tc>
          <w:tcPr>
            <w:tcW w:w="1520" w:type="dxa"/>
            <w:tcBorders>
              <w:top w:val="single" w:color="auto" w:sz="4" w:space="0"/>
              <w:left w:val="single" w:color="auto" w:sz="4" w:space="0"/>
              <w:bottom w:val="single" w:color="auto" w:sz="4" w:space="0"/>
              <w:right w:val="single" w:color="auto" w:sz="4" w:space="0"/>
            </w:tcBorders>
            <w:vAlign w:val="center"/>
          </w:tcPr>
          <w:p w14:paraId="28BC7CBE">
            <w:pPr>
              <w:widowControl/>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偏离说明</w:t>
            </w:r>
          </w:p>
        </w:tc>
      </w:tr>
      <w:tr w14:paraId="0923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69DE34C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544" w:type="dxa"/>
            <w:tcBorders>
              <w:top w:val="single" w:color="auto" w:sz="4" w:space="0"/>
              <w:left w:val="single" w:color="auto" w:sz="4" w:space="0"/>
              <w:bottom w:val="single" w:color="auto" w:sz="4" w:space="0"/>
              <w:right w:val="single" w:color="auto" w:sz="4" w:space="0"/>
            </w:tcBorders>
            <w:vAlign w:val="center"/>
          </w:tcPr>
          <w:p w14:paraId="485AECED">
            <w:pPr>
              <w:rPr>
                <w:rFonts w:hint="eastAsia" w:ascii="宋体" w:hAnsi="宋体" w:eastAsia="宋体" w:cs="宋体"/>
                <w:color w:val="auto"/>
                <w:sz w:val="24"/>
                <w:szCs w:val="24"/>
                <w:highlight w:val="none"/>
              </w:rPr>
            </w:pPr>
          </w:p>
        </w:tc>
        <w:tc>
          <w:tcPr>
            <w:tcW w:w="2714" w:type="dxa"/>
            <w:tcBorders>
              <w:top w:val="single" w:color="auto" w:sz="4" w:space="0"/>
              <w:left w:val="single" w:color="auto" w:sz="4" w:space="0"/>
              <w:bottom w:val="single" w:color="auto" w:sz="4" w:space="0"/>
              <w:right w:val="single" w:color="auto" w:sz="4" w:space="0"/>
            </w:tcBorders>
            <w:vAlign w:val="center"/>
          </w:tcPr>
          <w:p w14:paraId="34EDED5F">
            <w:pPr>
              <w:rPr>
                <w:rFonts w:hint="eastAsia" w:ascii="宋体" w:hAnsi="宋体" w:eastAsia="宋体" w:cs="宋体"/>
                <w:color w:val="auto"/>
                <w:sz w:val="24"/>
                <w:szCs w:val="24"/>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14:paraId="07375A9C">
            <w:pPr>
              <w:rPr>
                <w:rFonts w:hint="eastAsia" w:ascii="宋体" w:hAnsi="宋体" w:eastAsia="宋体" w:cs="宋体"/>
                <w:color w:val="auto"/>
                <w:sz w:val="24"/>
                <w:szCs w:val="24"/>
                <w:highlight w:val="none"/>
              </w:rPr>
            </w:pPr>
          </w:p>
        </w:tc>
        <w:tc>
          <w:tcPr>
            <w:tcW w:w="1520" w:type="dxa"/>
            <w:tcBorders>
              <w:top w:val="single" w:color="auto" w:sz="4" w:space="0"/>
              <w:left w:val="single" w:color="auto" w:sz="4" w:space="0"/>
              <w:bottom w:val="single" w:color="auto" w:sz="4" w:space="0"/>
              <w:right w:val="single" w:color="auto" w:sz="4" w:space="0"/>
            </w:tcBorders>
            <w:vAlign w:val="center"/>
          </w:tcPr>
          <w:p w14:paraId="48551319">
            <w:pPr>
              <w:rPr>
                <w:rFonts w:hint="eastAsia" w:ascii="宋体" w:hAnsi="宋体" w:eastAsia="宋体" w:cs="宋体"/>
                <w:color w:val="auto"/>
                <w:sz w:val="24"/>
                <w:szCs w:val="24"/>
                <w:highlight w:val="none"/>
              </w:rPr>
            </w:pPr>
          </w:p>
        </w:tc>
      </w:tr>
      <w:tr w14:paraId="0EF0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780F055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544" w:type="dxa"/>
            <w:tcBorders>
              <w:top w:val="single" w:color="auto" w:sz="4" w:space="0"/>
              <w:left w:val="single" w:color="auto" w:sz="4" w:space="0"/>
              <w:bottom w:val="single" w:color="auto" w:sz="4" w:space="0"/>
              <w:right w:val="single" w:color="auto" w:sz="4" w:space="0"/>
            </w:tcBorders>
            <w:vAlign w:val="center"/>
          </w:tcPr>
          <w:p w14:paraId="2AD78FD1">
            <w:pPr>
              <w:rPr>
                <w:rFonts w:hint="eastAsia" w:ascii="宋体" w:hAnsi="宋体" w:eastAsia="宋体" w:cs="宋体"/>
                <w:color w:val="auto"/>
                <w:sz w:val="24"/>
                <w:szCs w:val="24"/>
                <w:highlight w:val="none"/>
              </w:rPr>
            </w:pPr>
          </w:p>
        </w:tc>
        <w:tc>
          <w:tcPr>
            <w:tcW w:w="2714" w:type="dxa"/>
            <w:tcBorders>
              <w:top w:val="single" w:color="auto" w:sz="4" w:space="0"/>
              <w:left w:val="single" w:color="auto" w:sz="4" w:space="0"/>
              <w:bottom w:val="single" w:color="auto" w:sz="4" w:space="0"/>
              <w:right w:val="single" w:color="auto" w:sz="4" w:space="0"/>
            </w:tcBorders>
            <w:vAlign w:val="center"/>
          </w:tcPr>
          <w:p w14:paraId="06E1A847">
            <w:pPr>
              <w:rPr>
                <w:rFonts w:hint="eastAsia" w:ascii="宋体" w:hAnsi="宋体" w:eastAsia="宋体" w:cs="宋体"/>
                <w:color w:val="auto"/>
                <w:sz w:val="24"/>
                <w:szCs w:val="24"/>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14:paraId="053CACA1">
            <w:pPr>
              <w:rPr>
                <w:rFonts w:hint="eastAsia" w:ascii="宋体" w:hAnsi="宋体" w:eastAsia="宋体" w:cs="宋体"/>
                <w:color w:val="auto"/>
                <w:sz w:val="24"/>
                <w:szCs w:val="24"/>
                <w:highlight w:val="none"/>
              </w:rPr>
            </w:pPr>
          </w:p>
        </w:tc>
        <w:tc>
          <w:tcPr>
            <w:tcW w:w="1520" w:type="dxa"/>
            <w:tcBorders>
              <w:top w:val="single" w:color="auto" w:sz="4" w:space="0"/>
              <w:left w:val="single" w:color="auto" w:sz="4" w:space="0"/>
              <w:bottom w:val="single" w:color="auto" w:sz="4" w:space="0"/>
              <w:right w:val="single" w:color="auto" w:sz="4" w:space="0"/>
            </w:tcBorders>
            <w:vAlign w:val="center"/>
          </w:tcPr>
          <w:p w14:paraId="6C6FDF5A">
            <w:pPr>
              <w:rPr>
                <w:rFonts w:hint="eastAsia" w:ascii="宋体" w:hAnsi="宋体" w:eastAsia="宋体" w:cs="宋体"/>
                <w:color w:val="auto"/>
                <w:sz w:val="24"/>
                <w:szCs w:val="24"/>
                <w:highlight w:val="none"/>
              </w:rPr>
            </w:pPr>
          </w:p>
        </w:tc>
      </w:tr>
      <w:tr w14:paraId="77FE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0C17680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544" w:type="dxa"/>
            <w:tcBorders>
              <w:top w:val="single" w:color="auto" w:sz="4" w:space="0"/>
              <w:left w:val="single" w:color="auto" w:sz="4" w:space="0"/>
              <w:bottom w:val="single" w:color="auto" w:sz="4" w:space="0"/>
              <w:right w:val="single" w:color="auto" w:sz="4" w:space="0"/>
            </w:tcBorders>
            <w:vAlign w:val="center"/>
          </w:tcPr>
          <w:p w14:paraId="3537D3F1">
            <w:pPr>
              <w:rPr>
                <w:rFonts w:hint="eastAsia" w:ascii="宋体" w:hAnsi="宋体" w:eastAsia="宋体" w:cs="宋体"/>
                <w:color w:val="auto"/>
                <w:sz w:val="24"/>
                <w:szCs w:val="24"/>
                <w:highlight w:val="none"/>
              </w:rPr>
            </w:pPr>
          </w:p>
        </w:tc>
        <w:tc>
          <w:tcPr>
            <w:tcW w:w="2714" w:type="dxa"/>
            <w:tcBorders>
              <w:top w:val="single" w:color="auto" w:sz="4" w:space="0"/>
              <w:left w:val="single" w:color="auto" w:sz="4" w:space="0"/>
              <w:bottom w:val="single" w:color="auto" w:sz="4" w:space="0"/>
              <w:right w:val="single" w:color="auto" w:sz="4" w:space="0"/>
            </w:tcBorders>
            <w:vAlign w:val="center"/>
          </w:tcPr>
          <w:p w14:paraId="2B6E6016">
            <w:pPr>
              <w:rPr>
                <w:rFonts w:hint="eastAsia" w:ascii="宋体" w:hAnsi="宋体" w:eastAsia="宋体" w:cs="宋体"/>
                <w:color w:val="auto"/>
                <w:sz w:val="24"/>
                <w:szCs w:val="24"/>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14:paraId="3D794D7D">
            <w:pPr>
              <w:rPr>
                <w:rFonts w:hint="eastAsia" w:ascii="宋体" w:hAnsi="宋体" w:eastAsia="宋体" w:cs="宋体"/>
                <w:color w:val="auto"/>
                <w:sz w:val="24"/>
                <w:szCs w:val="24"/>
                <w:highlight w:val="none"/>
              </w:rPr>
            </w:pPr>
          </w:p>
        </w:tc>
        <w:tc>
          <w:tcPr>
            <w:tcW w:w="1520" w:type="dxa"/>
            <w:tcBorders>
              <w:top w:val="single" w:color="auto" w:sz="4" w:space="0"/>
              <w:left w:val="single" w:color="auto" w:sz="4" w:space="0"/>
              <w:bottom w:val="single" w:color="auto" w:sz="4" w:space="0"/>
              <w:right w:val="single" w:color="auto" w:sz="4" w:space="0"/>
            </w:tcBorders>
            <w:vAlign w:val="center"/>
          </w:tcPr>
          <w:p w14:paraId="6DD6BD4C">
            <w:pPr>
              <w:rPr>
                <w:rFonts w:hint="eastAsia" w:ascii="宋体" w:hAnsi="宋体" w:eastAsia="宋体" w:cs="宋体"/>
                <w:color w:val="auto"/>
                <w:sz w:val="24"/>
                <w:szCs w:val="24"/>
                <w:highlight w:val="none"/>
              </w:rPr>
            </w:pPr>
          </w:p>
        </w:tc>
      </w:tr>
      <w:tr w14:paraId="2AAB5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269" w:type="dxa"/>
            <w:gridSpan w:val="5"/>
            <w:tcBorders>
              <w:top w:val="single" w:color="auto" w:sz="4" w:space="0"/>
              <w:left w:val="single" w:color="auto" w:sz="4" w:space="0"/>
              <w:bottom w:val="single" w:color="auto" w:sz="4" w:space="0"/>
              <w:right w:val="single" w:color="auto" w:sz="4" w:space="0"/>
            </w:tcBorders>
            <w:vAlign w:val="center"/>
          </w:tcPr>
          <w:p w14:paraId="0339442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竞标货物中，属于优先采购节能产品</w:t>
            </w:r>
            <w:r>
              <w:rPr>
                <w:rFonts w:hint="eastAsia" w:ascii="宋体" w:hAnsi="宋体" w:cs="宋体"/>
                <w:color w:val="auto"/>
                <w:sz w:val="24"/>
                <w:szCs w:val="24"/>
                <w:highlight w:val="none"/>
              </w:rPr>
              <w:t>为</w:t>
            </w:r>
            <w:r>
              <w:rPr>
                <w:rFonts w:hint="eastAsia" w:ascii="宋体" w:hAnsi="宋体" w:eastAsia="宋体" w:cs="宋体"/>
                <w:color w:val="auto"/>
                <w:sz w:val="24"/>
                <w:szCs w:val="24"/>
                <w:highlight w:val="none"/>
              </w:rPr>
              <w:t>本项目竞争性谈判文件“第二章 采购需求”中</w:t>
            </w:r>
            <w:r>
              <w:rPr>
                <w:rFonts w:hint="eastAsia" w:ascii="宋体" w:hAnsi="宋体" w:cs="宋体"/>
                <w:color w:val="auto"/>
                <w:sz w:val="24"/>
                <w:szCs w:val="24"/>
                <w:highlight w:val="none"/>
              </w:rPr>
              <w:t>“需求一览表”的第   项产品</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，合计</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项；属于优先采购环境标志产品为本项目竞争性谈判文件“第二章 采购需求”中</w:t>
            </w:r>
            <w:r>
              <w:rPr>
                <w:rFonts w:hint="eastAsia" w:ascii="宋体" w:hAnsi="宋体" w:cs="宋体"/>
                <w:color w:val="auto"/>
                <w:sz w:val="24"/>
                <w:szCs w:val="24"/>
                <w:highlight w:val="none"/>
              </w:rPr>
              <w:t>“需求一览表”的第   项产品</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，合计</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项。 </w:t>
            </w:r>
            <w:r>
              <w:rPr>
                <w:rFonts w:hint="eastAsia" w:ascii="宋体" w:hAnsi="宋体" w:eastAsia="宋体" w:cs="宋体"/>
                <w:b/>
                <w:bCs/>
                <w:color w:val="auto"/>
                <w:sz w:val="24"/>
                <w:szCs w:val="24"/>
                <w:highlight w:val="none"/>
              </w:rPr>
              <w:t>（注：如有，请逐项列出，如无填写“无”或者留空。）</w:t>
            </w:r>
          </w:p>
        </w:tc>
      </w:tr>
    </w:tbl>
    <w:p w14:paraId="73823002">
      <w:pPr>
        <w:spacing w:line="360" w:lineRule="auto"/>
        <w:contextualSpacing/>
        <w:rPr>
          <w:rFonts w:hint="eastAsia" w:ascii="宋体" w:hAnsi="宋体" w:eastAsia="宋体" w:cs="宋体"/>
          <w:color w:val="auto"/>
          <w:kern w:val="0"/>
          <w:sz w:val="24"/>
          <w:szCs w:val="24"/>
          <w:highlight w:val="none"/>
          <w:lang w:val="zh-CN"/>
        </w:rPr>
      </w:pPr>
    </w:p>
    <w:p w14:paraId="1FA6C749">
      <w:pPr>
        <w:spacing w:line="360" w:lineRule="auto"/>
        <w:contextualSpacing/>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注：</w:t>
      </w:r>
    </w:p>
    <w:p w14:paraId="44AF4B63">
      <w:pPr>
        <w:spacing w:line="360" w:lineRule="auto"/>
        <w:ind w:firstLine="480" w:firstLineChars="200"/>
        <w:contextualSpacing/>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▲1.必须对本项目谈判文件“第二章  采购需求”中“技术参数及配置”的全部条款，详细填写响应的具体内容，并作出偏离说明。“偏离说明”一栏应当选择“正偏离”或“负偏离”或“无偏离”进行填写。</w:t>
      </w:r>
    </w:p>
    <w:p w14:paraId="144571B3">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2.表格内容均需按要求填写并盖公章，不得留空（有说明可以留空的除外），</w:t>
      </w:r>
      <w:r>
        <w:rPr>
          <w:rFonts w:hint="eastAsia" w:ascii="宋体" w:hAnsi="宋体" w:eastAsia="宋体" w:cs="宋体"/>
          <w:b/>
          <w:bCs/>
          <w:color w:val="auto"/>
          <w:kern w:val="0"/>
          <w:sz w:val="24"/>
          <w:szCs w:val="24"/>
          <w:highlight w:val="none"/>
        </w:rPr>
        <w:t>否则按响应无效处理。</w:t>
      </w:r>
    </w:p>
    <w:p w14:paraId="32562995">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p>
    <w:p w14:paraId="526A589B">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202C4FB5">
      <w:pPr>
        <w:autoSpaceDE w:val="0"/>
        <w:autoSpaceDN w:val="0"/>
        <w:spacing w:line="360" w:lineRule="auto"/>
        <w:ind w:firstLine="6480" w:firstLineChars="2700"/>
        <w:rPr>
          <w:rFonts w:hint="eastAsia" w:ascii="仿宋_GB2312" w:hAnsi="仿宋" w:eastAsia="仿宋_GB2312" w:cs="仿宋_GB2312"/>
          <w:b/>
          <w:bCs/>
          <w:color w:val="auto"/>
          <w:sz w:val="24"/>
          <w:szCs w:val="24"/>
          <w:highlight w:val="none"/>
        </w:rPr>
      </w:pPr>
      <w:r>
        <w:rPr>
          <w:rFonts w:hint="eastAsia" w:ascii="宋体" w:hAnsi="宋体" w:eastAsia="宋体" w:cs="宋体"/>
          <w:color w:val="auto"/>
          <w:kern w:val="0"/>
          <w:sz w:val="24"/>
          <w:szCs w:val="24"/>
          <w:highlight w:val="none"/>
          <w:lang w:val="zh-CN"/>
        </w:rPr>
        <w:t>日期：  年  月   日</w:t>
      </w:r>
    </w:p>
    <w:p w14:paraId="552936A2">
      <w:pPr>
        <w:spacing w:line="500" w:lineRule="exact"/>
        <w:jc w:val="center"/>
        <w:rPr>
          <w:rFonts w:hint="eastAsia" w:ascii="仿宋_GB2312" w:hAnsi="仿宋_GB2312" w:eastAsia="仿宋_GB2312" w:cs="仿宋_GB2312"/>
          <w:color w:val="auto"/>
          <w:sz w:val="32"/>
          <w:szCs w:val="32"/>
          <w:highlight w:val="none"/>
        </w:rPr>
        <w:sectPr>
          <w:pgSz w:w="11910" w:h="16840"/>
          <w:pgMar w:top="1134" w:right="1134" w:bottom="280" w:left="1134" w:header="720" w:footer="720" w:gutter="0"/>
          <w:cols w:space="720" w:num="1"/>
        </w:sectPr>
      </w:pPr>
    </w:p>
    <w:p w14:paraId="397C700C">
      <w:pPr>
        <w:snapToGrid w:val="0"/>
        <w:spacing w:before="165" w:beforeLines="50" w:after="5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9.售后服务方案</w:t>
      </w:r>
    </w:p>
    <w:p w14:paraId="5CB6FE3F">
      <w:pPr>
        <w:snapToGrid w:val="0"/>
        <w:spacing w:before="165" w:beforeLines="50" w:after="50"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由供应商按本项目竞争性谈判文件“第二章  采购需求”中商务条款部分的售后服务要求自行编制</w:t>
      </w:r>
    </w:p>
    <w:p w14:paraId="39336112">
      <w:pPr>
        <w:snapToGrid w:val="0"/>
        <w:spacing w:before="165" w:beforeLines="50" w:after="50"/>
        <w:ind w:left="142"/>
        <w:jc w:val="center"/>
        <w:rPr>
          <w:rFonts w:hint="eastAsia" w:ascii="宋体" w:hAnsi="宋体" w:eastAsia="宋体" w:cs="宋体"/>
          <w:b/>
          <w:color w:val="auto"/>
          <w:sz w:val="32"/>
          <w:szCs w:val="32"/>
          <w:highlight w:val="none"/>
        </w:rPr>
      </w:pPr>
    </w:p>
    <w:p w14:paraId="4A93CF53">
      <w:pPr>
        <w:autoSpaceDE w:val="0"/>
        <w:autoSpaceDN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附表A：售后服务机构情况表</w:t>
      </w:r>
      <w:r>
        <w:rPr>
          <w:rFonts w:hint="eastAsia" w:ascii="宋体" w:hAnsi="宋体" w:eastAsia="宋体" w:cs="宋体"/>
          <w:color w:val="auto"/>
          <w:sz w:val="24"/>
          <w:szCs w:val="24"/>
          <w:highlight w:val="none"/>
        </w:rPr>
        <w:t>（参照此格式自制）</w:t>
      </w:r>
    </w:p>
    <w:tbl>
      <w:tblPr>
        <w:tblStyle w:val="32"/>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278"/>
        <w:gridCol w:w="1523"/>
        <w:gridCol w:w="1596"/>
        <w:gridCol w:w="1533"/>
      </w:tblGrid>
      <w:tr w14:paraId="7067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828" w:type="dxa"/>
            <w:vAlign w:val="center"/>
          </w:tcPr>
          <w:p w14:paraId="466D21D6">
            <w:pPr>
              <w:autoSpaceDE w:val="0"/>
              <w:autoSpaceDN w:val="0"/>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2340" w:type="dxa"/>
            <w:vAlign w:val="center"/>
          </w:tcPr>
          <w:p w14:paraId="1A0864C1">
            <w:pPr>
              <w:autoSpaceDE w:val="0"/>
              <w:autoSpaceDN w:val="0"/>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机构名称</w:t>
            </w:r>
          </w:p>
        </w:tc>
        <w:tc>
          <w:tcPr>
            <w:tcW w:w="1278" w:type="dxa"/>
            <w:vAlign w:val="center"/>
          </w:tcPr>
          <w:p w14:paraId="6CB1C337">
            <w:pPr>
              <w:autoSpaceDE w:val="0"/>
              <w:autoSpaceDN w:val="0"/>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机构性质</w:t>
            </w:r>
          </w:p>
        </w:tc>
        <w:tc>
          <w:tcPr>
            <w:tcW w:w="1523" w:type="dxa"/>
            <w:vAlign w:val="center"/>
          </w:tcPr>
          <w:p w14:paraId="48743B40">
            <w:pPr>
              <w:autoSpaceDE w:val="0"/>
              <w:autoSpaceDN w:val="0"/>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注册地址</w:t>
            </w:r>
          </w:p>
        </w:tc>
        <w:tc>
          <w:tcPr>
            <w:tcW w:w="1596" w:type="dxa"/>
            <w:vAlign w:val="center"/>
          </w:tcPr>
          <w:p w14:paraId="20A220F4">
            <w:pPr>
              <w:autoSpaceDE w:val="0"/>
              <w:autoSpaceDN w:val="0"/>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货物技术人员数量</w:t>
            </w:r>
          </w:p>
        </w:tc>
        <w:tc>
          <w:tcPr>
            <w:tcW w:w="1533" w:type="dxa"/>
            <w:vAlign w:val="center"/>
          </w:tcPr>
          <w:p w14:paraId="41292783">
            <w:pPr>
              <w:autoSpaceDE w:val="0"/>
              <w:autoSpaceDN w:val="0"/>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联系电话</w:t>
            </w:r>
          </w:p>
        </w:tc>
      </w:tr>
      <w:tr w14:paraId="5835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37566F84">
            <w:pPr>
              <w:autoSpaceDE w:val="0"/>
              <w:autoSpaceDN w:val="0"/>
              <w:spacing w:line="360" w:lineRule="auto"/>
              <w:jc w:val="center"/>
              <w:rPr>
                <w:rFonts w:hint="eastAsia" w:ascii="宋体" w:hAnsi="宋体" w:eastAsia="宋体" w:cs="宋体"/>
                <w:color w:val="auto"/>
                <w:szCs w:val="21"/>
                <w:highlight w:val="none"/>
              </w:rPr>
            </w:pPr>
          </w:p>
        </w:tc>
        <w:tc>
          <w:tcPr>
            <w:tcW w:w="2340" w:type="dxa"/>
          </w:tcPr>
          <w:p w14:paraId="7C641A43">
            <w:pPr>
              <w:autoSpaceDE w:val="0"/>
              <w:autoSpaceDN w:val="0"/>
              <w:spacing w:line="360" w:lineRule="auto"/>
              <w:jc w:val="center"/>
              <w:rPr>
                <w:rFonts w:hint="eastAsia" w:ascii="宋体" w:hAnsi="宋体" w:eastAsia="宋体" w:cs="宋体"/>
                <w:color w:val="auto"/>
                <w:szCs w:val="21"/>
                <w:highlight w:val="none"/>
              </w:rPr>
            </w:pPr>
          </w:p>
        </w:tc>
        <w:tc>
          <w:tcPr>
            <w:tcW w:w="1278" w:type="dxa"/>
          </w:tcPr>
          <w:p w14:paraId="7D3DF898">
            <w:pPr>
              <w:autoSpaceDE w:val="0"/>
              <w:autoSpaceDN w:val="0"/>
              <w:spacing w:line="360" w:lineRule="auto"/>
              <w:jc w:val="center"/>
              <w:rPr>
                <w:rFonts w:hint="eastAsia" w:ascii="宋体" w:hAnsi="宋体" w:eastAsia="宋体" w:cs="宋体"/>
                <w:color w:val="auto"/>
                <w:szCs w:val="21"/>
                <w:highlight w:val="none"/>
              </w:rPr>
            </w:pPr>
          </w:p>
        </w:tc>
        <w:tc>
          <w:tcPr>
            <w:tcW w:w="1523" w:type="dxa"/>
          </w:tcPr>
          <w:p w14:paraId="6A27F19C">
            <w:pPr>
              <w:autoSpaceDE w:val="0"/>
              <w:autoSpaceDN w:val="0"/>
              <w:spacing w:line="360" w:lineRule="auto"/>
              <w:jc w:val="center"/>
              <w:rPr>
                <w:rFonts w:hint="eastAsia" w:ascii="宋体" w:hAnsi="宋体" w:eastAsia="宋体" w:cs="宋体"/>
                <w:color w:val="auto"/>
                <w:szCs w:val="21"/>
                <w:highlight w:val="none"/>
              </w:rPr>
            </w:pPr>
          </w:p>
        </w:tc>
        <w:tc>
          <w:tcPr>
            <w:tcW w:w="1596" w:type="dxa"/>
          </w:tcPr>
          <w:p w14:paraId="2491A71E">
            <w:pPr>
              <w:autoSpaceDE w:val="0"/>
              <w:autoSpaceDN w:val="0"/>
              <w:spacing w:line="360" w:lineRule="auto"/>
              <w:jc w:val="center"/>
              <w:rPr>
                <w:rFonts w:hint="eastAsia" w:ascii="宋体" w:hAnsi="宋体" w:eastAsia="宋体" w:cs="宋体"/>
                <w:color w:val="auto"/>
                <w:szCs w:val="21"/>
                <w:highlight w:val="none"/>
              </w:rPr>
            </w:pPr>
          </w:p>
        </w:tc>
        <w:tc>
          <w:tcPr>
            <w:tcW w:w="1533" w:type="dxa"/>
          </w:tcPr>
          <w:p w14:paraId="1F76B854">
            <w:pPr>
              <w:autoSpaceDE w:val="0"/>
              <w:autoSpaceDN w:val="0"/>
              <w:spacing w:line="360" w:lineRule="auto"/>
              <w:jc w:val="center"/>
              <w:rPr>
                <w:rFonts w:hint="eastAsia" w:ascii="宋体" w:hAnsi="宋体" w:eastAsia="宋体" w:cs="宋体"/>
                <w:color w:val="auto"/>
                <w:szCs w:val="21"/>
                <w:highlight w:val="none"/>
              </w:rPr>
            </w:pPr>
          </w:p>
        </w:tc>
      </w:tr>
      <w:tr w14:paraId="40F5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0E59D7DD">
            <w:pPr>
              <w:autoSpaceDE w:val="0"/>
              <w:autoSpaceDN w:val="0"/>
              <w:spacing w:line="360" w:lineRule="auto"/>
              <w:jc w:val="center"/>
              <w:rPr>
                <w:rFonts w:hint="eastAsia" w:ascii="宋体" w:hAnsi="宋体" w:eastAsia="宋体" w:cs="宋体"/>
                <w:color w:val="auto"/>
                <w:szCs w:val="21"/>
                <w:highlight w:val="none"/>
              </w:rPr>
            </w:pPr>
          </w:p>
        </w:tc>
        <w:tc>
          <w:tcPr>
            <w:tcW w:w="2340" w:type="dxa"/>
          </w:tcPr>
          <w:p w14:paraId="727CACD8">
            <w:pPr>
              <w:autoSpaceDE w:val="0"/>
              <w:autoSpaceDN w:val="0"/>
              <w:spacing w:line="360" w:lineRule="auto"/>
              <w:jc w:val="center"/>
              <w:rPr>
                <w:rFonts w:hint="eastAsia" w:ascii="宋体" w:hAnsi="宋体" w:eastAsia="宋体" w:cs="宋体"/>
                <w:color w:val="auto"/>
                <w:szCs w:val="21"/>
                <w:highlight w:val="none"/>
              </w:rPr>
            </w:pPr>
          </w:p>
        </w:tc>
        <w:tc>
          <w:tcPr>
            <w:tcW w:w="1278" w:type="dxa"/>
          </w:tcPr>
          <w:p w14:paraId="37E0C7CD">
            <w:pPr>
              <w:autoSpaceDE w:val="0"/>
              <w:autoSpaceDN w:val="0"/>
              <w:spacing w:line="360" w:lineRule="auto"/>
              <w:jc w:val="center"/>
              <w:rPr>
                <w:rFonts w:hint="eastAsia" w:ascii="宋体" w:hAnsi="宋体" w:eastAsia="宋体" w:cs="宋体"/>
                <w:color w:val="auto"/>
                <w:szCs w:val="21"/>
                <w:highlight w:val="none"/>
              </w:rPr>
            </w:pPr>
          </w:p>
        </w:tc>
        <w:tc>
          <w:tcPr>
            <w:tcW w:w="1523" w:type="dxa"/>
          </w:tcPr>
          <w:p w14:paraId="2AA54225">
            <w:pPr>
              <w:autoSpaceDE w:val="0"/>
              <w:autoSpaceDN w:val="0"/>
              <w:spacing w:line="360" w:lineRule="auto"/>
              <w:jc w:val="center"/>
              <w:rPr>
                <w:rFonts w:hint="eastAsia" w:ascii="宋体" w:hAnsi="宋体" w:eastAsia="宋体" w:cs="宋体"/>
                <w:color w:val="auto"/>
                <w:szCs w:val="21"/>
                <w:highlight w:val="none"/>
              </w:rPr>
            </w:pPr>
          </w:p>
        </w:tc>
        <w:tc>
          <w:tcPr>
            <w:tcW w:w="1596" w:type="dxa"/>
          </w:tcPr>
          <w:p w14:paraId="2B881357">
            <w:pPr>
              <w:autoSpaceDE w:val="0"/>
              <w:autoSpaceDN w:val="0"/>
              <w:spacing w:line="360" w:lineRule="auto"/>
              <w:jc w:val="center"/>
              <w:rPr>
                <w:rFonts w:hint="eastAsia" w:ascii="宋体" w:hAnsi="宋体" w:eastAsia="宋体" w:cs="宋体"/>
                <w:color w:val="auto"/>
                <w:szCs w:val="21"/>
                <w:highlight w:val="none"/>
              </w:rPr>
            </w:pPr>
          </w:p>
        </w:tc>
        <w:tc>
          <w:tcPr>
            <w:tcW w:w="1533" w:type="dxa"/>
          </w:tcPr>
          <w:p w14:paraId="55E67CA7">
            <w:pPr>
              <w:autoSpaceDE w:val="0"/>
              <w:autoSpaceDN w:val="0"/>
              <w:spacing w:line="360" w:lineRule="auto"/>
              <w:jc w:val="center"/>
              <w:rPr>
                <w:rFonts w:hint="eastAsia" w:ascii="宋体" w:hAnsi="宋体" w:eastAsia="宋体" w:cs="宋体"/>
                <w:color w:val="auto"/>
                <w:szCs w:val="21"/>
                <w:highlight w:val="none"/>
              </w:rPr>
            </w:pPr>
          </w:p>
        </w:tc>
      </w:tr>
      <w:tr w14:paraId="70ED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361672D9">
            <w:pPr>
              <w:autoSpaceDE w:val="0"/>
              <w:autoSpaceDN w:val="0"/>
              <w:spacing w:line="360" w:lineRule="auto"/>
              <w:jc w:val="center"/>
              <w:rPr>
                <w:rFonts w:hint="eastAsia" w:ascii="宋体" w:hAnsi="宋体" w:eastAsia="宋体" w:cs="宋体"/>
                <w:color w:val="auto"/>
                <w:szCs w:val="21"/>
                <w:highlight w:val="none"/>
              </w:rPr>
            </w:pPr>
          </w:p>
        </w:tc>
        <w:tc>
          <w:tcPr>
            <w:tcW w:w="2340" w:type="dxa"/>
          </w:tcPr>
          <w:p w14:paraId="5BC096C1">
            <w:pPr>
              <w:autoSpaceDE w:val="0"/>
              <w:autoSpaceDN w:val="0"/>
              <w:spacing w:line="360" w:lineRule="auto"/>
              <w:jc w:val="center"/>
              <w:rPr>
                <w:rFonts w:hint="eastAsia" w:ascii="宋体" w:hAnsi="宋体" w:eastAsia="宋体" w:cs="宋体"/>
                <w:color w:val="auto"/>
                <w:szCs w:val="21"/>
                <w:highlight w:val="none"/>
              </w:rPr>
            </w:pPr>
          </w:p>
        </w:tc>
        <w:tc>
          <w:tcPr>
            <w:tcW w:w="1278" w:type="dxa"/>
          </w:tcPr>
          <w:p w14:paraId="341CAB59">
            <w:pPr>
              <w:autoSpaceDE w:val="0"/>
              <w:autoSpaceDN w:val="0"/>
              <w:spacing w:line="360" w:lineRule="auto"/>
              <w:jc w:val="center"/>
              <w:rPr>
                <w:rFonts w:hint="eastAsia" w:ascii="宋体" w:hAnsi="宋体" w:eastAsia="宋体" w:cs="宋体"/>
                <w:color w:val="auto"/>
                <w:szCs w:val="21"/>
                <w:highlight w:val="none"/>
              </w:rPr>
            </w:pPr>
          </w:p>
        </w:tc>
        <w:tc>
          <w:tcPr>
            <w:tcW w:w="1523" w:type="dxa"/>
          </w:tcPr>
          <w:p w14:paraId="0C635BB2">
            <w:pPr>
              <w:autoSpaceDE w:val="0"/>
              <w:autoSpaceDN w:val="0"/>
              <w:spacing w:line="360" w:lineRule="auto"/>
              <w:jc w:val="center"/>
              <w:rPr>
                <w:rFonts w:hint="eastAsia" w:ascii="宋体" w:hAnsi="宋体" w:eastAsia="宋体" w:cs="宋体"/>
                <w:color w:val="auto"/>
                <w:szCs w:val="21"/>
                <w:highlight w:val="none"/>
              </w:rPr>
            </w:pPr>
          </w:p>
        </w:tc>
        <w:tc>
          <w:tcPr>
            <w:tcW w:w="1596" w:type="dxa"/>
          </w:tcPr>
          <w:p w14:paraId="22268D33">
            <w:pPr>
              <w:autoSpaceDE w:val="0"/>
              <w:autoSpaceDN w:val="0"/>
              <w:spacing w:line="360" w:lineRule="auto"/>
              <w:jc w:val="center"/>
              <w:rPr>
                <w:rFonts w:hint="eastAsia" w:ascii="宋体" w:hAnsi="宋体" w:eastAsia="宋体" w:cs="宋体"/>
                <w:color w:val="auto"/>
                <w:szCs w:val="21"/>
                <w:highlight w:val="none"/>
              </w:rPr>
            </w:pPr>
          </w:p>
        </w:tc>
        <w:tc>
          <w:tcPr>
            <w:tcW w:w="1533" w:type="dxa"/>
          </w:tcPr>
          <w:p w14:paraId="06677CB8">
            <w:pPr>
              <w:autoSpaceDE w:val="0"/>
              <w:autoSpaceDN w:val="0"/>
              <w:spacing w:line="360" w:lineRule="auto"/>
              <w:jc w:val="center"/>
              <w:rPr>
                <w:rFonts w:hint="eastAsia" w:ascii="宋体" w:hAnsi="宋体" w:eastAsia="宋体" w:cs="宋体"/>
                <w:color w:val="auto"/>
                <w:szCs w:val="21"/>
                <w:highlight w:val="none"/>
              </w:rPr>
            </w:pPr>
          </w:p>
        </w:tc>
      </w:tr>
    </w:tbl>
    <w:p w14:paraId="083E5848">
      <w:pPr>
        <w:autoSpaceDE w:val="0"/>
        <w:autoSpaceDN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bCs/>
          <w:color w:val="auto"/>
          <w:szCs w:val="21"/>
          <w:highlight w:val="none"/>
        </w:rPr>
        <w:t>注：关于项目涉及的所有售后服务机构均在本表注明，包括供应商本单位和符合条件的第三方服务机构。</w:t>
      </w:r>
    </w:p>
    <w:p w14:paraId="097C7CEB">
      <w:pPr>
        <w:autoSpaceDE w:val="0"/>
        <w:autoSpaceDN w:val="0"/>
        <w:spacing w:line="360" w:lineRule="auto"/>
        <w:rPr>
          <w:rFonts w:hint="eastAsia" w:ascii="宋体" w:hAnsi="宋体" w:eastAsia="宋体" w:cs="宋体"/>
          <w:b/>
          <w:color w:val="auto"/>
          <w:kern w:val="0"/>
          <w:sz w:val="24"/>
          <w:szCs w:val="24"/>
          <w:highlight w:val="none"/>
        </w:rPr>
      </w:pPr>
    </w:p>
    <w:p w14:paraId="3BB4F37E">
      <w:pPr>
        <w:autoSpaceDE w:val="0"/>
        <w:autoSpaceDN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附表B：售后服务人员情况表</w:t>
      </w:r>
      <w:r>
        <w:rPr>
          <w:rFonts w:hint="eastAsia" w:ascii="宋体" w:hAnsi="宋体" w:eastAsia="宋体" w:cs="宋体"/>
          <w:color w:val="auto"/>
          <w:sz w:val="24"/>
          <w:szCs w:val="24"/>
          <w:highlight w:val="none"/>
        </w:rPr>
        <w:t>（参照此格式自制）</w:t>
      </w:r>
    </w:p>
    <w:tbl>
      <w:tblPr>
        <w:tblStyle w:val="32"/>
        <w:tblW w:w="4945" w:type="pct"/>
        <w:jc w:val="center"/>
        <w:tblLayout w:type="autofit"/>
        <w:tblCellMar>
          <w:top w:w="0" w:type="dxa"/>
          <w:left w:w="108" w:type="dxa"/>
          <w:bottom w:w="0" w:type="dxa"/>
          <w:right w:w="108" w:type="dxa"/>
        </w:tblCellMar>
      </w:tblPr>
      <w:tblGrid>
        <w:gridCol w:w="613"/>
        <w:gridCol w:w="1128"/>
        <w:gridCol w:w="769"/>
        <w:gridCol w:w="810"/>
        <w:gridCol w:w="876"/>
        <w:gridCol w:w="903"/>
        <w:gridCol w:w="1186"/>
        <w:gridCol w:w="1167"/>
        <w:gridCol w:w="1141"/>
        <w:gridCol w:w="1153"/>
      </w:tblGrid>
      <w:tr w14:paraId="2BEA42CA">
        <w:tblPrEx>
          <w:tblCellMar>
            <w:top w:w="0" w:type="dxa"/>
            <w:left w:w="108" w:type="dxa"/>
            <w:bottom w:w="0" w:type="dxa"/>
            <w:right w:w="108" w:type="dxa"/>
          </w:tblCellMar>
        </w:tblPrEx>
        <w:trPr>
          <w:trHeight w:val="1153" w:hRule="atLeast"/>
          <w:jc w:val="center"/>
        </w:trPr>
        <w:tc>
          <w:tcPr>
            <w:tcW w:w="314" w:type="pct"/>
            <w:tcBorders>
              <w:top w:val="single" w:color="auto" w:sz="6" w:space="0"/>
              <w:left w:val="single" w:color="auto" w:sz="6" w:space="0"/>
              <w:bottom w:val="single" w:color="auto" w:sz="6" w:space="0"/>
              <w:right w:val="single" w:color="auto" w:sz="4" w:space="0"/>
            </w:tcBorders>
            <w:vAlign w:val="center"/>
          </w:tcPr>
          <w:p w14:paraId="58D67883">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578" w:type="pct"/>
            <w:tcBorders>
              <w:top w:val="single" w:color="auto" w:sz="6" w:space="0"/>
              <w:left w:val="single" w:color="auto" w:sz="4" w:space="0"/>
              <w:bottom w:val="single" w:color="auto" w:sz="6" w:space="0"/>
              <w:right w:val="single" w:color="auto" w:sz="6" w:space="0"/>
            </w:tcBorders>
            <w:vAlign w:val="center"/>
          </w:tcPr>
          <w:p w14:paraId="36F09ECF">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394" w:type="pct"/>
            <w:tcBorders>
              <w:top w:val="single" w:color="auto" w:sz="6" w:space="0"/>
              <w:left w:val="single" w:color="auto" w:sz="6" w:space="0"/>
              <w:bottom w:val="single" w:color="auto" w:sz="6" w:space="0"/>
              <w:right w:val="single" w:color="auto" w:sz="6" w:space="0"/>
            </w:tcBorders>
            <w:vAlign w:val="center"/>
          </w:tcPr>
          <w:p w14:paraId="0BB6F6D0">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415" w:type="pct"/>
            <w:tcBorders>
              <w:top w:val="single" w:color="auto" w:sz="6" w:space="0"/>
              <w:left w:val="single" w:color="auto" w:sz="6" w:space="0"/>
              <w:bottom w:val="single" w:color="auto" w:sz="6" w:space="0"/>
              <w:right w:val="single" w:color="auto" w:sz="6" w:space="0"/>
            </w:tcBorders>
            <w:vAlign w:val="center"/>
          </w:tcPr>
          <w:p w14:paraId="49BEB71B">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449" w:type="pct"/>
            <w:tcBorders>
              <w:top w:val="single" w:color="auto" w:sz="6" w:space="0"/>
              <w:left w:val="single" w:color="auto" w:sz="6" w:space="0"/>
              <w:bottom w:val="single" w:color="auto" w:sz="6" w:space="0"/>
              <w:right w:val="single" w:color="auto" w:sz="6" w:space="0"/>
            </w:tcBorders>
            <w:vAlign w:val="center"/>
          </w:tcPr>
          <w:p w14:paraId="3F9C5595">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年龄</w:t>
            </w:r>
          </w:p>
        </w:tc>
        <w:tc>
          <w:tcPr>
            <w:tcW w:w="463" w:type="pct"/>
            <w:tcBorders>
              <w:top w:val="single" w:color="auto" w:sz="6" w:space="0"/>
              <w:left w:val="single" w:color="auto" w:sz="6" w:space="0"/>
              <w:bottom w:val="single" w:color="auto" w:sz="6" w:space="0"/>
              <w:right w:val="single" w:color="auto" w:sz="6" w:space="0"/>
            </w:tcBorders>
            <w:vAlign w:val="center"/>
          </w:tcPr>
          <w:p w14:paraId="77013FFB">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学历及专业</w:t>
            </w:r>
          </w:p>
        </w:tc>
        <w:tc>
          <w:tcPr>
            <w:tcW w:w="608" w:type="pct"/>
            <w:tcBorders>
              <w:top w:val="single" w:color="auto" w:sz="6" w:space="0"/>
              <w:left w:val="single" w:color="auto" w:sz="6" w:space="0"/>
              <w:bottom w:val="single" w:color="auto" w:sz="6" w:space="0"/>
              <w:right w:val="single" w:color="auto" w:sz="6" w:space="0"/>
            </w:tcBorders>
            <w:vAlign w:val="center"/>
          </w:tcPr>
          <w:p w14:paraId="2F2C4ADE">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职称/职业资格证书</w:t>
            </w:r>
          </w:p>
        </w:tc>
        <w:tc>
          <w:tcPr>
            <w:tcW w:w="598" w:type="pct"/>
            <w:tcBorders>
              <w:top w:val="single" w:color="auto" w:sz="6" w:space="0"/>
              <w:left w:val="single" w:color="auto" w:sz="6" w:space="0"/>
              <w:bottom w:val="single" w:color="auto" w:sz="6" w:space="0"/>
              <w:right w:val="single" w:color="auto" w:sz="6" w:space="0"/>
            </w:tcBorders>
            <w:vAlign w:val="center"/>
          </w:tcPr>
          <w:p w14:paraId="674A3CDE">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本项目中的职责</w:t>
            </w:r>
          </w:p>
        </w:tc>
        <w:tc>
          <w:tcPr>
            <w:tcW w:w="585" w:type="pct"/>
            <w:tcBorders>
              <w:top w:val="single" w:color="auto" w:sz="6" w:space="0"/>
              <w:left w:val="single" w:color="auto" w:sz="6" w:space="0"/>
              <w:bottom w:val="single" w:color="auto" w:sz="6" w:space="0"/>
              <w:right w:val="single" w:color="auto" w:sz="6" w:space="0"/>
            </w:tcBorders>
            <w:vAlign w:val="center"/>
          </w:tcPr>
          <w:p w14:paraId="335703C1">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响应时间</w:t>
            </w:r>
          </w:p>
        </w:tc>
        <w:tc>
          <w:tcPr>
            <w:tcW w:w="591" w:type="pct"/>
            <w:tcBorders>
              <w:top w:val="single" w:color="auto" w:sz="6" w:space="0"/>
              <w:left w:val="single" w:color="auto" w:sz="6" w:space="0"/>
              <w:bottom w:val="single" w:color="auto" w:sz="6" w:space="0"/>
              <w:right w:val="single" w:color="auto" w:sz="6" w:space="0"/>
            </w:tcBorders>
            <w:vAlign w:val="center"/>
          </w:tcPr>
          <w:p w14:paraId="011CBFC7">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承诺到达现场时间</w:t>
            </w:r>
          </w:p>
        </w:tc>
      </w:tr>
      <w:tr w14:paraId="461FA5B0">
        <w:tblPrEx>
          <w:tblCellMar>
            <w:top w:w="0" w:type="dxa"/>
            <w:left w:w="108" w:type="dxa"/>
            <w:bottom w:w="0" w:type="dxa"/>
            <w:right w:w="108" w:type="dxa"/>
          </w:tblCellMar>
        </w:tblPrEx>
        <w:trPr>
          <w:trHeight w:val="607" w:hRule="atLeast"/>
          <w:jc w:val="center"/>
        </w:trPr>
        <w:tc>
          <w:tcPr>
            <w:tcW w:w="314" w:type="pct"/>
            <w:tcBorders>
              <w:top w:val="single" w:color="auto" w:sz="6" w:space="0"/>
              <w:left w:val="single" w:color="auto" w:sz="6" w:space="0"/>
              <w:bottom w:val="single" w:color="auto" w:sz="6" w:space="0"/>
              <w:right w:val="single" w:color="auto" w:sz="4" w:space="0"/>
            </w:tcBorders>
          </w:tcPr>
          <w:p w14:paraId="7F7092DD">
            <w:pPr>
              <w:autoSpaceDE w:val="0"/>
              <w:autoSpaceDN w:val="0"/>
              <w:spacing w:line="360" w:lineRule="auto"/>
              <w:jc w:val="center"/>
              <w:rPr>
                <w:rFonts w:hint="eastAsia" w:ascii="宋体" w:hAnsi="宋体" w:eastAsia="宋体" w:cs="宋体"/>
                <w:color w:val="auto"/>
                <w:szCs w:val="21"/>
                <w:highlight w:val="none"/>
              </w:rPr>
            </w:pPr>
          </w:p>
        </w:tc>
        <w:tc>
          <w:tcPr>
            <w:tcW w:w="578" w:type="pct"/>
            <w:tcBorders>
              <w:top w:val="single" w:color="auto" w:sz="6" w:space="0"/>
              <w:left w:val="single" w:color="auto" w:sz="4" w:space="0"/>
              <w:bottom w:val="single" w:color="auto" w:sz="6" w:space="0"/>
              <w:right w:val="single" w:color="auto" w:sz="6" w:space="0"/>
            </w:tcBorders>
          </w:tcPr>
          <w:p w14:paraId="57738905">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总协调人</w:t>
            </w:r>
          </w:p>
        </w:tc>
        <w:tc>
          <w:tcPr>
            <w:tcW w:w="394" w:type="pct"/>
            <w:tcBorders>
              <w:top w:val="single" w:color="auto" w:sz="6" w:space="0"/>
              <w:left w:val="single" w:color="auto" w:sz="6" w:space="0"/>
              <w:bottom w:val="single" w:color="auto" w:sz="6" w:space="0"/>
              <w:right w:val="single" w:color="auto" w:sz="6" w:space="0"/>
            </w:tcBorders>
          </w:tcPr>
          <w:p w14:paraId="2AD6EF31">
            <w:pPr>
              <w:autoSpaceDE w:val="0"/>
              <w:autoSpaceDN w:val="0"/>
              <w:spacing w:line="360" w:lineRule="auto"/>
              <w:rPr>
                <w:rFonts w:hint="eastAsia" w:ascii="宋体" w:hAnsi="宋体" w:eastAsia="宋体" w:cs="宋体"/>
                <w:color w:val="auto"/>
                <w:szCs w:val="21"/>
                <w:highlight w:val="none"/>
              </w:rPr>
            </w:pPr>
          </w:p>
        </w:tc>
        <w:tc>
          <w:tcPr>
            <w:tcW w:w="415" w:type="pct"/>
            <w:tcBorders>
              <w:top w:val="single" w:color="auto" w:sz="6" w:space="0"/>
              <w:left w:val="single" w:color="auto" w:sz="6" w:space="0"/>
              <w:bottom w:val="single" w:color="auto" w:sz="6" w:space="0"/>
              <w:right w:val="single" w:color="auto" w:sz="6" w:space="0"/>
            </w:tcBorders>
          </w:tcPr>
          <w:p w14:paraId="3BC000AF">
            <w:pPr>
              <w:autoSpaceDE w:val="0"/>
              <w:autoSpaceDN w:val="0"/>
              <w:spacing w:line="360" w:lineRule="auto"/>
              <w:rPr>
                <w:rFonts w:hint="eastAsia" w:ascii="宋体" w:hAnsi="宋体" w:eastAsia="宋体" w:cs="宋体"/>
                <w:color w:val="auto"/>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002F270B">
            <w:pPr>
              <w:autoSpaceDE w:val="0"/>
              <w:autoSpaceDN w:val="0"/>
              <w:spacing w:line="360" w:lineRule="auto"/>
              <w:rPr>
                <w:rFonts w:hint="eastAsia" w:ascii="宋体" w:hAnsi="宋体" w:eastAsia="宋体" w:cs="宋体"/>
                <w:color w:val="auto"/>
                <w:szCs w:val="21"/>
                <w:highlight w:val="none"/>
              </w:rPr>
            </w:pPr>
          </w:p>
        </w:tc>
        <w:tc>
          <w:tcPr>
            <w:tcW w:w="463" w:type="pct"/>
            <w:tcBorders>
              <w:top w:val="single" w:color="auto" w:sz="6" w:space="0"/>
              <w:left w:val="single" w:color="auto" w:sz="6" w:space="0"/>
              <w:bottom w:val="single" w:color="auto" w:sz="6" w:space="0"/>
              <w:right w:val="single" w:color="auto" w:sz="6" w:space="0"/>
            </w:tcBorders>
          </w:tcPr>
          <w:p w14:paraId="145514A6">
            <w:pPr>
              <w:autoSpaceDE w:val="0"/>
              <w:autoSpaceDN w:val="0"/>
              <w:spacing w:line="360" w:lineRule="auto"/>
              <w:rPr>
                <w:rFonts w:hint="eastAsia" w:ascii="宋体" w:hAnsi="宋体" w:eastAsia="宋体" w:cs="宋体"/>
                <w:color w:val="auto"/>
                <w:szCs w:val="21"/>
                <w:highlight w:val="none"/>
              </w:rPr>
            </w:pPr>
          </w:p>
        </w:tc>
        <w:tc>
          <w:tcPr>
            <w:tcW w:w="608" w:type="pct"/>
            <w:tcBorders>
              <w:top w:val="single" w:color="auto" w:sz="6" w:space="0"/>
              <w:left w:val="single" w:color="auto" w:sz="6" w:space="0"/>
              <w:bottom w:val="single" w:color="auto" w:sz="6" w:space="0"/>
              <w:right w:val="single" w:color="auto" w:sz="6" w:space="0"/>
            </w:tcBorders>
          </w:tcPr>
          <w:p w14:paraId="065B87CD">
            <w:pPr>
              <w:autoSpaceDE w:val="0"/>
              <w:autoSpaceDN w:val="0"/>
              <w:spacing w:line="360" w:lineRule="auto"/>
              <w:rPr>
                <w:rFonts w:hint="eastAsia" w:ascii="宋体" w:hAnsi="宋体" w:eastAsia="宋体" w:cs="宋体"/>
                <w:color w:val="auto"/>
                <w:szCs w:val="21"/>
                <w:highlight w:val="none"/>
              </w:rPr>
            </w:pPr>
          </w:p>
        </w:tc>
        <w:tc>
          <w:tcPr>
            <w:tcW w:w="598" w:type="pct"/>
            <w:tcBorders>
              <w:top w:val="single" w:color="auto" w:sz="6" w:space="0"/>
              <w:left w:val="single" w:color="auto" w:sz="6" w:space="0"/>
              <w:bottom w:val="single" w:color="auto" w:sz="6" w:space="0"/>
              <w:right w:val="single" w:color="auto" w:sz="6" w:space="0"/>
            </w:tcBorders>
          </w:tcPr>
          <w:p w14:paraId="36B53B3E">
            <w:pPr>
              <w:autoSpaceDE w:val="0"/>
              <w:autoSpaceDN w:val="0"/>
              <w:spacing w:line="360" w:lineRule="auto"/>
              <w:rPr>
                <w:rFonts w:hint="eastAsia" w:ascii="宋体" w:hAnsi="宋体" w:eastAsia="宋体" w:cs="宋体"/>
                <w:color w:val="auto"/>
                <w:szCs w:val="21"/>
                <w:highlight w:val="none"/>
              </w:rPr>
            </w:pPr>
          </w:p>
        </w:tc>
        <w:tc>
          <w:tcPr>
            <w:tcW w:w="585" w:type="pct"/>
            <w:tcBorders>
              <w:top w:val="single" w:color="auto" w:sz="6" w:space="0"/>
              <w:left w:val="single" w:color="auto" w:sz="6" w:space="0"/>
              <w:bottom w:val="single" w:color="auto" w:sz="6" w:space="0"/>
              <w:right w:val="single" w:color="auto" w:sz="6" w:space="0"/>
            </w:tcBorders>
          </w:tcPr>
          <w:p w14:paraId="7B506B55">
            <w:pPr>
              <w:autoSpaceDE w:val="0"/>
              <w:autoSpaceDN w:val="0"/>
              <w:spacing w:line="360" w:lineRule="auto"/>
              <w:rPr>
                <w:rFonts w:hint="eastAsia" w:ascii="宋体" w:hAnsi="宋体" w:eastAsia="宋体" w:cs="宋体"/>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tcPr>
          <w:p w14:paraId="0D4396EC">
            <w:pPr>
              <w:autoSpaceDE w:val="0"/>
              <w:autoSpaceDN w:val="0"/>
              <w:spacing w:line="360" w:lineRule="auto"/>
              <w:rPr>
                <w:rFonts w:hint="eastAsia" w:ascii="宋体" w:hAnsi="宋体" w:eastAsia="宋体" w:cs="宋体"/>
                <w:color w:val="auto"/>
                <w:szCs w:val="21"/>
                <w:highlight w:val="none"/>
              </w:rPr>
            </w:pPr>
          </w:p>
        </w:tc>
      </w:tr>
      <w:tr w14:paraId="73414FA0">
        <w:tblPrEx>
          <w:tblCellMar>
            <w:top w:w="0" w:type="dxa"/>
            <w:left w:w="108" w:type="dxa"/>
            <w:bottom w:w="0" w:type="dxa"/>
            <w:right w:w="108" w:type="dxa"/>
          </w:tblCellMar>
        </w:tblPrEx>
        <w:trPr>
          <w:trHeight w:val="595" w:hRule="atLeast"/>
          <w:jc w:val="center"/>
        </w:trPr>
        <w:tc>
          <w:tcPr>
            <w:tcW w:w="314" w:type="pct"/>
            <w:tcBorders>
              <w:top w:val="single" w:color="auto" w:sz="6" w:space="0"/>
              <w:left w:val="single" w:color="auto" w:sz="6" w:space="0"/>
              <w:bottom w:val="single" w:color="auto" w:sz="6" w:space="0"/>
              <w:right w:val="single" w:color="auto" w:sz="4" w:space="0"/>
            </w:tcBorders>
          </w:tcPr>
          <w:p w14:paraId="6736B4EC">
            <w:pPr>
              <w:autoSpaceDE w:val="0"/>
              <w:autoSpaceDN w:val="0"/>
              <w:spacing w:line="360" w:lineRule="auto"/>
              <w:jc w:val="center"/>
              <w:rPr>
                <w:rFonts w:hint="eastAsia" w:ascii="宋体" w:hAnsi="宋体" w:eastAsia="宋体" w:cs="宋体"/>
                <w:color w:val="auto"/>
                <w:szCs w:val="21"/>
                <w:highlight w:val="none"/>
              </w:rPr>
            </w:pPr>
          </w:p>
        </w:tc>
        <w:tc>
          <w:tcPr>
            <w:tcW w:w="578" w:type="pct"/>
            <w:tcBorders>
              <w:top w:val="single" w:color="auto" w:sz="6" w:space="0"/>
              <w:left w:val="single" w:color="auto" w:sz="4" w:space="0"/>
              <w:bottom w:val="single" w:color="auto" w:sz="6" w:space="0"/>
              <w:right w:val="single" w:color="auto" w:sz="6" w:space="0"/>
            </w:tcBorders>
          </w:tcPr>
          <w:p w14:paraId="39F8ECAB">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售后人员</w:t>
            </w:r>
          </w:p>
        </w:tc>
        <w:tc>
          <w:tcPr>
            <w:tcW w:w="394" w:type="pct"/>
            <w:tcBorders>
              <w:top w:val="single" w:color="auto" w:sz="6" w:space="0"/>
              <w:left w:val="single" w:color="auto" w:sz="6" w:space="0"/>
              <w:bottom w:val="single" w:color="auto" w:sz="6" w:space="0"/>
              <w:right w:val="single" w:color="auto" w:sz="6" w:space="0"/>
            </w:tcBorders>
          </w:tcPr>
          <w:p w14:paraId="5C867715">
            <w:pPr>
              <w:autoSpaceDE w:val="0"/>
              <w:autoSpaceDN w:val="0"/>
              <w:spacing w:line="360" w:lineRule="auto"/>
              <w:rPr>
                <w:rFonts w:hint="eastAsia" w:ascii="宋体" w:hAnsi="宋体" w:eastAsia="宋体" w:cs="宋体"/>
                <w:color w:val="auto"/>
                <w:szCs w:val="21"/>
                <w:highlight w:val="none"/>
              </w:rPr>
            </w:pPr>
          </w:p>
        </w:tc>
        <w:tc>
          <w:tcPr>
            <w:tcW w:w="415" w:type="pct"/>
            <w:tcBorders>
              <w:top w:val="single" w:color="auto" w:sz="6" w:space="0"/>
              <w:left w:val="single" w:color="auto" w:sz="6" w:space="0"/>
              <w:bottom w:val="single" w:color="auto" w:sz="6" w:space="0"/>
              <w:right w:val="single" w:color="auto" w:sz="6" w:space="0"/>
            </w:tcBorders>
          </w:tcPr>
          <w:p w14:paraId="0A7599F4">
            <w:pPr>
              <w:autoSpaceDE w:val="0"/>
              <w:autoSpaceDN w:val="0"/>
              <w:spacing w:line="360" w:lineRule="auto"/>
              <w:rPr>
                <w:rFonts w:hint="eastAsia" w:ascii="宋体" w:hAnsi="宋体" w:eastAsia="宋体" w:cs="宋体"/>
                <w:color w:val="auto"/>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30D5FD03">
            <w:pPr>
              <w:autoSpaceDE w:val="0"/>
              <w:autoSpaceDN w:val="0"/>
              <w:spacing w:line="360" w:lineRule="auto"/>
              <w:rPr>
                <w:rFonts w:hint="eastAsia" w:ascii="宋体" w:hAnsi="宋体" w:eastAsia="宋体" w:cs="宋体"/>
                <w:color w:val="auto"/>
                <w:szCs w:val="21"/>
                <w:highlight w:val="none"/>
              </w:rPr>
            </w:pPr>
          </w:p>
        </w:tc>
        <w:tc>
          <w:tcPr>
            <w:tcW w:w="463" w:type="pct"/>
            <w:tcBorders>
              <w:top w:val="single" w:color="auto" w:sz="6" w:space="0"/>
              <w:left w:val="single" w:color="auto" w:sz="6" w:space="0"/>
              <w:bottom w:val="single" w:color="auto" w:sz="6" w:space="0"/>
              <w:right w:val="single" w:color="auto" w:sz="6" w:space="0"/>
            </w:tcBorders>
          </w:tcPr>
          <w:p w14:paraId="20134AD7">
            <w:pPr>
              <w:autoSpaceDE w:val="0"/>
              <w:autoSpaceDN w:val="0"/>
              <w:spacing w:line="360" w:lineRule="auto"/>
              <w:rPr>
                <w:rFonts w:hint="eastAsia" w:ascii="宋体" w:hAnsi="宋体" w:eastAsia="宋体" w:cs="宋体"/>
                <w:color w:val="auto"/>
                <w:szCs w:val="21"/>
                <w:highlight w:val="none"/>
              </w:rPr>
            </w:pPr>
          </w:p>
        </w:tc>
        <w:tc>
          <w:tcPr>
            <w:tcW w:w="608" w:type="pct"/>
            <w:tcBorders>
              <w:top w:val="single" w:color="auto" w:sz="6" w:space="0"/>
              <w:left w:val="single" w:color="auto" w:sz="6" w:space="0"/>
              <w:bottom w:val="single" w:color="auto" w:sz="6" w:space="0"/>
              <w:right w:val="single" w:color="auto" w:sz="6" w:space="0"/>
            </w:tcBorders>
          </w:tcPr>
          <w:p w14:paraId="0917CE30">
            <w:pPr>
              <w:autoSpaceDE w:val="0"/>
              <w:autoSpaceDN w:val="0"/>
              <w:spacing w:line="360" w:lineRule="auto"/>
              <w:rPr>
                <w:rFonts w:hint="eastAsia" w:ascii="宋体" w:hAnsi="宋体" w:eastAsia="宋体" w:cs="宋体"/>
                <w:color w:val="auto"/>
                <w:szCs w:val="21"/>
                <w:highlight w:val="none"/>
              </w:rPr>
            </w:pPr>
          </w:p>
        </w:tc>
        <w:tc>
          <w:tcPr>
            <w:tcW w:w="598" w:type="pct"/>
            <w:tcBorders>
              <w:top w:val="single" w:color="auto" w:sz="6" w:space="0"/>
              <w:left w:val="single" w:color="auto" w:sz="6" w:space="0"/>
              <w:bottom w:val="single" w:color="auto" w:sz="6" w:space="0"/>
              <w:right w:val="single" w:color="auto" w:sz="6" w:space="0"/>
            </w:tcBorders>
          </w:tcPr>
          <w:p w14:paraId="56FB2654">
            <w:pPr>
              <w:autoSpaceDE w:val="0"/>
              <w:autoSpaceDN w:val="0"/>
              <w:spacing w:line="360" w:lineRule="auto"/>
              <w:rPr>
                <w:rFonts w:hint="eastAsia" w:ascii="宋体" w:hAnsi="宋体" w:eastAsia="宋体" w:cs="宋体"/>
                <w:color w:val="auto"/>
                <w:szCs w:val="21"/>
                <w:highlight w:val="none"/>
              </w:rPr>
            </w:pPr>
          </w:p>
        </w:tc>
        <w:tc>
          <w:tcPr>
            <w:tcW w:w="585" w:type="pct"/>
            <w:tcBorders>
              <w:top w:val="single" w:color="auto" w:sz="6" w:space="0"/>
              <w:left w:val="single" w:color="auto" w:sz="6" w:space="0"/>
              <w:bottom w:val="single" w:color="auto" w:sz="6" w:space="0"/>
              <w:right w:val="single" w:color="auto" w:sz="6" w:space="0"/>
            </w:tcBorders>
          </w:tcPr>
          <w:p w14:paraId="51A8FD9D">
            <w:pPr>
              <w:autoSpaceDE w:val="0"/>
              <w:autoSpaceDN w:val="0"/>
              <w:spacing w:line="360" w:lineRule="auto"/>
              <w:rPr>
                <w:rFonts w:hint="eastAsia" w:ascii="宋体" w:hAnsi="宋体" w:eastAsia="宋体" w:cs="宋体"/>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tcPr>
          <w:p w14:paraId="6C9FA87D">
            <w:pPr>
              <w:autoSpaceDE w:val="0"/>
              <w:autoSpaceDN w:val="0"/>
              <w:spacing w:line="360" w:lineRule="auto"/>
              <w:rPr>
                <w:rFonts w:hint="eastAsia" w:ascii="宋体" w:hAnsi="宋体" w:eastAsia="宋体" w:cs="宋体"/>
                <w:color w:val="auto"/>
                <w:szCs w:val="21"/>
                <w:highlight w:val="none"/>
              </w:rPr>
            </w:pPr>
          </w:p>
        </w:tc>
      </w:tr>
      <w:tr w14:paraId="245FF690">
        <w:tblPrEx>
          <w:tblCellMar>
            <w:top w:w="0" w:type="dxa"/>
            <w:left w:w="108" w:type="dxa"/>
            <w:bottom w:w="0" w:type="dxa"/>
            <w:right w:w="108" w:type="dxa"/>
          </w:tblCellMar>
        </w:tblPrEx>
        <w:trPr>
          <w:trHeight w:val="595" w:hRule="atLeast"/>
          <w:jc w:val="center"/>
        </w:trPr>
        <w:tc>
          <w:tcPr>
            <w:tcW w:w="314" w:type="pct"/>
            <w:tcBorders>
              <w:top w:val="single" w:color="auto" w:sz="6" w:space="0"/>
              <w:left w:val="single" w:color="auto" w:sz="6" w:space="0"/>
              <w:bottom w:val="single" w:color="auto" w:sz="6" w:space="0"/>
              <w:right w:val="single" w:color="auto" w:sz="4" w:space="0"/>
            </w:tcBorders>
          </w:tcPr>
          <w:p w14:paraId="636F2297">
            <w:pPr>
              <w:autoSpaceDE w:val="0"/>
              <w:autoSpaceDN w:val="0"/>
              <w:spacing w:line="360" w:lineRule="auto"/>
              <w:jc w:val="center"/>
              <w:rPr>
                <w:rFonts w:hint="eastAsia" w:ascii="宋体" w:hAnsi="宋体" w:eastAsia="宋体" w:cs="宋体"/>
                <w:color w:val="auto"/>
                <w:szCs w:val="21"/>
                <w:highlight w:val="none"/>
              </w:rPr>
            </w:pPr>
          </w:p>
        </w:tc>
        <w:tc>
          <w:tcPr>
            <w:tcW w:w="578" w:type="pct"/>
            <w:tcBorders>
              <w:top w:val="single" w:color="auto" w:sz="6" w:space="0"/>
              <w:left w:val="single" w:color="auto" w:sz="4" w:space="0"/>
              <w:bottom w:val="single" w:color="auto" w:sz="6" w:space="0"/>
              <w:right w:val="single" w:color="auto" w:sz="6" w:space="0"/>
            </w:tcBorders>
          </w:tcPr>
          <w:p w14:paraId="5E51F9CA">
            <w:pPr>
              <w:autoSpaceDE w:val="0"/>
              <w:autoSpaceDN w:val="0"/>
              <w:spacing w:line="360" w:lineRule="auto"/>
              <w:jc w:val="center"/>
              <w:rPr>
                <w:rFonts w:hint="eastAsia" w:ascii="宋体" w:hAnsi="宋体" w:eastAsia="宋体" w:cs="宋体"/>
                <w:color w:val="auto"/>
                <w:szCs w:val="21"/>
                <w:highlight w:val="none"/>
              </w:rPr>
            </w:pPr>
          </w:p>
        </w:tc>
        <w:tc>
          <w:tcPr>
            <w:tcW w:w="394" w:type="pct"/>
            <w:tcBorders>
              <w:top w:val="single" w:color="auto" w:sz="6" w:space="0"/>
              <w:left w:val="single" w:color="auto" w:sz="6" w:space="0"/>
              <w:bottom w:val="single" w:color="auto" w:sz="6" w:space="0"/>
              <w:right w:val="single" w:color="auto" w:sz="6" w:space="0"/>
            </w:tcBorders>
          </w:tcPr>
          <w:p w14:paraId="46588BE7">
            <w:pPr>
              <w:autoSpaceDE w:val="0"/>
              <w:autoSpaceDN w:val="0"/>
              <w:spacing w:line="360" w:lineRule="auto"/>
              <w:rPr>
                <w:rFonts w:hint="eastAsia" w:ascii="宋体" w:hAnsi="宋体" w:eastAsia="宋体" w:cs="宋体"/>
                <w:color w:val="auto"/>
                <w:szCs w:val="21"/>
                <w:highlight w:val="none"/>
              </w:rPr>
            </w:pPr>
          </w:p>
        </w:tc>
        <w:tc>
          <w:tcPr>
            <w:tcW w:w="415" w:type="pct"/>
            <w:tcBorders>
              <w:top w:val="single" w:color="auto" w:sz="6" w:space="0"/>
              <w:left w:val="single" w:color="auto" w:sz="6" w:space="0"/>
              <w:bottom w:val="single" w:color="auto" w:sz="6" w:space="0"/>
              <w:right w:val="single" w:color="auto" w:sz="6" w:space="0"/>
            </w:tcBorders>
          </w:tcPr>
          <w:p w14:paraId="6129F9EE">
            <w:pPr>
              <w:autoSpaceDE w:val="0"/>
              <w:autoSpaceDN w:val="0"/>
              <w:spacing w:line="360" w:lineRule="auto"/>
              <w:rPr>
                <w:rFonts w:hint="eastAsia" w:ascii="宋体" w:hAnsi="宋体" w:eastAsia="宋体" w:cs="宋体"/>
                <w:color w:val="auto"/>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41362854">
            <w:pPr>
              <w:autoSpaceDE w:val="0"/>
              <w:autoSpaceDN w:val="0"/>
              <w:spacing w:line="360" w:lineRule="auto"/>
              <w:rPr>
                <w:rFonts w:hint="eastAsia" w:ascii="宋体" w:hAnsi="宋体" w:eastAsia="宋体" w:cs="宋体"/>
                <w:color w:val="auto"/>
                <w:szCs w:val="21"/>
                <w:highlight w:val="none"/>
              </w:rPr>
            </w:pPr>
          </w:p>
        </w:tc>
        <w:tc>
          <w:tcPr>
            <w:tcW w:w="463" w:type="pct"/>
            <w:tcBorders>
              <w:top w:val="single" w:color="auto" w:sz="6" w:space="0"/>
              <w:left w:val="single" w:color="auto" w:sz="6" w:space="0"/>
              <w:bottom w:val="single" w:color="auto" w:sz="6" w:space="0"/>
              <w:right w:val="single" w:color="auto" w:sz="6" w:space="0"/>
            </w:tcBorders>
          </w:tcPr>
          <w:p w14:paraId="4E55ACEB">
            <w:pPr>
              <w:autoSpaceDE w:val="0"/>
              <w:autoSpaceDN w:val="0"/>
              <w:spacing w:line="360" w:lineRule="auto"/>
              <w:rPr>
                <w:rFonts w:hint="eastAsia" w:ascii="宋体" w:hAnsi="宋体" w:eastAsia="宋体" w:cs="宋体"/>
                <w:color w:val="auto"/>
                <w:szCs w:val="21"/>
                <w:highlight w:val="none"/>
              </w:rPr>
            </w:pPr>
          </w:p>
        </w:tc>
        <w:tc>
          <w:tcPr>
            <w:tcW w:w="608" w:type="pct"/>
            <w:tcBorders>
              <w:top w:val="single" w:color="auto" w:sz="6" w:space="0"/>
              <w:left w:val="single" w:color="auto" w:sz="6" w:space="0"/>
              <w:bottom w:val="single" w:color="auto" w:sz="6" w:space="0"/>
              <w:right w:val="single" w:color="auto" w:sz="6" w:space="0"/>
            </w:tcBorders>
          </w:tcPr>
          <w:p w14:paraId="121E9A72">
            <w:pPr>
              <w:autoSpaceDE w:val="0"/>
              <w:autoSpaceDN w:val="0"/>
              <w:spacing w:line="360" w:lineRule="auto"/>
              <w:rPr>
                <w:rFonts w:hint="eastAsia" w:ascii="宋体" w:hAnsi="宋体" w:eastAsia="宋体" w:cs="宋体"/>
                <w:color w:val="auto"/>
                <w:szCs w:val="21"/>
                <w:highlight w:val="none"/>
              </w:rPr>
            </w:pPr>
          </w:p>
        </w:tc>
        <w:tc>
          <w:tcPr>
            <w:tcW w:w="598" w:type="pct"/>
            <w:tcBorders>
              <w:top w:val="single" w:color="auto" w:sz="6" w:space="0"/>
              <w:left w:val="single" w:color="auto" w:sz="6" w:space="0"/>
              <w:bottom w:val="single" w:color="auto" w:sz="6" w:space="0"/>
              <w:right w:val="single" w:color="auto" w:sz="6" w:space="0"/>
            </w:tcBorders>
          </w:tcPr>
          <w:p w14:paraId="33F1CBBA">
            <w:pPr>
              <w:autoSpaceDE w:val="0"/>
              <w:autoSpaceDN w:val="0"/>
              <w:spacing w:line="360" w:lineRule="auto"/>
              <w:rPr>
                <w:rFonts w:hint="eastAsia" w:ascii="宋体" w:hAnsi="宋体" w:eastAsia="宋体" w:cs="宋体"/>
                <w:color w:val="auto"/>
                <w:szCs w:val="21"/>
                <w:highlight w:val="none"/>
              </w:rPr>
            </w:pPr>
          </w:p>
        </w:tc>
        <w:tc>
          <w:tcPr>
            <w:tcW w:w="585" w:type="pct"/>
            <w:tcBorders>
              <w:top w:val="single" w:color="auto" w:sz="6" w:space="0"/>
              <w:left w:val="single" w:color="auto" w:sz="6" w:space="0"/>
              <w:bottom w:val="single" w:color="auto" w:sz="6" w:space="0"/>
              <w:right w:val="single" w:color="auto" w:sz="6" w:space="0"/>
            </w:tcBorders>
          </w:tcPr>
          <w:p w14:paraId="3DE2E5B1">
            <w:pPr>
              <w:autoSpaceDE w:val="0"/>
              <w:autoSpaceDN w:val="0"/>
              <w:spacing w:line="360" w:lineRule="auto"/>
              <w:rPr>
                <w:rFonts w:hint="eastAsia" w:ascii="宋体" w:hAnsi="宋体" w:eastAsia="宋体" w:cs="宋体"/>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tcPr>
          <w:p w14:paraId="793E3680">
            <w:pPr>
              <w:autoSpaceDE w:val="0"/>
              <w:autoSpaceDN w:val="0"/>
              <w:spacing w:line="360" w:lineRule="auto"/>
              <w:rPr>
                <w:rFonts w:hint="eastAsia" w:ascii="宋体" w:hAnsi="宋体" w:eastAsia="宋体" w:cs="宋体"/>
                <w:color w:val="auto"/>
                <w:szCs w:val="21"/>
                <w:highlight w:val="none"/>
              </w:rPr>
            </w:pPr>
          </w:p>
        </w:tc>
      </w:tr>
      <w:tr w14:paraId="7601C4C0">
        <w:tblPrEx>
          <w:tblCellMar>
            <w:top w:w="0" w:type="dxa"/>
            <w:left w:w="108" w:type="dxa"/>
            <w:bottom w:w="0" w:type="dxa"/>
            <w:right w:w="108" w:type="dxa"/>
          </w:tblCellMar>
        </w:tblPrEx>
        <w:trPr>
          <w:trHeight w:val="595" w:hRule="atLeast"/>
          <w:jc w:val="center"/>
        </w:trPr>
        <w:tc>
          <w:tcPr>
            <w:tcW w:w="314" w:type="pct"/>
            <w:tcBorders>
              <w:top w:val="single" w:color="auto" w:sz="6" w:space="0"/>
              <w:left w:val="single" w:color="auto" w:sz="6" w:space="0"/>
              <w:bottom w:val="single" w:color="auto" w:sz="6" w:space="0"/>
              <w:right w:val="single" w:color="auto" w:sz="4" w:space="0"/>
            </w:tcBorders>
          </w:tcPr>
          <w:p w14:paraId="45D49317">
            <w:pPr>
              <w:autoSpaceDE w:val="0"/>
              <w:autoSpaceDN w:val="0"/>
              <w:spacing w:line="360" w:lineRule="auto"/>
              <w:jc w:val="center"/>
              <w:rPr>
                <w:rFonts w:hint="eastAsia" w:ascii="宋体" w:hAnsi="宋体" w:eastAsia="宋体" w:cs="宋体"/>
                <w:color w:val="auto"/>
                <w:szCs w:val="21"/>
                <w:highlight w:val="none"/>
              </w:rPr>
            </w:pPr>
          </w:p>
        </w:tc>
        <w:tc>
          <w:tcPr>
            <w:tcW w:w="578" w:type="pct"/>
            <w:tcBorders>
              <w:top w:val="single" w:color="auto" w:sz="6" w:space="0"/>
              <w:left w:val="single" w:color="auto" w:sz="4" w:space="0"/>
              <w:bottom w:val="single" w:color="auto" w:sz="6" w:space="0"/>
              <w:right w:val="single" w:color="auto" w:sz="6" w:space="0"/>
            </w:tcBorders>
          </w:tcPr>
          <w:p w14:paraId="0370936F">
            <w:pPr>
              <w:autoSpaceDE w:val="0"/>
              <w:autoSpaceDN w:val="0"/>
              <w:spacing w:line="360" w:lineRule="auto"/>
              <w:jc w:val="center"/>
              <w:rPr>
                <w:rFonts w:hint="eastAsia" w:ascii="宋体" w:hAnsi="宋体" w:eastAsia="宋体" w:cs="宋体"/>
                <w:color w:val="auto"/>
                <w:szCs w:val="21"/>
                <w:highlight w:val="none"/>
              </w:rPr>
            </w:pPr>
          </w:p>
        </w:tc>
        <w:tc>
          <w:tcPr>
            <w:tcW w:w="394" w:type="pct"/>
            <w:tcBorders>
              <w:top w:val="single" w:color="auto" w:sz="6" w:space="0"/>
              <w:left w:val="single" w:color="auto" w:sz="6" w:space="0"/>
              <w:bottom w:val="single" w:color="auto" w:sz="6" w:space="0"/>
              <w:right w:val="single" w:color="auto" w:sz="6" w:space="0"/>
            </w:tcBorders>
          </w:tcPr>
          <w:p w14:paraId="63FAE075">
            <w:pPr>
              <w:autoSpaceDE w:val="0"/>
              <w:autoSpaceDN w:val="0"/>
              <w:spacing w:line="360" w:lineRule="auto"/>
              <w:rPr>
                <w:rFonts w:hint="eastAsia" w:ascii="宋体" w:hAnsi="宋体" w:eastAsia="宋体" w:cs="宋体"/>
                <w:color w:val="auto"/>
                <w:szCs w:val="21"/>
                <w:highlight w:val="none"/>
              </w:rPr>
            </w:pPr>
          </w:p>
        </w:tc>
        <w:tc>
          <w:tcPr>
            <w:tcW w:w="415" w:type="pct"/>
            <w:tcBorders>
              <w:top w:val="single" w:color="auto" w:sz="6" w:space="0"/>
              <w:left w:val="single" w:color="auto" w:sz="6" w:space="0"/>
              <w:bottom w:val="single" w:color="auto" w:sz="6" w:space="0"/>
              <w:right w:val="single" w:color="auto" w:sz="6" w:space="0"/>
            </w:tcBorders>
          </w:tcPr>
          <w:p w14:paraId="35835965">
            <w:pPr>
              <w:autoSpaceDE w:val="0"/>
              <w:autoSpaceDN w:val="0"/>
              <w:spacing w:line="360" w:lineRule="auto"/>
              <w:rPr>
                <w:rFonts w:hint="eastAsia" w:ascii="宋体" w:hAnsi="宋体" w:eastAsia="宋体" w:cs="宋体"/>
                <w:color w:val="auto"/>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1278C60D">
            <w:pPr>
              <w:autoSpaceDE w:val="0"/>
              <w:autoSpaceDN w:val="0"/>
              <w:spacing w:line="360" w:lineRule="auto"/>
              <w:rPr>
                <w:rFonts w:hint="eastAsia" w:ascii="宋体" w:hAnsi="宋体" w:eastAsia="宋体" w:cs="宋体"/>
                <w:color w:val="auto"/>
                <w:szCs w:val="21"/>
                <w:highlight w:val="none"/>
              </w:rPr>
            </w:pPr>
          </w:p>
        </w:tc>
        <w:tc>
          <w:tcPr>
            <w:tcW w:w="463" w:type="pct"/>
            <w:tcBorders>
              <w:top w:val="single" w:color="auto" w:sz="6" w:space="0"/>
              <w:left w:val="single" w:color="auto" w:sz="6" w:space="0"/>
              <w:bottom w:val="single" w:color="auto" w:sz="6" w:space="0"/>
              <w:right w:val="single" w:color="auto" w:sz="6" w:space="0"/>
            </w:tcBorders>
          </w:tcPr>
          <w:p w14:paraId="7CEEE0C6">
            <w:pPr>
              <w:autoSpaceDE w:val="0"/>
              <w:autoSpaceDN w:val="0"/>
              <w:spacing w:line="360" w:lineRule="auto"/>
              <w:rPr>
                <w:rFonts w:hint="eastAsia" w:ascii="宋体" w:hAnsi="宋体" w:eastAsia="宋体" w:cs="宋体"/>
                <w:color w:val="auto"/>
                <w:szCs w:val="21"/>
                <w:highlight w:val="none"/>
              </w:rPr>
            </w:pPr>
          </w:p>
        </w:tc>
        <w:tc>
          <w:tcPr>
            <w:tcW w:w="608" w:type="pct"/>
            <w:tcBorders>
              <w:top w:val="single" w:color="auto" w:sz="6" w:space="0"/>
              <w:left w:val="single" w:color="auto" w:sz="6" w:space="0"/>
              <w:bottom w:val="single" w:color="auto" w:sz="6" w:space="0"/>
              <w:right w:val="single" w:color="auto" w:sz="6" w:space="0"/>
            </w:tcBorders>
          </w:tcPr>
          <w:p w14:paraId="71420630">
            <w:pPr>
              <w:autoSpaceDE w:val="0"/>
              <w:autoSpaceDN w:val="0"/>
              <w:spacing w:line="360" w:lineRule="auto"/>
              <w:rPr>
                <w:rFonts w:hint="eastAsia" w:ascii="宋体" w:hAnsi="宋体" w:eastAsia="宋体" w:cs="宋体"/>
                <w:color w:val="auto"/>
                <w:szCs w:val="21"/>
                <w:highlight w:val="none"/>
              </w:rPr>
            </w:pPr>
          </w:p>
        </w:tc>
        <w:tc>
          <w:tcPr>
            <w:tcW w:w="598" w:type="pct"/>
            <w:tcBorders>
              <w:top w:val="single" w:color="auto" w:sz="6" w:space="0"/>
              <w:left w:val="single" w:color="auto" w:sz="6" w:space="0"/>
              <w:bottom w:val="single" w:color="auto" w:sz="6" w:space="0"/>
              <w:right w:val="single" w:color="auto" w:sz="6" w:space="0"/>
            </w:tcBorders>
          </w:tcPr>
          <w:p w14:paraId="21DE4C1D">
            <w:pPr>
              <w:autoSpaceDE w:val="0"/>
              <w:autoSpaceDN w:val="0"/>
              <w:spacing w:line="360" w:lineRule="auto"/>
              <w:rPr>
                <w:rFonts w:hint="eastAsia" w:ascii="宋体" w:hAnsi="宋体" w:eastAsia="宋体" w:cs="宋体"/>
                <w:color w:val="auto"/>
                <w:szCs w:val="21"/>
                <w:highlight w:val="none"/>
              </w:rPr>
            </w:pPr>
          </w:p>
        </w:tc>
        <w:tc>
          <w:tcPr>
            <w:tcW w:w="585" w:type="pct"/>
            <w:tcBorders>
              <w:top w:val="single" w:color="auto" w:sz="6" w:space="0"/>
              <w:left w:val="single" w:color="auto" w:sz="6" w:space="0"/>
              <w:bottom w:val="single" w:color="auto" w:sz="6" w:space="0"/>
              <w:right w:val="single" w:color="auto" w:sz="6" w:space="0"/>
            </w:tcBorders>
          </w:tcPr>
          <w:p w14:paraId="1EADD33D">
            <w:pPr>
              <w:autoSpaceDE w:val="0"/>
              <w:autoSpaceDN w:val="0"/>
              <w:spacing w:line="360" w:lineRule="auto"/>
              <w:rPr>
                <w:rFonts w:hint="eastAsia" w:ascii="宋体" w:hAnsi="宋体" w:eastAsia="宋体" w:cs="宋体"/>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tcPr>
          <w:p w14:paraId="07960D76">
            <w:pPr>
              <w:autoSpaceDE w:val="0"/>
              <w:autoSpaceDN w:val="0"/>
              <w:spacing w:line="360" w:lineRule="auto"/>
              <w:rPr>
                <w:rFonts w:hint="eastAsia" w:ascii="宋体" w:hAnsi="宋体" w:eastAsia="宋体" w:cs="宋体"/>
                <w:color w:val="auto"/>
                <w:szCs w:val="21"/>
                <w:highlight w:val="none"/>
              </w:rPr>
            </w:pPr>
          </w:p>
        </w:tc>
      </w:tr>
    </w:tbl>
    <w:p w14:paraId="0A5E3BFF">
      <w:pPr>
        <w:spacing w:line="440" w:lineRule="exact"/>
        <w:ind w:firstLine="396" w:firstLineChars="198"/>
        <w:rPr>
          <w:rFonts w:hint="eastAsia" w:ascii="宋体" w:hAnsi="宋体" w:eastAsia="宋体" w:cs="宋体"/>
          <w:color w:val="auto"/>
          <w:kern w:val="0"/>
          <w:sz w:val="20"/>
          <w:szCs w:val="21"/>
          <w:highlight w:val="none"/>
          <w:lang w:val="zh-CN"/>
        </w:rPr>
      </w:pPr>
    </w:p>
    <w:p w14:paraId="2E74F317">
      <w:pPr>
        <w:spacing w:line="500" w:lineRule="exact"/>
        <w:rPr>
          <w:rFonts w:hint="eastAsia" w:ascii="宋体" w:hAnsi="宋体" w:eastAsia="宋体" w:cs="宋体"/>
          <w:color w:val="auto"/>
          <w:sz w:val="32"/>
          <w:szCs w:val="32"/>
          <w:highlight w:val="none"/>
        </w:rPr>
      </w:pPr>
    </w:p>
    <w:p w14:paraId="33B29161">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64B97794">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11D72ABF">
      <w:pPr>
        <w:snapToGrid w:val="0"/>
        <w:spacing w:line="360" w:lineRule="auto"/>
        <w:rPr>
          <w:rFonts w:hint="eastAsia" w:ascii="宋体" w:hAnsi="宋体" w:eastAsia="宋体" w:cs="宋体"/>
          <w:b/>
          <w:color w:val="auto"/>
          <w:sz w:val="28"/>
          <w:szCs w:val="28"/>
          <w:highlight w:val="none"/>
        </w:rPr>
      </w:pPr>
    </w:p>
    <w:p w14:paraId="12E945E6">
      <w:pPr>
        <w:snapToGrid w:val="0"/>
        <w:spacing w:line="360" w:lineRule="auto"/>
        <w:rPr>
          <w:rFonts w:hint="eastAsia" w:ascii="宋体" w:hAnsi="宋体" w:eastAsia="宋体" w:cs="宋体"/>
          <w:b/>
          <w:color w:val="auto"/>
          <w:sz w:val="28"/>
          <w:szCs w:val="28"/>
          <w:highlight w:val="none"/>
        </w:rPr>
      </w:pPr>
    </w:p>
    <w:p w14:paraId="7F310A94">
      <w:pPr>
        <w:snapToGrid w:val="0"/>
        <w:spacing w:line="360" w:lineRule="auto"/>
        <w:rPr>
          <w:rFonts w:hint="eastAsia" w:ascii="宋体" w:hAnsi="宋体" w:eastAsia="宋体" w:cs="宋体"/>
          <w:b/>
          <w:color w:val="auto"/>
          <w:sz w:val="28"/>
          <w:szCs w:val="28"/>
          <w:highlight w:val="none"/>
        </w:rPr>
      </w:pPr>
    </w:p>
    <w:p w14:paraId="548639F9">
      <w:pPr>
        <w:snapToGrid w:val="0"/>
        <w:spacing w:line="360" w:lineRule="auto"/>
        <w:rPr>
          <w:rFonts w:hint="eastAsia" w:ascii="宋体" w:hAnsi="宋体" w:eastAsia="宋体" w:cs="宋体"/>
          <w:b/>
          <w:color w:val="auto"/>
          <w:sz w:val="28"/>
          <w:szCs w:val="28"/>
          <w:highlight w:val="none"/>
        </w:rPr>
      </w:pPr>
    </w:p>
    <w:p w14:paraId="714ED1D6">
      <w:pPr>
        <w:snapToGrid w:val="0"/>
        <w:spacing w:line="360" w:lineRule="auto"/>
        <w:rPr>
          <w:rFonts w:hint="eastAsia" w:ascii="宋体" w:hAnsi="宋体" w:eastAsia="宋体" w:cs="宋体"/>
          <w:b/>
          <w:color w:val="auto"/>
          <w:sz w:val="28"/>
          <w:szCs w:val="28"/>
          <w:highlight w:val="none"/>
        </w:rPr>
      </w:pPr>
    </w:p>
    <w:p w14:paraId="39CCC13F">
      <w:pPr>
        <w:snapToGrid w:val="0"/>
        <w:spacing w:line="360" w:lineRule="auto"/>
        <w:rPr>
          <w:rFonts w:hint="eastAsia" w:ascii="宋体" w:hAnsi="宋体" w:eastAsia="宋体" w:cs="宋体"/>
          <w:b/>
          <w:i/>
          <w:iCs/>
          <w:color w:val="auto"/>
          <w:sz w:val="28"/>
          <w:szCs w:val="28"/>
          <w:highlight w:val="none"/>
        </w:rPr>
      </w:pPr>
      <w:r>
        <w:rPr>
          <w:rFonts w:hint="eastAsia" w:ascii="宋体" w:hAnsi="宋体" w:eastAsia="宋体" w:cs="宋体"/>
          <w:b/>
          <w:color w:val="auto"/>
          <w:sz w:val="28"/>
          <w:szCs w:val="28"/>
          <w:highlight w:val="none"/>
        </w:rPr>
        <w:t>10.项目实施人员一览表（如有要求）</w:t>
      </w:r>
    </w:p>
    <w:p w14:paraId="13247375">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（由供应商根据采购需求及采购文件要求编制）</w:t>
      </w:r>
    </w:p>
    <w:p w14:paraId="639ACD13">
      <w:pPr>
        <w:spacing w:line="360" w:lineRule="auto"/>
        <w:rPr>
          <w:rFonts w:hint="eastAsia" w:ascii="宋体" w:hAnsi="宋体" w:eastAsia="宋体" w:cs="宋体"/>
          <w:color w:val="auto"/>
          <w:kern w:val="0"/>
          <w:sz w:val="24"/>
          <w:szCs w:val="24"/>
          <w:highlight w:val="none"/>
          <w:lang w:val="zh-CN"/>
        </w:rPr>
      </w:pPr>
    </w:p>
    <w:p w14:paraId="29839781">
      <w:pPr>
        <w:spacing w:line="360" w:lineRule="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lang w:val="zh-CN"/>
        </w:rPr>
        <w:t>所竞分标（此处有分标时填写具体分标号，无分标时填写“无”）：</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u w:val="single"/>
        </w:rPr>
        <w:t xml:space="preserve"> </w:t>
      </w:r>
    </w:p>
    <w:p w14:paraId="287275B6">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附表A：本项目的项目经理情况表</w:t>
      </w:r>
    </w:p>
    <w:tbl>
      <w:tblPr>
        <w:tblStyle w:val="32"/>
        <w:tblW w:w="8755" w:type="dxa"/>
        <w:tblInd w:w="0" w:type="dxa"/>
        <w:tblLayout w:type="fixed"/>
        <w:tblCellMar>
          <w:top w:w="0" w:type="dxa"/>
          <w:left w:w="108" w:type="dxa"/>
          <w:bottom w:w="0" w:type="dxa"/>
          <w:right w:w="108" w:type="dxa"/>
        </w:tblCellMar>
      </w:tblPr>
      <w:tblGrid>
        <w:gridCol w:w="2224"/>
        <w:gridCol w:w="1124"/>
        <w:gridCol w:w="1260"/>
        <w:gridCol w:w="4147"/>
      </w:tblGrid>
      <w:tr w14:paraId="53E4B208">
        <w:tblPrEx>
          <w:tblCellMar>
            <w:top w:w="0" w:type="dxa"/>
            <w:left w:w="108" w:type="dxa"/>
            <w:bottom w:w="0" w:type="dxa"/>
            <w:right w:w="108" w:type="dxa"/>
          </w:tblCellMar>
        </w:tblPrEx>
        <w:trPr>
          <w:trHeight w:val="604" w:hRule="atLeast"/>
        </w:trPr>
        <w:tc>
          <w:tcPr>
            <w:tcW w:w="2224" w:type="dxa"/>
            <w:tcBorders>
              <w:top w:val="single" w:color="auto" w:sz="6" w:space="0"/>
              <w:left w:val="single" w:color="auto" w:sz="6" w:space="0"/>
              <w:bottom w:val="single" w:color="auto" w:sz="6" w:space="0"/>
              <w:right w:val="single" w:color="auto" w:sz="6" w:space="0"/>
            </w:tcBorders>
            <w:vAlign w:val="center"/>
          </w:tcPr>
          <w:p w14:paraId="57030C2B">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1124" w:type="dxa"/>
            <w:tcBorders>
              <w:top w:val="single" w:color="auto" w:sz="6" w:space="0"/>
              <w:left w:val="single" w:color="auto" w:sz="6" w:space="0"/>
              <w:bottom w:val="single" w:color="auto" w:sz="6" w:space="0"/>
              <w:right w:val="single" w:color="auto" w:sz="4" w:space="0"/>
            </w:tcBorders>
            <w:vAlign w:val="center"/>
          </w:tcPr>
          <w:p w14:paraId="411AC0C1">
            <w:pPr>
              <w:autoSpaceDE w:val="0"/>
              <w:autoSpaceDN w:val="0"/>
              <w:spacing w:line="360" w:lineRule="auto"/>
              <w:jc w:val="center"/>
              <w:rPr>
                <w:rFonts w:hint="eastAsia" w:ascii="宋体" w:hAnsi="宋体"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052C4B6">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DD44377">
            <w:pPr>
              <w:autoSpaceDE w:val="0"/>
              <w:autoSpaceDN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响应截止时间前三年业绩及承担的主要工作情况，曾担任项目经理的项目应列明细。</w:t>
            </w:r>
          </w:p>
        </w:tc>
      </w:tr>
      <w:tr w14:paraId="75DD2BBC">
        <w:tblPrEx>
          <w:tblCellMar>
            <w:top w:w="0" w:type="dxa"/>
            <w:left w:w="108" w:type="dxa"/>
            <w:bottom w:w="0" w:type="dxa"/>
            <w:right w:w="108" w:type="dxa"/>
          </w:tblCellMar>
        </w:tblPrEx>
        <w:trPr>
          <w:cantSplit/>
          <w:trHeight w:val="345" w:hRule="atLeast"/>
        </w:trPr>
        <w:tc>
          <w:tcPr>
            <w:tcW w:w="2224" w:type="dxa"/>
            <w:tcBorders>
              <w:top w:val="single" w:color="auto" w:sz="6" w:space="0"/>
              <w:left w:val="single" w:color="auto" w:sz="6" w:space="0"/>
              <w:bottom w:val="single" w:color="auto" w:sz="6" w:space="0"/>
              <w:right w:val="single" w:color="auto" w:sz="6" w:space="0"/>
            </w:tcBorders>
            <w:vAlign w:val="center"/>
          </w:tcPr>
          <w:p w14:paraId="2E8C09AE">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1124" w:type="dxa"/>
            <w:tcBorders>
              <w:top w:val="single" w:color="auto" w:sz="6" w:space="0"/>
              <w:left w:val="single" w:color="auto" w:sz="6" w:space="0"/>
              <w:bottom w:val="single" w:color="auto" w:sz="6" w:space="0"/>
              <w:right w:val="single" w:color="auto" w:sz="4" w:space="0"/>
            </w:tcBorders>
            <w:vAlign w:val="center"/>
          </w:tcPr>
          <w:p w14:paraId="1E81DC4B">
            <w:pPr>
              <w:autoSpaceDE w:val="0"/>
              <w:autoSpaceDN w:val="0"/>
              <w:spacing w:line="360" w:lineRule="auto"/>
              <w:jc w:val="center"/>
              <w:rPr>
                <w:rFonts w:hint="eastAsia" w:ascii="宋体" w:hAnsi="宋体"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67E5B17">
            <w:pPr>
              <w:autoSpaceDE w:val="0"/>
              <w:autoSpaceDN w:val="0"/>
              <w:spacing w:line="360" w:lineRule="auto"/>
              <w:jc w:val="center"/>
              <w:rPr>
                <w:rFonts w:hint="eastAsia" w:ascii="宋体" w:hAnsi="宋体" w:eastAsia="宋体" w:cs="宋体"/>
                <w:color w:val="auto"/>
                <w:szCs w:val="21"/>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8B8A676">
            <w:pPr>
              <w:autoSpaceDE w:val="0"/>
              <w:autoSpaceDN w:val="0"/>
              <w:spacing w:line="360" w:lineRule="auto"/>
              <w:jc w:val="center"/>
              <w:rPr>
                <w:rFonts w:hint="eastAsia" w:ascii="宋体" w:hAnsi="宋体" w:eastAsia="宋体" w:cs="宋体"/>
                <w:color w:val="auto"/>
                <w:szCs w:val="21"/>
                <w:highlight w:val="none"/>
              </w:rPr>
            </w:pPr>
          </w:p>
        </w:tc>
      </w:tr>
      <w:tr w14:paraId="2E99DFC4">
        <w:tblPrEx>
          <w:tblCellMar>
            <w:top w:w="0" w:type="dxa"/>
            <w:left w:w="108" w:type="dxa"/>
            <w:bottom w:w="0" w:type="dxa"/>
            <w:right w:w="108" w:type="dxa"/>
          </w:tblCellMar>
        </w:tblPrEx>
        <w:trPr>
          <w:cantSplit/>
          <w:trHeight w:val="337" w:hRule="atLeast"/>
        </w:trPr>
        <w:tc>
          <w:tcPr>
            <w:tcW w:w="2224" w:type="dxa"/>
            <w:tcBorders>
              <w:top w:val="single" w:color="auto" w:sz="6" w:space="0"/>
              <w:left w:val="single" w:color="auto" w:sz="6" w:space="0"/>
              <w:bottom w:val="single" w:color="auto" w:sz="6" w:space="0"/>
              <w:right w:val="single" w:color="auto" w:sz="6" w:space="0"/>
            </w:tcBorders>
            <w:vAlign w:val="center"/>
          </w:tcPr>
          <w:p w14:paraId="1EE39A75">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年龄</w:t>
            </w:r>
          </w:p>
        </w:tc>
        <w:tc>
          <w:tcPr>
            <w:tcW w:w="1124" w:type="dxa"/>
            <w:tcBorders>
              <w:top w:val="single" w:color="auto" w:sz="6" w:space="0"/>
              <w:left w:val="single" w:color="auto" w:sz="6" w:space="0"/>
              <w:bottom w:val="single" w:color="auto" w:sz="6" w:space="0"/>
              <w:right w:val="single" w:color="auto" w:sz="4" w:space="0"/>
            </w:tcBorders>
            <w:vAlign w:val="center"/>
          </w:tcPr>
          <w:p w14:paraId="5174F5D7">
            <w:pPr>
              <w:autoSpaceDE w:val="0"/>
              <w:autoSpaceDN w:val="0"/>
              <w:spacing w:line="360" w:lineRule="auto"/>
              <w:jc w:val="center"/>
              <w:rPr>
                <w:rFonts w:hint="eastAsia" w:ascii="宋体" w:hAnsi="宋体"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47C78D7">
            <w:pPr>
              <w:autoSpaceDE w:val="0"/>
              <w:autoSpaceDN w:val="0"/>
              <w:spacing w:line="360" w:lineRule="auto"/>
              <w:jc w:val="center"/>
              <w:rPr>
                <w:rFonts w:hint="eastAsia" w:ascii="宋体" w:hAnsi="宋体" w:eastAsia="宋体" w:cs="宋体"/>
                <w:color w:val="auto"/>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BFACBB">
            <w:pPr>
              <w:autoSpaceDE w:val="0"/>
              <w:autoSpaceDN w:val="0"/>
              <w:spacing w:line="360" w:lineRule="auto"/>
              <w:jc w:val="center"/>
              <w:rPr>
                <w:rFonts w:hint="eastAsia" w:ascii="宋体" w:hAnsi="宋体" w:eastAsia="宋体" w:cs="宋体"/>
                <w:color w:val="auto"/>
                <w:szCs w:val="21"/>
                <w:highlight w:val="none"/>
              </w:rPr>
            </w:pPr>
          </w:p>
        </w:tc>
      </w:tr>
      <w:tr w14:paraId="75ECD0C5">
        <w:tblPrEx>
          <w:tblCellMar>
            <w:top w:w="0" w:type="dxa"/>
            <w:left w:w="108" w:type="dxa"/>
            <w:bottom w:w="0" w:type="dxa"/>
            <w:right w:w="108" w:type="dxa"/>
          </w:tblCellMar>
        </w:tblPrEx>
        <w:trPr>
          <w:cantSplit/>
          <w:trHeight w:val="345" w:hRule="atLeast"/>
        </w:trPr>
        <w:tc>
          <w:tcPr>
            <w:tcW w:w="2224" w:type="dxa"/>
            <w:tcBorders>
              <w:top w:val="single" w:color="auto" w:sz="6" w:space="0"/>
              <w:left w:val="single" w:color="auto" w:sz="6" w:space="0"/>
              <w:bottom w:val="single" w:color="auto" w:sz="6" w:space="0"/>
              <w:right w:val="single" w:color="auto" w:sz="6" w:space="0"/>
            </w:tcBorders>
            <w:vAlign w:val="center"/>
          </w:tcPr>
          <w:p w14:paraId="7E69992E">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职称或职业资格证书</w:t>
            </w:r>
          </w:p>
        </w:tc>
        <w:tc>
          <w:tcPr>
            <w:tcW w:w="1124" w:type="dxa"/>
            <w:tcBorders>
              <w:top w:val="single" w:color="auto" w:sz="6" w:space="0"/>
              <w:left w:val="single" w:color="auto" w:sz="6" w:space="0"/>
              <w:bottom w:val="single" w:color="auto" w:sz="6" w:space="0"/>
              <w:right w:val="single" w:color="auto" w:sz="4" w:space="0"/>
            </w:tcBorders>
            <w:vAlign w:val="center"/>
          </w:tcPr>
          <w:p w14:paraId="0F7DF9F9">
            <w:pPr>
              <w:autoSpaceDE w:val="0"/>
              <w:autoSpaceDN w:val="0"/>
              <w:spacing w:line="360" w:lineRule="auto"/>
              <w:jc w:val="center"/>
              <w:rPr>
                <w:rFonts w:hint="eastAsia" w:ascii="宋体" w:hAnsi="宋体"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D0F6393">
            <w:pPr>
              <w:autoSpaceDE w:val="0"/>
              <w:autoSpaceDN w:val="0"/>
              <w:spacing w:line="360" w:lineRule="auto"/>
              <w:jc w:val="center"/>
              <w:rPr>
                <w:rFonts w:hint="eastAsia" w:ascii="宋体" w:hAnsi="宋体" w:eastAsia="宋体" w:cs="宋体"/>
                <w:color w:val="auto"/>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059C97">
            <w:pPr>
              <w:autoSpaceDE w:val="0"/>
              <w:autoSpaceDN w:val="0"/>
              <w:spacing w:line="360" w:lineRule="auto"/>
              <w:jc w:val="center"/>
              <w:rPr>
                <w:rFonts w:hint="eastAsia" w:ascii="宋体" w:hAnsi="宋体" w:eastAsia="宋体" w:cs="宋体"/>
                <w:color w:val="auto"/>
                <w:szCs w:val="21"/>
                <w:highlight w:val="none"/>
              </w:rPr>
            </w:pPr>
          </w:p>
        </w:tc>
      </w:tr>
      <w:tr w14:paraId="310A9757">
        <w:tblPrEx>
          <w:tblCellMar>
            <w:top w:w="0" w:type="dxa"/>
            <w:left w:w="108" w:type="dxa"/>
            <w:bottom w:w="0" w:type="dxa"/>
            <w:right w:w="108" w:type="dxa"/>
          </w:tblCellMar>
        </w:tblPrEx>
        <w:trPr>
          <w:cantSplit/>
          <w:trHeight w:val="345" w:hRule="atLeast"/>
        </w:trPr>
        <w:tc>
          <w:tcPr>
            <w:tcW w:w="2224" w:type="dxa"/>
            <w:tcBorders>
              <w:top w:val="single" w:color="auto" w:sz="6" w:space="0"/>
              <w:left w:val="single" w:color="auto" w:sz="6" w:space="0"/>
              <w:bottom w:val="single" w:color="auto" w:sz="6" w:space="0"/>
              <w:right w:val="single" w:color="auto" w:sz="6" w:space="0"/>
            </w:tcBorders>
            <w:vAlign w:val="center"/>
          </w:tcPr>
          <w:p w14:paraId="547455C5">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学历</w:t>
            </w:r>
          </w:p>
        </w:tc>
        <w:tc>
          <w:tcPr>
            <w:tcW w:w="1124" w:type="dxa"/>
            <w:tcBorders>
              <w:top w:val="single" w:color="auto" w:sz="6" w:space="0"/>
              <w:left w:val="single" w:color="auto" w:sz="6" w:space="0"/>
              <w:bottom w:val="single" w:color="auto" w:sz="6" w:space="0"/>
              <w:right w:val="single" w:color="auto" w:sz="4" w:space="0"/>
            </w:tcBorders>
            <w:vAlign w:val="center"/>
          </w:tcPr>
          <w:p w14:paraId="379E8A86">
            <w:pPr>
              <w:autoSpaceDE w:val="0"/>
              <w:autoSpaceDN w:val="0"/>
              <w:spacing w:line="360" w:lineRule="auto"/>
              <w:jc w:val="center"/>
              <w:rPr>
                <w:rFonts w:hint="eastAsia" w:ascii="宋体" w:hAnsi="宋体"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6D2DE28">
            <w:pPr>
              <w:autoSpaceDE w:val="0"/>
              <w:autoSpaceDN w:val="0"/>
              <w:spacing w:line="360" w:lineRule="auto"/>
              <w:jc w:val="center"/>
              <w:rPr>
                <w:rFonts w:hint="eastAsia" w:ascii="宋体" w:hAnsi="宋体" w:eastAsia="宋体" w:cs="宋体"/>
                <w:color w:val="auto"/>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C5D4AC">
            <w:pPr>
              <w:autoSpaceDE w:val="0"/>
              <w:autoSpaceDN w:val="0"/>
              <w:spacing w:line="360" w:lineRule="auto"/>
              <w:jc w:val="center"/>
              <w:rPr>
                <w:rFonts w:hint="eastAsia" w:ascii="宋体" w:hAnsi="宋体" w:eastAsia="宋体" w:cs="宋体"/>
                <w:color w:val="auto"/>
                <w:szCs w:val="21"/>
                <w:highlight w:val="none"/>
              </w:rPr>
            </w:pPr>
          </w:p>
        </w:tc>
      </w:tr>
      <w:tr w14:paraId="63358B7A">
        <w:tblPrEx>
          <w:tblCellMar>
            <w:top w:w="0" w:type="dxa"/>
            <w:left w:w="108" w:type="dxa"/>
            <w:bottom w:w="0" w:type="dxa"/>
            <w:right w:w="108" w:type="dxa"/>
          </w:tblCellMar>
        </w:tblPrEx>
        <w:trPr>
          <w:cantSplit/>
          <w:trHeight w:val="799" w:hRule="atLeast"/>
        </w:trPr>
        <w:tc>
          <w:tcPr>
            <w:tcW w:w="2224" w:type="dxa"/>
            <w:tcBorders>
              <w:top w:val="single" w:color="auto" w:sz="6" w:space="0"/>
              <w:left w:val="single" w:color="auto" w:sz="6" w:space="0"/>
              <w:right w:val="single" w:color="auto" w:sz="6" w:space="0"/>
            </w:tcBorders>
            <w:vAlign w:val="center"/>
          </w:tcPr>
          <w:p w14:paraId="38DFE470">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w:t>
            </w:r>
          </w:p>
        </w:tc>
        <w:tc>
          <w:tcPr>
            <w:tcW w:w="1124" w:type="dxa"/>
            <w:tcBorders>
              <w:top w:val="single" w:color="auto" w:sz="6" w:space="0"/>
              <w:left w:val="single" w:color="auto" w:sz="6" w:space="0"/>
              <w:right w:val="single" w:color="auto" w:sz="4" w:space="0"/>
            </w:tcBorders>
            <w:vAlign w:val="center"/>
          </w:tcPr>
          <w:p w14:paraId="467AA588">
            <w:pPr>
              <w:autoSpaceDE w:val="0"/>
              <w:autoSpaceDN w:val="0"/>
              <w:spacing w:line="360" w:lineRule="auto"/>
              <w:jc w:val="center"/>
              <w:rPr>
                <w:rFonts w:hint="eastAsia" w:ascii="宋体" w:hAnsi="宋体"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382CA70">
            <w:pPr>
              <w:autoSpaceDE w:val="0"/>
              <w:autoSpaceDN w:val="0"/>
              <w:spacing w:line="360" w:lineRule="auto"/>
              <w:jc w:val="center"/>
              <w:rPr>
                <w:rFonts w:hint="eastAsia" w:ascii="宋体" w:hAnsi="宋体" w:eastAsia="宋体" w:cs="宋体"/>
                <w:color w:val="auto"/>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A64873">
            <w:pPr>
              <w:autoSpaceDE w:val="0"/>
              <w:autoSpaceDN w:val="0"/>
              <w:spacing w:line="360" w:lineRule="auto"/>
              <w:jc w:val="center"/>
              <w:rPr>
                <w:rFonts w:hint="eastAsia" w:ascii="宋体" w:hAnsi="宋体" w:eastAsia="宋体" w:cs="宋体"/>
                <w:color w:val="auto"/>
                <w:szCs w:val="21"/>
                <w:highlight w:val="none"/>
              </w:rPr>
            </w:pPr>
          </w:p>
        </w:tc>
      </w:tr>
      <w:tr w14:paraId="26B9B0BE">
        <w:tblPrEx>
          <w:tblCellMar>
            <w:top w:w="0" w:type="dxa"/>
            <w:left w:w="108" w:type="dxa"/>
            <w:bottom w:w="0" w:type="dxa"/>
            <w:right w:w="108" w:type="dxa"/>
          </w:tblCellMar>
        </w:tblPrEx>
        <w:trPr>
          <w:cantSplit/>
          <w:trHeight w:val="356" w:hRule="atLeast"/>
        </w:trPr>
        <w:tc>
          <w:tcPr>
            <w:tcW w:w="2224" w:type="dxa"/>
            <w:tcBorders>
              <w:top w:val="single" w:color="auto" w:sz="6" w:space="0"/>
              <w:left w:val="single" w:color="auto" w:sz="6" w:space="0"/>
              <w:bottom w:val="single" w:color="auto" w:sz="6" w:space="0"/>
              <w:right w:val="single" w:color="auto" w:sz="6" w:space="0"/>
            </w:tcBorders>
            <w:vAlign w:val="center"/>
          </w:tcPr>
          <w:p w14:paraId="48BD3428">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职称或资格证书编号</w:t>
            </w:r>
          </w:p>
        </w:tc>
        <w:tc>
          <w:tcPr>
            <w:tcW w:w="1124" w:type="dxa"/>
            <w:tcBorders>
              <w:top w:val="single" w:color="auto" w:sz="6" w:space="0"/>
              <w:left w:val="single" w:color="auto" w:sz="6" w:space="0"/>
              <w:bottom w:val="single" w:color="auto" w:sz="6" w:space="0"/>
              <w:right w:val="single" w:color="auto" w:sz="4" w:space="0"/>
            </w:tcBorders>
            <w:vAlign w:val="center"/>
          </w:tcPr>
          <w:p w14:paraId="24DD1E94">
            <w:pPr>
              <w:autoSpaceDE w:val="0"/>
              <w:autoSpaceDN w:val="0"/>
              <w:spacing w:line="360" w:lineRule="auto"/>
              <w:jc w:val="center"/>
              <w:rPr>
                <w:rFonts w:hint="eastAsia" w:ascii="宋体" w:hAnsi="宋体"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987E98">
            <w:pPr>
              <w:autoSpaceDE w:val="0"/>
              <w:autoSpaceDN w:val="0"/>
              <w:spacing w:line="360" w:lineRule="auto"/>
              <w:jc w:val="center"/>
              <w:rPr>
                <w:rFonts w:hint="eastAsia" w:ascii="宋体" w:hAnsi="宋体" w:eastAsia="宋体" w:cs="宋体"/>
                <w:color w:val="auto"/>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1A0B2A">
            <w:pPr>
              <w:autoSpaceDE w:val="0"/>
              <w:autoSpaceDN w:val="0"/>
              <w:spacing w:line="360" w:lineRule="auto"/>
              <w:jc w:val="center"/>
              <w:rPr>
                <w:rFonts w:hint="eastAsia" w:ascii="宋体" w:hAnsi="宋体" w:eastAsia="宋体" w:cs="宋体"/>
                <w:color w:val="auto"/>
                <w:szCs w:val="21"/>
                <w:highlight w:val="none"/>
              </w:rPr>
            </w:pPr>
          </w:p>
        </w:tc>
      </w:tr>
      <w:tr w14:paraId="6B1FABF8">
        <w:tblPrEx>
          <w:tblCellMar>
            <w:top w:w="0" w:type="dxa"/>
            <w:left w:w="108" w:type="dxa"/>
            <w:bottom w:w="0" w:type="dxa"/>
            <w:right w:w="108" w:type="dxa"/>
          </w:tblCellMar>
        </w:tblPrEx>
        <w:trPr>
          <w:cantSplit/>
          <w:trHeight w:val="177" w:hRule="atLeast"/>
        </w:trPr>
        <w:tc>
          <w:tcPr>
            <w:tcW w:w="2224" w:type="dxa"/>
            <w:tcBorders>
              <w:top w:val="single" w:color="auto" w:sz="6" w:space="0"/>
              <w:left w:val="single" w:color="auto" w:sz="6" w:space="0"/>
              <w:bottom w:val="single" w:color="auto" w:sz="6" w:space="0"/>
              <w:right w:val="single" w:color="auto" w:sz="6" w:space="0"/>
            </w:tcBorders>
            <w:vAlign w:val="center"/>
          </w:tcPr>
          <w:p w14:paraId="7C681A6A">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其他证书情况</w:t>
            </w:r>
          </w:p>
        </w:tc>
        <w:tc>
          <w:tcPr>
            <w:tcW w:w="1124" w:type="dxa"/>
            <w:tcBorders>
              <w:top w:val="single" w:color="auto" w:sz="6" w:space="0"/>
              <w:left w:val="single" w:color="auto" w:sz="6" w:space="0"/>
              <w:bottom w:val="single" w:color="auto" w:sz="6" w:space="0"/>
              <w:right w:val="single" w:color="auto" w:sz="4" w:space="0"/>
            </w:tcBorders>
            <w:vAlign w:val="center"/>
          </w:tcPr>
          <w:p w14:paraId="40E21EE8">
            <w:pPr>
              <w:autoSpaceDE w:val="0"/>
              <w:autoSpaceDN w:val="0"/>
              <w:spacing w:line="360" w:lineRule="auto"/>
              <w:jc w:val="center"/>
              <w:rPr>
                <w:rFonts w:hint="eastAsia" w:ascii="宋体" w:hAnsi="宋体"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664DC9">
            <w:pPr>
              <w:autoSpaceDE w:val="0"/>
              <w:autoSpaceDN w:val="0"/>
              <w:spacing w:line="360" w:lineRule="auto"/>
              <w:jc w:val="center"/>
              <w:rPr>
                <w:rFonts w:hint="eastAsia" w:ascii="宋体" w:hAnsi="宋体" w:eastAsia="宋体" w:cs="宋体"/>
                <w:color w:val="auto"/>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F53262A">
            <w:pPr>
              <w:autoSpaceDE w:val="0"/>
              <w:autoSpaceDN w:val="0"/>
              <w:spacing w:line="360" w:lineRule="auto"/>
              <w:jc w:val="center"/>
              <w:rPr>
                <w:rFonts w:hint="eastAsia" w:ascii="宋体" w:hAnsi="宋体" w:eastAsia="宋体" w:cs="宋体"/>
                <w:color w:val="auto"/>
                <w:szCs w:val="21"/>
                <w:highlight w:val="none"/>
              </w:rPr>
            </w:pPr>
          </w:p>
        </w:tc>
      </w:tr>
      <w:tr w14:paraId="4C799A6B">
        <w:tblPrEx>
          <w:tblCellMar>
            <w:top w:w="0" w:type="dxa"/>
            <w:left w:w="108" w:type="dxa"/>
            <w:bottom w:w="0" w:type="dxa"/>
            <w:right w:w="108" w:type="dxa"/>
          </w:tblCellMar>
        </w:tblPrEx>
        <w:trPr>
          <w:cantSplit/>
          <w:trHeight w:val="169" w:hRule="atLeast"/>
        </w:trPr>
        <w:tc>
          <w:tcPr>
            <w:tcW w:w="2224" w:type="dxa"/>
            <w:tcBorders>
              <w:top w:val="single" w:color="auto" w:sz="6" w:space="0"/>
              <w:left w:val="single" w:color="auto" w:sz="6" w:space="0"/>
              <w:bottom w:val="single" w:color="auto" w:sz="6" w:space="0"/>
              <w:right w:val="single" w:color="auto" w:sz="6" w:space="0"/>
            </w:tcBorders>
            <w:vAlign w:val="center"/>
          </w:tcPr>
          <w:p w14:paraId="14DD2B00">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p>
        </w:tc>
        <w:tc>
          <w:tcPr>
            <w:tcW w:w="1124" w:type="dxa"/>
            <w:tcBorders>
              <w:top w:val="single" w:color="auto" w:sz="6" w:space="0"/>
              <w:left w:val="single" w:color="auto" w:sz="6" w:space="0"/>
              <w:bottom w:val="single" w:color="auto" w:sz="6" w:space="0"/>
              <w:right w:val="single" w:color="auto" w:sz="4" w:space="0"/>
            </w:tcBorders>
            <w:vAlign w:val="center"/>
          </w:tcPr>
          <w:p w14:paraId="089D0B3A">
            <w:pPr>
              <w:autoSpaceDE w:val="0"/>
              <w:autoSpaceDN w:val="0"/>
              <w:spacing w:line="360" w:lineRule="auto"/>
              <w:jc w:val="center"/>
              <w:rPr>
                <w:rFonts w:hint="eastAsia" w:ascii="宋体" w:hAnsi="宋体"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6098E92">
            <w:pPr>
              <w:autoSpaceDE w:val="0"/>
              <w:autoSpaceDN w:val="0"/>
              <w:spacing w:line="360" w:lineRule="auto"/>
              <w:jc w:val="center"/>
              <w:rPr>
                <w:rFonts w:hint="eastAsia" w:ascii="宋体" w:hAnsi="宋体" w:eastAsia="宋体" w:cs="宋体"/>
                <w:color w:val="auto"/>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04ECA4">
            <w:pPr>
              <w:autoSpaceDE w:val="0"/>
              <w:autoSpaceDN w:val="0"/>
              <w:spacing w:line="360" w:lineRule="auto"/>
              <w:jc w:val="center"/>
              <w:rPr>
                <w:rFonts w:hint="eastAsia" w:ascii="宋体" w:hAnsi="宋体" w:eastAsia="宋体" w:cs="宋体"/>
                <w:color w:val="auto"/>
                <w:szCs w:val="21"/>
                <w:highlight w:val="none"/>
              </w:rPr>
            </w:pPr>
          </w:p>
        </w:tc>
      </w:tr>
    </w:tbl>
    <w:p w14:paraId="42944CF2">
      <w:pPr>
        <w:autoSpaceDE w:val="0"/>
        <w:autoSpaceDN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Cs w:val="21"/>
          <w:highlight w:val="none"/>
        </w:rPr>
        <w:t>注：供应商可参照上述的格式自行编制，并注明所在响应商务技术文件页码。</w:t>
      </w:r>
    </w:p>
    <w:p w14:paraId="393A0B27">
      <w:pPr>
        <w:autoSpaceDE w:val="0"/>
        <w:autoSpaceDN w:val="0"/>
        <w:spacing w:line="360" w:lineRule="auto"/>
        <w:rPr>
          <w:rFonts w:hint="eastAsia" w:ascii="宋体" w:hAnsi="宋体" w:eastAsia="宋体" w:cs="宋体"/>
          <w:b/>
          <w:color w:val="auto"/>
          <w:sz w:val="24"/>
          <w:szCs w:val="24"/>
          <w:highlight w:val="none"/>
        </w:rPr>
      </w:pPr>
    </w:p>
    <w:p w14:paraId="3BAB8E18">
      <w:pPr>
        <w:autoSpaceDE w:val="0"/>
        <w:autoSpaceDN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附表B：本项目的项目小组人员情况表</w:t>
      </w:r>
      <w:r>
        <w:rPr>
          <w:rFonts w:hint="eastAsia" w:ascii="宋体" w:hAnsi="宋体" w:eastAsia="宋体" w:cs="宋体"/>
          <w:color w:val="auto"/>
          <w:sz w:val="24"/>
          <w:szCs w:val="24"/>
          <w:highlight w:val="none"/>
        </w:rPr>
        <w:t>（参照此格式自制）</w:t>
      </w:r>
    </w:p>
    <w:tbl>
      <w:tblPr>
        <w:tblStyle w:val="32"/>
        <w:tblW w:w="10088" w:type="dxa"/>
        <w:jc w:val="center"/>
        <w:tblLayout w:type="fixed"/>
        <w:tblCellMar>
          <w:top w:w="0" w:type="dxa"/>
          <w:left w:w="108" w:type="dxa"/>
          <w:bottom w:w="0" w:type="dxa"/>
          <w:right w:w="108" w:type="dxa"/>
        </w:tblCellMar>
      </w:tblPr>
      <w:tblGrid>
        <w:gridCol w:w="420"/>
        <w:gridCol w:w="787"/>
        <w:gridCol w:w="628"/>
        <w:gridCol w:w="586"/>
        <w:gridCol w:w="1035"/>
        <w:gridCol w:w="995"/>
        <w:gridCol w:w="1678"/>
        <w:gridCol w:w="1302"/>
        <w:gridCol w:w="1187"/>
        <w:gridCol w:w="1470"/>
      </w:tblGrid>
      <w:tr w14:paraId="3FE2CD60">
        <w:tblPrEx>
          <w:tblCellMar>
            <w:top w:w="0" w:type="dxa"/>
            <w:left w:w="108" w:type="dxa"/>
            <w:bottom w:w="0" w:type="dxa"/>
            <w:right w:w="108" w:type="dxa"/>
          </w:tblCellMar>
        </w:tblPrEx>
        <w:trPr>
          <w:jc w:val="center"/>
        </w:trPr>
        <w:tc>
          <w:tcPr>
            <w:tcW w:w="420" w:type="dxa"/>
            <w:tcBorders>
              <w:top w:val="single" w:color="auto" w:sz="6" w:space="0"/>
              <w:left w:val="single" w:color="auto" w:sz="6" w:space="0"/>
              <w:bottom w:val="single" w:color="auto" w:sz="6" w:space="0"/>
              <w:right w:val="single" w:color="auto" w:sz="6" w:space="0"/>
            </w:tcBorders>
            <w:vAlign w:val="center"/>
          </w:tcPr>
          <w:p w14:paraId="728E231F">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556FEA6">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628" w:type="dxa"/>
            <w:tcBorders>
              <w:top w:val="single" w:color="auto" w:sz="6" w:space="0"/>
              <w:left w:val="single" w:color="auto" w:sz="6" w:space="0"/>
              <w:bottom w:val="single" w:color="auto" w:sz="6" w:space="0"/>
              <w:right w:val="single" w:color="auto" w:sz="6" w:space="0"/>
            </w:tcBorders>
            <w:vAlign w:val="center"/>
          </w:tcPr>
          <w:p w14:paraId="5CAE7BC3">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E73A481">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CE8EC32">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学历</w:t>
            </w:r>
          </w:p>
          <w:p w14:paraId="5BD810DC">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（页码）</w:t>
            </w:r>
          </w:p>
        </w:tc>
        <w:tc>
          <w:tcPr>
            <w:tcW w:w="995" w:type="dxa"/>
            <w:tcBorders>
              <w:top w:val="single" w:color="auto" w:sz="6" w:space="0"/>
              <w:left w:val="single" w:color="auto" w:sz="6" w:space="0"/>
              <w:bottom w:val="single" w:color="auto" w:sz="6" w:space="0"/>
              <w:right w:val="single" w:color="auto" w:sz="6" w:space="0"/>
            </w:tcBorders>
            <w:vAlign w:val="center"/>
          </w:tcPr>
          <w:p w14:paraId="458C491A">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w:t>
            </w:r>
          </w:p>
          <w:p w14:paraId="7C8E0272">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（页码）</w:t>
            </w:r>
          </w:p>
        </w:tc>
        <w:tc>
          <w:tcPr>
            <w:tcW w:w="1678" w:type="dxa"/>
            <w:tcBorders>
              <w:top w:val="single" w:color="auto" w:sz="6" w:space="0"/>
              <w:left w:val="single" w:color="auto" w:sz="6" w:space="0"/>
              <w:bottom w:val="single" w:color="auto" w:sz="6" w:space="0"/>
              <w:right w:val="single" w:color="auto" w:sz="6" w:space="0"/>
            </w:tcBorders>
            <w:vAlign w:val="center"/>
          </w:tcPr>
          <w:p w14:paraId="2A3ABFC0">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职称或职业资格证书</w:t>
            </w:r>
          </w:p>
          <w:p w14:paraId="272771FF">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（页码）</w:t>
            </w:r>
          </w:p>
        </w:tc>
        <w:tc>
          <w:tcPr>
            <w:tcW w:w="1302" w:type="dxa"/>
            <w:tcBorders>
              <w:top w:val="single" w:color="auto" w:sz="6" w:space="0"/>
              <w:left w:val="single" w:color="auto" w:sz="6" w:space="0"/>
              <w:bottom w:val="single" w:color="auto" w:sz="6" w:space="0"/>
              <w:right w:val="single" w:color="auto" w:sz="6" w:space="0"/>
            </w:tcBorders>
            <w:vAlign w:val="center"/>
          </w:tcPr>
          <w:p w14:paraId="4C346C10">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本项目中的职责</w:t>
            </w:r>
          </w:p>
        </w:tc>
        <w:tc>
          <w:tcPr>
            <w:tcW w:w="1187" w:type="dxa"/>
            <w:tcBorders>
              <w:top w:val="single" w:color="auto" w:sz="6" w:space="0"/>
              <w:left w:val="single" w:color="auto" w:sz="6" w:space="0"/>
              <w:bottom w:val="single" w:color="auto" w:sz="6" w:space="0"/>
              <w:right w:val="single" w:color="auto" w:sz="6" w:space="0"/>
            </w:tcBorders>
            <w:vAlign w:val="center"/>
          </w:tcPr>
          <w:p w14:paraId="4E181738">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6E4E954">
            <w:pPr>
              <w:autoSpaceDE w:val="0"/>
              <w:autoSpaceDN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参与本项目的到位情况</w:t>
            </w:r>
          </w:p>
        </w:tc>
      </w:tr>
      <w:tr w14:paraId="7E116EB2">
        <w:tblPrEx>
          <w:tblCellMar>
            <w:top w:w="0" w:type="dxa"/>
            <w:left w:w="108" w:type="dxa"/>
            <w:bottom w:w="0" w:type="dxa"/>
            <w:right w:w="108" w:type="dxa"/>
          </w:tblCellMar>
        </w:tblPrEx>
        <w:trPr>
          <w:trHeight w:val="479" w:hRule="atLeast"/>
          <w:jc w:val="center"/>
        </w:trPr>
        <w:tc>
          <w:tcPr>
            <w:tcW w:w="420" w:type="dxa"/>
            <w:tcBorders>
              <w:top w:val="single" w:color="auto" w:sz="6" w:space="0"/>
              <w:left w:val="single" w:color="auto" w:sz="6" w:space="0"/>
              <w:bottom w:val="single" w:color="auto" w:sz="6" w:space="0"/>
              <w:right w:val="single" w:color="auto" w:sz="6" w:space="0"/>
            </w:tcBorders>
          </w:tcPr>
          <w:p w14:paraId="3A95CAD5">
            <w:pPr>
              <w:autoSpaceDE w:val="0"/>
              <w:autoSpaceDN w:val="0"/>
              <w:spacing w:line="360" w:lineRule="auto"/>
              <w:jc w:val="center"/>
              <w:rPr>
                <w:rFonts w:hint="eastAsia" w:ascii="宋体" w:hAnsi="宋体" w:eastAsia="宋体" w:cs="宋体"/>
                <w:color w:val="auto"/>
                <w:szCs w:val="21"/>
                <w:highlight w:val="none"/>
              </w:rPr>
            </w:pPr>
          </w:p>
        </w:tc>
        <w:tc>
          <w:tcPr>
            <w:tcW w:w="787" w:type="dxa"/>
            <w:tcBorders>
              <w:top w:val="single" w:color="auto" w:sz="6" w:space="0"/>
              <w:left w:val="single" w:color="auto" w:sz="6" w:space="0"/>
              <w:bottom w:val="single" w:color="auto" w:sz="6" w:space="0"/>
              <w:right w:val="single" w:color="auto" w:sz="6" w:space="0"/>
            </w:tcBorders>
          </w:tcPr>
          <w:p w14:paraId="3AE9D0F3">
            <w:pPr>
              <w:autoSpaceDE w:val="0"/>
              <w:autoSpaceDN w:val="0"/>
              <w:spacing w:line="360" w:lineRule="auto"/>
              <w:rPr>
                <w:rFonts w:hint="eastAsia" w:ascii="宋体" w:hAnsi="宋体" w:eastAsia="宋体" w:cs="宋体"/>
                <w:color w:val="auto"/>
                <w:szCs w:val="21"/>
                <w:highlight w:val="none"/>
              </w:rPr>
            </w:pPr>
          </w:p>
        </w:tc>
        <w:tc>
          <w:tcPr>
            <w:tcW w:w="628" w:type="dxa"/>
            <w:tcBorders>
              <w:top w:val="single" w:color="auto" w:sz="6" w:space="0"/>
              <w:left w:val="single" w:color="auto" w:sz="6" w:space="0"/>
              <w:bottom w:val="single" w:color="auto" w:sz="6" w:space="0"/>
              <w:right w:val="single" w:color="auto" w:sz="6" w:space="0"/>
            </w:tcBorders>
          </w:tcPr>
          <w:p w14:paraId="5355B5E0">
            <w:pPr>
              <w:autoSpaceDE w:val="0"/>
              <w:autoSpaceDN w:val="0"/>
              <w:spacing w:line="360" w:lineRule="auto"/>
              <w:rPr>
                <w:rFonts w:hint="eastAsia" w:ascii="宋体" w:hAnsi="宋体" w:eastAsia="宋体" w:cs="宋体"/>
                <w:color w:val="auto"/>
                <w:szCs w:val="21"/>
                <w:highlight w:val="none"/>
              </w:rPr>
            </w:pPr>
          </w:p>
        </w:tc>
        <w:tc>
          <w:tcPr>
            <w:tcW w:w="586" w:type="dxa"/>
            <w:tcBorders>
              <w:top w:val="single" w:color="auto" w:sz="6" w:space="0"/>
              <w:left w:val="single" w:color="auto" w:sz="6" w:space="0"/>
              <w:bottom w:val="single" w:color="auto" w:sz="6" w:space="0"/>
              <w:right w:val="single" w:color="auto" w:sz="6" w:space="0"/>
            </w:tcBorders>
          </w:tcPr>
          <w:p w14:paraId="5CA2E618">
            <w:pPr>
              <w:autoSpaceDE w:val="0"/>
              <w:autoSpaceDN w:val="0"/>
              <w:spacing w:line="360" w:lineRule="auto"/>
              <w:rPr>
                <w:rFonts w:hint="eastAsia" w:ascii="宋体" w:hAnsi="宋体" w:eastAsia="宋体" w:cs="宋体"/>
                <w:color w:val="auto"/>
                <w:szCs w:val="21"/>
                <w:highlight w:val="none"/>
              </w:rPr>
            </w:pPr>
          </w:p>
        </w:tc>
        <w:tc>
          <w:tcPr>
            <w:tcW w:w="1035" w:type="dxa"/>
            <w:tcBorders>
              <w:top w:val="single" w:color="auto" w:sz="6" w:space="0"/>
              <w:left w:val="single" w:color="auto" w:sz="6" w:space="0"/>
              <w:bottom w:val="single" w:color="auto" w:sz="6" w:space="0"/>
              <w:right w:val="single" w:color="auto" w:sz="6" w:space="0"/>
            </w:tcBorders>
          </w:tcPr>
          <w:p w14:paraId="12E0419A">
            <w:pPr>
              <w:autoSpaceDE w:val="0"/>
              <w:autoSpaceDN w:val="0"/>
              <w:spacing w:line="360" w:lineRule="auto"/>
              <w:rPr>
                <w:rFonts w:hint="eastAsia" w:ascii="宋体" w:hAnsi="宋体" w:eastAsia="宋体" w:cs="宋体"/>
                <w:color w:val="auto"/>
                <w:szCs w:val="21"/>
                <w:highlight w:val="none"/>
              </w:rPr>
            </w:pPr>
          </w:p>
        </w:tc>
        <w:tc>
          <w:tcPr>
            <w:tcW w:w="995" w:type="dxa"/>
            <w:tcBorders>
              <w:top w:val="single" w:color="auto" w:sz="6" w:space="0"/>
              <w:left w:val="single" w:color="auto" w:sz="6" w:space="0"/>
              <w:bottom w:val="single" w:color="auto" w:sz="6" w:space="0"/>
              <w:right w:val="single" w:color="auto" w:sz="6" w:space="0"/>
            </w:tcBorders>
          </w:tcPr>
          <w:p w14:paraId="6AF475D8">
            <w:pPr>
              <w:autoSpaceDE w:val="0"/>
              <w:autoSpaceDN w:val="0"/>
              <w:spacing w:line="360" w:lineRule="auto"/>
              <w:rPr>
                <w:rFonts w:hint="eastAsia" w:ascii="宋体" w:hAnsi="宋体" w:eastAsia="宋体" w:cs="宋体"/>
                <w:color w:val="auto"/>
                <w:szCs w:val="21"/>
                <w:highlight w:val="none"/>
              </w:rPr>
            </w:pPr>
          </w:p>
        </w:tc>
        <w:tc>
          <w:tcPr>
            <w:tcW w:w="1678" w:type="dxa"/>
            <w:tcBorders>
              <w:top w:val="single" w:color="auto" w:sz="6" w:space="0"/>
              <w:left w:val="single" w:color="auto" w:sz="6" w:space="0"/>
              <w:bottom w:val="single" w:color="auto" w:sz="6" w:space="0"/>
              <w:right w:val="single" w:color="auto" w:sz="6" w:space="0"/>
            </w:tcBorders>
          </w:tcPr>
          <w:p w14:paraId="189C684D">
            <w:pPr>
              <w:autoSpaceDE w:val="0"/>
              <w:autoSpaceDN w:val="0"/>
              <w:spacing w:line="360" w:lineRule="auto"/>
              <w:rPr>
                <w:rFonts w:hint="eastAsia" w:ascii="宋体" w:hAnsi="宋体" w:eastAsia="宋体" w:cs="宋体"/>
                <w:color w:val="auto"/>
                <w:szCs w:val="21"/>
                <w:highlight w:val="none"/>
              </w:rPr>
            </w:pPr>
          </w:p>
        </w:tc>
        <w:tc>
          <w:tcPr>
            <w:tcW w:w="1302" w:type="dxa"/>
            <w:tcBorders>
              <w:top w:val="single" w:color="auto" w:sz="6" w:space="0"/>
              <w:left w:val="single" w:color="auto" w:sz="6" w:space="0"/>
              <w:bottom w:val="single" w:color="auto" w:sz="6" w:space="0"/>
              <w:right w:val="single" w:color="auto" w:sz="6" w:space="0"/>
            </w:tcBorders>
          </w:tcPr>
          <w:p w14:paraId="1B68C6C4">
            <w:pPr>
              <w:autoSpaceDE w:val="0"/>
              <w:autoSpaceDN w:val="0"/>
              <w:spacing w:line="360" w:lineRule="auto"/>
              <w:rPr>
                <w:rFonts w:hint="eastAsia" w:ascii="宋体" w:hAnsi="宋体" w:eastAsia="宋体" w:cs="宋体"/>
                <w:color w:val="auto"/>
                <w:szCs w:val="21"/>
                <w:highlight w:val="none"/>
              </w:rPr>
            </w:pPr>
          </w:p>
        </w:tc>
        <w:tc>
          <w:tcPr>
            <w:tcW w:w="1187" w:type="dxa"/>
            <w:tcBorders>
              <w:top w:val="single" w:color="auto" w:sz="6" w:space="0"/>
              <w:left w:val="single" w:color="auto" w:sz="6" w:space="0"/>
              <w:bottom w:val="single" w:color="auto" w:sz="6" w:space="0"/>
              <w:right w:val="single" w:color="auto" w:sz="6" w:space="0"/>
            </w:tcBorders>
          </w:tcPr>
          <w:p w14:paraId="7B22994B">
            <w:pPr>
              <w:autoSpaceDE w:val="0"/>
              <w:autoSpaceDN w:val="0"/>
              <w:spacing w:line="360" w:lineRule="auto"/>
              <w:rPr>
                <w:rFonts w:hint="eastAsia" w:ascii="宋体" w:hAnsi="宋体" w:eastAsia="宋体" w:cs="宋体"/>
                <w:color w:val="auto"/>
                <w:szCs w:val="21"/>
                <w:highlight w:val="none"/>
              </w:rPr>
            </w:pPr>
          </w:p>
        </w:tc>
        <w:tc>
          <w:tcPr>
            <w:tcW w:w="1470" w:type="dxa"/>
            <w:tcBorders>
              <w:top w:val="single" w:color="auto" w:sz="6" w:space="0"/>
              <w:left w:val="single" w:color="auto" w:sz="6" w:space="0"/>
              <w:bottom w:val="single" w:color="auto" w:sz="6" w:space="0"/>
              <w:right w:val="single" w:color="auto" w:sz="6" w:space="0"/>
            </w:tcBorders>
          </w:tcPr>
          <w:p w14:paraId="615501E7">
            <w:pPr>
              <w:autoSpaceDE w:val="0"/>
              <w:autoSpaceDN w:val="0"/>
              <w:spacing w:line="360" w:lineRule="auto"/>
              <w:rPr>
                <w:rFonts w:hint="eastAsia" w:ascii="宋体" w:hAnsi="宋体" w:eastAsia="宋体" w:cs="宋体"/>
                <w:color w:val="auto"/>
                <w:szCs w:val="21"/>
                <w:highlight w:val="none"/>
              </w:rPr>
            </w:pPr>
          </w:p>
        </w:tc>
      </w:tr>
      <w:tr w14:paraId="4A807AEB">
        <w:tblPrEx>
          <w:tblCellMar>
            <w:top w:w="0" w:type="dxa"/>
            <w:left w:w="108" w:type="dxa"/>
            <w:bottom w:w="0" w:type="dxa"/>
            <w:right w:w="108" w:type="dxa"/>
          </w:tblCellMar>
        </w:tblPrEx>
        <w:trPr>
          <w:trHeight w:val="473" w:hRule="atLeast"/>
          <w:jc w:val="center"/>
        </w:trPr>
        <w:tc>
          <w:tcPr>
            <w:tcW w:w="420" w:type="dxa"/>
            <w:tcBorders>
              <w:top w:val="single" w:color="auto" w:sz="6" w:space="0"/>
              <w:left w:val="single" w:color="auto" w:sz="6" w:space="0"/>
              <w:bottom w:val="single" w:color="auto" w:sz="6" w:space="0"/>
              <w:right w:val="single" w:color="auto" w:sz="6" w:space="0"/>
            </w:tcBorders>
          </w:tcPr>
          <w:p w14:paraId="7BAF26D6">
            <w:pPr>
              <w:autoSpaceDE w:val="0"/>
              <w:autoSpaceDN w:val="0"/>
              <w:spacing w:line="360" w:lineRule="auto"/>
              <w:jc w:val="center"/>
              <w:rPr>
                <w:rFonts w:hint="eastAsia" w:ascii="宋体" w:hAnsi="宋体" w:eastAsia="宋体" w:cs="宋体"/>
                <w:color w:val="auto"/>
                <w:szCs w:val="21"/>
                <w:highlight w:val="none"/>
              </w:rPr>
            </w:pPr>
          </w:p>
        </w:tc>
        <w:tc>
          <w:tcPr>
            <w:tcW w:w="787" w:type="dxa"/>
            <w:tcBorders>
              <w:top w:val="single" w:color="auto" w:sz="6" w:space="0"/>
              <w:left w:val="single" w:color="auto" w:sz="6" w:space="0"/>
              <w:bottom w:val="single" w:color="auto" w:sz="6" w:space="0"/>
              <w:right w:val="single" w:color="auto" w:sz="6" w:space="0"/>
            </w:tcBorders>
          </w:tcPr>
          <w:p w14:paraId="461180B4">
            <w:pPr>
              <w:autoSpaceDE w:val="0"/>
              <w:autoSpaceDN w:val="0"/>
              <w:spacing w:line="360" w:lineRule="auto"/>
              <w:rPr>
                <w:rFonts w:hint="eastAsia" w:ascii="宋体" w:hAnsi="宋体" w:eastAsia="宋体" w:cs="宋体"/>
                <w:color w:val="auto"/>
                <w:szCs w:val="21"/>
                <w:highlight w:val="none"/>
              </w:rPr>
            </w:pPr>
          </w:p>
        </w:tc>
        <w:tc>
          <w:tcPr>
            <w:tcW w:w="628" w:type="dxa"/>
            <w:tcBorders>
              <w:top w:val="single" w:color="auto" w:sz="6" w:space="0"/>
              <w:left w:val="single" w:color="auto" w:sz="6" w:space="0"/>
              <w:bottom w:val="single" w:color="auto" w:sz="6" w:space="0"/>
              <w:right w:val="single" w:color="auto" w:sz="6" w:space="0"/>
            </w:tcBorders>
          </w:tcPr>
          <w:p w14:paraId="70B86DBF">
            <w:pPr>
              <w:autoSpaceDE w:val="0"/>
              <w:autoSpaceDN w:val="0"/>
              <w:spacing w:line="360" w:lineRule="auto"/>
              <w:rPr>
                <w:rFonts w:hint="eastAsia" w:ascii="宋体" w:hAnsi="宋体" w:eastAsia="宋体" w:cs="宋体"/>
                <w:color w:val="auto"/>
                <w:szCs w:val="21"/>
                <w:highlight w:val="none"/>
              </w:rPr>
            </w:pPr>
          </w:p>
        </w:tc>
        <w:tc>
          <w:tcPr>
            <w:tcW w:w="586" w:type="dxa"/>
            <w:tcBorders>
              <w:top w:val="single" w:color="auto" w:sz="6" w:space="0"/>
              <w:left w:val="single" w:color="auto" w:sz="6" w:space="0"/>
              <w:bottom w:val="single" w:color="auto" w:sz="6" w:space="0"/>
              <w:right w:val="single" w:color="auto" w:sz="6" w:space="0"/>
            </w:tcBorders>
          </w:tcPr>
          <w:p w14:paraId="56179422">
            <w:pPr>
              <w:autoSpaceDE w:val="0"/>
              <w:autoSpaceDN w:val="0"/>
              <w:spacing w:line="360" w:lineRule="auto"/>
              <w:rPr>
                <w:rFonts w:hint="eastAsia" w:ascii="宋体" w:hAnsi="宋体" w:eastAsia="宋体" w:cs="宋体"/>
                <w:color w:val="auto"/>
                <w:szCs w:val="21"/>
                <w:highlight w:val="none"/>
              </w:rPr>
            </w:pPr>
          </w:p>
        </w:tc>
        <w:tc>
          <w:tcPr>
            <w:tcW w:w="1035" w:type="dxa"/>
            <w:tcBorders>
              <w:top w:val="single" w:color="auto" w:sz="6" w:space="0"/>
              <w:left w:val="single" w:color="auto" w:sz="6" w:space="0"/>
              <w:bottom w:val="single" w:color="auto" w:sz="6" w:space="0"/>
              <w:right w:val="single" w:color="auto" w:sz="6" w:space="0"/>
            </w:tcBorders>
          </w:tcPr>
          <w:p w14:paraId="5599C490">
            <w:pPr>
              <w:autoSpaceDE w:val="0"/>
              <w:autoSpaceDN w:val="0"/>
              <w:spacing w:line="360" w:lineRule="auto"/>
              <w:rPr>
                <w:rFonts w:hint="eastAsia" w:ascii="宋体" w:hAnsi="宋体" w:eastAsia="宋体" w:cs="宋体"/>
                <w:color w:val="auto"/>
                <w:szCs w:val="21"/>
                <w:highlight w:val="none"/>
              </w:rPr>
            </w:pPr>
          </w:p>
        </w:tc>
        <w:tc>
          <w:tcPr>
            <w:tcW w:w="995" w:type="dxa"/>
            <w:tcBorders>
              <w:top w:val="single" w:color="auto" w:sz="6" w:space="0"/>
              <w:left w:val="single" w:color="auto" w:sz="6" w:space="0"/>
              <w:bottom w:val="single" w:color="auto" w:sz="6" w:space="0"/>
              <w:right w:val="single" w:color="auto" w:sz="6" w:space="0"/>
            </w:tcBorders>
          </w:tcPr>
          <w:p w14:paraId="6BF34A93">
            <w:pPr>
              <w:autoSpaceDE w:val="0"/>
              <w:autoSpaceDN w:val="0"/>
              <w:spacing w:line="360" w:lineRule="auto"/>
              <w:rPr>
                <w:rFonts w:hint="eastAsia" w:ascii="宋体" w:hAnsi="宋体" w:eastAsia="宋体" w:cs="宋体"/>
                <w:color w:val="auto"/>
                <w:szCs w:val="21"/>
                <w:highlight w:val="none"/>
              </w:rPr>
            </w:pPr>
          </w:p>
        </w:tc>
        <w:tc>
          <w:tcPr>
            <w:tcW w:w="1678" w:type="dxa"/>
            <w:tcBorders>
              <w:top w:val="single" w:color="auto" w:sz="6" w:space="0"/>
              <w:left w:val="single" w:color="auto" w:sz="6" w:space="0"/>
              <w:bottom w:val="single" w:color="auto" w:sz="6" w:space="0"/>
              <w:right w:val="single" w:color="auto" w:sz="6" w:space="0"/>
            </w:tcBorders>
          </w:tcPr>
          <w:p w14:paraId="666DE87D">
            <w:pPr>
              <w:autoSpaceDE w:val="0"/>
              <w:autoSpaceDN w:val="0"/>
              <w:spacing w:line="360" w:lineRule="auto"/>
              <w:rPr>
                <w:rFonts w:hint="eastAsia" w:ascii="宋体" w:hAnsi="宋体" w:eastAsia="宋体" w:cs="宋体"/>
                <w:color w:val="auto"/>
                <w:szCs w:val="21"/>
                <w:highlight w:val="none"/>
              </w:rPr>
            </w:pPr>
          </w:p>
        </w:tc>
        <w:tc>
          <w:tcPr>
            <w:tcW w:w="1302" w:type="dxa"/>
            <w:tcBorders>
              <w:top w:val="single" w:color="auto" w:sz="6" w:space="0"/>
              <w:left w:val="single" w:color="auto" w:sz="6" w:space="0"/>
              <w:bottom w:val="single" w:color="auto" w:sz="6" w:space="0"/>
              <w:right w:val="single" w:color="auto" w:sz="6" w:space="0"/>
            </w:tcBorders>
          </w:tcPr>
          <w:p w14:paraId="4A31A506">
            <w:pPr>
              <w:autoSpaceDE w:val="0"/>
              <w:autoSpaceDN w:val="0"/>
              <w:spacing w:line="360" w:lineRule="auto"/>
              <w:rPr>
                <w:rFonts w:hint="eastAsia" w:ascii="宋体" w:hAnsi="宋体" w:eastAsia="宋体" w:cs="宋体"/>
                <w:color w:val="auto"/>
                <w:szCs w:val="21"/>
                <w:highlight w:val="none"/>
              </w:rPr>
            </w:pPr>
          </w:p>
        </w:tc>
        <w:tc>
          <w:tcPr>
            <w:tcW w:w="1187" w:type="dxa"/>
            <w:tcBorders>
              <w:top w:val="single" w:color="auto" w:sz="6" w:space="0"/>
              <w:left w:val="single" w:color="auto" w:sz="6" w:space="0"/>
              <w:bottom w:val="single" w:color="auto" w:sz="6" w:space="0"/>
              <w:right w:val="single" w:color="auto" w:sz="6" w:space="0"/>
            </w:tcBorders>
          </w:tcPr>
          <w:p w14:paraId="50845A8C">
            <w:pPr>
              <w:autoSpaceDE w:val="0"/>
              <w:autoSpaceDN w:val="0"/>
              <w:spacing w:line="360" w:lineRule="auto"/>
              <w:rPr>
                <w:rFonts w:hint="eastAsia" w:ascii="宋体" w:hAnsi="宋体" w:eastAsia="宋体" w:cs="宋体"/>
                <w:color w:val="auto"/>
                <w:szCs w:val="21"/>
                <w:highlight w:val="none"/>
              </w:rPr>
            </w:pPr>
          </w:p>
        </w:tc>
        <w:tc>
          <w:tcPr>
            <w:tcW w:w="1470" w:type="dxa"/>
            <w:tcBorders>
              <w:top w:val="single" w:color="auto" w:sz="6" w:space="0"/>
              <w:left w:val="single" w:color="auto" w:sz="6" w:space="0"/>
              <w:bottom w:val="single" w:color="auto" w:sz="6" w:space="0"/>
              <w:right w:val="single" w:color="auto" w:sz="6" w:space="0"/>
            </w:tcBorders>
          </w:tcPr>
          <w:p w14:paraId="3C53B5E7">
            <w:pPr>
              <w:autoSpaceDE w:val="0"/>
              <w:autoSpaceDN w:val="0"/>
              <w:spacing w:line="360" w:lineRule="auto"/>
              <w:rPr>
                <w:rFonts w:hint="eastAsia" w:ascii="宋体" w:hAnsi="宋体" w:eastAsia="宋体" w:cs="宋体"/>
                <w:color w:val="auto"/>
                <w:szCs w:val="21"/>
                <w:highlight w:val="none"/>
              </w:rPr>
            </w:pPr>
          </w:p>
        </w:tc>
      </w:tr>
    </w:tbl>
    <w:p w14:paraId="7B501557">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Cs w:val="21"/>
          <w:highlight w:val="none"/>
        </w:rPr>
        <w:t>注：供应商可参照上述的格式自行编制，并注明所在响应商务技术文件页码。</w:t>
      </w:r>
    </w:p>
    <w:p w14:paraId="3CB22DBA">
      <w:pPr>
        <w:snapToGrid w:val="0"/>
        <w:spacing w:line="360" w:lineRule="auto"/>
        <w:ind w:firstLine="602" w:firstLineChars="200"/>
        <w:rPr>
          <w:rFonts w:hint="eastAsia" w:ascii="宋体" w:hAnsi="宋体" w:eastAsia="宋体" w:cs="宋体"/>
          <w:b/>
          <w:color w:val="auto"/>
          <w:sz w:val="30"/>
          <w:szCs w:val="30"/>
          <w:highlight w:val="none"/>
        </w:rPr>
      </w:pPr>
    </w:p>
    <w:p w14:paraId="4CF4AAD7">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69B24DE3">
      <w:pPr>
        <w:autoSpaceDE w:val="0"/>
        <w:autoSpaceDN w:val="0"/>
        <w:spacing w:line="360" w:lineRule="auto"/>
        <w:ind w:left="4335" w:leftChars="1950" w:hanging="240" w:hangingChars="100"/>
        <w:rPr>
          <w:rFonts w:hint="eastAsia" w:ascii="宋体" w:hAnsi="宋体" w:eastAsia="宋体" w:cs="宋体"/>
          <w:b/>
          <w:color w:val="auto"/>
          <w:sz w:val="28"/>
          <w:szCs w:val="28"/>
          <w:highlight w:val="none"/>
        </w:rPr>
      </w:pPr>
      <w:r>
        <w:rPr>
          <w:rFonts w:hint="eastAsia" w:ascii="宋体" w:hAnsi="宋体" w:eastAsia="宋体" w:cs="宋体"/>
          <w:color w:val="auto"/>
          <w:kern w:val="0"/>
          <w:sz w:val="24"/>
          <w:szCs w:val="24"/>
          <w:highlight w:val="none"/>
          <w:lang w:val="zh-CN"/>
        </w:rPr>
        <w:t>日期：  年  月   日</w:t>
      </w:r>
    </w:p>
    <w:p w14:paraId="46E87A4B">
      <w:pPr>
        <w:autoSpaceDE w:val="0"/>
        <w:autoSpaceDN w:val="0"/>
        <w:spacing w:line="360" w:lineRule="auto"/>
        <w:ind w:firstLine="6480" w:firstLineChars="2700"/>
        <w:rPr>
          <w:rFonts w:hint="eastAsia" w:ascii="宋体" w:hAnsi="宋体" w:eastAsia="宋体" w:cs="宋体"/>
          <w:color w:val="auto"/>
          <w:kern w:val="0"/>
          <w:sz w:val="24"/>
          <w:szCs w:val="24"/>
          <w:highlight w:val="none"/>
          <w:lang w:val="zh-CN"/>
        </w:rPr>
      </w:pPr>
    </w:p>
    <w:p w14:paraId="11CFF86D">
      <w:pPr>
        <w:keepNext/>
        <w:keepLines/>
        <w:spacing w:before="260" w:after="260" w:line="416" w:lineRule="auto"/>
        <w:jc w:val="center"/>
        <w:outlineLvl w:val="1"/>
        <w:rPr>
          <w:rFonts w:hint="eastAsia" w:ascii="宋体" w:hAnsi="宋体" w:eastAsia="宋体" w:cs="Times New Roman"/>
          <w:b/>
          <w:bCs/>
          <w:color w:val="auto"/>
          <w:sz w:val="32"/>
          <w:szCs w:val="32"/>
          <w:highlight w:val="none"/>
          <w:lang w:val="zh-CN"/>
        </w:rPr>
      </w:pPr>
      <w:bookmarkStart w:id="154" w:name="_Toc80205941"/>
      <w:bookmarkStart w:id="155" w:name="_Toc17296"/>
      <w:bookmarkStart w:id="156" w:name="_Toc13020"/>
      <w:r>
        <w:rPr>
          <w:rFonts w:hint="eastAsia" w:ascii="宋体" w:hAnsi="宋体" w:eastAsia="宋体" w:cs="Times New Roman"/>
          <w:b/>
          <w:bCs/>
          <w:color w:val="auto"/>
          <w:sz w:val="32"/>
          <w:szCs w:val="32"/>
          <w:highlight w:val="none"/>
          <w:lang w:val="zh-CN"/>
        </w:rPr>
        <w:t>第三节 报价文件格式</w:t>
      </w:r>
      <w:bookmarkEnd w:id="154"/>
      <w:bookmarkEnd w:id="155"/>
      <w:bookmarkEnd w:id="156"/>
    </w:p>
    <w:p w14:paraId="5142F26A">
      <w:pPr>
        <w:pStyle w:val="22"/>
        <w:rPr>
          <w:color w:val="auto"/>
          <w:highlight w:val="none"/>
        </w:rPr>
      </w:pPr>
    </w:p>
    <w:p w14:paraId="43954920">
      <w:pPr>
        <w:pStyle w:val="22"/>
        <w:rPr>
          <w:color w:val="auto"/>
          <w:highlight w:val="none"/>
        </w:rPr>
      </w:pPr>
      <w:r>
        <w:rPr>
          <w:rFonts w:hint="eastAsia" w:ascii="宋体" w:hAnsi="宋体" w:cs="宋体"/>
          <w:b/>
          <w:bCs/>
          <w:color w:val="auto"/>
          <w:sz w:val="28"/>
          <w:szCs w:val="28"/>
          <w:highlight w:val="none"/>
          <w:lang w:val="en-US"/>
        </w:rPr>
        <w:t>1.</w:t>
      </w:r>
      <w:r>
        <w:rPr>
          <w:rFonts w:hint="eastAsia" w:ascii="宋体" w:hAnsi="宋体" w:cs="宋体"/>
          <w:b/>
          <w:bCs/>
          <w:color w:val="auto"/>
          <w:sz w:val="28"/>
          <w:szCs w:val="28"/>
          <w:highlight w:val="none"/>
        </w:rPr>
        <w:t>报价文件封面的格式</w:t>
      </w:r>
      <w:r>
        <w:rPr>
          <w:rFonts w:hint="eastAsia" w:ascii="宋体" w:hAnsi="宋体" w:cs="宋体"/>
          <w:b/>
          <w:color w:val="auto"/>
          <w:sz w:val="28"/>
          <w:szCs w:val="28"/>
          <w:highlight w:val="none"/>
        </w:rPr>
        <w:t>（参照此格式自拟）</w:t>
      </w:r>
      <w:r>
        <w:rPr>
          <w:rFonts w:hint="eastAsia" w:ascii="宋体" w:hAnsi="宋体" w:cs="宋体"/>
          <w:b/>
          <w:bCs/>
          <w:color w:val="auto"/>
          <w:sz w:val="28"/>
          <w:szCs w:val="28"/>
          <w:highlight w:val="none"/>
        </w:rPr>
        <w:t>：</w:t>
      </w:r>
    </w:p>
    <w:p w14:paraId="1275C464">
      <w:pPr>
        <w:snapToGrid w:val="0"/>
        <w:spacing w:before="165" w:beforeLines="50" w:after="50"/>
        <w:rPr>
          <w:rFonts w:hint="eastAsia"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14:paraId="1199FB88">
      <w:pPr>
        <w:snapToGrid w:val="0"/>
        <w:spacing w:before="165" w:beforeLines="50" w:after="50"/>
        <w:rPr>
          <w:rFonts w:hint="eastAsia" w:ascii="宋体" w:hAnsi="宋体" w:eastAsia="宋体" w:cs="Times New Roman"/>
          <w:color w:val="auto"/>
          <w:sz w:val="24"/>
          <w:szCs w:val="20"/>
          <w:highlight w:val="none"/>
        </w:rPr>
      </w:pPr>
    </w:p>
    <w:p w14:paraId="6BEF2490">
      <w:pPr>
        <w:snapToGrid w:val="0"/>
        <w:spacing w:before="165" w:beforeLines="50" w:after="50"/>
        <w:rPr>
          <w:rFonts w:hint="eastAsia" w:ascii="宋体" w:hAnsi="宋体" w:eastAsia="宋体" w:cs="Times New Roman"/>
          <w:color w:val="auto"/>
          <w:sz w:val="24"/>
          <w:szCs w:val="20"/>
          <w:highlight w:val="none"/>
        </w:rPr>
      </w:pPr>
    </w:p>
    <w:p w14:paraId="15772B1B">
      <w:pPr>
        <w:snapToGrid w:val="0"/>
        <w:spacing w:before="165" w:beforeLines="50" w:after="50"/>
        <w:rPr>
          <w:rFonts w:hint="eastAsia" w:ascii="宋体" w:hAnsi="宋体" w:eastAsia="宋体" w:cs="Times New Roman"/>
          <w:color w:val="auto"/>
          <w:sz w:val="24"/>
          <w:szCs w:val="20"/>
          <w:highlight w:val="none"/>
        </w:rPr>
      </w:pPr>
    </w:p>
    <w:p w14:paraId="6F11DF20">
      <w:pPr>
        <w:snapToGrid w:val="0"/>
        <w:spacing w:before="165"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 xml:space="preserve">报 </w:t>
      </w:r>
      <w:r>
        <w:rPr>
          <w:rFonts w:ascii="方正小标宋简体" w:hAnsi="方正小标宋简体" w:eastAsia="方正小标宋简体" w:cs="方正小标宋简体"/>
          <w:bCs/>
          <w:color w:val="auto"/>
          <w:sz w:val="44"/>
          <w:szCs w:val="44"/>
          <w:highlight w:val="none"/>
        </w:rPr>
        <w:t xml:space="preserve"> </w:t>
      </w:r>
      <w:r>
        <w:rPr>
          <w:rFonts w:hint="eastAsia" w:ascii="方正小标宋简体" w:hAnsi="方正小标宋简体" w:eastAsia="方正小标宋简体" w:cs="方正小标宋简体"/>
          <w:bCs/>
          <w:color w:val="auto"/>
          <w:sz w:val="44"/>
          <w:szCs w:val="44"/>
          <w:highlight w:val="none"/>
        </w:rPr>
        <w:t>价  文  件</w:t>
      </w:r>
    </w:p>
    <w:p w14:paraId="4C852B65">
      <w:pPr>
        <w:snapToGrid w:val="0"/>
        <w:spacing w:before="165" w:beforeLines="50" w:after="50"/>
        <w:rPr>
          <w:rFonts w:hint="eastAsia" w:ascii="宋体" w:hAnsi="宋体" w:eastAsia="宋体" w:cs="Times New Roman"/>
          <w:bCs/>
          <w:color w:val="auto"/>
          <w:sz w:val="24"/>
          <w:szCs w:val="20"/>
          <w:highlight w:val="none"/>
        </w:rPr>
      </w:pPr>
    </w:p>
    <w:p w14:paraId="07074F92">
      <w:pPr>
        <w:snapToGrid w:val="0"/>
        <w:spacing w:before="165" w:beforeLines="50" w:after="50"/>
        <w:rPr>
          <w:rFonts w:hint="eastAsia" w:ascii="宋体" w:hAnsi="宋体" w:eastAsia="宋体" w:cs="Times New Roman"/>
          <w:bCs/>
          <w:color w:val="auto"/>
          <w:sz w:val="24"/>
          <w:szCs w:val="20"/>
          <w:highlight w:val="none"/>
        </w:rPr>
      </w:pPr>
    </w:p>
    <w:p w14:paraId="184820E2">
      <w:pPr>
        <w:snapToGrid w:val="0"/>
        <w:spacing w:before="165" w:beforeLines="50" w:after="50"/>
        <w:rPr>
          <w:rFonts w:hint="eastAsia" w:ascii="宋体" w:hAnsi="宋体" w:eastAsia="宋体" w:cs="Times New Roman"/>
          <w:bCs/>
          <w:color w:val="auto"/>
          <w:sz w:val="24"/>
          <w:szCs w:val="20"/>
          <w:highlight w:val="none"/>
        </w:rPr>
      </w:pPr>
    </w:p>
    <w:p w14:paraId="36053590">
      <w:pPr>
        <w:snapToGrid w:val="0"/>
        <w:spacing w:before="165" w:beforeLines="50" w:after="50"/>
        <w:rPr>
          <w:rFonts w:hint="eastAsia" w:ascii="宋体" w:hAnsi="宋体" w:eastAsia="宋体" w:cs="Times New Roman"/>
          <w:bCs/>
          <w:color w:val="auto"/>
          <w:sz w:val="24"/>
          <w:szCs w:val="20"/>
          <w:highlight w:val="none"/>
        </w:rPr>
      </w:pPr>
    </w:p>
    <w:p w14:paraId="78FF0379">
      <w:pPr>
        <w:snapToGrid w:val="0"/>
        <w:spacing w:before="165" w:beforeLines="50" w:after="50"/>
        <w:rPr>
          <w:rFonts w:hint="eastAsia" w:ascii="宋体" w:hAnsi="宋体" w:eastAsia="宋体" w:cs="Times New Roman"/>
          <w:bCs/>
          <w:color w:val="auto"/>
          <w:sz w:val="24"/>
          <w:szCs w:val="20"/>
          <w:highlight w:val="none"/>
        </w:rPr>
      </w:pPr>
    </w:p>
    <w:p w14:paraId="2CF1F863">
      <w:pPr>
        <w:snapToGrid w:val="0"/>
        <w:spacing w:before="165"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项目名称：</w:t>
      </w:r>
    </w:p>
    <w:p w14:paraId="7612A36C">
      <w:pPr>
        <w:snapToGrid w:val="0"/>
        <w:spacing w:before="165" w:beforeLines="50" w:after="50"/>
        <w:ind w:firstLine="720" w:firstLineChars="225"/>
        <w:rPr>
          <w:rFonts w:hint="eastAsia" w:ascii="宋体" w:hAnsi="宋体" w:eastAsia="宋体" w:cs="仿宋_GB2312"/>
          <w:bCs/>
          <w:color w:val="auto"/>
          <w:sz w:val="32"/>
          <w:szCs w:val="32"/>
          <w:highlight w:val="none"/>
        </w:rPr>
      </w:pPr>
    </w:p>
    <w:p w14:paraId="7DCF8838">
      <w:pPr>
        <w:snapToGrid w:val="0"/>
        <w:spacing w:before="165"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项目编号：</w:t>
      </w:r>
    </w:p>
    <w:p w14:paraId="72A78642">
      <w:pPr>
        <w:snapToGrid w:val="0"/>
        <w:spacing w:before="165" w:beforeLines="50" w:after="50"/>
        <w:ind w:firstLine="720" w:firstLineChars="225"/>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14:paraId="45645243">
      <w:pPr>
        <w:snapToGrid w:val="0"/>
        <w:spacing w:before="165"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14:paraId="5111C201">
      <w:pPr>
        <w:snapToGrid w:val="0"/>
        <w:spacing w:before="165" w:beforeLines="50" w:after="50"/>
        <w:ind w:firstLine="720" w:firstLineChars="225"/>
        <w:rPr>
          <w:rFonts w:hint="eastAsia" w:ascii="宋体" w:hAnsi="宋体" w:eastAsia="宋体" w:cs="仿宋_GB2312"/>
          <w:bCs/>
          <w:color w:val="auto"/>
          <w:sz w:val="32"/>
          <w:szCs w:val="32"/>
          <w:highlight w:val="none"/>
        </w:rPr>
      </w:pPr>
    </w:p>
    <w:p w14:paraId="2A5CB3D4">
      <w:pPr>
        <w:snapToGrid w:val="0"/>
        <w:spacing w:before="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14:paraId="334F9CAF">
      <w:pPr>
        <w:snapToGrid w:val="0"/>
        <w:spacing w:before="50" w:after="50"/>
        <w:ind w:firstLine="720" w:firstLineChars="225"/>
        <w:rPr>
          <w:rFonts w:hint="eastAsia" w:ascii="宋体" w:hAnsi="宋体" w:eastAsia="宋体" w:cs="仿宋_GB2312"/>
          <w:bCs/>
          <w:color w:val="auto"/>
          <w:sz w:val="32"/>
          <w:szCs w:val="32"/>
          <w:highlight w:val="none"/>
        </w:rPr>
      </w:pPr>
    </w:p>
    <w:p w14:paraId="7CBC9E49">
      <w:pPr>
        <w:snapToGrid w:val="0"/>
        <w:spacing w:before="50" w:after="50"/>
        <w:ind w:firstLine="720" w:firstLineChars="225"/>
        <w:rPr>
          <w:rFonts w:hint="eastAsia" w:ascii="宋体" w:hAnsi="宋体" w:eastAsia="宋体" w:cs="仿宋_GB2312"/>
          <w:bCs/>
          <w:color w:val="auto"/>
          <w:sz w:val="32"/>
          <w:szCs w:val="32"/>
          <w:highlight w:val="none"/>
        </w:rPr>
      </w:pPr>
    </w:p>
    <w:p w14:paraId="277BF112">
      <w:pPr>
        <w:snapToGrid w:val="0"/>
        <w:spacing w:before="50" w:after="50"/>
        <w:ind w:firstLine="1280" w:firstLineChars="400"/>
        <w:rPr>
          <w:rFonts w:hint="eastAsia" w:ascii="宋体" w:hAnsi="宋体" w:eastAsia="宋体" w:cs="仿宋_GB2312"/>
          <w:bCs/>
          <w:color w:val="auto"/>
          <w:sz w:val="32"/>
          <w:szCs w:val="32"/>
          <w:highlight w:val="none"/>
        </w:rPr>
      </w:pPr>
    </w:p>
    <w:p w14:paraId="09D33719">
      <w:pPr>
        <w:snapToGrid w:val="0"/>
        <w:spacing w:before="165" w:beforeLines="50" w:after="50"/>
        <w:jc w:val="center"/>
        <w:rPr>
          <w:rFonts w:hint="eastAsia"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14:paraId="7730BB86">
      <w:pPr>
        <w:snapToGrid w:val="0"/>
        <w:spacing w:before="165" w:beforeLines="50" w:after="50" w:line="360" w:lineRule="auto"/>
        <w:jc w:val="left"/>
        <w:rPr>
          <w:rFonts w:hint="eastAsia" w:ascii="宋体" w:hAnsi="宋体" w:eastAsia="宋体" w:cs="宋体"/>
          <w:color w:val="auto"/>
          <w:sz w:val="28"/>
          <w:szCs w:val="28"/>
          <w:highlight w:val="none"/>
        </w:rPr>
      </w:pPr>
      <w:r>
        <w:rPr>
          <w:rFonts w:ascii="宋体" w:hAnsi="宋体" w:eastAsia="宋体" w:cs="Times New Roman"/>
          <w:color w:val="auto"/>
          <w:sz w:val="24"/>
          <w:szCs w:val="24"/>
          <w:highlight w:val="none"/>
        </w:rPr>
        <w:br w:type="page"/>
      </w:r>
      <w:r>
        <w:rPr>
          <w:rFonts w:hint="eastAsia" w:ascii="宋体" w:hAnsi="宋体" w:eastAsia="宋体" w:cs="宋体"/>
          <w:b/>
          <w:color w:val="auto"/>
          <w:sz w:val="28"/>
          <w:szCs w:val="28"/>
          <w:highlight w:val="none"/>
        </w:rPr>
        <w:t>2.</w:t>
      </w:r>
      <w:r>
        <w:rPr>
          <w:rFonts w:hint="eastAsia" w:ascii="宋体" w:hAnsi="宋体" w:eastAsia="宋体" w:cs="宋体"/>
          <w:b/>
          <w:bCs/>
          <w:color w:val="auto"/>
          <w:sz w:val="28"/>
          <w:szCs w:val="28"/>
          <w:highlight w:val="none"/>
        </w:rPr>
        <w:t>报价文件目录</w:t>
      </w:r>
    </w:p>
    <w:p w14:paraId="04EE5CED">
      <w:pPr>
        <w:snapToGrid w:val="0"/>
        <w:spacing w:before="50" w:after="165" w:afterLines="50" w:line="360" w:lineRule="auto"/>
        <w:jc w:val="left"/>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根据竞争性谈判文件规定及供应商提供的材料自行编写目录</w:t>
      </w:r>
      <w:r>
        <w:rPr>
          <w:rFonts w:hint="eastAsia" w:ascii="宋体" w:hAnsi="宋体" w:eastAsia="宋体" w:cs="宋体"/>
          <w:color w:val="auto"/>
          <w:kern w:val="0"/>
          <w:sz w:val="28"/>
          <w:szCs w:val="28"/>
          <w:highlight w:val="none"/>
        </w:rPr>
        <w:t>（部分格式后附）</w:t>
      </w:r>
      <w:r>
        <w:rPr>
          <w:rFonts w:hint="eastAsia" w:ascii="宋体" w:hAnsi="宋体" w:eastAsia="宋体" w:cs="宋体"/>
          <w:color w:val="auto"/>
          <w:sz w:val="28"/>
          <w:szCs w:val="28"/>
          <w:highlight w:val="none"/>
        </w:rPr>
        <w:t>。</w:t>
      </w:r>
    </w:p>
    <w:p w14:paraId="7733D0B9">
      <w:pPr>
        <w:spacing w:line="360" w:lineRule="auto"/>
        <w:rPr>
          <w:rFonts w:hint="eastAsia" w:ascii="仿宋_GB2312" w:hAnsi="仿宋" w:eastAsia="仿宋_GB2312" w:cs="仿宋_GB2312"/>
          <w:b/>
          <w:bCs/>
          <w:i/>
          <w:iCs/>
          <w:color w:val="auto"/>
          <w:sz w:val="24"/>
          <w:szCs w:val="24"/>
          <w:highlight w:val="none"/>
        </w:rPr>
      </w:pPr>
    </w:p>
    <w:p w14:paraId="1F72138C">
      <w:pPr>
        <w:snapToGrid w:val="0"/>
        <w:spacing w:before="165" w:beforeLines="50" w:after="50" w:line="360" w:lineRule="auto"/>
        <w:ind w:left="142" w:firstLine="640" w:firstLineChars="200"/>
        <w:jc w:val="left"/>
        <w:rPr>
          <w:rFonts w:hint="eastAsia" w:ascii="仿宋_GB2312" w:hAnsi="仿宋_GB2312" w:eastAsia="仿宋_GB2312" w:cs="仿宋_GB2312"/>
          <w:color w:val="auto"/>
          <w:sz w:val="32"/>
          <w:szCs w:val="32"/>
          <w:highlight w:val="none"/>
        </w:rPr>
      </w:pPr>
    </w:p>
    <w:p w14:paraId="6994FF72">
      <w:pPr>
        <w:spacing w:line="500" w:lineRule="exact"/>
        <w:rPr>
          <w:rFonts w:hint="eastAsia" w:ascii="宋体" w:hAnsi="宋体" w:eastAsia="宋体" w:cs="仿宋_GB2312"/>
          <w:color w:val="auto"/>
          <w:kern w:val="0"/>
          <w:sz w:val="24"/>
          <w:szCs w:val="21"/>
          <w:highlight w:val="none"/>
          <w:lang w:val="zh-CN"/>
        </w:rPr>
      </w:pPr>
      <w:r>
        <w:rPr>
          <w:rFonts w:ascii="宋体" w:hAnsi="宋体" w:eastAsia="宋体" w:cs="仿宋_GB2312"/>
          <w:color w:val="auto"/>
          <w:kern w:val="0"/>
          <w:sz w:val="24"/>
          <w:szCs w:val="21"/>
          <w:highlight w:val="none"/>
          <w:lang w:val="zh-CN"/>
        </w:rPr>
        <w:br w:type="page"/>
      </w:r>
      <w:r>
        <w:rPr>
          <w:rFonts w:hint="eastAsia" w:ascii="宋体" w:hAnsi="宋体" w:eastAsia="宋体" w:cs="宋体"/>
          <w:b/>
          <w:color w:val="auto"/>
          <w:sz w:val="28"/>
          <w:szCs w:val="28"/>
          <w:highlight w:val="none"/>
        </w:rPr>
        <w:t>3.</w:t>
      </w:r>
      <w:r>
        <w:rPr>
          <w:rFonts w:hint="eastAsia" w:ascii="宋体" w:hAnsi="宋体" w:eastAsia="宋体" w:cs="宋体"/>
          <w:b/>
          <w:color w:val="auto"/>
          <w:sz w:val="28"/>
          <w:szCs w:val="28"/>
          <w:highlight w:val="none"/>
          <w:lang w:val="zh-CN"/>
        </w:rPr>
        <w:t>响应函的格式：</w:t>
      </w:r>
    </w:p>
    <w:p w14:paraId="67C09DCB">
      <w:pPr>
        <w:spacing w:line="500" w:lineRule="exact"/>
        <w:jc w:val="center"/>
        <w:rPr>
          <w:rFonts w:ascii="Times New Roman" w:hAnsi="Times New Roman" w:eastAsia="宋体" w:cs="Times New Roman"/>
          <w:b/>
          <w:bCs/>
          <w:color w:val="auto"/>
          <w:kern w:val="0"/>
          <w:sz w:val="30"/>
          <w:szCs w:val="30"/>
          <w:highlight w:val="none"/>
          <w:lang w:val="zh-CN"/>
        </w:rPr>
      </w:pPr>
      <w:r>
        <w:rPr>
          <w:rFonts w:hint="eastAsia" w:ascii="Times New Roman" w:hAnsi="Times New Roman" w:eastAsia="宋体" w:cs="Times New Roman"/>
          <w:b/>
          <w:bCs/>
          <w:color w:val="auto"/>
          <w:kern w:val="0"/>
          <w:sz w:val="30"/>
          <w:szCs w:val="30"/>
          <w:highlight w:val="none"/>
          <w:lang w:val="zh-CN"/>
        </w:rPr>
        <w:t>响应函</w:t>
      </w:r>
    </w:p>
    <w:p w14:paraId="67D28C84">
      <w:pPr>
        <w:spacing w:line="360" w:lineRule="auto"/>
        <w:rPr>
          <w:rFonts w:ascii="Times New Roman" w:hAnsi="Times New Roman" w:eastAsia="宋体" w:cs="Times New Roman"/>
          <w:color w:val="auto"/>
          <w:kern w:val="0"/>
          <w:sz w:val="20"/>
          <w:szCs w:val="21"/>
          <w:highlight w:val="none"/>
          <w:lang w:val="zh-CN"/>
        </w:rPr>
      </w:pPr>
    </w:p>
    <w:p w14:paraId="1CE04FFF">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致：</w:t>
      </w:r>
      <w:r>
        <w:rPr>
          <w:rFonts w:hint="eastAsia" w:ascii="宋体" w:hAnsi="宋体" w:eastAsia="宋体" w:cs="宋体"/>
          <w:color w:val="auto"/>
          <w:kern w:val="0"/>
          <w:sz w:val="24"/>
          <w:szCs w:val="24"/>
          <w:highlight w:val="none"/>
          <w:u w:val="single"/>
          <w:lang w:val="zh-CN"/>
        </w:rPr>
        <w:t xml:space="preserve"> </w:t>
      </w:r>
      <w:bookmarkStart w:id="157" w:name="PO_3000001871_PM031_6"/>
      <w:r>
        <w:rPr>
          <w:rFonts w:hint="eastAsia" w:ascii="宋体" w:hAnsi="宋体" w:eastAsia="宋体" w:cs="宋体"/>
          <w:color w:val="auto"/>
          <w:kern w:val="0"/>
          <w:sz w:val="24"/>
          <w:szCs w:val="24"/>
          <w:highlight w:val="none"/>
          <w:u w:val="single"/>
        </w:rPr>
        <w:t>广西科联招标中心有限公司</w:t>
      </w:r>
      <w:bookmarkEnd w:id="157"/>
      <w:r>
        <w:rPr>
          <w:rFonts w:hint="eastAsia" w:ascii="宋体" w:hAnsi="宋体" w:eastAsia="宋体" w:cs="宋体"/>
          <w:color w:val="auto"/>
          <w:kern w:val="0"/>
          <w:sz w:val="24"/>
          <w:szCs w:val="24"/>
          <w:highlight w:val="none"/>
          <w:u w:val="single"/>
        </w:rPr>
        <w:t xml:space="preserve">         </w:t>
      </w:r>
    </w:p>
    <w:p w14:paraId="6C2D6DDB">
      <w:pPr>
        <w:spacing w:line="360" w:lineRule="auto"/>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我方已仔细阅读了贵方组织的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lang w:val="zh-CN"/>
        </w:rPr>
        <w:t>项目（项目编号：</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）的竞争性谈判文件的全部内容，现正式</w:t>
      </w:r>
      <w:r>
        <w:rPr>
          <w:rFonts w:hint="eastAsia" w:ascii="宋体" w:hAnsi="宋体" w:eastAsia="宋体" w:cs="宋体"/>
          <w:color w:val="auto"/>
          <w:kern w:val="0"/>
          <w:sz w:val="24"/>
          <w:szCs w:val="24"/>
          <w:highlight w:val="none"/>
        </w:rPr>
        <w:t>提</w:t>
      </w:r>
      <w:r>
        <w:rPr>
          <w:rFonts w:hint="eastAsia" w:ascii="宋体" w:hAnsi="宋体" w:eastAsia="宋体" w:cs="宋体"/>
          <w:color w:val="auto"/>
          <w:kern w:val="0"/>
          <w:sz w:val="24"/>
          <w:szCs w:val="24"/>
          <w:highlight w:val="none"/>
          <w:lang w:val="zh-CN"/>
        </w:rPr>
        <w:t xml:space="preserve">交下述文件参加贵方组织的本次政府采购活动： </w:t>
      </w:r>
    </w:p>
    <w:p w14:paraId="3588C08A">
      <w:pPr>
        <w:spacing w:line="360" w:lineRule="auto"/>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一、首次报价文件电子版（包含按“第三章 供应商须知”提交的全部文件）；</w:t>
      </w:r>
    </w:p>
    <w:p w14:paraId="33004277">
      <w:pPr>
        <w:spacing w:line="360" w:lineRule="auto"/>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二、</w:t>
      </w:r>
      <w:r>
        <w:rPr>
          <w:rFonts w:hint="eastAsia" w:ascii="宋体" w:hAnsi="宋体" w:eastAsia="宋体" w:cs="宋体"/>
          <w:color w:val="auto"/>
          <w:kern w:val="0"/>
          <w:sz w:val="24"/>
          <w:szCs w:val="24"/>
          <w:highlight w:val="none"/>
        </w:rPr>
        <w:t>商务</w:t>
      </w:r>
      <w:r>
        <w:rPr>
          <w:rFonts w:hint="eastAsia" w:ascii="宋体" w:hAnsi="宋体" w:eastAsia="宋体" w:cs="宋体"/>
          <w:color w:val="auto"/>
          <w:kern w:val="0"/>
          <w:sz w:val="24"/>
          <w:szCs w:val="24"/>
          <w:highlight w:val="none"/>
          <w:lang w:val="zh-CN"/>
        </w:rPr>
        <w:t>技术文件电子版（包含按“第三章 供应商须知”提交的全部文件）；</w:t>
      </w:r>
    </w:p>
    <w:p w14:paraId="338AAFB2">
      <w:pPr>
        <w:spacing w:line="360" w:lineRule="auto"/>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三、资格文件电子版（包含按“第三章供应商须知”提交的全部文件）。</w:t>
      </w:r>
    </w:p>
    <w:p w14:paraId="35DD22C9">
      <w:pPr>
        <w:spacing w:line="360" w:lineRule="auto"/>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据此函，</w:t>
      </w:r>
      <w:r>
        <w:rPr>
          <w:rFonts w:hint="eastAsia" w:ascii="宋体" w:hAnsi="宋体" w:eastAsia="宋体" w:cs="宋体"/>
          <w:color w:val="auto"/>
          <w:kern w:val="0"/>
          <w:sz w:val="24"/>
          <w:szCs w:val="24"/>
          <w:highlight w:val="none"/>
        </w:rPr>
        <w:t>我方</w:t>
      </w:r>
      <w:r>
        <w:rPr>
          <w:rFonts w:hint="eastAsia" w:ascii="宋体" w:hAnsi="宋体" w:eastAsia="宋体" w:cs="宋体"/>
          <w:color w:val="auto"/>
          <w:kern w:val="0"/>
          <w:sz w:val="24"/>
          <w:szCs w:val="24"/>
          <w:highlight w:val="none"/>
          <w:lang w:val="zh-CN"/>
        </w:rPr>
        <w:t>兹宣布：</w:t>
      </w:r>
    </w:p>
    <w:p w14:paraId="05B4B2A8">
      <w:pPr>
        <w:spacing w:line="360" w:lineRule="auto"/>
        <w:ind w:firstLine="482"/>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我方愿意以</w:t>
      </w:r>
      <w:r>
        <w:rPr>
          <w:rFonts w:hint="eastAsia" w:ascii="宋体" w:hAnsi="宋体" w:eastAsia="宋体" w:cs="宋体"/>
          <w:color w:val="auto"/>
          <w:sz w:val="24"/>
          <w:szCs w:val="24"/>
          <w:highlight w:val="none"/>
        </w:rPr>
        <w:t>竞标总报价</w:t>
      </w:r>
      <w:r>
        <w:rPr>
          <w:rFonts w:hint="eastAsia" w:ascii="宋体" w:hAnsi="宋体" w:eastAsia="宋体" w:cs="宋体"/>
          <w:color w:val="auto"/>
          <w:kern w:val="0"/>
          <w:sz w:val="24"/>
          <w:szCs w:val="24"/>
          <w:highlight w:val="none"/>
          <w:lang w:val="zh-CN"/>
        </w:rPr>
        <w:t>，提供本项目竞争性谈判文件“第二章</w:t>
      </w:r>
      <w:r>
        <w:rPr>
          <w:rFonts w:hint="eastAsia" w:ascii="宋体" w:hAnsi="宋体" w:eastAsia="宋体" w:cs="宋体"/>
          <w:color w:val="auto"/>
          <w:kern w:val="0"/>
          <w:sz w:val="24"/>
          <w:szCs w:val="24"/>
          <w:highlight w:val="none"/>
        </w:rPr>
        <w:t xml:space="preserve">  采购需求</w:t>
      </w:r>
      <w:r>
        <w:rPr>
          <w:rFonts w:hint="eastAsia" w:ascii="宋体" w:hAnsi="宋体" w:eastAsia="宋体" w:cs="宋体"/>
          <w:color w:val="auto"/>
          <w:kern w:val="0"/>
          <w:sz w:val="24"/>
          <w:szCs w:val="24"/>
          <w:highlight w:val="none"/>
          <w:lang w:val="zh-CN"/>
        </w:rPr>
        <w:t>”的“需求一览表”中相应的采购内容</w:t>
      </w:r>
      <w:r>
        <w:rPr>
          <w:rFonts w:hint="eastAsia" w:ascii="宋体" w:hAnsi="宋体" w:eastAsia="宋体" w:cs="宋体"/>
          <w:color w:val="auto"/>
          <w:sz w:val="24"/>
          <w:szCs w:val="24"/>
          <w:highlight w:val="none"/>
        </w:rPr>
        <w:t>，具体详见最后报价表</w:t>
      </w:r>
      <w:r>
        <w:rPr>
          <w:rFonts w:hint="eastAsia" w:ascii="宋体" w:hAnsi="宋体" w:eastAsia="宋体" w:cs="宋体"/>
          <w:color w:val="auto"/>
          <w:kern w:val="0"/>
          <w:sz w:val="24"/>
          <w:szCs w:val="24"/>
          <w:highlight w:val="none"/>
          <w:lang w:val="zh-CN"/>
        </w:rPr>
        <w:t>。</w:t>
      </w:r>
    </w:p>
    <w:p w14:paraId="32CB0AC8">
      <w:pPr>
        <w:spacing w:line="360" w:lineRule="auto"/>
        <w:ind w:firstLine="482"/>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我方同意自本项目竞争性谈判文件采购公告规定的提交响应文件截止时间起遵循本响应函，并承诺在“第三章 供应商须知”规定的</w:t>
      </w:r>
      <w:r>
        <w:rPr>
          <w:rFonts w:hint="eastAsia" w:ascii="宋体" w:hAnsi="宋体" w:eastAsia="宋体" w:cs="宋体"/>
          <w:color w:val="auto"/>
          <w:kern w:val="0"/>
          <w:sz w:val="24"/>
          <w:szCs w:val="24"/>
          <w:highlight w:val="none"/>
        </w:rPr>
        <w:t>竞标</w:t>
      </w:r>
      <w:r>
        <w:rPr>
          <w:rFonts w:hint="eastAsia" w:ascii="宋体" w:hAnsi="宋体" w:eastAsia="宋体" w:cs="宋体"/>
          <w:color w:val="auto"/>
          <w:kern w:val="0"/>
          <w:sz w:val="24"/>
          <w:szCs w:val="24"/>
          <w:highlight w:val="none"/>
          <w:lang w:val="zh-CN"/>
        </w:rPr>
        <w:t>有效期内不修改、撤销响应文件。</w:t>
      </w:r>
    </w:p>
    <w:p w14:paraId="33B60B7E">
      <w:pPr>
        <w:spacing w:line="360" w:lineRule="auto"/>
        <w:ind w:firstLine="482"/>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3</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我方在此声明，所</w:t>
      </w:r>
      <w:r>
        <w:rPr>
          <w:rFonts w:hint="eastAsia" w:ascii="宋体" w:hAnsi="宋体" w:eastAsia="宋体" w:cs="宋体"/>
          <w:color w:val="auto"/>
          <w:kern w:val="0"/>
          <w:sz w:val="24"/>
          <w:szCs w:val="24"/>
          <w:highlight w:val="none"/>
        </w:rPr>
        <w:t>提</w:t>
      </w:r>
      <w:r>
        <w:rPr>
          <w:rFonts w:hint="eastAsia" w:ascii="宋体" w:hAnsi="宋体" w:eastAsia="宋体" w:cs="宋体"/>
          <w:color w:val="auto"/>
          <w:kern w:val="0"/>
          <w:sz w:val="24"/>
          <w:szCs w:val="24"/>
          <w:highlight w:val="none"/>
          <w:lang w:val="zh-CN"/>
        </w:rPr>
        <w:t>交的响应文件及有关资料内容完整、真实和准确。</w:t>
      </w:r>
    </w:p>
    <w:p w14:paraId="0D46B8EC">
      <w:pPr>
        <w:spacing w:line="360" w:lineRule="auto"/>
        <w:ind w:firstLine="482"/>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如本项目采购内容涉及须符合国家强制规定的，我方承诺我方本次竞标均符合国家有关强制规定。</w:t>
      </w:r>
    </w:p>
    <w:p w14:paraId="4E0DE834">
      <w:pPr>
        <w:spacing w:line="360" w:lineRule="auto"/>
        <w:ind w:firstLine="482"/>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5</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如我方成交，我方承诺在收到成交通知书后，在成交通知书规定的期限内，根据竞争性谈判文件、我方的响应文件及有关澄清承诺书的要求按第六章“合同文本”与采购人订立书面合同，并按照合同约定承担完成合同的责任和义务。</w:t>
      </w:r>
    </w:p>
    <w:p w14:paraId="0C2A7321">
      <w:pPr>
        <w:spacing w:line="360" w:lineRule="auto"/>
        <w:ind w:firstLine="482"/>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6</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我方已详细审核竞争性谈判文件，我方知道必须放弃提出含糊不清或误解问题的权利。</w:t>
      </w:r>
    </w:p>
    <w:p w14:paraId="684468FF">
      <w:pPr>
        <w:spacing w:line="360" w:lineRule="auto"/>
        <w:ind w:firstLine="482"/>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7</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我方承诺满足竞争性谈判文件第六章“合同文本”的条款，承担完成合同的责任和义务。</w:t>
      </w:r>
    </w:p>
    <w:p w14:paraId="655B75BB">
      <w:pPr>
        <w:spacing w:line="360" w:lineRule="auto"/>
        <w:ind w:firstLine="482"/>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8</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我方同意应贵方要求提供与本竞标有关的任何数据或资料。若贵方需要，我方愿意提供我方作出的一切承诺的证明材料。</w:t>
      </w:r>
    </w:p>
    <w:p w14:paraId="2E4E62F4">
      <w:pPr>
        <w:spacing w:line="360" w:lineRule="auto"/>
        <w:ind w:firstLine="482"/>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9</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我方完全理解贵方不一定接受响应报价最低的供应商为成交供应商的行为。</w:t>
      </w:r>
    </w:p>
    <w:p w14:paraId="05187408">
      <w:pPr>
        <w:spacing w:line="360" w:lineRule="auto"/>
        <w:ind w:firstLine="482"/>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10</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5101561B">
      <w:pPr>
        <w:numPr>
          <w:ilvl w:val="0"/>
          <w:numId w:val="1"/>
        </w:numPr>
        <w:tabs>
          <w:tab w:val="left" w:pos="945"/>
        </w:tabs>
        <w:spacing w:line="360" w:lineRule="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提供虚假材料谋取中标、成交的；</w:t>
      </w:r>
    </w:p>
    <w:p w14:paraId="26533D66">
      <w:pPr>
        <w:numPr>
          <w:ilvl w:val="0"/>
          <w:numId w:val="1"/>
        </w:numPr>
        <w:tabs>
          <w:tab w:val="left" w:pos="945"/>
        </w:tabs>
        <w:spacing w:line="360" w:lineRule="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采取不正当手段诋毁、排挤其他供应商的；</w:t>
      </w:r>
    </w:p>
    <w:p w14:paraId="33EB1669">
      <w:pPr>
        <w:numPr>
          <w:ilvl w:val="0"/>
          <w:numId w:val="1"/>
        </w:numPr>
        <w:tabs>
          <w:tab w:val="left" w:pos="945"/>
        </w:tabs>
        <w:spacing w:line="360" w:lineRule="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与采购人、其他供应商或者采购代理机构恶意串通的；</w:t>
      </w:r>
    </w:p>
    <w:p w14:paraId="371D890D">
      <w:pPr>
        <w:numPr>
          <w:ilvl w:val="0"/>
          <w:numId w:val="1"/>
        </w:numPr>
        <w:tabs>
          <w:tab w:val="left" w:pos="945"/>
        </w:tabs>
        <w:spacing w:line="360" w:lineRule="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向采购人、采购代理机构行贿或者提供其他不正当利益的；</w:t>
      </w:r>
    </w:p>
    <w:p w14:paraId="77F7C000">
      <w:pPr>
        <w:numPr>
          <w:ilvl w:val="0"/>
          <w:numId w:val="1"/>
        </w:numPr>
        <w:tabs>
          <w:tab w:val="left" w:pos="945"/>
        </w:tabs>
        <w:spacing w:line="360" w:lineRule="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在采购过程中与采购人进行协商谈判的；</w:t>
      </w:r>
    </w:p>
    <w:p w14:paraId="68686098">
      <w:pPr>
        <w:numPr>
          <w:ilvl w:val="0"/>
          <w:numId w:val="1"/>
        </w:numPr>
        <w:tabs>
          <w:tab w:val="left" w:pos="945"/>
        </w:tabs>
        <w:spacing w:line="360" w:lineRule="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拒绝有关部门监督检查或提供虚假情况的。</w:t>
      </w:r>
    </w:p>
    <w:p w14:paraId="30A244A0">
      <w:pPr>
        <w:spacing w:line="360" w:lineRule="auto"/>
        <w:ind w:firstLine="42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r>
        <w:rPr>
          <w:rFonts w:hint="eastAsia" w:eastAsia="宋体" w:cs="Times New Roman"/>
          <w:color w:val="auto"/>
          <w:sz w:val="24"/>
          <w:szCs w:val="24"/>
          <w:highlight w:val="none"/>
        </w:rPr>
        <w:t>以上事项如有虚假或</w:t>
      </w:r>
      <w:r>
        <w:rPr>
          <w:rFonts w:hint="eastAsia" w:cs="Times New Roman"/>
          <w:color w:val="auto"/>
          <w:sz w:val="24"/>
          <w:szCs w:val="24"/>
          <w:highlight w:val="none"/>
        </w:rPr>
        <w:t>者</w:t>
      </w:r>
      <w:r>
        <w:rPr>
          <w:rFonts w:hint="eastAsia" w:eastAsia="宋体" w:cs="Times New Roman"/>
          <w:color w:val="auto"/>
          <w:sz w:val="24"/>
          <w:szCs w:val="24"/>
          <w:highlight w:val="none"/>
        </w:rPr>
        <w:t>隐瞒，我方愿意承担一切后果，并不再寻求任何旨在减轻或</w:t>
      </w:r>
      <w:r>
        <w:rPr>
          <w:rFonts w:hint="eastAsia" w:cs="Times New Roman"/>
          <w:color w:val="auto"/>
          <w:sz w:val="24"/>
          <w:szCs w:val="24"/>
          <w:highlight w:val="none"/>
        </w:rPr>
        <w:t>者</w:t>
      </w:r>
      <w:r>
        <w:rPr>
          <w:rFonts w:hint="eastAsia" w:eastAsia="宋体" w:cs="Times New Roman"/>
          <w:color w:val="auto"/>
          <w:sz w:val="24"/>
          <w:szCs w:val="24"/>
          <w:highlight w:val="none"/>
        </w:rPr>
        <w:t>免除法律责任的辩解。</w:t>
      </w:r>
    </w:p>
    <w:p w14:paraId="1C3E40A5">
      <w:pPr>
        <w:spacing w:line="360" w:lineRule="auto"/>
        <w:ind w:firstLine="42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w:t>
      </w: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zh-CN"/>
        </w:rPr>
        <w:t>与本谈判有关的一切正式往来信函请寄：</w:t>
      </w:r>
    </w:p>
    <w:p w14:paraId="1E15FBB1">
      <w:pPr>
        <w:spacing w:line="360" w:lineRule="auto"/>
        <w:ind w:firstLine="42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地址：</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lang w:val="zh-CN"/>
        </w:rPr>
        <w:t xml:space="preserve"> </w:t>
      </w:r>
    </w:p>
    <w:p w14:paraId="034615D9">
      <w:pPr>
        <w:spacing w:line="360" w:lineRule="auto"/>
        <w:ind w:firstLine="420"/>
        <w:rPr>
          <w:rFonts w:hint="eastAsia"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电话：</w:t>
      </w:r>
      <w:r>
        <w:rPr>
          <w:rFonts w:hint="eastAsia" w:ascii="宋体" w:hAnsi="宋体" w:eastAsia="宋体" w:cs="宋体"/>
          <w:color w:val="auto"/>
          <w:kern w:val="0"/>
          <w:sz w:val="24"/>
          <w:szCs w:val="24"/>
          <w:highlight w:val="none"/>
          <w:u w:val="single"/>
          <w:lang w:val="zh-CN"/>
        </w:rPr>
        <w:t xml:space="preserve">                                      　　　　　　　　　</w:t>
      </w:r>
    </w:p>
    <w:p w14:paraId="051ABA03">
      <w:pPr>
        <w:spacing w:line="360" w:lineRule="auto"/>
        <w:ind w:firstLine="420"/>
        <w:rPr>
          <w:rFonts w:hint="eastAsia"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传真：</w:t>
      </w:r>
      <w:r>
        <w:rPr>
          <w:rFonts w:hint="eastAsia" w:ascii="宋体" w:hAnsi="宋体" w:eastAsia="宋体" w:cs="宋体"/>
          <w:color w:val="auto"/>
          <w:kern w:val="0"/>
          <w:sz w:val="24"/>
          <w:szCs w:val="24"/>
          <w:highlight w:val="none"/>
          <w:u w:val="single"/>
          <w:lang w:val="zh-CN"/>
        </w:rPr>
        <w:t>　　　　　　　　　　　　　　　　　　　　　　　　　　　　</w:t>
      </w:r>
    </w:p>
    <w:p w14:paraId="6068CFAD">
      <w:pPr>
        <w:spacing w:line="360" w:lineRule="auto"/>
        <w:ind w:firstLine="420"/>
        <w:rPr>
          <w:rFonts w:hint="eastAsia" w:ascii="宋体" w:hAnsi="宋体" w:eastAsia="宋体" w:cs="宋体"/>
          <w:color w:val="auto"/>
          <w:sz w:val="24"/>
          <w:szCs w:val="24"/>
          <w:highlight w:val="none"/>
          <w:lang w:val="zh-CN"/>
        </w:rPr>
      </w:pPr>
      <w:r>
        <w:rPr>
          <w:rFonts w:hint="eastAsia" w:ascii="宋体" w:hAnsi="宋体" w:eastAsia="宋体" w:cs="宋体"/>
          <w:color w:val="auto"/>
          <w:kern w:val="0"/>
          <w:sz w:val="24"/>
          <w:szCs w:val="24"/>
          <w:highlight w:val="none"/>
          <w:lang w:val="zh-CN"/>
        </w:rPr>
        <w:t>电子邮箱</w:t>
      </w:r>
      <w:r>
        <w:rPr>
          <w:rFonts w:hint="eastAsia" w:ascii="宋体" w:hAnsi="宋体" w:eastAsia="宋体" w:cs="宋体"/>
          <w:color w:val="auto"/>
          <w:sz w:val="24"/>
          <w:szCs w:val="24"/>
          <w:highlight w:val="none"/>
          <w:lang w:val="zh-CN"/>
        </w:rPr>
        <w:t>：</w:t>
      </w:r>
      <w:r>
        <w:rPr>
          <w:rFonts w:hint="eastAsia" w:ascii="宋体" w:hAnsi="宋体" w:eastAsia="宋体" w:cs="宋体"/>
          <w:color w:val="auto"/>
          <w:kern w:val="0"/>
          <w:sz w:val="24"/>
          <w:szCs w:val="24"/>
          <w:highlight w:val="none"/>
          <w:u w:val="single"/>
          <w:lang w:val="zh-CN"/>
        </w:rPr>
        <w:t>　　　　　　　　　　　　　　　　　　　　　　　　　　</w:t>
      </w:r>
    </w:p>
    <w:p w14:paraId="39E00FFB">
      <w:pPr>
        <w:spacing w:line="360" w:lineRule="auto"/>
        <w:ind w:firstLine="420"/>
        <w:rPr>
          <w:rFonts w:hint="eastAsia"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邮政编码：</w:t>
      </w:r>
      <w:r>
        <w:rPr>
          <w:rFonts w:hint="eastAsia" w:ascii="宋体" w:hAnsi="宋体" w:eastAsia="宋体" w:cs="宋体"/>
          <w:color w:val="auto"/>
          <w:kern w:val="0"/>
          <w:sz w:val="24"/>
          <w:szCs w:val="24"/>
          <w:highlight w:val="none"/>
          <w:u w:val="single"/>
          <w:lang w:val="zh-CN"/>
        </w:rPr>
        <w:t xml:space="preserve">                                                    </w:t>
      </w:r>
    </w:p>
    <w:p w14:paraId="27F67E13">
      <w:pPr>
        <w:spacing w:line="360" w:lineRule="auto"/>
        <w:ind w:firstLine="420"/>
        <w:rPr>
          <w:rFonts w:hint="eastAsia"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开户名称：</w:t>
      </w:r>
      <w:r>
        <w:rPr>
          <w:rFonts w:hint="eastAsia" w:ascii="宋体" w:hAnsi="宋体" w:eastAsia="宋体" w:cs="宋体"/>
          <w:color w:val="auto"/>
          <w:kern w:val="0"/>
          <w:sz w:val="24"/>
          <w:szCs w:val="24"/>
          <w:highlight w:val="none"/>
          <w:u w:val="single"/>
          <w:lang w:val="zh-CN"/>
        </w:rPr>
        <w:t xml:space="preserve">                                                    </w:t>
      </w:r>
    </w:p>
    <w:p w14:paraId="407EC49E">
      <w:pPr>
        <w:spacing w:line="360" w:lineRule="auto"/>
        <w:ind w:firstLine="420"/>
        <w:rPr>
          <w:rFonts w:hint="eastAsia"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开户银行：</w:t>
      </w:r>
      <w:r>
        <w:rPr>
          <w:rFonts w:hint="eastAsia" w:ascii="宋体" w:hAnsi="宋体" w:eastAsia="宋体" w:cs="宋体"/>
          <w:color w:val="auto"/>
          <w:kern w:val="0"/>
          <w:sz w:val="24"/>
          <w:szCs w:val="24"/>
          <w:highlight w:val="none"/>
          <w:u w:val="single"/>
          <w:lang w:val="zh-CN"/>
        </w:rPr>
        <w:t xml:space="preserve">                                                    </w:t>
      </w:r>
    </w:p>
    <w:p w14:paraId="11E17487">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银行账号：</w:t>
      </w:r>
      <w:r>
        <w:rPr>
          <w:rFonts w:hint="eastAsia" w:ascii="宋体" w:hAnsi="宋体" w:eastAsia="宋体" w:cs="宋体"/>
          <w:color w:val="auto"/>
          <w:kern w:val="0"/>
          <w:sz w:val="24"/>
          <w:szCs w:val="24"/>
          <w:highlight w:val="none"/>
          <w:u w:val="single"/>
          <w:lang w:val="zh-CN"/>
        </w:rPr>
        <w:t xml:space="preserve">                                                    </w:t>
      </w:r>
    </w:p>
    <w:p w14:paraId="52E5AF93">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 w:val="24"/>
          <w:szCs w:val="24"/>
          <w:highlight w:val="none"/>
        </w:rPr>
        <w:t>特此承诺。</w:t>
      </w:r>
    </w:p>
    <w:p w14:paraId="3556A613">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p>
    <w:p w14:paraId="3732B3E4">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7464125C">
      <w:pPr>
        <w:ind w:firstLine="6000" w:firstLineChars="2500"/>
        <w:rPr>
          <w:rFonts w:hint="eastAsia" w:ascii="宋体" w:hAnsi="宋体" w:eastAsia="宋体" w:cs="宋体"/>
          <w:color w:val="auto"/>
          <w:kern w:val="0"/>
          <w:sz w:val="24"/>
          <w:szCs w:val="24"/>
          <w:highlight w:val="none"/>
          <w:lang w:val="zh-CN"/>
        </w:rPr>
        <w:sectPr>
          <w:pgSz w:w="11906" w:h="16838"/>
          <w:pgMar w:top="1134" w:right="1134" w:bottom="1134" w:left="1134" w:header="720" w:footer="720" w:gutter="0"/>
          <w:cols w:space="720" w:num="1"/>
          <w:docGrid w:type="lines" w:linePitch="331" w:charSpace="0"/>
        </w:sectPr>
      </w:pPr>
      <w:r>
        <w:rPr>
          <w:rFonts w:hint="eastAsia" w:ascii="宋体" w:hAnsi="宋体" w:eastAsia="宋体" w:cs="宋体"/>
          <w:color w:val="auto"/>
          <w:kern w:val="0"/>
          <w:sz w:val="24"/>
          <w:szCs w:val="24"/>
          <w:highlight w:val="none"/>
          <w:lang w:val="zh-CN"/>
        </w:rPr>
        <w:t>日期：  年  月   日</w:t>
      </w:r>
    </w:p>
    <w:p w14:paraId="1700B32E">
      <w:pPr>
        <w:spacing w:line="500" w:lineRule="exact"/>
        <w:rPr>
          <w:rFonts w:hint="eastAsia" w:ascii="仿宋" w:hAnsi="仿宋" w:eastAsia="仿宋" w:cs="仿宋_GB2312"/>
          <w:b/>
          <w:color w:val="auto"/>
          <w:sz w:val="30"/>
          <w:szCs w:val="30"/>
          <w:highlight w:val="none"/>
          <w:lang w:val="zh-CN"/>
        </w:rPr>
      </w:pPr>
      <w:r>
        <w:rPr>
          <w:rFonts w:hint="eastAsia" w:ascii="宋体" w:hAnsi="宋体" w:eastAsia="宋体" w:cs="宋体"/>
          <w:b/>
          <w:color w:val="auto"/>
          <w:sz w:val="28"/>
          <w:szCs w:val="28"/>
          <w:highlight w:val="none"/>
        </w:rPr>
        <w:t>4.</w:t>
      </w:r>
      <w:r>
        <w:rPr>
          <w:rFonts w:hint="eastAsia" w:ascii="宋体" w:hAnsi="宋体" w:eastAsia="宋体" w:cs="宋体"/>
          <w:b/>
          <w:color w:val="auto"/>
          <w:sz w:val="28"/>
          <w:szCs w:val="28"/>
          <w:highlight w:val="none"/>
          <w:lang w:val="zh-CN"/>
        </w:rPr>
        <w:t>响应报价表的格式：</w:t>
      </w:r>
      <w:r>
        <w:rPr>
          <w:rFonts w:hint="eastAsia" w:ascii="仿宋" w:hAnsi="仿宋" w:eastAsia="仿宋" w:cs="仿宋_GB2312"/>
          <w:b/>
          <w:color w:val="auto"/>
          <w:sz w:val="30"/>
          <w:szCs w:val="30"/>
          <w:highlight w:val="none"/>
          <w:lang w:val="zh-CN"/>
        </w:rPr>
        <w:t xml:space="preserve"> </w:t>
      </w:r>
    </w:p>
    <w:p w14:paraId="143AB619">
      <w:pPr>
        <w:snapToGrid w:val="0"/>
        <w:spacing w:before="50" w:after="50" w:line="360" w:lineRule="auto"/>
        <w:ind w:firstLine="4518" w:firstLineChars="1500"/>
        <w:rPr>
          <w:rFonts w:hint="eastAsia" w:ascii="宋体" w:hAnsi="宋体" w:eastAsia="宋体" w:cs="宋体"/>
          <w:color w:val="auto"/>
          <w:sz w:val="24"/>
          <w:szCs w:val="24"/>
          <w:highlight w:val="none"/>
        </w:rPr>
      </w:pPr>
      <w:r>
        <w:rPr>
          <w:rFonts w:hint="eastAsia" w:ascii="宋体" w:hAnsi="宋体" w:eastAsia="宋体" w:cs="宋体"/>
          <w:b/>
          <w:color w:val="auto"/>
          <w:sz w:val="30"/>
          <w:szCs w:val="30"/>
          <w:highlight w:val="none"/>
          <w:lang w:val="zh-CN"/>
        </w:rPr>
        <w:t>响应报价表</w:t>
      </w:r>
    </w:p>
    <w:p w14:paraId="7F8D1143">
      <w:pPr>
        <w:snapToGrid w:val="0"/>
        <w:spacing w:before="50" w:after="50"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14:paraId="0399323D">
      <w:pPr>
        <w:snapToGrid w:val="0"/>
        <w:spacing w:before="50" w:after="50"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p>
    <w:p w14:paraId="530A17D6">
      <w:pPr>
        <w:snapToGrid w:val="0"/>
        <w:spacing w:before="50" w:after="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bl>
      <w:tblPr>
        <w:tblStyle w:val="32"/>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1251"/>
        <w:gridCol w:w="975"/>
        <w:gridCol w:w="918"/>
        <w:gridCol w:w="1332"/>
        <w:gridCol w:w="1707"/>
        <w:gridCol w:w="1651"/>
      </w:tblGrid>
      <w:tr w14:paraId="3E83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14689D1A">
            <w:pP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358525F5">
            <w:pPr>
              <w:jc w:val="center"/>
              <w:rPr>
                <w:rFonts w:hint="eastAsia" w:ascii="宋体" w:hAnsi="宋体" w:eastAsia="宋体" w:cs="宋体"/>
                <w:color w:val="auto"/>
                <w:highlight w:val="none"/>
              </w:rPr>
            </w:pPr>
            <w:r>
              <w:rPr>
                <w:rFonts w:hint="eastAsia" w:ascii="宋体" w:hAnsi="宋体" w:eastAsia="宋体" w:cs="宋体"/>
                <w:color w:val="auto"/>
                <w:highlight w:val="none"/>
              </w:rPr>
              <w:t>标的名称</w:t>
            </w:r>
          </w:p>
        </w:tc>
        <w:tc>
          <w:tcPr>
            <w:tcW w:w="1251" w:type="dxa"/>
            <w:tcBorders>
              <w:top w:val="single" w:color="auto" w:sz="4" w:space="0"/>
              <w:left w:val="single" w:color="auto" w:sz="4" w:space="0"/>
              <w:bottom w:val="single" w:color="auto" w:sz="4" w:space="0"/>
              <w:right w:val="single" w:color="auto" w:sz="4" w:space="0"/>
            </w:tcBorders>
            <w:vAlign w:val="center"/>
          </w:tcPr>
          <w:p w14:paraId="3E152E6C">
            <w:pPr>
              <w:jc w:val="center"/>
              <w:rPr>
                <w:rFonts w:hint="eastAsia" w:ascii="宋体" w:hAnsi="宋体" w:eastAsia="宋体" w:cs="宋体"/>
                <w:color w:val="auto"/>
                <w:highlight w:val="none"/>
              </w:rPr>
            </w:pPr>
            <w:r>
              <w:rPr>
                <w:rFonts w:hint="eastAsia" w:ascii="宋体" w:hAnsi="宋体" w:eastAsia="宋体" w:cs="宋体"/>
                <w:color w:val="auto"/>
                <w:highlight w:val="none"/>
              </w:rPr>
              <w:t>规格型号</w:t>
            </w:r>
          </w:p>
        </w:tc>
        <w:tc>
          <w:tcPr>
            <w:tcW w:w="975" w:type="dxa"/>
            <w:tcBorders>
              <w:top w:val="single" w:color="auto" w:sz="4" w:space="0"/>
              <w:left w:val="single" w:color="auto" w:sz="4" w:space="0"/>
              <w:bottom w:val="single" w:color="auto" w:sz="4" w:space="0"/>
              <w:right w:val="single" w:color="auto" w:sz="4" w:space="0"/>
            </w:tcBorders>
            <w:vAlign w:val="center"/>
          </w:tcPr>
          <w:p w14:paraId="2EC20F68">
            <w:pPr>
              <w:jc w:val="center"/>
              <w:rPr>
                <w:rFonts w:hint="eastAsia" w:ascii="宋体" w:hAnsi="宋体" w:eastAsia="宋体" w:cs="宋体"/>
                <w:color w:val="auto"/>
                <w:highlight w:val="none"/>
              </w:rPr>
            </w:pPr>
            <w:r>
              <w:rPr>
                <w:rFonts w:hint="eastAsia" w:ascii="宋体" w:hAnsi="宋体" w:eastAsia="宋体" w:cs="宋体"/>
                <w:color w:val="auto"/>
                <w:highlight w:val="none"/>
              </w:rPr>
              <w:t>品牌（如有）</w:t>
            </w:r>
          </w:p>
        </w:tc>
        <w:tc>
          <w:tcPr>
            <w:tcW w:w="918" w:type="dxa"/>
            <w:tcBorders>
              <w:top w:val="single" w:color="auto" w:sz="4" w:space="0"/>
              <w:left w:val="single" w:color="auto" w:sz="4" w:space="0"/>
              <w:bottom w:val="single" w:color="auto" w:sz="4" w:space="0"/>
              <w:right w:val="single" w:color="auto" w:sz="4" w:space="0"/>
            </w:tcBorders>
            <w:vAlign w:val="center"/>
          </w:tcPr>
          <w:p w14:paraId="6F5B9A0A">
            <w:pPr>
              <w:jc w:val="center"/>
              <w:rPr>
                <w:rFonts w:hint="eastAsia" w:ascii="宋体" w:hAnsi="宋体" w:eastAsia="宋体" w:cs="宋体"/>
                <w:color w:val="auto"/>
                <w:highlight w:val="none"/>
              </w:rPr>
            </w:pPr>
            <w:r>
              <w:rPr>
                <w:rFonts w:hint="eastAsia" w:ascii="宋体" w:hAnsi="宋体" w:eastAsia="宋体" w:cs="宋体"/>
                <w:color w:val="auto"/>
                <w:highlight w:val="none"/>
              </w:rPr>
              <w:t>数量及单位①</w:t>
            </w:r>
          </w:p>
        </w:tc>
        <w:tc>
          <w:tcPr>
            <w:tcW w:w="1332" w:type="dxa"/>
            <w:tcBorders>
              <w:top w:val="single" w:color="auto" w:sz="4" w:space="0"/>
              <w:left w:val="single" w:color="auto" w:sz="4" w:space="0"/>
              <w:bottom w:val="single" w:color="auto" w:sz="4" w:space="0"/>
              <w:right w:val="single" w:color="auto" w:sz="4" w:space="0"/>
            </w:tcBorders>
            <w:vAlign w:val="center"/>
          </w:tcPr>
          <w:p w14:paraId="651D9B77">
            <w:pPr>
              <w:jc w:val="center"/>
              <w:rPr>
                <w:rFonts w:hint="eastAsia" w:ascii="宋体" w:hAnsi="宋体" w:eastAsia="宋体" w:cs="宋体"/>
                <w:color w:val="auto"/>
                <w:highlight w:val="none"/>
              </w:rPr>
            </w:pPr>
            <w:r>
              <w:rPr>
                <w:rFonts w:hint="eastAsia" w:ascii="宋体" w:hAnsi="宋体" w:eastAsia="宋体" w:cs="宋体"/>
                <w:color w:val="auto"/>
                <w:highlight w:val="none"/>
              </w:rPr>
              <w:t>单价（元）②</w:t>
            </w:r>
          </w:p>
        </w:tc>
        <w:tc>
          <w:tcPr>
            <w:tcW w:w="1707" w:type="dxa"/>
            <w:tcBorders>
              <w:top w:val="single" w:color="auto" w:sz="4" w:space="0"/>
              <w:left w:val="single" w:color="auto" w:sz="4" w:space="0"/>
              <w:bottom w:val="single" w:color="auto" w:sz="4" w:space="0"/>
              <w:right w:val="single" w:color="auto" w:sz="4" w:space="0"/>
            </w:tcBorders>
            <w:vAlign w:val="center"/>
          </w:tcPr>
          <w:p w14:paraId="05F4CCA2">
            <w:pPr>
              <w:jc w:val="center"/>
              <w:rPr>
                <w:rFonts w:hint="eastAsia" w:ascii="宋体" w:hAnsi="宋体" w:eastAsia="宋体" w:cs="宋体"/>
                <w:color w:val="auto"/>
                <w:highlight w:val="none"/>
              </w:rPr>
            </w:pPr>
            <w:r>
              <w:rPr>
                <w:rFonts w:hint="eastAsia" w:ascii="宋体" w:hAnsi="宋体" w:eastAsia="宋体" w:cs="宋体"/>
                <w:color w:val="auto"/>
                <w:highlight w:val="none"/>
              </w:rPr>
              <w:t>单项合价（元）</w:t>
            </w:r>
          </w:p>
          <w:p w14:paraId="6E798BBF">
            <w:pPr>
              <w:jc w:val="center"/>
              <w:rPr>
                <w:rFonts w:hint="eastAsia" w:ascii="宋体" w:hAnsi="宋体" w:eastAsia="宋体" w:cs="宋体"/>
                <w:color w:val="auto"/>
                <w:highlight w:val="none"/>
              </w:rPr>
            </w:pPr>
            <w:r>
              <w:rPr>
                <w:rFonts w:hint="eastAsia" w:ascii="宋体" w:hAnsi="宋体" w:eastAsia="宋体" w:cs="宋体"/>
                <w:color w:val="auto"/>
                <w:highlight w:val="none"/>
              </w:rPr>
              <w:t>③=①×②</w:t>
            </w:r>
          </w:p>
        </w:tc>
        <w:tc>
          <w:tcPr>
            <w:tcW w:w="1651" w:type="dxa"/>
            <w:tcBorders>
              <w:top w:val="single" w:color="auto" w:sz="4" w:space="0"/>
              <w:left w:val="single" w:color="auto" w:sz="4" w:space="0"/>
              <w:bottom w:val="single" w:color="auto" w:sz="4" w:space="0"/>
              <w:right w:val="single" w:color="auto" w:sz="4" w:space="0"/>
            </w:tcBorders>
            <w:vAlign w:val="center"/>
          </w:tcPr>
          <w:p w14:paraId="6FC2F1DD">
            <w:pPr>
              <w:jc w:val="center"/>
              <w:rPr>
                <w:rFonts w:hint="eastAsia" w:ascii="宋体" w:hAnsi="宋体" w:eastAsia="宋体" w:cs="宋体"/>
                <w:color w:val="auto"/>
                <w:highlight w:val="none"/>
              </w:rPr>
            </w:pPr>
            <w:r>
              <w:rPr>
                <w:rFonts w:hint="eastAsia" w:ascii="宋体" w:hAnsi="宋体" w:eastAsia="宋体" w:cs="宋体"/>
                <w:color w:val="auto"/>
                <w:highlight w:val="none"/>
              </w:rPr>
              <w:t>制造商名称</w:t>
            </w:r>
            <w:bookmarkStart w:id="179" w:name="_GoBack"/>
            <w:bookmarkEnd w:id="179"/>
          </w:p>
          <w:p w14:paraId="58A2C2B1">
            <w:pPr>
              <w:jc w:val="center"/>
              <w:rPr>
                <w:rFonts w:hint="eastAsia" w:ascii="宋体" w:hAnsi="宋体" w:eastAsia="宋体" w:cs="宋体"/>
                <w:color w:val="auto"/>
                <w:highlight w:val="none"/>
              </w:rPr>
            </w:pPr>
            <w:r>
              <w:rPr>
                <w:rFonts w:hint="eastAsia" w:ascii="宋体" w:hAnsi="宋体" w:eastAsia="宋体" w:cs="宋体"/>
                <w:color w:val="auto"/>
                <w:highlight w:val="none"/>
              </w:rPr>
              <w:t>及产地</w:t>
            </w:r>
          </w:p>
        </w:tc>
      </w:tr>
      <w:tr w14:paraId="08B8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3CCD390D">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45ED68EA">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1C8ACA76">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7A812D06">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5C5277DB">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2E61F3DE">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2B9D1365">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14:paraId="0A58D08F">
            <w:pPr>
              <w:rPr>
                <w:rFonts w:hint="eastAsia" w:ascii="宋体" w:hAnsi="宋体" w:eastAsia="宋体" w:cs="宋体"/>
                <w:color w:val="auto"/>
                <w:highlight w:val="none"/>
              </w:rPr>
            </w:pPr>
          </w:p>
        </w:tc>
      </w:tr>
      <w:tr w14:paraId="3641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27AC8B23">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1996089A">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5EA9B89F">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634EB068">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1FB80A0B">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1C282726">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1262054C">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14:paraId="2A35B227">
            <w:pPr>
              <w:rPr>
                <w:rFonts w:hint="eastAsia" w:ascii="宋体" w:hAnsi="宋体" w:eastAsia="宋体" w:cs="宋体"/>
                <w:color w:val="auto"/>
                <w:highlight w:val="none"/>
              </w:rPr>
            </w:pPr>
          </w:p>
        </w:tc>
      </w:tr>
      <w:tr w14:paraId="756C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19" w:type="dxa"/>
            <w:tcBorders>
              <w:top w:val="single" w:color="auto" w:sz="4" w:space="0"/>
              <w:left w:val="single" w:color="auto" w:sz="4" w:space="0"/>
              <w:bottom w:val="single" w:color="auto" w:sz="4" w:space="0"/>
              <w:right w:val="single" w:color="auto" w:sz="4" w:space="0"/>
            </w:tcBorders>
            <w:vAlign w:val="center"/>
          </w:tcPr>
          <w:p w14:paraId="35A2E25A">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6CE21544">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22B5C938">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2B8EF9F0">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785A22B5">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17EEE09B">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5C3D03C9">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14:paraId="2E049181">
            <w:pPr>
              <w:rPr>
                <w:rFonts w:hint="eastAsia" w:ascii="宋体" w:hAnsi="宋体" w:eastAsia="宋体" w:cs="宋体"/>
                <w:color w:val="auto"/>
                <w:highlight w:val="none"/>
              </w:rPr>
            </w:pPr>
          </w:p>
        </w:tc>
      </w:tr>
      <w:tr w14:paraId="64E2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46C149B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竞标总报价（包含税费等所有费用）：</w:t>
            </w:r>
            <w:r>
              <w:rPr>
                <w:rFonts w:hint="eastAsia" w:ascii="宋体" w:hAnsi="宋体" w:eastAsia="宋体" w:cs="宋体"/>
                <w:color w:val="auto"/>
                <w:highlight w:val="none"/>
                <w:u w:val="single"/>
              </w:rPr>
              <w:t xml:space="preserve">（大写）人民币                      （小写）¥           </w:t>
            </w:r>
            <w:r>
              <w:rPr>
                <w:rFonts w:hint="eastAsia" w:ascii="宋体" w:hAnsi="宋体" w:eastAsia="宋体" w:cs="宋体"/>
                <w:color w:val="auto"/>
                <w:highlight w:val="none"/>
              </w:rPr>
              <w:t xml:space="preserve"> </w:t>
            </w:r>
          </w:p>
        </w:tc>
      </w:tr>
      <w:tr w14:paraId="08D6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34F74D82">
            <w:pPr>
              <w:rPr>
                <w:rFonts w:hint="eastAsia" w:ascii="宋体" w:hAnsi="宋体" w:eastAsia="宋体" w:cs="宋体"/>
                <w:color w:val="auto"/>
                <w:highlight w:val="none"/>
              </w:rPr>
            </w:pPr>
            <w:r>
              <w:rPr>
                <w:rFonts w:hint="eastAsia" w:ascii="宋体" w:hAnsi="宋体" w:eastAsia="宋体" w:cs="宋体"/>
                <w:color w:val="auto"/>
                <w:highlight w:val="none"/>
              </w:rPr>
              <w:t>交付时间：</w:t>
            </w:r>
          </w:p>
        </w:tc>
      </w:tr>
      <w:tr w14:paraId="543E8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9" w:type="dxa"/>
            <w:tcBorders>
              <w:top w:val="single" w:color="auto" w:sz="4" w:space="0"/>
              <w:left w:val="single" w:color="auto" w:sz="4" w:space="0"/>
              <w:bottom w:val="single" w:color="auto" w:sz="4" w:space="0"/>
              <w:right w:val="single" w:color="auto" w:sz="4" w:space="0"/>
            </w:tcBorders>
            <w:vAlign w:val="center"/>
          </w:tcPr>
          <w:p w14:paraId="0442959B">
            <w:pPr>
              <w:rPr>
                <w:rFonts w:hint="eastAsia" w:ascii="宋体" w:hAnsi="宋体" w:eastAsia="宋体" w:cs="宋体"/>
                <w:color w:val="auto"/>
                <w:highlight w:val="none"/>
              </w:rPr>
            </w:pPr>
            <w:r>
              <w:rPr>
                <w:rFonts w:hint="eastAsia" w:ascii="宋体" w:hAnsi="宋体" w:eastAsia="宋体" w:cs="宋体"/>
                <w:color w:val="auto"/>
                <w:szCs w:val="21"/>
                <w:highlight w:val="none"/>
              </w:rPr>
              <w:t>备注</w:t>
            </w:r>
          </w:p>
        </w:tc>
        <w:tc>
          <w:tcPr>
            <w:tcW w:w="9094" w:type="dxa"/>
            <w:gridSpan w:val="7"/>
            <w:tcBorders>
              <w:top w:val="single" w:color="auto" w:sz="4" w:space="0"/>
              <w:left w:val="single" w:color="auto" w:sz="4" w:space="0"/>
              <w:bottom w:val="single" w:color="auto" w:sz="4" w:space="0"/>
              <w:right w:val="single" w:color="auto" w:sz="4" w:space="0"/>
            </w:tcBorders>
            <w:vAlign w:val="center"/>
          </w:tcPr>
          <w:p w14:paraId="7AEDBC0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根据《国务院办公厅关于在政府采购中实施本国产品标准及相关政策的通知》国办发〔2025〕34号的规定，我方为</w:t>
            </w:r>
            <w:r>
              <w:rPr>
                <w:rFonts w:hint="eastAsia" w:ascii="宋体" w:hAnsi="宋体" w:eastAsia="宋体" w:cs="宋体"/>
                <w:color w:val="auto"/>
                <w:szCs w:val="21"/>
                <w:highlight w:val="none"/>
                <w:shd w:val="clear" w:color="auto" w:fill="FFFFFF"/>
              </w:rPr>
              <w:t>本政府采购项目提供的符合本国产品标准的产品成本之和占全部竞标产品成本之和的比例达到</w:t>
            </w:r>
            <w:r>
              <w:rPr>
                <w:rFonts w:hint="eastAsia" w:ascii="宋体" w:hAnsi="宋体" w:eastAsia="宋体" w:cs="宋体"/>
                <w:color w:val="auto"/>
                <w:szCs w:val="21"/>
                <w:highlight w:val="none"/>
                <w:u w:val="single"/>
                <w:shd w:val="clear" w:color="auto" w:fill="FFFFFF"/>
              </w:rPr>
              <w:t xml:space="preserve">        </w:t>
            </w:r>
            <w:r>
              <w:rPr>
                <w:rFonts w:hint="eastAsia" w:ascii="宋体" w:hAnsi="宋体" w:eastAsia="宋体" w:cs="宋体"/>
                <w:color w:val="auto"/>
                <w:szCs w:val="21"/>
                <w:highlight w:val="none"/>
                <w:shd w:val="clear" w:color="auto" w:fill="FFFFFF"/>
              </w:rPr>
              <w:t>。</w:t>
            </w:r>
          </w:p>
        </w:tc>
      </w:tr>
    </w:tbl>
    <w:p w14:paraId="31DD4BB1">
      <w:pPr>
        <w:snapToGrid w:val="0"/>
        <w:spacing w:before="50" w:after="50" w:line="360" w:lineRule="auto"/>
        <w:jc w:val="left"/>
        <w:rPr>
          <w:rFonts w:hint="eastAsia" w:asciiTheme="minorEastAsia" w:hAnsiTheme="minorEastAsia" w:cstheme="minorEastAsia"/>
          <w:color w:val="auto"/>
          <w:kern w:val="0"/>
          <w:szCs w:val="21"/>
          <w:highlight w:val="none"/>
          <w:lang w:val="zh-CN"/>
        </w:rPr>
      </w:pPr>
      <w:r>
        <w:rPr>
          <w:rFonts w:hint="eastAsia" w:asciiTheme="minorEastAsia" w:hAnsiTheme="minorEastAsia" w:cstheme="minorEastAsia"/>
          <w:color w:val="auto"/>
          <w:kern w:val="0"/>
          <w:szCs w:val="21"/>
          <w:highlight w:val="none"/>
          <w:lang w:val="zh-CN"/>
        </w:rPr>
        <w:t xml:space="preserve">注： </w:t>
      </w:r>
    </w:p>
    <w:p w14:paraId="1C879A89">
      <w:pPr>
        <w:snapToGrid w:val="0"/>
        <w:spacing w:before="50" w:after="50" w:line="360" w:lineRule="auto"/>
        <w:ind w:firstLine="420" w:firstLineChars="200"/>
        <w:jc w:val="left"/>
        <w:rPr>
          <w:rFonts w:hint="eastAsia" w:asciiTheme="minorEastAsia" w:hAnsiTheme="minorEastAsia" w:cstheme="minorEastAsia"/>
          <w:bCs/>
          <w:color w:val="auto"/>
          <w:szCs w:val="21"/>
          <w:highlight w:val="none"/>
        </w:rPr>
      </w:pPr>
      <w:r>
        <w:rPr>
          <w:rFonts w:hint="eastAsia" w:asciiTheme="minorEastAsia" w:hAnsiTheme="minorEastAsia" w:cstheme="minorEastAsia"/>
          <w:bCs/>
          <w:color w:val="auto"/>
          <w:szCs w:val="21"/>
          <w:highlight w:val="none"/>
        </w:rPr>
        <w:t>1.</w:t>
      </w:r>
      <w:r>
        <w:rPr>
          <w:rFonts w:hint="eastAsia" w:asciiTheme="minorEastAsia" w:hAnsiTheme="minorEastAsia" w:cstheme="minorEastAsia"/>
          <w:color w:val="auto"/>
          <w:szCs w:val="21"/>
          <w:highlight w:val="none"/>
        </w:rPr>
        <w:t>供应商需按本表格式填写，不得自行更改，也不得留空（备注栏除外）， 如有多分标，按分标分别提供响应报价表，</w:t>
      </w:r>
      <w:r>
        <w:rPr>
          <w:rFonts w:hint="eastAsia" w:asciiTheme="minorEastAsia" w:hAnsiTheme="minorEastAsia" w:cstheme="minorEastAsia"/>
          <w:b/>
          <w:color w:val="auto"/>
          <w:szCs w:val="21"/>
          <w:highlight w:val="none"/>
        </w:rPr>
        <w:t>否则其响应按无效响应处理</w:t>
      </w:r>
      <w:r>
        <w:rPr>
          <w:rFonts w:hint="eastAsia" w:asciiTheme="minorEastAsia" w:hAnsiTheme="minorEastAsia" w:cstheme="minorEastAsia"/>
          <w:bCs/>
          <w:color w:val="auto"/>
          <w:szCs w:val="21"/>
          <w:highlight w:val="none"/>
        </w:rPr>
        <w:t>。</w:t>
      </w:r>
    </w:p>
    <w:p w14:paraId="44AD07F1">
      <w:pPr>
        <w:snapToGrid w:val="0"/>
        <w:spacing w:before="50" w:after="50" w:line="360" w:lineRule="auto"/>
        <w:ind w:firstLine="420" w:firstLineChars="200"/>
        <w:jc w:val="left"/>
        <w:rPr>
          <w:rFonts w:hint="eastAsia" w:asciiTheme="minorEastAsia" w:hAnsiTheme="minorEastAsia" w:cstheme="minorEastAsia"/>
          <w:b/>
          <w:color w:val="auto"/>
          <w:kern w:val="0"/>
          <w:szCs w:val="21"/>
          <w:highlight w:val="none"/>
          <w:lang w:val="zh-CN"/>
        </w:rPr>
      </w:pPr>
      <w:r>
        <w:rPr>
          <w:rFonts w:hint="eastAsia" w:asciiTheme="minorEastAsia" w:hAnsiTheme="minorEastAsia" w:cstheme="minorEastAsia"/>
          <w:color w:val="auto"/>
          <w:kern w:val="0"/>
          <w:szCs w:val="21"/>
          <w:highlight w:val="none"/>
        </w:rPr>
        <w:t>2.</w:t>
      </w:r>
      <w:r>
        <w:rPr>
          <w:rFonts w:hint="eastAsia" w:asciiTheme="minorEastAsia" w:hAnsiTheme="minorEastAsia" w:cstheme="minorEastAsia"/>
          <w:color w:val="auto"/>
          <w:kern w:val="0"/>
          <w:szCs w:val="21"/>
          <w:highlight w:val="none"/>
          <w:lang w:val="zh-CN"/>
        </w:rPr>
        <w:t>如为联合体响应的，“供应商名称”处必须列明联合体各方名称，并标注联合体牵头人名称，且盖章处须加盖联合体各方公章，</w:t>
      </w:r>
      <w:r>
        <w:rPr>
          <w:rFonts w:hint="eastAsia" w:asciiTheme="minorEastAsia" w:hAnsiTheme="minorEastAsia" w:cstheme="minorEastAsia"/>
          <w:b/>
          <w:color w:val="auto"/>
          <w:kern w:val="0"/>
          <w:szCs w:val="21"/>
          <w:highlight w:val="none"/>
          <w:lang w:val="zh-CN"/>
        </w:rPr>
        <w:t>否则其响应作无效响应处理。</w:t>
      </w:r>
    </w:p>
    <w:p w14:paraId="681676D3">
      <w:pPr>
        <w:snapToGrid w:val="0"/>
        <w:spacing w:before="50" w:after="50" w:line="360" w:lineRule="auto"/>
        <w:ind w:firstLine="420" w:firstLineChars="200"/>
        <w:jc w:val="left"/>
        <w:rPr>
          <w:rFonts w:hint="eastAsia" w:asciiTheme="minorEastAsia" w:hAnsiTheme="minorEastAsia" w:cstheme="minorEastAsia"/>
          <w:b/>
          <w:color w:val="auto"/>
          <w:kern w:val="0"/>
          <w:szCs w:val="21"/>
          <w:highlight w:val="none"/>
          <w:lang w:val="zh-CN"/>
        </w:rPr>
      </w:pPr>
      <w:r>
        <w:rPr>
          <w:rFonts w:hint="eastAsia" w:asciiTheme="minorEastAsia" w:hAnsiTheme="minorEastAsia" w:cstheme="minorEastAsia"/>
          <w:color w:val="auto"/>
          <w:kern w:val="0"/>
          <w:szCs w:val="21"/>
          <w:highlight w:val="none"/>
          <w:lang w:val="zh-CN"/>
        </w:rPr>
        <w:t>3</w:t>
      </w:r>
      <w:r>
        <w:rPr>
          <w:rFonts w:hint="eastAsia" w:asciiTheme="minorEastAsia" w:hAnsiTheme="minorEastAsia" w:cstheme="minorEastAsia"/>
          <w:color w:val="auto"/>
          <w:kern w:val="0"/>
          <w:szCs w:val="21"/>
          <w:highlight w:val="none"/>
        </w:rPr>
        <w:t>.</w:t>
      </w:r>
      <w:r>
        <w:rPr>
          <w:rFonts w:hint="eastAsia" w:asciiTheme="minorEastAsia" w:hAnsiTheme="minorEastAsia" w:cstheme="minorEastAsia"/>
          <w:color w:val="auto"/>
          <w:kern w:val="0"/>
          <w:szCs w:val="21"/>
          <w:highlight w:val="none"/>
          <w:lang w:val="zh-CN"/>
        </w:rPr>
        <w:t>以上表格要求细分项目及报价，在“标的名称”一栏中，填写具体货物，在“规格型号”一栏中，填写具体货物</w:t>
      </w:r>
      <w:r>
        <w:rPr>
          <w:rFonts w:hint="eastAsia" w:ascii="宋体" w:hAnsi="宋体" w:eastAsia="宋体" w:cs="宋体"/>
          <w:color w:val="auto"/>
          <w:kern w:val="0"/>
          <w:szCs w:val="21"/>
          <w:highlight w:val="none"/>
        </w:rPr>
        <w:t>的规格型号</w:t>
      </w:r>
      <w:r>
        <w:rPr>
          <w:rFonts w:hint="eastAsia" w:ascii="宋体" w:hAnsi="宋体" w:eastAsia="宋体" w:cs="宋体"/>
          <w:color w:val="auto"/>
          <w:kern w:val="0"/>
          <w:szCs w:val="21"/>
          <w:highlight w:val="none"/>
          <w:lang w:val="zh-CN"/>
        </w:rPr>
        <w:t>（</w:t>
      </w:r>
      <w:r>
        <w:rPr>
          <w:rFonts w:hint="eastAsia"/>
          <w:color w:val="auto"/>
          <w:highlight w:val="none"/>
        </w:rPr>
        <w:t>如为定制产品，规格型号可以填写定制</w:t>
      </w:r>
      <w:r>
        <w:rPr>
          <w:rFonts w:hint="eastAsia" w:ascii="宋体" w:hAnsi="宋体" w:eastAsia="宋体" w:cs="宋体"/>
          <w:color w:val="auto"/>
          <w:kern w:val="0"/>
          <w:szCs w:val="21"/>
          <w:highlight w:val="none"/>
          <w:lang w:val="zh-CN"/>
        </w:rPr>
        <w:t>）</w:t>
      </w:r>
      <w:r>
        <w:rPr>
          <w:rFonts w:hint="eastAsia" w:asciiTheme="minorEastAsia" w:hAnsiTheme="minorEastAsia" w:cstheme="minorEastAsia"/>
          <w:color w:val="auto"/>
          <w:kern w:val="0"/>
          <w:szCs w:val="21"/>
          <w:highlight w:val="none"/>
          <w:lang w:val="zh-CN"/>
        </w:rPr>
        <w:t>，</w:t>
      </w:r>
      <w:r>
        <w:rPr>
          <w:rFonts w:hint="eastAsia" w:asciiTheme="minorEastAsia" w:hAnsiTheme="minorEastAsia" w:cstheme="minorEastAsia"/>
          <w:b/>
          <w:color w:val="auto"/>
          <w:kern w:val="0"/>
          <w:szCs w:val="21"/>
          <w:highlight w:val="none"/>
          <w:lang w:val="zh-CN"/>
        </w:rPr>
        <w:t>否则其响应作无效响应处理。</w:t>
      </w:r>
    </w:p>
    <w:p w14:paraId="21CCAB58">
      <w:pPr>
        <w:snapToGrid w:val="0"/>
        <w:spacing w:before="50" w:after="50" w:line="360" w:lineRule="auto"/>
        <w:ind w:firstLine="420" w:firstLineChars="200"/>
        <w:jc w:val="left"/>
        <w:rPr>
          <w:rFonts w:hint="eastAsia" w:asciiTheme="minorEastAsia" w:hAnsiTheme="minorEastAsia" w:cstheme="minorEastAsia"/>
          <w:color w:val="auto"/>
          <w:kern w:val="0"/>
          <w:szCs w:val="21"/>
          <w:highlight w:val="none"/>
          <w:lang w:val="zh-CN"/>
        </w:rPr>
      </w:pPr>
      <w:r>
        <w:rPr>
          <w:rFonts w:hint="eastAsia" w:asciiTheme="minorEastAsia" w:hAnsiTheme="minorEastAsia" w:cstheme="minorEastAsia"/>
          <w:color w:val="auto"/>
          <w:kern w:val="0"/>
          <w:szCs w:val="21"/>
          <w:highlight w:val="none"/>
          <w:lang w:val="zh-CN"/>
        </w:rPr>
        <w:t>4</w:t>
      </w:r>
      <w:r>
        <w:rPr>
          <w:rFonts w:hint="eastAsia" w:asciiTheme="minorEastAsia" w:hAnsiTheme="minorEastAsia" w:cstheme="minorEastAsia"/>
          <w:color w:val="auto"/>
          <w:kern w:val="0"/>
          <w:szCs w:val="21"/>
          <w:highlight w:val="none"/>
        </w:rPr>
        <w:t>.</w:t>
      </w:r>
      <w:r>
        <w:rPr>
          <w:rFonts w:hint="eastAsia" w:asciiTheme="minorEastAsia" w:hAnsiTheme="minorEastAsia" w:cstheme="minorEastAsia"/>
          <w:color w:val="auto"/>
          <w:kern w:val="0"/>
          <w:szCs w:val="21"/>
          <w:highlight w:val="none"/>
          <w:lang w:val="zh-CN"/>
        </w:rPr>
        <w:t>特别提示：采购代理机构将对项目名称和项目编号，成交供应商名称、地址和成交金额，主要成交标的的名称、规格型号</w:t>
      </w:r>
      <w:r>
        <w:rPr>
          <w:rFonts w:hint="eastAsia" w:ascii="宋体" w:hAnsi="宋体" w:eastAsia="宋体" w:cs="宋体"/>
          <w:color w:val="auto"/>
          <w:kern w:val="0"/>
          <w:szCs w:val="21"/>
          <w:highlight w:val="none"/>
        </w:rPr>
        <w:t>、品牌（如有）及制造商</w:t>
      </w:r>
      <w:r>
        <w:rPr>
          <w:rFonts w:hint="eastAsia" w:asciiTheme="minorEastAsia" w:hAnsiTheme="minorEastAsia" w:cstheme="minorEastAsia"/>
          <w:color w:val="auto"/>
          <w:kern w:val="0"/>
          <w:szCs w:val="21"/>
          <w:highlight w:val="none"/>
          <w:lang w:val="zh-CN"/>
        </w:rPr>
        <w:t>、数量、单价等予以公示。</w:t>
      </w:r>
    </w:p>
    <w:p w14:paraId="0A2901C4">
      <w:pPr>
        <w:snapToGrid w:val="0"/>
        <w:spacing w:before="50" w:after="50" w:line="360" w:lineRule="auto"/>
        <w:ind w:firstLine="420" w:firstLineChars="200"/>
        <w:jc w:val="left"/>
        <w:rPr>
          <w:rFonts w:hint="eastAsia" w:asciiTheme="minorEastAsia" w:hAnsiTheme="minorEastAsia" w:cstheme="minorEastAsia"/>
          <w:color w:val="auto"/>
          <w:kern w:val="0"/>
          <w:szCs w:val="21"/>
          <w:highlight w:val="none"/>
          <w:lang w:val="zh-CN"/>
        </w:rPr>
      </w:pPr>
      <w:r>
        <w:rPr>
          <w:rFonts w:hint="eastAsia" w:asciiTheme="minorEastAsia" w:hAnsiTheme="minorEastAsia" w:cstheme="minorEastAsia"/>
          <w:color w:val="auto"/>
          <w:kern w:val="0"/>
          <w:szCs w:val="21"/>
          <w:highlight w:val="none"/>
          <w:lang w:val="zh-CN"/>
        </w:rPr>
        <w:t>5</w:t>
      </w:r>
      <w:r>
        <w:rPr>
          <w:rFonts w:hint="eastAsia" w:asciiTheme="minorEastAsia" w:hAnsiTheme="minorEastAsia" w:cstheme="minorEastAsia"/>
          <w:color w:val="auto"/>
          <w:kern w:val="0"/>
          <w:szCs w:val="21"/>
          <w:highlight w:val="none"/>
        </w:rPr>
        <w:t>.</w:t>
      </w:r>
      <w:r>
        <w:rPr>
          <w:rFonts w:hint="eastAsia" w:asciiTheme="minorEastAsia" w:hAnsiTheme="minorEastAsia" w:cstheme="minorEastAsia"/>
          <w:color w:val="auto"/>
          <w:kern w:val="0"/>
          <w:szCs w:val="21"/>
          <w:highlight w:val="none"/>
          <w:lang w:val="zh-CN"/>
        </w:rPr>
        <w:t>符合采购文件中列明的可享受中小企业扶持政策的供应商，请填写中小企业声明函。</w:t>
      </w:r>
    </w:p>
    <w:p w14:paraId="6D396434">
      <w:pPr>
        <w:snapToGrid w:val="0"/>
        <w:spacing w:before="50" w:after="50" w:line="360" w:lineRule="auto"/>
        <w:ind w:firstLine="420" w:firstLineChars="200"/>
        <w:jc w:val="left"/>
        <w:rPr>
          <w:rFonts w:hint="eastAsia" w:asciiTheme="minorEastAsia" w:hAnsiTheme="minorEastAsia" w:cstheme="minorEastAsia"/>
          <w:color w:val="auto"/>
          <w:kern w:val="0"/>
          <w:szCs w:val="21"/>
          <w:highlight w:val="none"/>
          <w:lang w:val="zh-CN"/>
        </w:rPr>
      </w:pPr>
      <w:r>
        <w:rPr>
          <w:rFonts w:hint="eastAsia" w:asciiTheme="minorEastAsia" w:hAnsiTheme="minorEastAsia" w:cstheme="minorEastAsia"/>
          <w:color w:val="auto"/>
          <w:kern w:val="0"/>
          <w:szCs w:val="21"/>
          <w:highlight w:val="none"/>
        </w:rPr>
        <w:t>6.</w:t>
      </w:r>
      <w:r>
        <w:rPr>
          <w:rFonts w:hint="eastAsia" w:asciiTheme="minorEastAsia" w:hAnsiTheme="minorEastAsia" w:cstheme="minorEastAsia"/>
          <w:color w:val="auto"/>
          <w:kern w:val="0"/>
          <w:szCs w:val="21"/>
          <w:highlight w:val="none"/>
          <w:lang w:val="zh-CN"/>
        </w:rPr>
        <w:t>供应商提供的中小企业声明函内容不实的，属于提供虚假材料谋取中标、成交，依照《中华人民共和国政府采购法》等国家有关规定追究相应责任。</w:t>
      </w:r>
    </w:p>
    <w:p w14:paraId="6F22381C">
      <w:pPr>
        <w:autoSpaceDE w:val="0"/>
        <w:autoSpaceDN w:val="0"/>
        <w:spacing w:line="360" w:lineRule="auto"/>
        <w:ind w:left="4305" w:leftChars="1950" w:hanging="210" w:hangingChars="100"/>
        <w:rPr>
          <w:rFonts w:hint="eastAsia" w:asciiTheme="minorEastAsia" w:hAnsiTheme="minorEastAsia" w:cstheme="minorEastAsia"/>
          <w:color w:val="auto"/>
          <w:kern w:val="0"/>
          <w:szCs w:val="21"/>
          <w:highlight w:val="none"/>
        </w:rPr>
      </w:pPr>
    </w:p>
    <w:p w14:paraId="4427E50C">
      <w:pPr>
        <w:autoSpaceDE w:val="0"/>
        <w:autoSpaceDN w:val="0"/>
        <w:spacing w:line="360" w:lineRule="auto"/>
        <w:ind w:left="4335" w:leftChars="1950" w:hanging="240" w:hangingChars="100"/>
        <w:rPr>
          <w:rFonts w:hint="eastAsia" w:asciiTheme="minorEastAsia" w:hAnsiTheme="minorEastAsia" w:cstheme="minorEastAsia"/>
          <w:color w:val="auto"/>
          <w:kern w:val="0"/>
          <w:sz w:val="24"/>
          <w:szCs w:val="24"/>
          <w:highlight w:val="none"/>
          <w:lang w:val="zh-CN"/>
        </w:rPr>
      </w:pPr>
      <w:r>
        <w:rPr>
          <w:rFonts w:hint="eastAsia" w:asciiTheme="minorEastAsia" w:hAnsiTheme="minorEastAsia" w:cstheme="minorEastAsia"/>
          <w:color w:val="auto"/>
          <w:kern w:val="0"/>
          <w:sz w:val="24"/>
          <w:szCs w:val="24"/>
          <w:highlight w:val="none"/>
        </w:rPr>
        <w:t>供应商名称（盖公章）：</w:t>
      </w:r>
    </w:p>
    <w:p w14:paraId="3F4E14E9">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lang w:val="zh-CN"/>
        </w:rPr>
      </w:pPr>
      <w:r>
        <w:rPr>
          <w:rFonts w:hint="eastAsia" w:asciiTheme="minorEastAsia" w:hAnsiTheme="minorEastAsia" w:cstheme="minorEastAsia"/>
          <w:color w:val="auto"/>
          <w:kern w:val="0"/>
          <w:sz w:val="24"/>
          <w:szCs w:val="24"/>
          <w:highlight w:val="none"/>
          <w:lang w:val="zh-CN"/>
        </w:rPr>
        <w:t>日期：  年  月   日</w:t>
      </w:r>
      <w:r>
        <w:rPr>
          <w:rFonts w:hint="eastAsia" w:ascii="宋体" w:hAnsi="宋体" w:eastAsia="宋体" w:cs="宋体"/>
          <w:color w:val="auto"/>
          <w:kern w:val="0"/>
          <w:sz w:val="24"/>
          <w:szCs w:val="24"/>
          <w:highlight w:val="none"/>
          <w:lang w:val="zh-CN"/>
        </w:rPr>
        <w:br w:type="page"/>
      </w:r>
    </w:p>
    <w:p w14:paraId="1DC9E479">
      <w:pPr>
        <w:spacing w:line="500" w:lineRule="exact"/>
        <w:rPr>
          <w:rFonts w:hint="eastAsia" w:ascii="仿宋" w:hAnsi="仿宋" w:eastAsia="仿宋" w:cs="仿宋_GB2312"/>
          <w:b/>
          <w:color w:val="auto"/>
          <w:sz w:val="30"/>
          <w:szCs w:val="30"/>
          <w:highlight w:val="none"/>
          <w:lang w:val="zh-CN"/>
        </w:rPr>
      </w:pPr>
      <w:r>
        <w:rPr>
          <w:rFonts w:hint="eastAsia" w:ascii="宋体" w:hAnsi="宋体" w:eastAsia="宋体" w:cs="宋体"/>
          <w:b/>
          <w:color w:val="auto"/>
          <w:sz w:val="28"/>
          <w:szCs w:val="28"/>
          <w:highlight w:val="none"/>
        </w:rPr>
        <w:t>5.</w:t>
      </w:r>
      <w:r>
        <w:rPr>
          <w:rFonts w:hint="eastAsia" w:ascii="宋体" w:hAnsi="宋体" w:eastAsia="宋体" w:cs="宋体"/>
          <w:b/>
          <w:color w:val="auto"/>
          <w:sz w:val="28"/>
          <w:szCs w:val="28"/>
          <w:highlight w:val="none"/>
          <w:lang w:val="zh-CN"/>
        </w:rPr>
        <w:t>最后报价表的格式：</w:t>
      </w:r>
      <w:r>
        <w:rPr>
          <w:rFonts w:hint="eastAsia" w:ascii="仿宋" w:hAnsi="仿宋" w:eastAsia="仿宋" w:cs="仿宋_GB2312"/>
          <w:b/>
          <w:color w:val="auto"/>
          <w:sz w:val="30"/>
          <w:szCs w:val="30"/>
          <w:highlight w:val="none"/>
          <w:lang w:val="zh-CN"/>
        </w:rPr>
        <w:t xml:space="preserve"> </w:t>
      </w:r>
    </w:p>
    <w:p w14:paraId="703FA18A">
      <w:pPr>
        <w:snapToGrid w:val="0"/>
        <w:spacing w:before="50" w:after="50" w:line="360" w:lineRule="auto"/>
        <w:ind w:firstLine="4518" w:firstLineChars="1500"/>
        <w:rPr>
          <w:rFonts w:hint="eastAsia" w:ascii="宋体" w:hAnsi="宋体" w:eastAsia="宋体" w:cs="宋体"/>
          <w:color w:val="auto"/>
          <w:sz w:val="24"/>
          <w:szCs w:val="24"/>
          <w:highlight w:val="none"/>
        </w:rPr>
      </w:pPr>
      <w:r>
        <w:rPr>
          <w:rFonts w:hint="eastAsia" w:ascii="宋体" w:hAnsi="宋体" w:eastAsia="宋体" w:cs="宋体"/>
          <w:b/>
          <w:color w:val="auto"/>
          <w:sz w:val="30"/>
          <w:szCs w:val="30"/>
          <w:highlight w:val="none"/>
          <w:lang w:val="zh-CN"/>
        </w:rPr>
        <w:t>最后报价表</w:t>
      </w:r>
    </w:p>
    <w:p w14:paraId="417364E2">
      <w:pPr>
        <w:snapToGrid w:val="0"/>
        <w:spacing w:before="50" w:after="50"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14:paraId="6437A77C">
      <w:pPr>
        <w:snapToGrid w:val="0"/>
        <w:spacing w:before="50" w:after="50"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p>
    <w:p w14:paraId="0B9F58B0">
      <w:pPr>
        <w:snapToGrid w:val="0"/>
        <w:spacing w:before="50" w:after="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bl>
      <w:tblPr>
        <w:tblStyle w:val="32"/>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1251"/>
        <w:gridCol w:w="975"/>
        <w:gridCol w:w="918"/>
        <w:gridCol w:w="1332"/>
        <w:gridCol w:w="1707"/>
        <w:gridCol w:w="1651"/>
      </w:tblGrid>
      <w:tr w14:paraId="59FD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261A86AC">
            <w:pP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52F93965">
            <w:pPr>
              <w:jc w:val="center"/>
              <w:rPr>
                <w:rFonts w:hint="eastAsia" w:ascii="宋体" w:hAnsi="宋体" w:eastAsia="宋体" w:cs="宋体"/>
                <w:color w:val="auto"/>
                <w:highlight w:val="none"/>
              </w:rPr>
            </w:pPr>
            <w:r>
              <w:rPr>
                <w:rFonts w:hint="eastAsia" w:ascii="宋体" w:hAnsi="宋体" w:eastAsia="宋体" w:cs="宋体"/>
                <w:color w:val="auto"/>
                <w:highlight w:val="none"/>
              </w:rPr>
              <w:t>标的名称</w:t>
            </w:r>
          </w:p>
        </w:tc>
        <w:tc>
          <w:tcPr>
            <w:tcW w:w="1251" w:type="dxa"/>
            <w:tcBorders>
              <w:top w:val="single" w:color="auto" w:sz="4" w:space="0"/>
              <w:left w:val="single" w:color="auto" w:sz="4" w:space="0"/>
              <w:bottom w:val="single" w:color="auto" w:sz="4" w:space="0"/>
              <w:right w:val="single" w:color="auto" w:sz="4" w:space="0"/>
            </w:tcBorders>
            <w:vAlign w:val="center"/>
          </w:tcPr>
          <w:p w14:paraId="7CEF7403">
            <w:pPr>
              <w:jc w:val="center"/>
              <w:rPr>
                <w:rFonts w:hint="eastAsia" w:ascii="宋体" w:hAnsi="宋体" w:eastAsia="宋体" w:cs="宋体"/>
                <w:color w:val="auto"/>
                <w:highlight w:val="none"/>
              </w:rPr>
            </w:pPr>
            <w:r>
              <w:rPr>
                <w:rFonts w:hint="eastAsia" w:ascii="宋体" w:hAnsi="宋体" w:eastAsia="宋体" w:cs="宋体"/>
                <w:color w:val="auto"/>
                <w:highlight w:val="none"/>
              </w:rPr>
              <w:t>规格型号</w:t>
            </w:r>
          </w:p>
        </w:tc>
        <w:tc>
          <w:tcPr>
            <w:tcW w:w="975" w:type="dxa"/>
            <w:tcBorders>
              <w:top w:val="single" w:color="auto" w:sz="4" w:space="0"/>
              <w:left w:val="single" w:color="auto" w:sz="4" w:space="0"/>
              <w:bottom w:val="single" w:color="auto" w:sz="4" w:space="0"/>
              <w:right w:val="single" w:color="auto" w:sz="4" w:space="0"/>
            </w:tcBorders>
            <w:vAlign w:val="center"/>
          </w:tcPr>
          <w:p w14:paraId="6F2D3A4F">
            <w:pPr>
              <w:jc w:val="center"/>
              <w:rPr>
                <w:rFonts w:hint="eastAsia" w:ascii="宋体" w:hAnsi="宋体" w:eastAsia="宋体" w:cs="宋体"/>
                <w:color w:val="auto"/>
                <w:highlight w:val="none"/>
              </w:rPr>
            </w:pPr>
            <w:r>
              <w:rPr>
                <w:rFonts w:hint="eastAsia" w:ascii="宋体" w:hAnsi="宋体" w:eastAsia="宋体" w:cs="宋体"/>
                <w:color w:val="auto"/>
                <w:highlight w:val="none"/>
              </w:rPr>
              <w:t>品牌（如有）</w:t>
            </w:r>
          </w:p>
        </w:tc>
        <w:tc>
          <w:tcPr>
            <w:tcW w:w="918" w:type="dxa"/>
            <w:tcBorders>
              <w:top w:val="single" w:color="auto" w:sz="4" w:space="0"/>
              <w:left w:val="single" w:color="auto" w:sz="4" w:space="0"/>
              <w:bottom w:val="single" w:color="auto" w:sz="4" w:space="0"/>
              <w:right w:val="single" w:color="auto" w:sz="4" w:space="0"/>
            </w:tcBorders>
            <w:vAlign w:val="center"/>
          </w:tcPr>
          <w:p w14:paraId="0565A513">
            <w:pPr>
              <w:jc w:val="center"/>
              <w:rPr>
                <w:rFonts w:hint="eastAsia" w:ascii="宋体" w:hAnsi="宋体" w:eastAsia="宋体" w:cs="宋体"/>
                <w:color w:val="auto"/>
                <w:highlight w:val="none"/>
              </w:rPr>
            </w:pPr>
            <w:r>
              <w:rPr>
                <w:rFonts w:hint="eastAsia" w:ascii="宋体" w:hAnsi="宋体" w:eastAsia="宋体" w:cs="宋体"/>
                <w:color w:val="auto"/>
                <w:highlight w:val="none"/>
              </w:rPr>
              <w:t>数量及单位①</w:t>
            </w:r>
          </w:p>
        </w:tc>
        <w:tc>
          <w:tcPr>
            <w:tcW w:w="1332" w:type="dxa"/>
            <w:tcBorders>
              <w:top w:val="single" w:color="auto" w:sz="4" w:space="0"/>
              <w:left w:val="single" w:color="auto" w:sz="4" w:space="0"/>
              <w:bottom w:val="single" w:color="auto" w:sz="4" w:space="0"/>
              <w:right w:val="single" w:color="auto" w:sz="4" w:space="0"/>
            </w:tcBorders>
            <w:vAlign w:val="center"/>
          </w:tcPr>
          <w:p w14:paraId="0653D233">
            <w:pPr>
              <w:jc w:val="center"/>
              <w:rPr>
                <w:rFonts w:hint="eastAsia" w:ascii="宋体" w:hAnsi="宋体" w:eastAsia="宋体" w:cs="宋体"/>
                <w:color w:val="auto"/>
                <w:highlight w:val="none"/>
              </w:rPr>
            </w:pPr>
            <w:r>
              <w:rPr>
                <w:rFonts w:hint="eastAsia" w:ascii="宋体" w:hAnsi="宋体" w:eastAsia="宋体" w:cs="宋体"/>
                <w:color w:val="auto"/>
                <w:highlight w:val="none"/>
              </w:rPr>
              <w:t>单价（元）②</w:t>
            </w:r>
          </w:p>
        </w:tc>
        <w:tc>
          <w:tcPr>
            <w:tcW w:w="1707" w:type="dxa"/>
            <w:tcBorders>
              <w:top w:val="single" w:color="auto" w:sz="4" w:space="0"/>
              <w:left w:val="single" w:color="auto" w:sz="4" w:space="0"/>
              <w:bottom w:val="single" w:color="auto" w:sz="4" w:space="0"/>
              <w:right w:val="single" w:color="auto" w:sz="4" w:space="0"/>
            </w:tcBorders>
            <w:vAlign w:val="center"/>
          </w:tcPr>
          <w:p w14:paraId="6C53B49B">
            <w:pPr>
              <w:jc w:val="center"/>
              <w:rPr>
                <w:rFonts w:hint="eastAsia" w:ascii="宋体" w:hAnsi="宋体" w:eastAsia="宋体" w:cs="宋体"/>
                <w:color w:val="auto"/>
                <w:highlight w:val="none"/>
              </w:rPr>
            </w:pPr>
            <w:r>
              <w:rPr>
                <w:rFonts w:hint="eastAsia" w:ascii="宋体" w:hAnsi="宋体" w:eastAsia="宋体" w:cs="宋体"/>
                <w:color w:val="auto"/>
                <w:highlight w:val="none"/>
              </w:rPr>
              <w:t>单项合价（元）</w:t>
            </w:r>
          </w:p>
          <w:p w14:paraId="086C487D">
            <w:pPr>
              <w:jc w:val="center"/>
              <w:rPr>
                <w:rFonts w:hint="eastAsia" w:ascii="宋体" w:hAnsi="宋体" w:eastAsia="宋体" w:cs="宋体"/>
                <w:color w:val="auto"/>
                <w:highlight w:val="none"/>
              </w:rPr>
            </w:pPr>
            <w:r>
              <w:rPr>
                <w:rFonts w:hint="eastAsia" w:ascii="宋体" w:hAnsi="宋体" w:eastAsia="宋体" w:cs="宋体"/>
                <w:color w:val="auto"/>
                <w:highlight w:val="none"/>
              </w:rPr>
              <w:t>③=①×②</w:t>
            </w:r>
          </w:p>
        </w:tc>
        <w:tc>
          <w:tcPr>
            <w:tcW w:w="1651" w:type="dxa"/>
            <w:tcBorders>
              <w:top w:val="single" w:color="auto" w:sz="4" w:space="0"/>
              <w:left w:val="single" w:color="auto" w:sz="4" w:space="0"/>
              <w:bottom w:val="single" w:color="auto" w:sz="4" w:space="0"/>
              <w:right w:val="single" w:color="auto" w:sz="4" w:space="0"/>
            </w:tcBorders>
            <w:vAlign w:val="center"/>
          </w:tcPr>
          <w:p w14:paraId="60F18308">
            <w:pPr>
              <w:jc w:val="center"/>
              <w:rPr>
                <w:rFonts w:hint="eastAsia" w:ascii="宋体" w:hAnsi="宋体" w:eastAsia="宋体" w:cs="宋体"/>
                <w:color w:val="auto"/>
                <w:highlight w:val="none"/>
              </w:rPr>
            </w:pPr>
            <w:r>
              <w:rPr>
                <w:rFonts w:hint="eastAsia" w:ascii="宋体" w:hAnsi="宋体" w:eastAsia="宋体" w:cs="宋体"/>
                <w:color w:val="auto"/>
                <w:highlight w:val="none"/>
              </w:rPr>
              <w:t>制造商及产地</w:t>
            </w:r>
          </w:p>
        </w:tc>
      </w:tr>
      <w:tr w14:paraId="2D50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1A5ADB24">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43774D53">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0D00B41E">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55FC9D15">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00F4FFA0">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42A1377D">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0BAA41C1">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14:paraId="4610E1B0">
            <w:pPr>
              <w:rPr>
                <w:rFonts w:hint="eastAsia" w:ascii="宋体" w:hAnsi="宋体" w:eastAsia="宋体" w:cs="宋体"/>
                <w:color w:val="auto"/>
                <w:highlight w:val="none"/>
              </w:rPr>
            </w:pPr>
          </w:p>
        </w:tc>
      </w:tr>
      <w:tr w14:paraId="2EA5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3DB8CB36">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7926BE1E">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3E3E6E0D">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12A61CBB">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588A551C">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256442E6">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7194F0DC">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14:paraId="34C4FC3C">
            <w:pPr>
              <w:rPr>
                <w:rFonts w:hint="eastAsia" w:ascii="宋体" w:hAnsi="宋体" w:eastAsia="宋体" w:cs="宋体"/>
                <w:color w:val="auto"/>
                <w:highlight w:val="none"/>
              </w:rPr>
            </w:pPr>
          </w:p>
        </w:tc>
      </w:tr>
      <w:tr w14:paraId="533C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19" w:type="dxa"/>
            <w:tcBorders>
              <w:top w:val="single" w:color="auto" w:sz="4" w:space="0"/>
              <w:left w:val="single" w:color="auto" w:sz="4" w:space="0"/>
              <w:bottom w:val="single" w:color="auto" w:sz="4" w:space="0"/>
              <w:right w:val="single" w:color="auto" w:sz="4" w:space="0"/>
            </w:tcBorders>
            <w:vAlign w:val="center"/>
          </w:tcPr>
          <w:p w14:paraId="22A02333">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53FBB025">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121F744D">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6DC60221">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420469D2">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635B45DF">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4C4BE5B7">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14:paraId="53B096C6">
            <w:pPr>
              <w:rPr>
                <w:rFonts w:hint="eastAsia" w:ascii="宋体" w:hAnsi="宋体" w:eastAsia="宋体" w:cs="宋体"/>
                <w:color w:val="auto"/>
                <w:highlight w:val="none"/>
              </w:rPr>
            </w:pPr>
          </w:p>
        </w:tc>
      </w:tr>
      <w:tr w14:paraId="75AE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bottom"/>
          </w:tcPr>
          <w:p w14:paraId="09FA3D31">
            <w:pPr>
              <w:rPr>
                <w:color w:val="auto"/>
                <w:highlight w:val="none"/>
              </w:rPr>
            </w:pPr>
            <w:r>
              <w:rPr>
                <w:rFonts w:hint="eastAsia"/>
                <w:color w:val="auto"/>
                <w:highlight w:val="none"/>
              </w:rPr>
              <w:t>竞标总报价（包含税费等所有费用）：</w:t>
            </w:r>
            <w:r>
              <w:rPr>
                <w:rFonts w:hint="eastAsia"/>
                <w:color w:val="auto"/>
                <w:highlight w:val="none"/>
                <w:u w:val="single"/>
              </w:rPr>
              <w:t>（大写）人民币                      （小写）</w:t>
            </w:r>
            <w:r>
              <w:rPr>
                <w:rFonts w:hint="eastAsia" w:ascii="宋体" w:hAnsi="宋体" w:eastAsia="宋体" w:cs="宋体"/>
                <w:color w:val="auto"/>
                <w:highlight w:val="none"/>
                <w:u w:val="single"/>
              </w:rPr>
              <w:t xml:space="preserve">¥     </w:t>
            </w:r>
            <w:r>
              <w:rPr>
                <w:rFonts w:hint="eastAsia"/>
                <w:color w:val="auto"/>
                <w:highlight w:val="none"/>
                <w:u w:val="single"/>
              </w:rPr>
              <w:t xml:space="preserve">      </w:t>
            </w:r>
            <w:r>
              <w:rPr>
                <w:rFonts w:hint="eastAsia"/>
                <w:color w:val="auto"/>
                <w:highlight w:val="none"/>
              </w:rPr>
              <w:t xml:space="preserve"> </w:t>
            </w:r>
          </w:p>
          <w:p w14:paraId="1BA59B40">
            <w:pPr>
              <w:pStyle w:val="22"/>
              <w:jc w:val="both"/>
              <w:rPr>
                <w:color w:val="auto"/>
                <w:highlight w:val="none"/>
              </w:rPr>
            </w:pPr>
          </w:p>
        </w:tc>
      </w:tr>
      <w:tr w14:paraId="39B0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58D77EAB">
            <w:pPr>
              <w:rPr>
                <w:rFonts w:hint="eastAsia" w:ascii="宋体" w:hAnsi="宋体" w:eastAsia="宋体" w:cs="宋体"/>
                <w:color w:val="auto"/>
                <w:highlight w:val="none"/>
              </w:rPr>
            </w:pPr>
            <w:r>
              <w:rPr>
                <w:rFonts w:hint="eastAsia" w:ascii="宋体" w:hAnsi="宋体" w:eastAsia="宋体" w:cs="宋体"/>
                <w:color w:val="auto"/>
                <w:highlight w:val="none"/>
              </w:rPr>
              <w:t>交付时间：</w:t>
            </w:r>
          </w:p>
        </w:tc>
      </w:tr>
      <w:tr w14:paraId="6DA4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8" w:hRule="atLeast"/>
        </w:trPr>
        <w:tc>
          <w:tcPr>
            <w:tcW w:w="719" w:type="dxa"/>
            <w:tcBorders>
              <w:top w:val="single" w:color="auto" w:sz="4" w:space="0"/>
              <w:left w:val="single" w:color="auto" w:sz="4" w:space="0"/>
              <w:bottom w:val="single" w:color="auto" w:sz="4" w:space="0"/>
              <w:right w:val="single" w:color="auto" w:sz="4" w:space="0"/>
            </w:tcBorders>
            <w:vAlign w:val="center"/>
          </w:tcPr>
          <w:p w14:paraId="10822FB8">
            <w:pPr>
              <w:rPr>
                <w:rFonts w:hint="eastAsia" w:ascii="宋体" w:hAnsi="宋体" w:eastAsia="宋体" w:cs="宋体"/>
                <w:color w:val="auto"/>
                <w:highlight w:val="none"/>
              </w:rPr>
            </w:pPr>
            <w:r>
              <w:rPr>
                <w:rFonts w:hint="eastAsia" w:ascii="宋体" w:hAnsi="宋体" w:eastAsia="宋体" w:cs="宋体"/>
                <w:color w:val="auto"/>
                <w:szCs w:val="21"/>
                <w:highlight w:val="none"/>
              </w:rPr>
              <w:t>备注</w:t>
            </w:r>
          </w:p>
        </w:tc>
        <w:tc>
          <w:tcPr>
            <w:tcW w:w="9094" w:type="dxa"/>
            <w:gridSpan w:val="7"/>
            <w:tcBorders>
              <w:top w:val="single" w:color="auto" w:sz="4" w:space="0"/>
              <w:left w:val="single" w:color="auto" w:sz="4" w:space="0"/>
              <w:bottom w:val="single" w:color="auto" w:sz="4" w:space="0"/>
              <w:right w:val="single" w:color="auto" w:sz="4" w:space="0"/>
            </w:tcBorders>
            <w:vAlign w:val="center"/>
          </w:tcPr>
          <w:p w14:paraId="6CC925B9">
            <w:pPr>
              <w:spacing w:line="360" w:lineRule="auto"/>
              <w:ind w:firstLine="420" w:firstLineChars="200"/>
              <w:rPr>
                <w:color w:val="auto"/>
                <w:highlight w:val="none"/>
              </w:rPr>
            </w:pPr>
            <w:r>
              <w:rPr>
                <w:rFonts w:hint="eastAsia" w:ascii="宋体" w:hAnsi="宋体" w:eastAsia="宋体" w:cs="宋体"/>
                <w:color w:val="auto"/>
                <w:szCs w:val="21"/>
                <w:highlight w:val="none"/>
              </w:rPr>
              <w:t>根据《国务院办公厅关于在政府采购中实施本国产品标准及相关政策的通知》国办发〔2025〕34号的规定，我方为</w:t>
            </w:r>
            <w:r>
              <w:rPr>
                <w:rFonts w:hint="eastAsia" w:ascii="宋体" w:hAnsi="宋体" w:eastAsia="宋体" w:cs="宋体"/>
                <w:color w:val="auto"/>
                <w:szCs w:val="21"/>
                <w:highlight w:val="none"/>
                <w:shd w:val="clear" w:color="auto" w:fill="FFFFFF"/>
              </w:rPr>
              <w:t>本政府采购项目提供的符合本国产品标准的产品成本之和占全部竞标产品成本之和的比例达到</w:t>
            </w:r>
            <w:r>
              <w:rPr>
                <w:rFonts w:hint="eastAsia" w:ascii="宋体" w:hAnsi="宋体" w:eastAsia="宋体" w:cs="宋体"/>
                <w:color w:val="auto"/>
                <w:szCs w:val="21"/>
                <w:highlight w:val="none"/>
                <w:u w:val="single"/>
                <w:shd w:val="clear" w:color="auto" w:fill="FFFFFF"/>
              </w:rPr>
              <w:t xml:space="preserve">        </w:t>
            </w:r>
            <w:r>
              <w:rPr>
                <w:rFonts w:hint="eastAsia" w:ascii="宋体" w:hAnsi="宋体" w:eastAsia="宋体" w:cs="宋体"/>
                <w:color w:val="auto"/>
                <w:szCs w:val="21"/>
                <w:highlight w:val="none"/>
                <w:shd w:val="clear" w:color="auto" w:fill="FFFFFF"/>
              </w:rPr>
              <w:t>。</w:t>
            </w:r>
          </w:p>
        </w:tc>
      </w:tr>
    </w:tbl>
    <w:p w14:paraId="2D41AB12">
      <w:pPr>
        <w:snapToGrid w:val="0"/>
        <w:spacing w:before="50" w:after="50" w:line="360" w:lineRule="auto"/>
        <w:jc w:val="left"/>
        <w:rPr>
          <w:rFonts w:hint="eastAsia" w:asciiTheme="minorEastAsia" w:hAnsiTheme="minorEastAsia" w:cstheme="minorEastAsia"/>
          <w:color w:val="auto"/>
          <w:kern w:val="0"/>
          <w:szCs w:val="21"/>
          <w:highlight w:val="none"/>
          <w:lang w:val="zh-CN"/>
        </w:rPr>
      </w:pPr>
      <w:r>
        <w:rPr>
          <w:rFonts w:hint="eastAsia" w:asciiTheme="minorEastAsia" w:hAnsiTheme="minorEastAsia" w:cstheme="minorEastAsia"/>
          <w:color w:val="auto"/>
          <w:kern w:val="0"/>
          <w:szCs w:val="21"/>
          <w:highlight w:val="none"/>
          <w:lang w:val="zh-CN"/>
        </w:rPr>
        <w:t xml:space="preserve">注： </w:t>
      </w:r>
    </w:p>
    <w:p w14:paraId="65F8A783">
      <w:pPr>
        <w:snapToGrid w:val="0"/>
        <w:spacing w:before="50" w:after="50" w:line="360" w:lineRule="auto"/>
        <w:ind w:firstLine="420" w:firstLineChars="200"/>
        <w:jc w:val="left"/>
        <w:rPr>
          <w:rFonts w:hint="eastAsia" w:asciiTheme="minorEastAsia" w:hAnsiTheme="minorEastAsia" w:cstheme="minorEastAsia"/>
          <w:bCs/>
          <w:color w:val="auto"/>
          <w:szCs w:val="21"/>
          <w:highlight w:val="none"/>
        </w:rPr>
      </w:pPr>
      <w:r>
        <w:rPr>
          <w:rFonts w:hint="eastAsia" w:asciiTheme="minorEastAsia" w:hAnsiTheme="minorEastAsia" w:cstheme="minorEastAsia"/>
          <w:bCs/>
          <w:color w:val="auto"/>
          <w:szCs w:val="21"/>
          <w:highlight w:val="none"/>
        </w:rPr>
        <w:t>1.</w:t>
      </w:r>
      <w:r>
        <w:rPr>
          <w:rFonts w:hint="eastAsia" w:asciiTheme="minorEastAsia" w:hAnsiTheme="minorEastAsia" w:cstheme="minorEastAsia"/>
          <w:color w:val="auto"/>
          <w:szCs w:val="21"/>
          <w:highlight w:val="none"/>
        </w:rPr>
        <w:t>供应商需按本表格式填写，不得自行更改，也不得留空（备注栏除外）， 如有多分标，按分标分别提供响应报价表，</w:t>
      </w:r>
      <w:r>
        <w:rPr>
          <w:rFonts w:hint="eastAsia" w:asciiTheme="minorEastAsia" w:hAnsiTheme="minorEastAsia" w:cstheme="minorEastAsia"/>
          <w:b/>
          <w:color w:val="auto"/>
          <w:szCs w:val="21"/>
          <w:highlight w:val="none"/>
        </w:rPr>
        <w:t>否则其响应按无效响应处理</w:t>
      </w:r>
      <w:r>
        <w:rPr>
          <w:rFonts w:hint="eastAsia" w:asciiTheme="minorEastAsia" w:hAnsiTheme="minorEastAsia" w:cstheme="minorEastAsia"/>
          <w:bCs/>
          <w:color w:val="auto"/>
          <w:szCs w:val="21"/>
          <w:highlight w:val="none"/>
        </w:rPr>
        <w:t>。</w:t>
      </w:r>
    </w:p>
    <w:p w14:paraId="61AE155C">
      <w:pPr>
        <w:snapToGrid w:val="0"/>
        <w:spacing w:before="50" w:after="50" w:line="360" w:lineRule="auto"/>
        <w:ind w:firstLine="420" w:firstLineChars="200"/>
        <w:jc w:val="left"/>
        <w:rPr>
          <w:rFonts w:hint="eastAsia" w:asciiTheme="minorEastAsia" w:hAnsiTheme="minorEastAsia" w:cstheme="minorEastAsia"/>
          <w:b/>
          <w:color w:val="auto"/>
          <w:kern w:val="0"/>
          <w:szCs w:val="21"/>
          <w:highlight w:val="none"/>
          <w:lang w:val="zh-CN"/>
        </w:rPr>
      </w:pPr>
      <w:r>
        <w:rPr>
          <w:rFonts w:hint="eastAsia" w:asciiTheme="minorEastAsia" w:hAnsiTheme="minorEastAsia" w:cstheme="minorEastAsia"/>
          <w:color w:val="auto"/>
          <w:kern w:val="0"/>
          <w:szCs w:val="21"/>
          <w:highlight w:val="none"/>
        </w:rPr>
        <w:t>2.</w:t>
      </w:r>
      <w:r>
        <w:rPr>
          <w:rFonts w:hint="eastAsia" w:asciiTheme="minorEastAsia" w:hAnsiTheme="minorEastAsia" w:cstheme="minorEastAsia"/>
          <w:color w:val="auto"/>
          <w:kern w:val="0"/>
          <w:szCs w:val="21"/>
          <w:highlight w:val="none"/>
          <w:lang w:val="zh-CN"/>
        </w:rPr>
        <w:t>如为联合体响应的，“供应商名称”处必须列明联合体各方名称，并标注联合体牵头人名称，且盖章处须加盖联合体各方公章，</w:t>
      </w:r>
      <w:r>
        <w:rPr>
          <w:rFonts w:hint="eastAsia" w:asciiTheme="minorEastAsia" w:hAnsiTheme="minorEastAsia" w:cstheme="minorEastAsia"/>
          <w:b/>
          <w:color w:val="auto"/>
          <w:kern w:val="0"/>
          <w:szCs w:val="21"/>
          <w:highlight w:val="none"/>
          <w:lang w:val="zh-CN"/>
        </w:rPr>
        <w:t>否则其响应作无效响应处理。</w:t>
      </w:r>
    </w:p>
    <w:p w14:paraId="3E87E67F">
      <w:pPr>
        <w:snapToGrid w:val="0"/>
        <w:spacing w:before="50" w:after="50" w:line="360" w:lineRule="auto"/>
        <w:ind w:firstLine="420" w:firstLineChars="200"/>
        <w:jc w:val="left"/>
        <w:rPr>
          <w:rFonts w:hint="eastAsia" w:asciiTheme="minorEastAsia" w:hAnsiTheme="minorEastAsia" w:cstheme="minorEastAsia"/>
          <w:b/>
          <w:color w:val="auto"/>
          <w:kern w:val="0"/>
          <w:szCs w:val="21"/>
          <w:highlight w:val="none"/>
          <w:lang w:val="zh-CN"/>
        </w:rPr>
      </w:pPr>
      <w:r>
        <w:rPr>
          <w:rFonts w:hint="eastAsia" w:asciiTheme="minorEastAsia" w:hAnsiTheme="minorEastAsia" w:cstheme="minorEastAsia"/>
          <w:color w:val="auto"/>
          <w:kern w:val="0"/>
          <w:szCs w:val="21"/>
          <w:highlight w:val="none"/>
          <w:lang w:val="zh-CN"/>
        </w:rPr>
        <w:t>3</w:t>
      </w:r>
      <w:r>
        <w:rPr>
          <w:rFonts w:hint="eastAsia" w:asciiTheme="minorEastAsia" w:hAnsiTheme="minorEastAsia" w:cstheme="minorEastAsia"/>
          <w:color w:val="auto"/>
          <w:kern w:val="0"/>
          <w:szCs w:val="21"/>
          <w:highlight w:val="none"/>
        </w:rPr>
        <w:t>.</w:t>
      </w:r>
      <w:r>
        <w:rPr>
          <w:rFonts w:hint="eastAsia" w:asciiTheme="minorEastAsia" w:hAnsiTheme="minorEastAsia" w:cstheme="minorEastAsia"/>
          <w:color w:val="auto"/>
          <w:kern w:val="0"/>
          <w:szCs w:val="21"/>
          <w:highlight w:val="none"/>
          <w:lang w:val="zh-CN"/>
        </w:rPr>
        <w:t>以上表格要求细分项目及报价，在“标的名称”一栏中，填写具体货物，在“规格型号”一栏中，填写具体货物</w:t>
      </w:r>
      <w:r>
        <w:rPr>
          <w:rFonts w:hint="eastAsia" w:ascii="宋体" w:hAnsi="宋体" w:eastAsia="宋体" w:cs="宋体"/>
          <w:color w:val="auto"/>
          <w:kern w:val="0"/>
          <w:szCs w:val="21"/>
          <w:highlight w:val="none"/>
        </w:rPr>
        <w:t>的规格型号</w:t>
      </w:r>
      <w:r>
        <w:rPr>
          <w:rFonts w:hint="eastAsia" w:ascii="宋体" w:hAnsi="宋体" w:eastAsia="宋体" w:cs="宋体"/>
          <w:color w:val="auto"/>
          <w:kern w:val="0"/>
          <w:szCs w:val="21"/>
          <w:highlight w:val="none"/>
          <w:lang w:val="zh-CN"/>
        </w:rPr>
        <w:t>（</w:t>
      </w:r>
      <w:r>
        <w:rPr>
          <w:rFonts w:hint="eastAsia"/>
          <w:color w:val="auto"/>
          <w:highlight w:val="none"/>
        </w:rPr>
        <w:t>如为定制产品，规格型号可以填写定制</w:t>
      </w:r>
      <w:r>
        <w:rPr>
          <w:rFonts w:hint="eastAsia" w:ascii="宋体" w:hAnsi="宋体" w:eastAsia="宋体" w:cs="宋体"/>
          <w:color w:val="auto"/>
          <w:kern w:val="0"/>
          <w:szCs w:val="21"/>
          <w:highlight w:val="none"/>
          <w:lang w:val="zh-CN"/>
        </w:rPr>
        <w:t>）</w:t>
      </w:r>
      <w:r>
        <w:rPr>
          <w:rFonts w:hint="eastAsia" w:asciiTheme="minorEastAsia" w:hAnsiTheme="minorEastAsia" w:cstheme="minorEastAsia"/>
          <w:color w:val="auto"/>
          <w:kern w:val="0"/>
          <w:szCs w:val="21"/>
          <w:highlight w:val="none"/>
          <w:lang w:val="zh-CN"/>
        </w:rPr>
        <w:t>，</w:t>
      </w:r>
      <w:r>
        <w:rPr>
          <w:rFonts w:hint="eastAsia" w:asciiTheme="minorEastAsia" w:hAnsiTheme="minorEastAsia" w:cstheme="minorEastAsia"/>
          <w:b/>
          <w:color w:val="auto"/>
          <w:kern w:val="0"/>
          <w:szCs w:val="21"/>
          <w:highlight w:val="none"/>
          <w:lang w:val="zh-CN"/>
        </w:rPr>
        <w:t>否则其响应作无效响应处理。</w:t>
      </w:r>
    </w:p>
    <w:p w14:paraId="15C1E2B2">
      <w:pPr>
        <w:snapToGrid w:val="0"/>
        <w:spacing w:before="50" w:after="50" w:line="360" w:lineRule="auto"/>
        <w:ind w:firstLine="420" w:firstLineChars="200"/>
        <w:jc w:val="left"/>
        <w:rPr>
          <w:rFonts w:hint="eastAsia" w:asciiTheme="minorEastAsia" w:hAnsiTheme="minorEastAsia" w:cstheme="minorEastAsia"/>
          <w:color w:val="auto"/>
          <w:kern w:val="0"/>
          <w:szCs w:val="21"/>
          <w:highlight w:val="none"/>
          <w:lang w:val="zh-CN"/>
        </w:rPr>
      </w:pPr>
      <w:r>
        <w:rPr>
          <w:rFonts w:hint="eastAsia" w:asciiTheme="minorEastAsia" w:hAnsiTheme="minorEastAsia" w:cstheme="minorEastAsia"/>
          <w:color w:val="auto"/>
          <w:kern w:val="0"/>
          <w:szCs w:val="21"/>
          <w:highlight w:val="none"/>
          <w:lang w:val="zh-CN"/>
        </w:rPr>
        <w:t>4</w:t>
      </w:r>
      <w:r>
        <w:rPr>
          <w:rFonts w:hint="eastAsia" w:asciiTheme="minorEastAsia" w:hAnsiTheme="minorEastAsia" w:cstheme="minorEastAsia"/>
          <w:color w:val="auto"/>
          <w:kern w:val="0"/>
          <w:szCs w:val="21"/>
          <w:highlight w:val="none"/>
        </w:rPr>
        <w:t>.</w:t>
      </w:r>
      <w:r>
        <w:rPr>
          <w:rFonts w:hint="eastAsia" w:asciiTheme="minorEastAsia" w:hAnsiTheme="minorEastAsia" w:cstheme="minorEastAsia"/>
          <w:color w:val="auto"/>
          <w:kern w:val="0"/>
          <w:szCs w:val="21"/>
          <w:highlight w:val="none"/>
          <w:lang w:val="zh-CN"/>
        </w:rPr>
        <w:t>特别提示：采购代理机构将对项目名称和项目编号，成交供应商名称、地址和成交金额，主要成交标的的名称、规格型号</w:t>
      </w:r>
      <w:r>
        <w:rPr>
          <w:rFonts w:hint="eastAsia" w:ascii="宋体" w:hAnsi="宋体" w:eastAsia="宋体" w:cs="宋体"/>
          <w:color w:val="auto"/>
          <w:kern w:val="0"/>
          <w:szCs w:val="21"/>
          <w:highlight w:val="none"/>
        </w:rPr>
        <w:t>、品牌（如有）及制造商</w:t>
      </w:r>
      <w:r>
        <w:rPr>
          <w:rFonts w:hint="eastAsia" w:asciiTheme="minorEastAsia" w:hAnsiTheme="minorEastAsia" w:cstheme="minorEastAsia"/>
          <w:color w:val="auto"/>
          <w:kern w:val="0"/>
          <w:szCs w:val="21"/>
          <w:highlight w:val="none"/>
          <w:lang w:val="zh-CN"/>
        </w:rPr>
        <w:t>、数量、单价等予以公示。</w:t>
      </w:r>
    </w:p>
    <w:p w14:paraId="336C409A">
      <w:pPr>
        <w:snapToGrid w:val="0"/>
        <w:spacing w:before="50" w:after="50" w:line="360" w:lineRule="auto"/>
        <w:ind w:firstLine="420" w:firstLineChars="200"/>
        <w:jc w:val="left"/>
        <w:rPr>
          <w:rFonts w:hint="eastAsia" w:asciiTheme="minorEastAsia" w:hAnsiTheme="minorEastAsia" w:cstheme="minorEastAsia"/>
          <w:color w:val="auto"/>
          <w:kern w:val="0"/>
          <w:szCs w:val="21"/>
          <w:highlight w:val="none"/>
          <w:lang w:val="zh-CN"/>
        </w:rPr>
      </w:pPr>
      <w:r>
        <w:rPr>
          <w:rFonts w:hint="eastAsia" w:asciiTheme="minorEastAsia" w:hAnsiTheme="minorEastAsia" w:cstheme="minorEastAsia"/>
          <w:color w:val="auto"/>
          <w:kern w:val="0"/>
          <w:szCs w:val="21"/>
          <w:highlight w:val="none"/>
          <w:lang w:val="zh-CN"/>
        </w:rPr>
        <w:t>5</w:t>
      </w:r>
      <w:r>
        <w:rPr>
          <w:rFonts w:hint="eastAsia" w:asciiTheme="minorEastAsia" w:hAnsiTheme="minorEastAsia" w:cstheme="minorEastAsia"/>
          <w:color w:val="auto"/>
          <w:kern w:val="0"/>
          <w:szCs w:val="21"/>
          <w:highlight w:val="none"/>
        </w:rPr>
        <w:t>.</w:t>
      </w:r>
      <w:r>
        <w:rPr>
          <w:rFonts w:hint="eastAsia" w:asciiTheme="minorEastAsia" w:hAnsiTheme="minorEastAsia" w:cstheme="minorEastAsia"/>
          <w:color w:val="auto"/>
          <w:kern w:val="0"/>
          <w:szCs w:val="21"/>
          <w:highlight w:val="none"/>
          <w:lang w:val="zh-CN"/>
        </w:rPr>
        <w:t>符合采购文件中列明的可享受中小企业扶持政策的供应商，请填写中小企业声明函。</w:t>
      </w:r>
    </w:p>
    <w:p w14:paraId="3F45590B">
      <w:pPr>
        <w:snapToGrid w:val="0"/>
        <w:spacing w:before="50" w:after="50" w:line="360" w:lineRule="auto"/>
        <w:ind w:firstLine="420" w:firstLineChars="200"/>
        <w:jc w:val="left"/>
        <w:rPr>
          <w:rFonts w:hint="eastAsia" w:ascii="宋体" w:hAnsi="宋体" w:eastAsia="宋体" w:cs="宋体"/>
          <w:color w:val="auto"/>
          <w:sz w:val="24"/>
          <w:szCs w:val="24"/>
          <w:highlight w:val="none"/>
          <w:u w:val="single"/>
        </w:rPr>
      </w:pPr>
      <w:r>
        <w:rPr>
          <w:rFonts w:hint="eastAsia" w:asciiTheme="minorEastAsia" w:hAnsiTheme="minorEastAsia" w:cstheme="minorEastAsia"/>
          <w:color w:val="auto"/>
          <w:kern w:val="0"/>
          <w:szCs w:val="21"/>
          <w:highlight w:val="none"/>
        </w:rPr>
        <w:t>6.</w:t>
      </w:r>
      <w:r>
        <w:rPr>
          <w:rFonts w:hint="eastAsia" w:asciiTheme="minorEastAsia" w:hAnsiTheme="minorEastAsia" w:cstheme="minorEastAsia"/>
          <w:color w:val="auto"/>
          <w:kern w:val="0"/>
          <w:szCs w:val="21"/>
          <w:highlight w:val="none"/>
          <w:lang w:val="zh-CN"/>
        </w:rPr>
        <w:t>供应商提供的中小企业声明函内容不实的，属于提供虚假材料谋取中标、成交，依照《中华人民共和国政府采购法》等国家有关规定追究相应责任。</w:t>
      </w:r>
      <w:r>
        <w:rPr>
          <w:rFonts w:hint="eastAsia" w:ascii="宋体" w:hAnsi="宋体" w:eastAsia="宋体" w:cs="宋体"/>
          <w:color w:val="auto"/>
          <w:sz w:val="24"/>
          <w:szCs w:val="24"/>
          <w:highlight w:val="none"/>
        </w:rPr>
        <w:t xml:space="preserve">               </w:t>
      </w:r>
    </w:p>
    <w:p w14:paraId="40899E15">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p>
    <w:p w14:paraId="3AF46AF7">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71BEB75B">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03B868D0">
      <w:pPr>
        <w:keepNext/>
        <w:keepLines/>
        <w:spacing w:before="260" w:after="260" w:line="416" w:lineRule="auto"/>
        <w:jc w:val="center"/>
        <w:outlineLvl w:val="1"/>
        <w:rPr>
          <w:rFonts w:hint="eastAsia" w:ascii="宋体" w:hAnsi="宋体" w:eastAsia="宋体" w:cs="Times New Roman"/>
          <w:bCs/>
          <w:color w:val="auto"/>
          <w:sz w:val="32"/>
          <w:szCs w:val="32"/>
          <w:highlight w:val="none"/>
          <w:lang w:val="zh-CN"/>
        </w:rPr>
      </w:pPr>
      <w:bookmarkStart w:id="158" w:name="_Toc23320"/>
      <w:bookmarkStart w:id="159" w:name="_Toc80205942"/>
      <w:bookmarkStart w:id="160" w:name="_Toc13939"/>
      <w:r>
        <w:rPr>
          <w:rFonts w:hint="eastAsia" w:ascii="宋体" w:hAnsi="宋体" w:eastAsia="宋体" w:cs="Times New Roman"/>
          <w:b/>
          <w:bCs/>
          <w:color w:val="auto"/>
          <w:sz w:val="32"/>
          <w:szCs w:val="32"/>
          <w:highlight w:val="none"/>
          <w:lang w:val="zh-CN"/>
        </w:rPr>
        <w:t>第四节 其他文书、文件格式</w:t>
      </w:r>
      <w:bookmarkEnd w:id="158"/>
      <w:bookmarkEnd w:id="159"/>
      <w:bookmarkEnd w:id="160"/>
    </w:p>
    <w:p w14:paraId="5B9FCDFF">
      <w:pPr>
        <w:spacing w:line="500" w:lineRule="exact"/>
        <w:rPr>
          <w:rFonts w:hint="eastAsia" w:ascii="宋体" w:hAnsi="宋体" w:eastAsia="宋体" w:cs="宋体"/>
          <w:b/>
          <w:color w:val="auto"/>
          <w:sz w:val="30"/>
          <w:szCs w:val="30"/>
          <w:highlight w:val="none"/>
          <w:lang w:val="zh-CN"/>
        </w:rPr>
      </w:pPr>
      <w:r>
        <w:rPr>
          <w:rFonts w:hint="eastAsia" w:ascii="宋体" w:hAnsi="宋体" w:eastAsia="宋体" w:cs="宋体"/>
          <w:b/>
          <w:color w:val="auto"/>
          <w:sz w:val="30"/>
          <w:szCs w:val="30"/>
          <w:highlight w:val="none"/>
        </w:rPr>
        <w:t>1.</w:t>
      </w:r>
      <w:r>
        <w:rPr>
          <w:rFonts w:hint="eastAsia" w:ascii="宋体" w:hAnsi="宋体" w:eastAsia="宋体" w:cs="宋体"/>
          <w:b/>
          <w:color w:val="auto"/>
          <w:sz w:val="30"/>
          <w:szCs w:val="30"/>
          <w:highlight w:val="none"/>
          <w:lang w:val="zh-CN"/>
        </w:rPr>
        <w:t>中小企业声明函的格式：</w:t>
      </w:r>
    </w:p>
    <w:p w14:paraId="77D51AAD">
      <w:pPr>
        <w:pStyle w:val="14"/>
        <w:rPr>
          <w:rFonts w:hint="eastAsia" w:ascii="宋体" w:hAnsi="宋体" w:cs="宋体"/>
          <w:color w:val="auto"/>
          <w:highlight w:val="none"/>
        </w:rPr>
      </w:pPr>
    </w:p>
    <w:p w14:paraId="29C702D1">
      <w:pPr>
        <w:spacing w:line="300" w:lineRule="auto"/>
        <w:ind w:firstLine="3534" w:firstLineChars="1100"/>
        <w:rPr>
          <w:rFonts w:hint="eastAsia" w:ascii="宋体" w:hAnsi="宋体" w:eastAsia="宋体" w:cs="宋体"/>
          <w:color w:val="auto"/>
          <w:sz w:val="44"/>
          <w:szCs w:val="44"/>
          <w:highlight w:val="none"/>
        </w:rPr>
      </w:pPr>
      <w:r>
        <w:rPr>
          <w:rFonts w:hint="eastAsia" w:ascii="宋体" w:hAnsi="宋体" w:eastAsia="宋体" w:cs="宋体"/>
          <w:b/>
          <w:bCs/>
          <w:color w:val="auto"/>
          <w:sz w:val="32"/>
          <w:szCs w:val="32"/>
          <w:highlight w:val="none"/>
        </w:rPr>
        <w:t>中小企业声明函</w:t>
      </w:r>
    </w:p>
    <w:p w14:paraId="09916A31">
      <w:pPr>
        <w:spacing w:line="360" w:lineRule="auto"/>
        <w:ind w:left="-426" w:right="142" w:firstLine="640"/>
        <w:contextualSpacing/>
        <w:rPr>
          <w:rFonts w:hint="eastAsia" w:ascii="宋体" w:hAnsi="宋体" w:eastAsia="宋体" w:cs="宋体"/>
          <w:color w:val="auto"/>
          <w:sz w:val="24"/>
          <w:szCs w:val="24"/>
          <w:highlight w:val="none"/>
          <w:lang w:val="zh-CN"/>
        </w:rPr>
      </w:pPr>
    </w:p>
    <w:p w14:paraId="6248B970">
      <w:pPr>
        <w:spacing w:line="360" w:lineRule="auto"/>
        <w:ind w:left="-426" w:right="142" w:firstLine="640"/>
        <w:contextualSpacing/>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本公司（联合体）郑重声明，根据《政府采购促进中小企业发展管理办法》（财库﹝2020﹞46号）的规定，本公司（联合体）参加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（单位名称）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的</w:t>
      </w:r>
      <w:r>
        <w:rPr>
          <w:rFonts w:hint="eastAsia" w:ascii="宋体" w:hAnsi="宋体" w:eastAsia="宋体" w:cs="宋体"/>
          <w:i/>
          <w:iCs/>
          <w:color w:val="auto"/>
          <w:sz w:val="24"/>
          <w:szCs w:val="24"/>
          <w:highlight w:val="none"/>
          <w:u w:val="single"/>
        </w:rPr>
        <w:t>（项目名称）</w:t>
      </w:r>
      <w:r>
        <w:rPr>
          <w:rFonts w:hint="eastAsia" w:ascii="宋体" w:hAnsi="宋体" w:eastAsia="宋体" w:cs="宋体"/>
          <w:color w:val="auto"/>
          <w:sz w:val="24"/>
          <w:szCs w:val="24"/>
          <w:highlight w:val="none"/>
          <w:lang w:val="zh-CN"/>
        </w:rPr>
        <w:t>采购活动，提供的货物全部由符合政策要求的中小企业制造。相关企业（含联合体中的中小企业、签订分包意向协议的中小企业）的具体情况如下：</w:t>
      </w:r>
    </w:p>
    <w:p w14:paraId="10949479">
      <w:pPr>
        <w:tabs>
          <w:tab w:val="left" w:pos="1384"/>
          <w:tab w:val="left" w:pos="4562"/>
          <w:tab w:val="left" w:pos="6803"/>
        </w:tabs>
        <w:spacing w:line="360" w:lineRule="auto"/>
        <w:ind w:left="-426" w:right="-58" w:firstLine="655"/>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i/>
          <w:iCs/>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i/>
          <w:iCs/>
          <w:color w:val="auto"/>
          <w:sz w:val="24"/>
          <w:szCs w:val="24"/>
          <w:highlight w:val="none"/>
          <w:u w:val="single"/>
        </w:rPr>
        <w:t>（采购文件中明确的所属行业）行业</w:t>
      </w:r>
      <w:r>
        <w:rPr>
          <w:rFonts w:hint="eastAsia" w:ascii="宋体" w:hAnsi="宋体" w:eastAsia="宋体" w:cs="宋体"/>
          <w:color w:val="auto"/>
          <w:sz w:val="24"/>
          <w:szCs w:val="24"/>
          <w:highlight w:val="none"/>
        </w:rPr>
        <w:t>；制造商为</w:t>
      </w:r>
      <w:r>
        <w:rPr>
          <w:rFonts w:hint="eastAsia" w:ascii="宋体" w:hAnsi="宋体" w:eastAsia="宋体" w:cs="宋体"/>
          <w:i/>
          <w:iCs/>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i/>
          <w:iCs/>
          <w:color w:val="auto"/>
          <w:sz w:val="24"/>
          <w:szCs w:val="24"/>
          <w:highlight w:val="none"/>
          <w:u w:val="single"/>
        </w:rPr>
        <w:t>（中型企业、小型企业、微型企业</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6B8CAD4A">
      <w:pPr>
        <w:tabs>
          <w:tab w:val="left" w:pos="1065"/>
          <w:tab w:val="left" w:pos="6477"/>
        </w:tabs>
        <w:spacing w:line="360" w:lineRule="auto"/>
        <w:ind w:left="-426" w:right="-58" w:firstLine="655"/>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i/>
          <w:iCs/>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i/>
          <w:iCs/>
          <w:color w:val="auto"/>
          <w:sz w:val="24"/>
          <w:szCs w:val="24"/>
          <w:highlight w:val="none"/>
          <w:u w:val="single"/>
        </w:rPr>
        <w:t>（采购文件中明确的所属行业）行业</w:t>
      </w:r>
      <w:r>
        <w:rPr>
          <w:rFonts w:hint="eastAsia" w:ascii="宋体" w:hAnsi="宋体" w:eastAsia="宋体" w:cs="宋体"/>
          <w:color w:val="auto"/>
          <w:sz w:val="24"/>
          <w:szCs w:val="24"/>
          <w:highlight w:val="none"/>
        </w:rPr>
        <w:t>；制造商为</w:t>
      </w:r>
      <w:r>
        <w:rPr>
          <w:rFonts w:hint="eastAsia" w:ascii="宋体" w:hAnsi="宋体" w:eastAsia="宋体" w:cs="宋体"/>
          <w:i/>
          <w:iCs/>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i/>
          <w:iCs/>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14:paraId="06C2469F">
      <w:pPr>
        <w:spacing w:line="360" w:lineRule="auto"/>
        <w:ind w:left="142" w:right="142"/>
        <w:contextualSpacing/>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14:paraId="3C1AE193">
      <w:pPr>
        <w:spacing w:line="360" w:lineRule="auto"/>
        <w:ind w:left="-405" w:leftChars="-193" w:right="142" w:firstLine="453" w:firstLineChars="189"/>
        <w:contextualSpacing/>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以上企业，不属于大企业的分支机构，不存在控股股东为大企业的情形，也不存在与大企业的负责人为同一人的情形。</w:t>
      </w:r>
    </w:p>
    <w:p w14:paraId="70F2B1E3">
      <w:pPr>
        <w:spacing w:line="360" w:lineRule="auto"/>
        <w:ind w:left="-426" w:right="142" w:firstLine="567"/>
        <w:contextualSpacing/>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本企业对上述声明内容的真实性负责。如有虚假，将依法承担相应责任。</w:t>
      </w:r>
    </w:p>
    <w:p w14:paraId="7CADDF9D">
      <w:pPr>
        <w:spacing w:line="360" w:lineRule="auto"/>
        <w:ind w:left="3960" w:right="1808"/>
        <w:contextualSpacing/>
        <w:rPr>
          <w:rFonts w:hint="eastAsia" w:ascii="宋体" w:hAnsi="宋体" w:eastAsia="宋体" w:cs="宋体"/>
          <w:color w:val="auto"/>
          <w:sz w:val="24"/>
          <w:szCs w:val="24"/>
          <w:highlight w:val="none"/>
          <w:lang w:val="zh-CN"/>
        </w:rPr>
      </w:pPr>
    </w:p>
    <w:p w14:paraId="69688D65">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0975262C">
      <w:pPr>
        <w:autoSpaceDE w:val="0"/>
        <w:autoSpaceDN w:val="0"/>
        <w:spacing w:line="360" w:lineRule="auto"/>
        <w:ind w:firstLine="6480" w:firstLineChars="27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7AE12724">
      <w:pPr>
        <w:spacing w:line="360" w:lineRule="auto"/>
        <w:ind w:left="3960" w:right="1808"/>
        <w:contextualSpacing/>
        <w:rPr>
          <w:rFonts w:hint="eastAsia" w:ascii="宋体" w:hAnsi="宋体" w:eastAsia="宋体" w:cs="宋体"/>
          <w:color w:val="auto"/>
          <w:szCs w:val="24"/>
          <w:highlight w:val="none"/>
          <w:lang w:val="zh-CN"/>
        </w:rPr>
      </w:pPr>
    </w:p>
    <w:p w14:paraId="6B8EFC09">
      <w:pPr>
        <w:spacing w:line="360" w:lineRule="auto"/>
        <w:contextualSpacing/>
        <w:jc w:val="left"/>
        <w:rPr>
          <w:rFonts w:hint="eastAsia" w:ascii="宋体" w:hAnsi="宋体" w:eastAsia="宋体" w:cs="宋体"/>
          <w:color w:val="auto"/>
          <w:szCs w:val="21"/>
          <w:highlight w:val="none"/>
        </w:rPr>
      </w:pPr>
    </w:p>
    <w:p w14:paraId="5D30A7CC">
      <w:pPr>
        <w:spacing w:line="400" w:lineRule="exact"/>
        <w:ind w:firstLine="480" w:firstLineChars="200"/>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享受《政府采购促进中小企业发展管理办法》（财库〔2020〕46号）规定的中小企业扶持政策的，采购人或者采购代理机构应当随成交结果公开成交供应商的《中小企业声明函》，接受社会监督。从业人员、营业收入、资产总额填报上一年度数据，无上一年度数据的新成立企业可不填报。</w:t>
      </w:r>
    </w:p>
    <w:p w14:paraId="1DE3C3E3">
      <w:pPr>
        <w:pStyle w:val="22"/>
        <w:rPr>
          <w:rFonts w:hint="eastAsia" w:ascii="宋体" w:hAnsi="宋体" w:cs="仿宋_GB2312"/>
          <w:color w:val="auto"/>
          <w:sz w:val="24"/>
          <w:szCs w:val="24"/>
          <w:highlight w:val="none"/>
        </w:rPr>
      </w:pPr>
    </w:p>
    <w:p w14:paraId="31466230">
      <w:pPr>
        <w:spacing w:line="520" w:lineRule="exact"/>
        <w:rPr>
          <w:rFonts w:hint="eastAsia" w:ascii="宋体" w:hAnsi="宋体" w:eastAsia="宋体" w:cs="仿宋_GB2312"/>
          <w:color w:val="auto"/>
          <w:sz w:val="24"/>
          <w:szCs w:val="24"/>
          <w:highlight w:val="none"/>
        </w:rPr>
      </w:pPr>
    </w:p>
    <w:p w14:paraId="114E6E5E">
      <w:pPr>
        <w:numPr>
          <w:ilvl w:val="255"/>
          <w:numId w:val="0"/>
        </w:numPr>
        <w:spacing w:line="520" w:lineRule="exact"/>
        <w:rPr>
          <w:rFonts w:hint="eastAsia" w:ascii="宋体" w:hAnsi="宋体" w:eastAsia="宋体" w:cs="宋体"/>
          <w:b/>
          <w:color w:val="auto"/>
          <w:sz w:val="28"/>
          <w:szCs w:val="28"/>
          <w:highlight w:val="none"/>
        </w:rPr>
      </w:pPr>
    </w:p>
    <w:p w14:paraId="7EB17395">
      <w:pPr>
        <w:numPr>
          <w:ilvl w:val="255"/>
          <w:numId w:val="0"/>
        </w:numPr>
        <w:spacing w:line="520" w:lineRule="exact"/>
        <w:rPr>
          <w:rFonts w:hint="eastAsia" w:hAnsi="宋体" w:cs="宋体"/>
          <w:b/>
          <w:color w:val="auto"/>
          <w:sz w:val="28"/>
          <w:szCs w:val="28"/>
          <w:highlight w:val="none"/>
        </w:rPr>
      </w:pPr>
      <w:r>
        <w:rPr>
          <w:rFonts w:hint="eastAsia" w:ascii="宋体" w:hAnsi="宋体" w:eastAsia="宋体" w:cs="宋体"/>
          <w:b/>
          <w:color w:val="auto"/>
          <w:sz w:val="28"/>
          <w:szCs w:val="28"/>
          <w:highlight w:val="none"/>
        </w:rPr>
        <w:t>2.</w:t>
      </w:r>
      <w:r>
        <w:rPr>
          <w:rFonts w:hint="eastAsia" w:hAnsi="宋体" w:cs="宋体"/>
          <w:b/>
          <w:color w:val="auto"/>
          <w:sz w:val="28"/>
          <w:szCs w:val="28"/>
          <w:highlight w:val="none"/>
        </w:rPr>
        <w:t>残疾人福利性单位声明函的格式：</w:t>
      </w:r>
    </w:p>
    <w:p w14:paraId="685CA9AB">
      <w:pPr>
        <w:numPr>
          <w:ilvl w:val="255"/>
          <w:numId w:val="0"/>
        </w:numPr>
        <w:spacing w:line="520" w:lineRule="exact"/>
        <w:rPr>
          <w:rFonts w:hint="eastAsia" w:hAnsi="宋体" w:cs="宋体"/>
          <w:b/>
          <w:color w:val="auto"/>
          <w:sz w:val="28"/>
          <w:szCs w:val="28"/>
          <w:highlight w:val="none"/>
        </w:rPr>
      </w:pPr>
    </w:p>
    <w:p w14:paraId="464AAB78">
      <w:pPr>
        <w:spacing w:line="52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残疾人福利性单位声明函</w:t>
      </w:r>
    </w:p>
    <w:p w14:paraId="5FBCD0E4">
      <w:pPr>
        <w:spacing w:line="520" w:lineRule="exact"/>
        <w:rPr>
          <w:rFonts w:hint="eastAsia" w:ascii="仿宋_GB2312" w:hAnsi="仿宋_GB2312" w:eastAsia="仿宋_GB2312" w:cs="仿宋_GB2312"/>
          <w:color w:val="auto"/>
          <w:sz w:val="32"/>
          <w:szCs w:val="32"/>
          <w:highlight w:val="none"/>
        </w:rPr>
      </w:pPr>
    </w:p>
    <w:p w14:paraId="6A51CE1D">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项目采购活动提供本单位制造的货物（由本单位承担工程/提供服务），或者提供其他残疾人福利性单位制造的货物（不包括使用非残疾人福利性单位注册商标的货物）。</w:t>
      </w:r>
    </w:p>
    <w:p w14:paraId="6C61A584">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4A684A62">
      <w:pPr>
        <w:spacing w:line="360" w:lineRule="auto"/>
        <w:contextualSpacing/>
        <w:rPr>
          <w:rFonts w:hint="eastAsia" w:ascii="宋体" w:hAnsi="宋体" w:eastAsia="宋体" w:cs="宋体"/>
          <w:color w:val="auto"/>
          <w:sz w:val="24"/>
          <w:szCs w:val="24"/>
          <w:highlight w:val="none"/>
        </w:rPr>
      </w:pPr>
    </w:p>
    <w:p w14:paraId="3CBC6985">
      <w:pPr>
        <w:spacing w:line="360" w:lineRule="auto"/>
        <w:contextualSpacing/>
        <w:rPr>
          <w:rFonts w:hint="eastAsia" w:ascii="宋体" w:hAnsi="宋体" w:eastAsia="宋体" w:cs="宋体"/>
          <w:color w:val="auto"/>
          <w:sz w:val="24"/>
          <w:szCs w:val="24"/>
          <w:highlight w:val="none"/>
        </w:rPr>
      </w:pPr>
    </w:p>
    <w:p w14:paraId="42B3C58B">
      <w:pPr>
        <w:spacing w:line="360" w:lineRule="auto"/>
        <w:contextualSpacing/>
        <w:rPr>
          <w:rFonts w:hint="eastAsia" w:ascii="宋体" w:hAnsi="宋体" w:eastAsia="宋体" w:cs="宋体"/>
          <w:color w:val="auto"/>
          <w:sz w:val="24"/>
          <w:szCs w:val="24"/>
          <w:highlight w:val="none"/>
        </w:rPr>
      </w:pPr>
    </w:p>
    <w:p w14:paraId="58A0520A">
      <w:pPr>
        <w:spacing w:line="360" w:lineRule="auto"/>
        <w:ind w:firstLine="2400" w:firstLineChars="10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供应商名称（盖公章）：</w:t>
      </w:r>
    </w:p>
    <w:p w14:paraId="4F6CFF77">
      <w:pPr>
        <w:spacing w:line="360" w:lineRule="auto"/>
        <w:ind w:firstLine="4320" w:firstLineChars="18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48B667E9">
      <w:pPr>
        <w:spacing w:line="360" w:lineRule="auto"/>
        <w:contextualSpacing/>
        <w:rPr>
          <w:rFonts w:hint="eastAsia" w:ascii="宋体" w:hAnsi="宋体" w:eastAsia="宋体" w:cs="宋体"/>
          <w:color w:val="auto"/>
          <w:sz w:val="24"/>
          <w:szCs w:val="24"/>
          <w:highlight w:val="none"/>
        </w:rPr>
      </w:pPr>
    </w:p>
    <w:p w14:paraId="7FF5B39D">
      <w:pPr>
        <w:spacing w:line="360" w:lineRule="auto"/>
        <w:contextualSpacing/>
        <w:rPr>
          <w:rFonts w:hint="eastAsia" w:ascii="宋体" w:hAnsi="宋体" w:eastAsia="宋体" w:cs="宋体"/>
          <w:color w:val="auto"/>
          <w:sz w:val="24"/>
          <w:szCs w:val="24"/>
          <w:highlight w:val="none"/>
        </w:rPr>
      </w:pPr>
    </w:p>
    <w:p w14:paraId="0F745AC7">
      <w:pPr>
        <w:spacing w:line="360" w:lineRule="auto"/>
        <w:contextualSpacing/>
        <w:rPr>
          <w:rFonts w:hint="eastAsia" w:ascii="宋体" w:hAnsi="宋体" w:eastAsia="宋体" w:cs="宋体"/>
          <w:color w:val="auto"/>
          <w:sz w:val="24"/>
          <w:szCs w:val="24"/>
          <w:highlight w:val="none"/>
        </w:rPr>
      </w:pPr>
    </w:p>
    <w:p w14:paraId="153029F3">
      <w:pPr>
        <w:numPr>
          <w:ilvl w:val="255"/>
          <w:numId w:val="0"/>
        </w:numPr>
        <w:spacing w:line="520" w:lineRule="exact"/>
        <w:ind w:firstLine="480" w:firstLineChars="200"/>
        <w:rPr>
          <w:rFonts w:hint="eastAsia" w:ascii="宋体" w:hAnsi="宋体" w:eastAsia="宋体" w:cs="宋体"/>
          <w:b/>
          <w:color w:val="auto"/>
          <w:sz w:val="28"/>
          <w:szCs w:val="28"/>
          <w:highlight w:val="none"/>
        </w:rPr>
      </w:pPr>
      <w:r>
        <w:rPr>
          <w:rFonts w:hint="eastAsia" w:ascii="宋体" w:hAnsi="宋体" w:eastAsia="宋体" w:cs="宋体"/>
          <w:color w:val="auto"/>
          <w:sz w:val="24"/>
          <w:szCs w:val="24"/>
          <w:highlight w:val="none"/>
        </w:rPr>
        <w:t>注：请根据自己的真实情况出具《残疾人福利性单位声明函》。依法享受中小企业扶持政策的，采购人或者采购代理机构在公告成交结果时，同时公告其《残疾人福利性单位声明函》，接受社会监督。</w:t>
      </w:r>
    </w:p>
    <w:p w14:paraId="1D0E9D8B">
      <w:pPr>
        <w:numPr>
          <w:ilvl w:val="255"/>
          <w:numId w:val="0"/>
        </w:numPr>
        <w:spacing w:line="520" w:lineRule="exact"/>
        <w:rPr>
          <w:rFonts w:hint="eastAsia" w:ascii="宋体" w:hAnsi="宋体" w:eastAsia="宋体" w:cs="宋体"/>
          <w:b/>
          <w:color w:val="auto"/>
          <w:sz w:val="28"/>
          <w:szCs w:val="28"/>
          <w:highlight w:val="none"/>
        </w:rPr>
      </w:pPr>
    </w:p>
    <w:p w14:paraId="6B1B8BFF">
      <w:pPr>
        <w:numPr>
          <w:ilvl w:val="255"/>
          <w:numId w:val="0"/>
        </w:numPr>
        <w:spacing w:line="520" w:lineRule="exact"/>
        <w:rPr>
          <w:rFonts w:hint="eastAsia" w:ascii="宋体" w:hAnsi="宋体" w:eastAsia="宋体" w:cs="宋体"/>
          <w:b/>
          <w:color w:val="auto"/>
          <w:sz w:val="28"/>
          <w:szCs w:val="28"/>
          <w:highlight w:val="none"/>
        </w:rPr>
      </w:pPr>
    </w:p>
    <w:p w14:paraId="2E460C45">
      <w:pPr>
        <w:numPr>
          <w:ilvl w:val="255"/>
          <w:numId w:val="0"/>
        </w:numPr>
        <w:spacing w:line="520" w:lineRule="exact"/>
        <w:rPr>
          <w:rFonts w:hint="eastAsia" w:ascii="宋体" w:hAnsi="宋体" w:eastAsia="宋体" w:cs="宋体"/>
          <w:b/>
          <w:color w:val="auto"/>
          <w:sz w:val="28"/>
          <w:szCs w:val="28"/>
          <w:highlight w:val="none"/>
        </w:rPr>
      </w:pPr>
    </w:p>
    <w:p w14:paraId="5B0FB728">
      <w:pPr>
        <w:numPr>
          <w:ilvl w:val="255"/>
          <w:numId w:val="0"/>
        </w:num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1E794493">
      <w:pPr>
        <w:numPr>
          <w:ilvl w:val="255"/>
          <w:numId w:val="0"/>
        </w:numPr>
        <w:spacing w:line="52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3.关于符合本国产品标准的声明函的格式：</w:t>
      </w:r>
    </w:p>
    <w:p w14:paraId="53B12D26">
      <w:pPr>
        <w:pStyle w:val="27"/>
        <w:widowControl/>
        <w:shd w:val="clear" w:color="auto" w:fill="FFFFFF"/>
        <w:spacing w:before="30" w:after="30"/>
        <w:jc w:val="center"/>
        <w:rPr>
          <w:rStyle w:val="35"/>
          <w:rFonts w:hint="eastAsia" w:ascii="宋体" w:hAnsi="宋体" w:cs="宋体"/>
          <w:color w:val="auto"/>
          <w:sz w:val="36"/>
          <w:szCs w:val="36"/>
          <w:highlight w:val="none"/>
          <w:shd w:val="clear" w:color="auto" w:fill="FFFFFF"/>
        </w:rPr>
      </w:pPr>
    </w:p>
    <w:p w14:paraId="40FB718D">
      <w:pPr>
        <w:pStyle w:val="27"/>
        <w:widowControl/>
        <w:shd w:val="clear" w:color="auto" w:fill="FFFFFF"/>
        <w:spacing w:before="30" w:after="30"/>
        <w:jc w:val="center"/>
        <w:rPr>
          <w:rFonts w:hint="eastAsia" w:ascii="宋体" w:hAnsi="宋体" w:cs="宋体"/>
          <w:color w:val="auto"/>
          <w:sz w:val="32"/>
          <w:szCs w:val="32"/>
          <w:highlight w:val="none"/>
        </w:rPr>
      </w:pPr>
      <w:r>
        <w:rPr>
          <w:rStyle w:val="35"/>
          <w:rFonts w:hint="eastAsia" w:ascii="宋体" w:hAnsi="宋体" w:cs="宋体"/>
          <w:color w:val="auto"/>
          <w:sz w:val="32"/>
          <w:szCs w:val="32"/>
          <w:highlight w:val="none"/>
          <w:shd w:val="clear" w:color="auto" w:fill="FFFFFF"/>
        </w:rPr>
        <w:t>关于符合本国产品标准的声明函</w:t>
      </w:r>
    </w:p>
    <w:p w14:paraId="46343F77">
      <w:pPr>
        <w:pStyle w:val="27"/>
        <w:widowControl/>
        <w:shd w:val="clear" w:color="auto" w:fill="FFFFFF"/>
        <w:spacing w:before="30" w:after="30"/>
        <w:ind w:firstLine="420"/>
        <w:rPr>
          <w:rFonts w:hint="eastAsia" w:ascii="宋体" w:hAnsi="宋体" w:cs="宋体"/>
          <w:color w:val="auto"/>
          <w:highlight w:val="none"/>
        </w:rPr>
      </w:pPr>
    </w:p>
    <w:p w14:paraId="299C736E">
      <w:pPr>
        <w:pStyle w:val="27"/>
        <w:widowControl/>
        <w:shd w:val="clear" w:color="auto" w:fill="FFFFFF"/>
        <w:spacing w:before="30" w:after="30" w:line="360" w:lineRule="auto"/>
        <w:ind w:firstLine="420"/>
        <w:rPr>
          <w:rFonts w:hint="eastAsia" w:ascii="宋体" w:hAnsi="宋体" w:cs="宋体"/>
          <w:color w:val="auto"/>
          <w:highlight w:val="none"/>
        </w:rPr>
      </w:pPr>
      <w:r>
        <w:rPr>
          <w:rFonts w:hint="eastAsia" w:ascii="宋体" w:hAnsi="宋体" w:cs="宋体"/>
          <w:color w:val="auto"/>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43E25B5C">
      <w:pPr>
        <w:pStyle w:val="27"/>
        <w:widowControl/>
        <w:shd w:val="clear" w:color="auto" w:fill="FFFFFF"/>
        <w:spacing w:before="30" w:after="30" w:line="360" w:lineRule="auto"/>
        <w:ind w:firstLine="420"/>
        <w:rPr>
          <w:rFonts w:hint="eastAsia" w:ascii="宋体" w:hAnsi="宋体" w:cs="宋体"/>
          <w:color w:val="auto"/>
          <w:highlight w:val="none"/>
        </w:rPr>
      </w:pPr>
      <w:r>
        <w:rPr>
          <w:rFonts w:hint="eastAsia" w:ascii="宋体" w:hAnsi="宋体" w:cs="宋体"/>
          <w:color w:val="auto"/>
          <w:highlight w:val="none"/>
          <w:shd w:val="clear" w:color="auto" w:fill="FFFFFF"/>
        </w:rPr>
        <w:t>1.</w:t>
      </w:r>
      <w:r>
        <w:rPr>
          <w:rStyle w:val="39"/>
          <w:rFonts w:hint="eastAsia" w:ascii="宋体" w:hAnsi="宋体" w:cs="宋体"/>
          <w:i w:val="0"/>
          <w:color w:val="auto"/>
          <w:highlight w:val="none"/>
          <w:u w:val="single"/>
          <w:shd w:val="clear" w:color="auto" w:fill="FFFFFF"/>
        </w:rPr>
        <w:t>（产品名称1）</w:t>
      </w:r>
      <w:r>
        <w:rPr>
          <w:rStyle w:val="39"/>
          <w:rFonts w:hint="eastAsia" w:ascii="宋体" w:hAnsi="宋体" w:cs="宋体"/>
          <w:i w:val="0"/>
          <w:color w:val="auto"/>
          <w:highlight w:val="none"/>
          <w:shd w:val="clear" w:color="auto" w:fill="FFFFFF"/>
          <w:vertAlign w:val="superscript"/>
        </w:rPr>
        <w:t>1</w:t>
      </w:r>
      <w:r>
        <w:rPr>
          <w:rFonts w:hint="eastAsia" w:ascii="宋体" w:hAnsi="宋体" w:cs="宋体"/>
          <w:color w:val="auto"/>
          <w:highlight w:val="none"/>
          <w:shd w:val="clear" w:color="auto" w:fill="FFFFFF"/>
        </w:rPr>
        <w:t>，生产厂为</w:t>
      </w:r>
      <w:r>
        <w:rPr>
          <w:rStyle w:val="39"/>
          <w:rFonts w:hint="eastAsia" w:ascii="宋体" w:hAnsi="宋体" w:cs="宋体"/>
          <w:i w:val="0"/>
          <w:color w:val="auto"/>
          <w:highlight w:val="none"/>
          <w:u w:val="single"/>
          <w:shd w:val="clear" w:color="auto" w:fill="FFFFFF"/>
        </w:rPr>
        <w:t>（厂名）</w:t>
      </w:r>
      <w:r>
        <w:rPr>
          <w:rStyle w:val="39"/>
          <w:rFonts w:hint="eastAsia" w:ascii="宋体" w:hAnsi="宋体" w:cs="宋体"/>
          <w:i w:val="0"/>
          <w:color w:val="auto"/>
          <w:highlight w:val="none"/>
          <w:shd w:val="clear" w:color="auto" w:fill="FFFFFF"/>
          <w:vertAlign w:val="superscript"/>
        </w:rPr>
        <w:t>2</w:t>
      </w:r>
      <w:r>
        <w:rPr>
          <w:rFonts w:hint="eastAsia" w:ascii="宋体" w:hAnsi="宋体" w:cs="宋体"/>
          <w:color w:val="auto"/>
          <w:highlight w:val="none"/>
          <w:shd w:val="clear" w:color="auto" w:fill="FFFFFF"/>
        </w:rPr>
        <w:t>，厂址为</w:t>
      </w:r>
      <w:r>
        <w:rPr>
          <w:rStyle w:val="39"/>
          <w:rFonts w:hint="eastAsia" w:ascii="宋体" w:hAnsi="宋体" w:cs="宋体"/>
          <w:i w:val="0"/>
          <w:color w:val="auto"/>
          <w:highlight w:val="none"/>
          <w:u w:val="single"/>
          <w:shd w:val="clear" w:color="auto" w:fill="FFFFFF"/>
        </w:rPr>
        <w:t>（生产厂址）</w:t>
      </w:r>
      <w:r>
        <w:rPr>
          <w:rFonts w:hint="eastAsia" w:ascii="宋体" w:hAnsi="宋体" w:cs="宋体"/>
          <w:color w:val="auto"/>
          <w:highlight w:val="none"/>
          <w:shd w:val="clear" w:color="auto" w:fill="FFFFFF"/>
        </w:rPr>
        <w:t>。</w:t>
      </w:r>
      <w:r>
        <w:rPr>
          <w:rStyle w:val="39"/>
          <w:rFonts w:hint="eastAsia" w:ascii="宋体" w:hAnsi="宋体" w:cs="宋体"/>
          <w:i w:val="0"/>
          <w:color w:val="auto"/>
          <w:highlight w:val="none"/>
          <w:u w:val="single"/>
          <w:shd w:val="clear" w:color="auto" w:fill="FFFFFF"/>
        </w:rPr>
        <w:t>（产品名称1）</w:t>
      </w:r>
      <w:r>
        <w:rPr>
          <w:rFonts w:hint="eastAsia" w:ascii="宋体" w:hAnsi="宋体" w:cs="宋体"/>
          <w:color w:val="auto"/>
          <w:highlight w:val="none"/>
          <w:shd w:val="clear" w:color="auto" w:fill="FFFFFF"/>
        </w:rPr>
        <w:t>的中国境内生产的组件成本占比≥</w:t>
      </w:r>
      <w:r>
        <w:rPr>
          <w:rStyle w:val="39"/>
          <w:rFonts w:hint="eastAsia" w:ascii="宋体" w:hAnsi="宋体" w:cs="宋体"/>
          <w:i w:val="0"/>
          <w:color w:val="auto"/>
          <w:highlight w:val="none"/>
          <w:u w:val="single"/>
          <w:shd w:val="clear" w:color="auto" w:fill="FFFFFF"/>
        </w:rPr>
        <w:t>（规定比例）</w:t>
      </w:r>
      <w:r>
        <w:rPr>
          <w:rStyle w:val="39"/>
          <w:rFonts w:hint="eastAsia" w:ascii="宋体" w:hAnsi="宋体" w:cs="宋体"/>
          <w:i w:val="0"/>
          <w:color w:val="auto"/>
          <w:highlight w:val="none"/>
          <w:shd w:val="clear" w:color="auto" w:fill="FFFFFF"/>
          <w:vertAlign w:val="superscript"/>
        </w:rPr>
        <w:t>3</w:t>
      </w:r>
      <w:r>
        <w:rPr>
          <w:rFonts w:hint="eastAsia" w:ascii="宋体" w:hAnsi="宋体" w:cs="宋体"/>
          <w:color w:val="auto"/>
          <w:highlight w:val="none"/>
          <w:shd w:val="clear" w:color="auto" w:fill="FFFFFF"/>
        </w:rPr>
        <w:t>。</w:t>
      </w:r>
      <w:r>
        <w:rPr>
          <w:rStyle w:val="39"/>
          <w:rFonts w:hint="eastAsia" w:ascii="宋体" w:hAnsi="宋体" w:cs="宋体"/>
          <w:i w:val="0"/>
          <w:color w:val="auto"/>
          <w:highlight w:val="none"/>
          <w:u w:val="single"/>
          <w:shd w:val="clear" w:color="auto" w:fill="FFFFFF"/>
        </w:rPr>
        <w:t>（产品名称1）</w:t>
      </w:r>
      <w:r>
        <w:rPr>
          <w:rFonts w:hint="eastAsia" w:ascii="宋体" w:hAnsi="宋体" w:cs="宋体"/>
          <w:color w:val="auto"/>
          <w:highlight w:val="none"/>
          <w:shd w:val="clear" w:color="auto" w:fill="FFFFFF"/>
        </w:rPr>
        <w:t>的</w:t>
      </w:r>
      <w:r>
        <w:rPr>
          <w:rStyle w:val="39"/>
          <w:rFonts w:hint="eastAsia" w:ascii="宋体" w:hAnsi="宋体" w:cs="宋体"/>
          <w:i w:val="0"/>
          <w:color w:val="auto"/>
          <w:highlight w:val="none"/>
          <w:u w:val="single"/>
          <w:shd w:val="clear" w:color="auto" w:fill="FFFFFF"/>
        </w:rPr>
        <w:t>（关键组件）</w:t>
      </w:r>
      <w:r>
        <w:rPr>
          <w:rStyle w:val="39"/>
          <w:rFonts w:hint="eastAsia" w:ascii="宋体" w:hAnsi="宋体" w:cs="宋体"/>
          <w:i w:val="0"/>
          <w:color w:val="auto"/>
          <w:highlight w:val="none"/>
          <w:shd w:val="clear" w:color="auto" w:fill="FFFFFF"/>
          <w:vertAlign w:val="superscript"/>
        </w:rPr>
        <w:t>4</w:t>
      </w:r>
      <w:r>
        <w:rPr>
          <w:rFonts w:hint="eastAsia" w:ascii="宋体" w:hAnsi="宋体" w:cs="宋体"/>
          <w:color w:val="auto"/>
          <w:highlight w:val="none"/>
          <w:shd w:val="clear" w:color="auto" w:fill="FFFFFF"/>
        </w:rPr>
        <w:t>在中国境内生产。</w:t>
      </w:r>
      <w:r>
        <w:rPr>
          <w:rStyle w:val="39"/>
          <w:rFonts w:hint="eastAsia" w:ascii="宋体" w:hAnsi="宋体" w:cs="宋体"/>
          <w:i w:val="0"/>
          <w:color w:val="auto"/>
          <w:highlight w:val="none"/>
          <w:u w:val="single"/>
          <w:shd w:val="clear" w:color="auto" w:fill="FFFFFF"/>
        </w:rPr>
        <w:t>（产品名称1）</w:t>
      </w:r>
      <w:r>
        <w:rPr>
          <w:rFonts w:hint="eastAsia" w:ascii="宋体" w:hAnsi="宋体" w:cs="宋体"/>
          <w:color w:val="auto"/>
          <w:highlight w:val="none"/>
          <w:shd w:val="clear" w:color="auto" w:fill="FFFFFF"/>
        </w:rPr>
        <w:t>的</w:t>
      </w:r>
      <w:r>
        <w:rPr>
          <w:rStyle w:val="39"/>
          <w:rFonts w:hint="eastAsia" w:ascii="宋体" w:hAnsi="宋体" w:cs="宋体"/>
          <w:i w:val="0"/>
          <w:color w:val="auto"/>
          <w:highlight w:val="none"/>
          <w:u w:val="single"/>
          <w:shd w:val="clear" w:color="auto" w:fill="FFFFFF"/>
        </w:rPr>
        <w:t>（关键工序）</w:t>
      </w:r>
      <w:r>
        <w:rPr>
          <w:rStyle w:val="39"/>
          <w:rFonts w:hint="eastAsia" w:ascii="宋体" w:hAnsi="宋体" w:cs="宋体"/>
          <w:i w:val="0"/>
          <w:color w:val="auto"/>
          <w:highlight w:val="none"/>
          <w:shd w:val="clear" w:color="auto" w:fill="FFFFFF"/>
          <w:vertAlign w:val="superscript"/>
        </w:rPr>
        <w:t>5</w:t>
      </w:r>
      <w:r>
        <w:rPr>
          <w:rFonts w:hint="eastAsia" w:ascii="宋体" w:hAnsi="宋体" w:cs="宋体"/>
          <w:color w:val="auto"/>
          <w:highlight w:val="none"/>
          <w:shd w:val="clear" w:color="auto" w:fill="FFFFFF"/>
        </w:rPr>
        <w:t>在中国境内完成。</w:t>
      </w:r>
    </w:p>
    <w:p w14:paraId="5117D1F8">
      <w:pPr>
        <w:pStyle w:val="27"/>
        <w:widowControl/>
        <w:shd w:val="clear" w:color="auto" w:fill="FFFFFF"/>
        <w:spacing w:before="30" w:after="30" w:line="360" w:lineRule="auto"/>
        <w:ind w:firstLine="420"/>
        <w:rPr>
          <w:rFonts w:hint="eastAsia" w:ascii="宋体" w:hAnsi="宋体" w:cs="宋体"/>
          <w:color w:val="auto"/>
          <w:highlight w:val="none"/>
        </w:rPr>
      </w:pPr>
      <w:r>
        <w:rPr>
          <w:rFonts w:hint="eastAsia" w:ascii="宋体" w:hAnsi="宋体" w:cs="宋体"/>
          <w:color w:val="auto"/>
          <w:highlight w:val="none"/>
          <w:shd w:val="clear" w:color="auto" w:fill="FFFFFF"/>
        </w:rPr>
        <w:t>2.</w:t>
      </w:r>
      <w:r>
        <w:rPr>
          <w:rStyle w:val="39"/>
          <w:rFonts w:hint="eastAsia" w:ascii="宋体" w:hAnsi="宋体" w:cs="宋体"/>
          <w:i w:val="0"/>
          <w:color w:val="auto"/>
          <w:highlight w:val="none"/>
          <w:u w:val="single"/>
          <w:shd w:val="clear" w:color="auto" w:fill="FFFFFF"/>
        </w:rPr>
        <w:t>（产品名称2）</w:t>
      </w:r>
      <w:r>
        <w:rPr>
          <w:rFonts w:hint="eastAsia" w:ascii="宋体" w:hAnsi="宋体" w:cs="宋体"/>
          <w:color w:val="auto"/>
          <w:highlight w:val="none"/>
          <w:shd w:val="clear" w:color="auto" w:fill="FFFFFF"/>
        </w:rPr>
        <w:t>，生产厂为</w:t>
      </w:r>
      <w:r>
        <w:rPr>
          <w:rStyle w:val="39"/>
          <w:rFonts w:hint="eastAsia" w:ascii="宋体" w:hAnsi="宋体" w:cs="宋体"/>
          <w:i w:val="0"/>
          <w:color w:val="auto"/>
          <w:highlight w:val="none"/>
          <w:u w:val="single"/>
          <w:shd w:val="clear" w:color="auto" w:fill="FFFFFF"/>
        </w:rPr>
        <w:t>（厂名）</w:t>
      </w:r>
      <w:r>
        <w:rPr>
          <w:rFonts w:hint="eastAsia" w:ascii="宋体" w:hAnsi="宋体" w:cs="宋体"/>
          <w:color w:val="auto"/>
          <w:highlight w:val="none"/>
          <w:shd w:val="clear" w:color="auto" w:fill="FFFFFF"/>
        </w:rPr>
        <w:t>，厂址为</w:t>
      </w:r>
      <w:r>
        <w:rPr>
          <w:rStyle w:val="39"/>
          <w:rFonts w:hint="eastAsia" w:ascii="宋体" w:hAnsi="宋体" w:cs="宋体"/>
          <w:i w:val="0"/>
          <w:color w:val="auto"/>
          <w:highlight w:val="none"/>
          <w:u w:val="single"/>
          <w:shd w:val="clear" w:color="auto" w:fill="FFFFFF"/>
        </w:rPr>
        <w:t>（生产厂址）</w:t>
      </w:r>
      <w:r>
        <w:rPr>
          <w:rFonts w:hint="eastAsia" w:ascii="宋体" w:hAnsi="宋体" w:cs="宋体"/>
          <w:color w:val="auto"/>
          <w:highlight w:val="none"/>
          <w:shd w:val="clear" w:color="auto" w:fill="FFFFFF"/>
        </w:rPr>
        <w:t>。</w:t>
      </w:r>
      <w:r>
        <w:rPr>
          <w:rStyle w:val="39"/>
          <w:rFonts w:hint="eastAsia" w:ascii="宋体" w:hAnsi="宋体" w:cs="宋体"/>
          <w:i w:val="0"/>
          <w:color w:val="auto"/>
          <w:highlight w:val="none"/>
          <w:u w:val="single"/>
          <w:shd w:val="clear" w:color="auto" w:fill="FFFFFF"/>
        </w:rPr>
        <w:t>（产品名称2）</w:t>
      </w:r>
      <w:r>
        <w:rPr>
          <w:rFonts w:hint="eastAsia" w:ascii="宋体" w:hAnsi="宋体" w:cs="宋体"/>
          <w:color w:val="auto"/>
          <w:highlight w:val="none"/>
          <w:shd w:val="clear" w:color="auto" w:fill="FFFFFF"/>
        </w:rPr>
        <w:t>的中国境内生产的组件成本占比≥</w:t>
      </w:r>
      <w:r>
        <w:rPr>
          <w:rStyle w:val="39"/>
          <w:rFonts w:hint="eastAsia" w:ascii="宋体" w:hAnsi="宋体" w:cs="宋体"/>
          <w:i w:val="0"/>
          <w:color w:val="auto"/>
          <w:highlight w:val="none"/>
          <w:u w:val="single"/>
          <w:shd w:val="clear" w:color="auto" w:fill="FFFFFF"/>
        </w:rPr>
        <w:t>（规定比例）</w:t>
      </w:r>
      <w:r>
        <w:rPr>
          <w:rFonts w:hint="eastAsia" w:ascii="宋体" w:hAnsi="宋体" w:cs="宋体"/>
          <w:color w:val="auto"/>
          <w:highlight w:val="none"/>
          <w:shd w:val="clear" w:color="auto" w:fill="FFFFFF"/>
        </w:rPr>
        <w:t>。</w:t>
      </w:r>
      <w:r>
        <w:rPr>
          <w:rStyle w:val="39"/>
          <w:rFonts w:hint="eastAsia" w:ascii="宋体" w:hAnsi="宋体" w:cs="宋体"/>
          <w:i w:val="0"/>
          <w:color w:val="auto"/>
          <w:highlight w:val="none"/>
          <w:u w:val="single"/>
          <w:shd w:val="clear" w:color="auto" w:fill="FFFFFF"/>
        </w:rPr>
        <w:t>（产品名称2）</w:t>
      </w:r>
      <w:r>
        <w:rPr>
          <w:rFonts w:hint="eastAsia" w:ascii="宋体" w:hAnsi="宋体" w:cs="宋体"/>
          <w:color w:val="auto"/>
          <w:highlight w:val="none"/>
          <w:shd w:val="clear" w:color="auto" w:fill="FFFFFF"/>
        </w:rPr>
        <w:t>的</w:t>
      </w:r>
      <w:r>
        <w:rPr>
          <w:rStyle w:val="39"/>
          <w:rFonts w:hint="eastAsia" w:ascii="宋体" w:hAnsi="宋体" w:cs="宋体"/>
          <w:i w:val="0"/>
          <w:color w:val="auto"/>
          <w:highlight w:val="none"/>
          <w:u w:val="single"/>
          <w:shd w:val="clear" w:color="auto" w:fill="FFFFFF"/>
        </w:rPr>
        <w:t>（关键组件）</w:t>
      </w:r>
      <w:r>
        <w:rPr>
          <w:rFonts w:hint="eastAsia" w:ascii="宋体" w:hAnsi="宋体" w:cs="宋体"/>
          <w:color w:val="auto"/>
          <w:highlight w:val="none"/>
          <w:shd w:val="clear" w:color="auto" w:fill="FFFFFF"/>
        </w:rPr>
        <w:t>在中国境内生产。</w:t>
      </w:r>
      <w:r>
        <w:rPr>
          <w:rStyle w:val="39"/>
          <w:rFonts w:hint="eastAsia" w:ascii="宋体" w:hAnsi="宋体" w:cs="宋体"/>
          <w:i w:val="0"/>
          <w:color w:val="auto"/>
          <w:highlight w:val="none"/>
          <w:u w:val="single"/>
          <w:shd w:val="clear" w:color="auto" w:fill="FFFFFF"/>
        </w:rPr>
        <w:t>（产品名称2）</w:t>
      </w:r>
      <w:r>
        <w:rPr>
          <w:rFonts w:hint="eastAsia" w:ascii="宋体" w:hAnsi="宋体" w:cs="宋体"/>
          <w:color w:val="auto"/>
          <w:highlight w:val="none"/>
          <w:shd w:val="clear" w:color="auto" w:fill="FFFFFF"/>
        </w:rPr>
        <w:t>的</w:t>
      </w:r>
      <w:r>
        <w:rPr>
          <w:rStyle w:val="39"/>
          <w:rFonts w:hint="eastAsia" w:ascii="宋体" w:hAnsi="宋体" w:cs="宋体"/>
          <w:i w:val="0"/>
          <w:color w:val="auto"/>
          <w:highlight w:val="none"/>
          <w:u w:val="single"/>
          <w:shd w:val="clear" w:color="auto" w:fill="FFFFFF"/>
        </w:rPr>
        <w:t>（关键工序）</w:t>
      </w:r>
      <w:r>
        <w:rPr>
          <w:rFonts w:hint="eastAsia" w:ascii="宋体" w:hAnsi="宋体" w:cs="宋体"/>
          <w:color w:val="auto"/>
          <w:highlight w:val="none"/>
          <w:shd w:val="clear" w:color="auto" w:fill="FFFFFF"/>
        </w:rPr>
        <w:t>在中国境内完成。</w:t>
      </w:r>
    </w:p>
    <w:p w14:paraId="6E2E3472">
      <w:pPr>
        <w:pStyle w:val="27"/>
        <w:widowControl/>
        <w:shd w:val="clear" w:color="auto" w:fill="FFFFFF"/>
        <w:spacing w:before="30" w:after="30" w:line="360" w:lineRule="auto"/>
        <w:ind w:firstLine="420"/>
        <w:rPr>
          <w:rFonts w:hint="eastAsia" w:ascii="宋体" w:hAnsi="宋体" w:cs="宋体"/>
          <w:color w:val="auto"/>
          <w:highlight w:val="none"/>
        </w:rPr>
      </w:pPr>
      <w:r>
        <w:rPr>
          <w:rFonts w:hint="eastAsia" w:ascii="宋体" w:hAnsi="宋体" w:cs="宋体"/>
          <w:color w:val="auto"/>
          <w:highlight w:val="none"/>
          <w:shd w:val="clear" w:color="auto" w:fill="FFFFFF"/>
        </w:rPr>
        <w:t>……</w:t>
      </w:r>
    </w:p>
    <w:p w14:paraId="1D153540">
      <w:pPr>
        <w:pStyle w:val="27"/>
        <w:widowControl/>
        <w:shd w:val="clear" w:color="auto" w:fill="FFFFFF"/>
        <w:spacing w:before="30" w:after="30" w:line="360" w:lineRule="auto"/>
        <w:ind w:firstLine="420"/>
        <w:rPr>
          <w:rFonts w:hint="eastAsia" w:ascii="宋体" w:hAnsi="宋体" w:cs="宋体"/>
          <w:color w:val="auto"/>
          <w:highlight w:val="none"/>
        </w:rPr>
      </w:pPr>
      <w:r>
        <w:rPr>
          <w:rFonts w:hint="eastAsia" w:ascii="宋体" w:hAnsi="宋体" w:cs="宋体"/>
          <w:color w:val="auto"/>
          <w:highlight w:val="none"/>
          <w:shd w:val="clear" w:color="auto" w:fill="FFFFFF"/>
        </w:rPr>
        <w:t>本公司（单位）对上述声明内容的真实性负责。如有虚假，愿承担相应法律责任。</w:t>
      </w:r>
    </w:p>
    <w:p w14:paraId="2E8EF3DF">
      <w:pPr>
        <w:pStyle w:val="27"/>
        <w:widowControl/>
        <w:shd w:val="clear" w:color="auto" w:fill="FFFFFF"/>
        <w:spacing w:before="30" w:after="30" w:line="360" w:lineRule="auto"/>
        <w:rPr>
          <w:rFonts w:hint="eastAsia" w:ascii="宋体" w:hAnsi="宋体" w:cs="宋体"/>
          <w:color w:val="auto"/>
          <w:highlight w:val="none"/>
        </w:rPr>
      </w:pPr>
    </w:p>
    <w:p w14:paraId="40BB76BC">
      <w:pPr>
        <w:pStyle w:val="27"/>
        <w:widowControl/>
        <w:shd w:val="clear" w:color="auto" w:fill="FFFFFF"/>
        <w:spacing w:before="30" w:after="30" w:line="360" w:lineRule="auto"/>
        <w:jc w:val="right"/>
        <w:rPr>
          <w:rFonts w:hint="eastAsia" w:ascii="宋体" w:hAnsi="宋体" w:cs="宋体"/>
          <w:color w:val="auto"/>
          <w:highlight w:val="none"/>
        </w:rPr>
      </w:pPr>
      <w:r>
        <w:rPr>
          <w:rFonts w:hint="eastAsia" w:ascii="宋体" w:hAnsi="宋体" w:cs="宋体"/>
          <w:color w:val="auto"/>
          <w:highlight w:val="none"/>
          <w:shd w:val="clear" w:color="auto" w:fill="FFFFFF"/>
        </w:rPr>
        <w:t>公司（单位）名称（盖章）：　        </w:t>
      </w:r>
    </w:p>
    <w:p w14:paraId="356EE211">
      <w:pPr>
        <w:pStyle w:val="27"/>
        <w:widowControl/>
        <w:shd w:val="clear" w:color="auto" w:fill="FFFFFF"/>
        <w:spacing w:before="30" w:after="30" w:line="360" w:lineRule="auto"/>
        <w:jc w:val="right"/>
        <w:rPr>
          <w:rFonts w:hint="eastAsia" w:ascii="宋体" w:hAnsi="宋体" w:cs="宋体"/>
          <w:color w:val="auto"/>
          <w:highlight w:val="none"/>
        </w:rPr>
      </w:pPr>
      <w:r>
        <w:rPr>
          <w:rFonts w:hint="eastAsia" w:ascii="宋体" w:hAnsi="宋体" w:cs="宋体"/>
          <w:color w:val="auto"/>
          <w:highlight w:val="none"/>
          <w:shd w:val="clear" w:color="auto" w:fill="FFFFFF"/>
        </w:rPr>
        <w:t>日期：　     年　  月　  日         </w:t>
      </w:r>
    </w:p>
    <w:p w14:paraId="4DCFE6FA">
      <w:pPr>
        <w:pStyle w:val="27"/>
        <w:widowControl/>
        <w:shd w:val="clear" w:color="auto" w:fill="FFFFFF"/>
        <w:spacing w:before="30" w:after="30" w:line="360" w:lineRule="auto"/>
        <w:jc w:val="left"/>
        <w:rPr>
          <w:rFonts w:hint="eastAsia" w:ascii="宋体" w:hAnsi="宋体" w:cs="宋体"/>
          <w:color w:val="auto"/>
          <w:highlight w:val="none"/>
        </w:rPr>
      </w:pPr>
      <w:r>
        <w:rPr>
          <w:rFonts w:hint="eastAsia" w:ascii="宋体" w:hAnsi="宋体" w:cs="宋体"/>
          <w:color w:val="auto"/>
          <w:highlight w:val="none"/>
          <w:shd w:val="clear" w:color="auto" w:fill="FFFFFF"/>
        </w:rPr>
        <w:t>__________________</w:t>
      </w:r>
    </w:p>
    <w:p w14:paraId="2CDEAC4A">
      <w:pPr>
        <w:pStyle w:val="27"/>
        <w:widowControl/>
        <w:shd w:val="clear" w:color="auto" w:fill="FFFFFF"/>
        <w:spacing w:before="30" w:after="30"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shd w:val="clear" w:color="auto" w:fill="FFFFFF"/>
        </w:rPr>
        <w:t>1.产品如有型号，请在“产品名称”栏一并填写。</w:t>
      </w:r>
    </w:p>
    <w:p w14:paraId="105EDE53">
      <w:pPr>
        <w:pStyle w:val="27"/>
        <w:widowControl/>
        <w:shd w:val="clear" w:color="auto" w:fill="FFFFFF"/>
        <w:spacing w:before="30" w:after="30"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shd w:val="clear" w:color="auto" w:fill="FFFFFF"/>
        </w:rPr>
        <w:t>2.生产厂名与厂址应与生产厂营业执照载明的相关信息保持一致。</w:t>
      </w:r>
    </w:p>
    <w:p w14:paraId="1E6D2E38">
      <w:pPr>
        <w:pStyle w:val="27"/>
        <w:widowControl/>
        <w:shd w:val="clear" w:color="auto" w:fill="FFFFFF"/>
        <w:spacing w:before="30" w:after="30"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shd w:val="clear" w:color="auto" w:fill="FFFFFF"/>
        </w:rPr>
        <w:t>3.该产品的中国境内生产的组件成本占比相关要求实施前，“规定比例”栏可不填，下同。</w:t>
      </w:r>
    </w:p>
    <w:p w14:paraId="501310CC">
      <w:pPr>
        <w:pStyle w:val="27"/>
        <w:widowControl/>
        <w:shd w:val="clear" w:color="auto" w:fill="FFFFFF"/>
        <w:spacing w:before="30" w:after="30"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shd w:val="clear" w:color="auto" w:fill="FFFFFF"/>
        </w:rPr>
        <w:t>4.该产品的关键组件要求实施前，“关键组件”栏可不填，下同。</w:t>
      </w:r>
    </w:p>
    <w:p w14:paraId="3F96E38D">
      <w:pPr>
        <w:pStyle w:val="27"/>
        <w:widowControl/>
        <w:shd w:val="clear" w:color="auto" w:fill="FFFFFF"/>
        <w:spacing w:before="30" w:after="30" w:line="360" w:lineRule="auto"/>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shd w:val="clear" w:color="auto" w:fill="FFFFFF"/>
        </w:rPr>
        <w:t>5.该产品的关键工序要求实施前，“关键工序”栏可不填，下同。</w:t>
      </w:r>
    </w:p>
    <w:p w14:paraId="38E37E0F">
      <w:pPr>
        <w:numPr>
          <w:ilvl w:val="255"/>
          <w:numId w:val="0"/>
        </w:numPr>
        <w:rPr>
          <w:rFonts w:hint="eastAsia" w:ascii="宋体" w:hAnsi="宋体" w:eastAsia="宋体" w:cs="宋体"/>
          <w:b/>
          <w:color w:val="auto"/>
          <w:sz w:val="28"/>
          <w:szCs w:val="28"/>
          <w:highlight w:val="none"/>
        </w:rPr>
      </w:pPr>
    </w:p>
    <w:p w14:paraId="2DA8E723">
      <w:pPr>
        <w:numPr>
          <w:ilvl w:val="255"/>
          <w:numId w:val="0"/>
        </w:numPr>
        <w:rPr>
          <w:rFonts w:hint="eastAsia" w:ascii="宋体" w:hAnsi="宋体" w:eastAsia="宋体" w:cs="宋体"/>
          <w:b/>
          <w:color w:val="auto"/>
          <w:sz w:val="28"/>
          <w:szCs w:val="28"/>
          <w:highlight w:val="none"/>
        </w:rPr>
      </w:pPr>
      <w:r>
        <w:rPr>
          <w:rFonts w:hint="eastAsia" w:ascii="宋体" w:hAnsi="宋体" w:eastAsia="宋体" w:cs="宋体"/>
          <w:color w:val="auto"/>
          <w:sz w:val="24"/>
          <w:szCs w:val="24"/>
          <w:highlight w:val="none"/>
          <w:shd w:val="clear" w:color="auto" w:fill="FFFFFF"/>
        </w:rPr>
        <w:t>注：成交供应商提供的《声明函》或有关证明文件随成交结果同时公告。</w:t>
      </w:r>
    </w:p>
    <w:p w14:paraId="459682DB">
      <w:pPr>
        <w:numPr>
          <w:ilvl w:val="255"/>
          <w:numId w:val="0"/>
        </w:numPr>
        <w:rPr>
          <w:rFonts w:hint="eastAsia" w:ascii="宋体" w:hAnsi="宋体" w:eastAsia="宋体" w:cs="宋体"/>
          <w:b/>
          <w:color w:val="auto"/>
          <w:sz w:val="28"/>
          <w:szCs w:val="28"/>
          <w:highlight w:val="none"/>
        </w:rPr>
      </w:pPr>
    </w:p>
    <w:p w14:paraId="50075966">
      <w:pPr>
        <w:numPr>
          <w:ilvl w:val="255"/>
          <w:numId w:val="0"/>
        </w:numPr>
        <w:rPr>
          <w:rFonts w:hint="eastAsia" w:ascii="宋体" w:hAnsi="宋体" w:eastAsia="宋体" w:cs="宋体"/>
          <w:b/>
          <w:color w:val="auto"/>
          <w:sz w:val="28"/>
          <w:szCs w:val="28"/>
          <w:highlight w:val="none"/>
        </w:rPr>
      </w:pPr>
    </w:p>
    <w:p w14:paraId="098B0F42">
      <w:pPr>
        <w:numPr>
          <w:ilvl w:val="255"/>
          <w:numId w:val="0"/>
        </w:numPr>
        <w:rPr>
          <w:rFonts w:hint="eastAsia" w:ascii="宋体" w:hAnsi="宋体" w:eastAsia="宋体" w:cs="宋体"/>
          <w:b/>
          <w:color w:val="auto"/>
          <w:sz w:val="28"/>
          <w:szCs w:val="28"/>
          <w:highlight w:val="none"/>
        </w:rPr>
      </w:pPr>
    </w:p>
    <w:p w14:paraId="340EBAE8">
      <w:pPr>
        <w:numPr>
          <w:ilvl w:val="255"/>
          <w:numId w:val="0"/>
        </w:numPr>
        <w:rPr>
          <w:rFonts w:hint="eastAsia" w:ascii="宋体" w:hAnsi="宋体" w:eastAsia="宋体" w:cs="宋体"/>
          <w:b/>
          <w:color w:val="auto"/>
          <w:sz w:val="28"/>
          <w:szCs w:val="28"/>
          <w:highlight w:val="none"/>
        </w:rPr>
      </w:pPr>
    </w:p>
    <w:p w14:paraId="4E86B0CD">
      <w:pPr>
        <w:pStyle w:val="22"/>
        <w:rPr>
          <w:rFonts w:hint="eastAsia" w:ascii="宋体" w:hAnsi="宋体" w:cs="仿宋_GB2312"/>
          <w:color w:val="auto"/>
          <w:sz w:val="24"/>
          <w:szCs w:val="24"/>
          <w:highlight w:val="none"/>
        </w:rPr>
      </w:pPr>
    </w:p>
    <w:p w14:paraId="6648D17C">
      <w:pPr>
        <w:pStyle w:val="22"/>
        <w:rPr>
          <w:rFonts w:hint="eastAsia" w:ascii="宋体" w:hAnsi="宋体" w:cs="仿宋_GB2312"/>
          <w:color w:val="auto"/>
          <w:sz w:val="24"/>
          <w:szCs w:val="24"/>
          <w:highlight w:val="none"/>
        </w:rPr>
      </w:pPr>
    </w:p>
    <w:p w14:paraId="3B678768">
      <w:pPr>
        <w:rPr>
          <w:rFonts w:hint="eastAsia" w:ascii="宋体" w:hAnsi="宋体" w:cs="仿宋_GB2312"/>
          <w:color w:val="auto"/>
          <w:sz w:val="24"/>
          <w:szCs w:val="24"/>
          <w:highlight w:val="none"/>
        </w:rPr>
      </w:pPr>
    </w:p>
    <w:p w14:paraId="4D4576D6">
      <w:pPr>
        <w:widowControl/>
        <w:shd w:val="clear" w:color="auto" w:fill="FFFFFF"/>
        <w:spacing w:line="480" w:lineRule="atLeast"/>
        <w:rPr>
          <w:rFonts w:hint="eastAsia" w:ascii="宋体" w:hAnsi="宋体" w:eastAsia="宋体" w:cs="宋体"/>
          <w:color w:val="auto"/>
          <w:kern w:val="0"/>
          <w:sz w:val="28"/>
          <w:szCs w:val="28"/>
          <w:highlight w:val="none"/>
        </w:rPr>
      </w:pPr>
      <w:r>
        <w:rPr>
          <w:rFonts w:hint="eastAsia" w:ascii="宋体" w:hAnsi="宋体" w:cs="宋体"/>
          <w:color w:val="auto"/>
          <w:sz w:val="28"/>
          <w:szCs w:val="28"/>
          <w:highlight w:val="none"/>
        </w:rPr>
        <w:t>4.</w:t>
      </w:r>
      <w:r>
        <w:rPr>
          <w:rFonts w:hint="eastAsia" w:ascii="宋体" w:hAnsi="宋体" w:eastAsia="宋体" w:cs="宋体"/>
          <w:color w:val="auto"/>
          <w:kern w:val="0"/>
          <w:sz w:val="28"/>
          <w:szCs w:val="28"/>
          <w:highlight w:val="none"/>
        </w:rPr>
        <w:t>广西壮族自治区政府采购项目合同验收书的格式：</w:t>
      </w:r>
    </w:p>
    <w:p w14:paraId="3A5B382D">
      <w:pPr>
        <w:widowControl/>
        <w:jc w:val="left"/>
        <w:rPr>
          <w:rFonts w:hint="eastAsia" w:ascii="宋体" w:hAnsi="宋体" w:eastAsia="宋体" w:cs="宋体"/>
          <w:color w:val="auto"/>
          <w:kern w:val="0"/>
          <w:sz w:val="28"/>
          <w:szCs w:val="28"/>
          <w:highlight w:val="none"/>
        </w:rPr>
      </w:pPr>
    </w:p>
    <w:p w14:paraId="575F6C56">
      <w:pPr>
        <w:widowControl/>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w:t>
      </w:r>
    </w:p>
    <w:p w14:paraId="228D14B2">
      <w:pPr>
        <w:widowControl/>
        <w:shd w:val="clear" w:color="auto" w:fill="FFFFFF"/>
        <w:spacing w:line="480" w:lineRule="atLeast"/>
        <w:jc w:val="center"/>
        <w:rPr>
          <w:rFonts w:hint="eastAsia" w:ascii="仿宋" w:hAnsi="仿宋" w:eastAsia="仿宋" w:cs="宋体"/>
          <w:color w:val="auto"/>
          <w:kern w:val="0"/>
          <w:sz w:val="32"/>
          <w:szCs w:val="32"/>
          <w:highlight w:val="none"/>
        </w:rPr>
      </w:pPr>
    </w:p>
    <w:p w14:paraId="508678F4">
      <w:pPr>
        <w:widowControl/>
        <w:shd w:val="clear" w:color="auto" w:fill="FFFFFF"/>
        <w:snapToGrid w:val="0"/>
        <w:spacing w:line="320" w:lineRule="atLeast"/>
        <w:ind w:firstLine="480"/>
        <w:jc w:val="left"/>
        <w:rPr>
          <w:rFonts w:hint="eastAsia" w:ascii="仿宋" w:hAnsi="仿宋" w:eastAsia="仿宋" w:cs="宋体"/>
          <w:color w:val="auto"/>
          <w:kern w:val="0"/>
          <w:szCs w:val="21"/>
          <w:highlight w:val="none"/>
        </w:rPr>
      </w:pPr>
      <w:r>
        <w:rPr>
          <w:rFonts w:hint="eastAsia" w:ascii="仿宋" w:hAnsi="仿宋" w:eastAsia="仿宋" w:cs="宋体"/>
          <w:color w:val="auto"/>
          <w:kern w:val="0"/>
          <w:szCs w:val="21"/>
          <w:highlight w:val="none"/>
        </w:rPr>
        <w:t>根据政府采购项目（</w:t>
      </w:r>
      <w:r>
        <w:rPr>
          <w:rFonts w:hint="eastAsia" w:ascii="仿宋" w:hAnsi="仿宋" w:eastAsia="仿宋" w:cs="宋体"/>
          <w:color w:val="auto"/>
          <w:kern w:val="0"/>
          <w:szCs w:val="21"/>
          <w:highlight w:val="none"/>
          <w:u w:val="single"/>
        </w:rPr>
        <w:t>采购合同编号：</w:t>
      </w:r>
      <w:r>
        <w:rPr>
          <w:rFonts w:hint="eastAsia" w:ascii="仿宋" w:hAnsi="仿宋" w:eastAsia="仿宋" w:cs="宋体"/>
          <w:color w:val="auto"/>
          <w:kern w:val="0"/>
          <w:szCs w:val="21"/>
          <w:highlight w:val="none"/>
          <w:u w:val="single"/>
        </w:rPr>
        <w:softHyphen/>
      </w:r>
      <w:r>
        <w:rPr>
          <w:rFonts w:hint="eastAsia" w:ascii="仿宋" w:hAnsi="仿宋" w:eastAsia="仿宋" w:cs="宋体"/>
          <w:color w:val="auto"/>
          <w:kern w:val="0"/>
          <w:szCs w:val="21"/>
          <w:highlight w:val="none"/>
          <w:u w:val="single"/>
        </w:rPr>
        <w:t xml:space="preserve"> </w:t>
      </w:r>
      <w:r>
        <w:rPr>
          <w:rFonts w:hint="eastAsia" w:ascii="仿宋" w:hAnsi="仿宋" w:eastAsia="仿宋" w:cs="宋体"/>
          <w:color w:val="auto"/>
          <w:kern w:val="0"/>
          <w:szCs w:val="21"/>
          <w:highlight w:val="none"/>
        </w:rPr>
        <w:t>）的约定，我单位对（</w:t>
      </w:r>
      <w:r>
        <w:rPr>
          <w:rFonts w:hint="eastAsia" w:ascii="仿宋" w:hAnsi="仿宋" w:eastAsia="仿宋" w:cs="宋体"/>
          <w:color w:val="auto"/>
          <w:kern w:val="0"/>
          <w:szCs w:val="21"/>
          <w:highlight w:val="none"/>
          <w:u w:val="single"/>
        </w:rPr>
        <w:t xml:space="preserve"> 项目名称 </w:t>
      </w:r>
      <w:r>
        <w:rPr>
          <w:rFonts w:hint="eastAsia" w:ascii="仿宋" w:hAnsi="仿宋" w:eastAsia="仿宋" w:cs="宋体"/>
          <w:color w:val="auto"/>
          <w:kern w:val="0"/>
          <w:szCs w:val="21"/>
          <w:highlight w:val="none"/>
        </w:rPr>
        <w:t>） 政府采购项目成交供应商（</w:t>
      </w:r>
      <w:r>
        <w:rPr>
          <w:rFonts w:hint="eastAsia" w:ascii="仿宋" w:hAnsi="仿宋" w:eastAsia="仿宋" w:cs="宋体"/>
          <w:color w:val="auto"/>
          <w:kern w:val="0"/>
          <w:szCs w:val="21"/>
          <w:highlight w:val="none"/>
          <w:u w:val="single"/>
        </w:rPr>
        <w:t xml:space="preserve"> 公司名称 </w:t>
      </w:r>
      <w:r>
        <w:rPr>
          <w:rFonts w:hint="eastAsia" w:ascii="仿宋" w:hAnsi="仿宋" w:eastAsia="仿宋" w:cs="宋体"/>
          <w:color w:val="auto"/>
          <w:kern w:val="0"/>
          <w:szCs w:val="21"/>
          <w:highlight w:val="none"/>
        </w:rPr>
        <w:t>） 提供的货物（或者工程、服务）进行了验收，验收情况如下：</w:t>
      </w:r>
    </w:p>
    <w:tbl>
      <w:tblPr>
        <w:tblStyle w:val="32"/>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110D2BAC">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41ADAEDA">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vAlign w:val="center"/>
          </w:tcPr>
          <w:p w14:paraId="47E7CEAC">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4865DF00">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192C0EAB">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vAlign w:val="center"/>
          </w:tcPr>
          <w:p w14:paraId="41ED3822">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vAlign w:val="center"/>
          </w:tcPr>
          <w:p w14:paraId="71143926">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77BD2E28">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1428" w:type="dxa"/>
            <w:tcBorders>
              <w:top w:val="nil"/>
              <w:left w:val="nil"/>
              <w:bottom w:val="single" w:color="auto" w:sz="8" w:space="0"/>
              <w:right w:val="single" w:color="auto" w:sz="8" w:space="0"/>
            </w:tcBorders>
            <w:vAlign w:val="center"/>
          </w:tcPr>
          <w:p w14:paraId="51D002FA">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金额</w:t>
            </w:r>
          </w:p>
        </w:tc>
      </w:tr>
      <w:tr w14:paraId="0733D5B6">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6BE04155">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6FCFA878">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3B6B5269">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0E241477">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5ECE7930">
            <w:pPr>
              <w:widowControl/>
              <w:spacing w:before="100" w:beforeAutospacing="1" w:after="100" w:afterAutospacing="1" w:line="240" w:lineRule="atLeast"/>
              <w:jc w:val="center"/>
              <w:rPr>
                <w:rFonts w:ascii="Verdana" w:hAnsi="Verdana" w:cs="宋体"/>
                <w:color w:val="auto"/>
                <w:kern w:val="0"/>
                <w:szCs w:val="21"/>
                <w:highlight w:val="none"/>
              </w:rPr>
            </w:pPr>
          </w:p>
        </w:tc>
      </w:tr>
      <w:tr w14:paraId="11751C4A">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239B4072">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77F049A1">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69724FF7">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57D2274C">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2CEE072E">
            <w:pPr>
              <w:widowControl/>
              <w:spacing w:before="100" w:beforeAutospacing="1" w:after="100" w:afterAutospacing="1" w:line="240" w:lineRule="atLeast"/>
              <w:jc w:val="center"/>
              <w:rPr>
                <w:rFonts w:ascii="Verdana" w:hAnsi="Verdana" w:cs="宋体"/>
                <w:color w:val="auto"/>
                <w:kern w:val="0"/>
                <w:szCs w:val="21"/>
                <w:highlight w:val="none"/>
              </w:rPr>
            </w:pPr>
          </w:p>
        </w:tc>
      </w:tr>
      <w:tr w14:paraId="2600143F">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495278F7">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69BE7143">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01ED1B05">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56B9959D">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5348AD2F">
            <w:pPr>
              <w:widowControl/>
              <w:spacing w:before="100" w:beforeAutospacing="1" w:after="100" w:afterAutospacing="1" w:line="240" w:lineRule="atLeast"/>
              <w:jc w:val="center"/>
              <w:rPr>
                <w:rFonts w:ascii="Verdana" w:hAnsi="Verdana" w:cs="宋体"/>
                <w:color w:val="auto"/>
                <w:kern w:val="0"/>
                <w:szCs w:val="21"/>
                <w:highlight w:val="none"/>
              </w:rPr>
            </w:pPr>
          </w:p>
        </w:tc>
      </w:tr>
      <w:tr w14:paraId="0DE38274">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619F1B2D">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vAlign w:val="center"/>
          </w:tcPr>
          <w:p w14:paraId="4AE8C03A">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5FE07000">
            <w:pPr>
              <w:widowControl/>
              <w:spacing w:before="100" w:beforeAutospacing="1" w:after="100" w:afterAutospacing="1" w:line="240" w:lineRule="atLeast"/>
              <w:jc w:val="center"/>
              <w:rPr>
                <w:rFonts w:ascii="Verdana" w:hAnsi="Verdana" w:cs="宋体"/>
                <w:color w:val="auto"/>
                <w:kern w:val="0"/>
                <w:szCs w:val="21"/>
                <w:highlight w:val="none"/>
              </w:rPr>
            </w:pPr>
          </w:p>
        </w:tc>
      </w:tr>
      <w:tr w14:paraId="22F7C391">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624F4511">
            <w:pPr>
              <w:widowControl/>
              <w:snapToGrid w:val="0"/>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万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元</w:t>
            </w:r>
          </w:p>
        </w:tc>
      </w:tr>
      <w:tr w14:paraId="69542635">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77F4DD9B">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vAlign w:val="center"/>
          </w:tcPr>
          <w:p w14:paraId="64FBB1AD">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78FDD19B">
            <w:pPr>
              <w:widowControl/>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ascii="Verdana" w:hAnsi="Verdana"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vAlign w:val="center"/>
          </w:tcPr>
          <w:p w14:paraId="79D1C746">
            <w:pPr>
              <w:widowControl/>
              <w:spacing w:before="100" w:beforeAutospacing="1" w:after="100" w:afterAutospacing="1" w:line="240" w:lineRule="atLeast"/>
              <w:jc w:val="center"/>
              <w:rPr>
                <w:rFonts w:ascii="Verdana" w:hAnsi="Verdana" w:cs="宋体"/>
                <w:color w:val="auto"/>
                <w:kern w:val="0"/>
                <w:szCs w:val="21"/>
                <w:highlight w:val="none"/>
              </w:rPr>
            </w:pPr>
          </w:p>
        </w:tc>
      </w:tr>
      <w:tr w14:paraId="420E3F74">
        <w:tblPrEx>
          <w:tblCellMar>
            <w:top w:w="0" w:type="dxa"/>
            <w:left w:w="0" w:type="dxa"/>
            <w:bottom w:w="0" w:type="dxa"/>
            <w:right w:w="0" w:type="dxa"/>
          </w:tblCellMar>
        </w:tblPrEx>
        <w:trPr>
          <w:trHeight w:val="394"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2E06F4CF">
            <w:pPr>
              <w:widowControl/>
              <w:spacing w:before="100" w:beforeAutospacing="1" w:after="100" w:afterAutospacing="1" w:line="240" w:lineRule="atLeast"/>
              <w:jc w:val="center"/>
              <w:rPr>
                <w:rFonts w:ascii="Verdana" w:hAnsi="Verdana" w:cs="宋体"/>
                <w:color w:val="auto"/>
                <w:kern w:val="0"/>
                <w:szCs w:val="21"/>
                <w:highlight w:val="none"/>
              </w:rPr>
            </w:pPr>
          </w:p>
        </w:tc>
        <w:tc>
          <w:tcPr>
            <w:tcW w:w="2421" w:type="dxa"/>
            <w:gridSpan w:val="2"/>
            <w:tcBorders>
              <w:top w:val="nil"/>
              <w:left w:val="nil"/>
              <w:bottom w:val="single" w:color="auto" w:sz="8" w:space="0"/>
              <w:right w:val="single" w:color="auto" w:sz="8" w:space="0"/>
            </w:tcBorders>
            <w:vAlign w:val="center"/>
          </w:tcPr>
          <w:p w14:paraId="74D4F8BF">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4875C69C">
            <w:pPr>
              <w:widowControl/>
              <w:spacing w:before="100" w:beforeAutospacing="1" w:after="100" w:afterAutospacing="1" w:line="240" w:lineRule="atLeast"/>
              <w:jc w:val="center"/>
              <w:rPr>
                <w:rFonts w:ascii="Verdana" w:hAnsi="Verdana" w:cs="宋体"/>
                <w:color w:val="auto"/>
                <w:kern w:val="0"/>
                <w:szCs w:val="21"/>
                <w:highlight w:val="none"/>
              </w:rPr>
            </w:pPr>
          </w:p>
        </w:tc>
        <w:tc>
          <w:tcPr>
            <w:tcW w:w="2113" w:type="dxa"/>
            <w:gridSpan w:val="2"/>
            <w:tcBorders>
              <w:top w:val="nil"/>
              <w:left w:val="nil"/>
              <w:bottom w:val="single" w:color="auto" w:sz="8" w:space="0"/>
              <w:right w:val="single" w:color="auto" w:sz="8" w:space="0"/>
            </w:tcBorders>
            <w:vAlign w:val="center"/>
          </w:tcPr>
          <w:p w14:paraId="350378E0">
            <w:pPr>
              <w:widowControl/>
              <w:spacing w:before="100" w:beforeAutospacing="1" w:after="100" w:afterAutospacing="1" w:line="240" w:lineRule="atLeast"/>
              <w:jc w:val="center"/>
              <w:rPr>
                <w:rFonts w:ascii="Verdana" w:hAnsi="Verdana" w:cs="宋体"/>
                <w:color w:val="auto"/>
                <w:kern w:val="0"/>
                <w:szCs w:val="21"/>
                <w:highlight w:val="none"/>
              </w:rPr>
            </w:pPr>
          </w:p>
        </w:tc>
      </w:tr>
      <w:tr w14:paraId="63E94E51">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A37EAA">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7AC41244">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竞争性谈判文件、竞标响应文件及验收方案等进行验收；并核对成交供应商在安装调试等方面是否违反合同约定或者服务规范要求、提供的质量保证证明材料是否齐全、应有的配件及附件是否达到合同约定等。可附件</w:t>
            </w:r>
            <w:r>
              <w:rPr>
                <w:rFonts w:hint="eastAsia" w:ascii="Verdana" w:hAnsi="Verdana" w:cs="宋体"/>
                <w:color w:val="auto"/>
                <w:kern w:val="0"/>
                <w:szCs w:val="21"/>
                <w:highlight w:val="none"/>
              </w:rPr>
              <w:t>）</w:t>
            </w:r>
          </w:p>
        </w:tc>
      </w:tr>
      <w:tr w14:paraId="2DFB2B18">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79BA91">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vAlign w:val="center"/>
          </w:tcPr>
          <w:p w14:paraId="33635767">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5CDDB0D5">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5D65F093">
            <w:pPr>
              <w:widowControl/>
              <w:jc w:val="left"/>
              <w:rPr>
                <w:rFonts w:ascii="Verdana" w:hAnsi="Verdana" w:cs="宋体"/>
                <w:color w:val="auto"/>
                <w:kern w:val="0"/>
                <w:szCs w:val="21"/>
                <w:highlight w:val="none"/>
              </w:rPr>
            </w:pPr>
          </w:p>
        </w:tc>
        <w:tc>
          <w:tcPr>
            <w:tcW w:w="6816" w:type="dxa"/>
            <w:gridSpan w:val="7"/>
            <w:tcBorders>
              <w:top w:val="nil"/>
              <w:left w:val="nil"/>
              <w:bottom w:val="single" w:color="auto" w:sz="8" w:space="0"/>
              <w:right w:val="single" w:color="auto" w:sz="8" w:space="0"/>
            </w:tcBorders>
            <w:vAlign w:val="center"/>
          </w:tcPr>
          <w:p w14:paraId="268D99D4">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18344F2E">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08459CF1">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E4C0AA">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10FA5CE7">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F71555">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w:t>
            </w:r>
            <w:r>
              <w:rPr>
                <w:rFonts w:hint="eastAsia" w:ascii="Verdana" w:hAnsi="Verdana" w:cs="宋体"/>
                <w:color w:val="auto"/>
                <w:kern w:val="0"/>
                <w:szCs w:val="21"/>
                <w:highlight w:val="none"/>
              </w:rPr>
              <w:t>其他</w:t>
            </w:r>
            <w:r>
              <w:rPr>
                <w:rFonts w:ascii="Verdana" w:hAnsi="Verdana" w:cs="宋体"/>
                <w:color w:val="auto"/>
                <w:kern w:val="0"/>
                <w:szCs w:val="21"/>
                <w:highlight w:val="none"/>
              </w:rPr>
              <w:t>相关人员签字：</w:t>
            </w:r>
          </w:p>
          <w:p w14:paraId="3E730C73">
            <w:pPr>
              <w:widowControl/>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3DA2A41C">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single" w:color="auto" w:sz="4" w:space="0"/>
            </w:tcBorders>
            <w:tcMar>
              <w:top w:w="0" w:type="dxa"/>
              <w:left w:w="108" w:type="dxa"/>
              <w:bottom w:w="0" w:type="dxa"/>
              <w:right w:w="108" w:type="dxa"/>
            </w:tcMar>
            <w:vAlign w:val="center"/>
          </w:tcPr>
          <w:p w14:paraId="31DD5ABA">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成交供应商负责人签字或者盖章：</w:t>
            </w:r>
          </w:p>
          <w:p w14:paraId="17ECE548">
            <w:pPr>
              <w:widowControl/>
              <w:spacing w:before="100" w:beforeAutospacing="1" w:after="100" w:afterAutospacing="1" w:line="320" w:lineRule="atLeast"/>
              <w:jc w:val="left"/>
              <w:rPr>
                <w:rFonts w:ascii="Verdana" w:hAnsi="Verdana" w:cs="宋体"/>
                <w:color w:val="auto"/>
                <w:kern w:val="0"/>
                <w:szCs w:val="21"/>
                <w:highlight w:val="none"/>
              </w:rPr>
            </w:pPr>
          </w:p>
          <w:p w14:paraId="239456A7">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w:t>
            </w:r>
          </w:p>
          <w:p w14:paraId="36DD53D0">
            <w:pPr>
              <w:widowControl/>
              <w:spacing w:before="100" w:beforeAutospacing="1" w:after="100" w:afterAutospacing="1" w:line="320" w:lineRule="atLeast"/>
              <w:ind w:firstLine="2730" w:firstLineChars="1300"/>
              <w:jc w:val="left"/>
              <w:rPr>
                <w:rFonts w:ascii="Verdana" w:hAnsi="Verdana" w:cs="宋体"/>
                <w:color w:val="auto"/>
                <w:kern w:val="0"/>
                <w:szCs w:val="21"/>
                <w:highlight w:val="none"/>
              </w:rPr>
            </w:pP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日</w:t>
            </w:r>
          </w:p>
        </w:tc>
        <w:tc>
          <w:tcPr>
            <w:tcW w:w="4293" w:type="dxa"/>
            <w:gridSpan w:val="4"/>
            <w:tcBorders>
              <w:top w:val="nil"/>
              <w:left w:val="single" w:color="auto" w:sz="4" w:space="0"/>
              <w:bottom w:val="single" w:color="auto" w:sz="8" w:space="0"/>
              <w:right w:val="single" w:color="auto" w:sz="8" w:space="0"/>
            </w:tcBorders>
            <w:vAlign w:val="center"/>
          </w:tcPr>
          <w:p w14:paraId="6DB8A807">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55D7F1D9">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p>
          <w:p w14:paraId="22C92884">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p>
          <w:p w14:paraId="05BCF067">
            <w:pPr>
              <w:widowControl/>
              <w:spacing w:before="100" w:beforeAutospacing="1" w:after="100" w:afterAutospacing="1" w:line="320" w:lineRule="atLeast"/>
              <w:ind w:firstLine="2100" w:firstLineChars="1000"/>
              <w:jc w:val="left"/>
              <w:rPr>
                <w:rFonts w:ascii="Verdana" w:hAnsi="Verdana" w:cs="宋体"/>
                <w:color w:val="auto"/>
                <w:kern w:val="0"/>
                <w:szCs w:val="21"/>
                <w:highlight w:val="none"/>
              </w:rPr>
            </w:pP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日</w:t>
            </w:r>
          </w:p>
        </w:tc>
      </w:tr>
    </w:tbl>
    <w:p w14:paraId="271D28EC">
      <w:pPr>
        <w:pStyle w:val="18"/>
        <w:snapToGrid w:val="0"/>
        <w:rPr>
          <w:rFonts w:hint="eastAsia" w:hAnsi="宋体"/>
          <w:color w:val="auto"/>
          <w:highlight w:val="none"/>
        </w:rPr>
      </w:pPr>
      <w:r>
        <w:rPr>
          <w:rFonts w:hAnsi="宋体"/>
          <w:color w:val="auto"/>
          <w:highlight w:val="none"/>
        </w:rPr>
        <w:br w:type="page"/>
      </w:r>
    </w:p>
    <w:p w14:paraId="5D3DCC62">
      <w:pPr>
        <w:rPr>
          <w:rFonts w:hint="eastAsia" w:ascii="宋体" w:hAnsi="宋体" w:cs="宋体"/>
          <w:color w:val="auto"/>
          <w:sz w:val="28"/>
          <w:szCs w:val="28"/>
          <w:highlight w:val="none"/>
        </w:rPr>
      </w:pPr>
      <w:r>
        <w:rPr>
          <w:rFonts w:hint="eastAsia" w:ascii="宋体" w:hAnsi="宋体" w:cs="宋体"/>
          <w:color w:val="auto"/>
          <w:sz w:val="28"/>
          <w:szCs w:val="28"/>
          <w:highlight w:val="none"/>
        </w:rPr>
        <w:t>5.政府采购项目履约保证金退付意见书的格式：</w:t>
      </w:r>
    </w:p>
    <w:p w14:paraId="6D09E875">
      <w:pPr>
        <w:rPr>
          <w:rFonts w:hint="eastAsia" w:ascii="宋体" w:hAnsi="宋体" w:cs="宋体"/>
          <w:color w:val="auto"/>
          <w:sz w:val="28"/>
          <w:szCs w:val="28"/>
          <w:highlight w:val="none"/>
        </w:rPr>
      </w:pPr>
    </w:p>
    <w:p w14:paraId="0444790B">
      <w:pPr>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政府采购项目履约保证金退付意见书（参考）</w:t>
      </w:r>
    </w:p>
    <w:p w14:paraId="156444B2">
      <w:pPr>
        <w:jc w:val="center"/>
        <w:rPr>
          <w:rFonts w:hint="eastAsia" w:ascii="黑体" w:hAnsi="黑体" w:eastAsia="黑体"/>
          <w:color w:val="auto"/>
          <w:sz w:val="36"/>
          <w:szCs w:val="36"/>
          <w:highlight w:val="none"/>
        </w:rPr>
      </w:pPr>
    </w:p>
    <w:tbl>
      <w:tblPr>
        <w:tblStyle w:val="32"/>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3962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14:paraId="6DA49FF9">
            <w:pPr>
              <w:jc w:val="center"/>
              <w:rPr>
                <w:color w:val="auto"/>
                <w:sz w:val="24"/>
                <w:highlight w:val="none"/>
              </w:rPr>
            </w:pPr>
            <w:r>
              <w:rPr>
                <w:rFonts w:hint="eastAsia"/>
                <w:color w:val="auto"/>
                <w:sz w:val="24"/>
                <w:highlight w:val="none"/>
              </w:rPr>
              <w:t>供</w:t>
            </w:r>
          </w:p>
          <w:p w14:paraId="176CD46A">
            <w:pPr>
              <w:jc w:val="center"/>
              <w:rPr>
                <w:color w:val="auto"/>
                <w:sz w:val="24"/>
                <w:highlight w:val="none"/>
              </w:rPr>
            </w:pPr>
            <w:r>
              <w:rPr>
                <w:rFonts w:hint="eastAsia"/>
                <w:color w:val="auto"/>
                <w:sz w:val="24"/>
                <w:highlight w:val="none"/>
              </w:rPr>
              <w:t>应</w:t>
            </w:r>
          </w:p>
          <w:p w14:paraId="02B9522C">
            <w:pPr>
              <w:jc w:val="center"/>
              <w:rPr>
                <w:color w:val="auto"/>
                <w:sz w:val="24"/>
                <w:highlight w:val="none"/>
              </w:rPr>
            </w:pPr>
            <w:r>
              <w:rPr>
                <w:rFonts w:hint="eastAsia"/>
                <w:color w:val="auto"/>
                <w:sz w:val="24"/>
                <w:highlight w:val="none"/>
              </w:rPr>
              <w:t>商</w:t>
            </w:r>
          </w:p>
          <w:p w14:paraId="4ADF090D">
            <w:pPr>
              <w:jc w:val="center"/>
              <w:rPr>
                <w:color w:val="auto"/>
                <w:sz w:val="24"/>
                <w:highlight w:val="none"/>
              </w:rPr>
            </w:pPr>
            <w:r>
              <w:rPr>
                <w:rFonts w:hint="eastAsia"/>
                <w:color w:val="auto"/>
                <w:sz w:val="24"/>
                <w:highlight w:val="none"/>
              </w:rPr>
              <w:t>申</w:t>
            </w:r>
          </w:p>
          <w:p w14:paraId="1EA91823">
            <w:pPr>
              <w:jc w:val="center"/>
              <w:rPr>
                <w:color w:val="auto"/>
                <w:sz w:val="24"/>
                <w:highlight w:val="none"/>
              </w:rPr>
            </w:pPr>
            <w:r>
              <w:rPr>
                <w:rFonts w:hint="eastAsia"/>
                <w:color w:val="auto"/>
                <w:sz w:val="24"/>
                <w:highlight w:val="none"/>
              </w:rPr>
              <w:t>请</w:t>
            </w:r>
          </w:p>
        </w:tc>
        <w:tc>
          <w:tcPr>
            <w:tcW w:w="8009" w:type="dxa"/>
            <w:vAlign w:val="center"/>
          </w:tcPr>
          <w:p w14:paraId="2BD6945F">
            <w:pPr>
              <w:rPr>
                <w:color w:val="auto"/>
                <w:sz w:val="24"/>
                <w:highlight w:val="none"/>
              </w:rPr>
            </w:pPr>
            <w:r>
              <w:rPr>
                <w:rFonts w:hint="eastAsia"/>
                <w:color w:val="auto"/>
                <w:sz w:val="24"/>
                <w:highlight w:val="none"/>
              </w:rPr>
              <w:t>项目编号：</w:t>
            </w:r>
          </w:p>
        </w:tc>
      </w:tr>
      <w:tr w14:paraId="602D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14:paraId="10CF6138">
            <w:pPr>
              <w:rPr>
                <w:color w:val="auto"/>
                <w:sz w:val="24"/>
                <w:highlight w:val="none"/>
              </w:rPr>
            </w:pPr>
          </w:p>
        </w:tc>
        <w:tc>
          <w:tcPr>
            <w:tcW w:w="8009" w:type="dxa"/>
            <w:vAlign w:val="center"/>
          </w:tcPr>
          <w:p w14:paraId="7FA61478">
            <w:pPr>
              <w:rPr>
                <w:color w:val="auto"/>
                <w:sz w:val="24"/>
                <w:highlight w:val="none"/>
              </w:rPr>
            </w:pPr>
            <w:r>
              <w:rPr>
                <w:rFonts w:hint="eastAsia"/>
                <w:color w:val="auto"/>
                <w:sz w:val="24"/>
                <w:highlight w:val="none"/>
              </w:rPr>
              <w:t>项目名称：</w:t>
            </w:r>
          </w:p>
        </w:tc>
      </w:tr>
      <w:tr w14:paraId="0DA0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14:paraId="7D105E70">
            <w:pPr>
              <w:rPr>
                <w:color w:val="auto"/>
                <w:sz w:val="24"/>
                <w:highlight w:val="none"/>
              </w:rPr>
            </w:pPr>
          </w:p>
        </w:tc>
        <w:tc>
          <w:tcPr>
            <w:tcW w:w="8009" w:type="dxa"/>
          </w:tcPr>
          <w:p w14:paraId="1746242F">
            <w:pPr>
              <w:rPr>
                <w:color w:val="auto"/>
                <w:sz w:val="24"/>
                <w:highlight w:val="none"/>
              </w:rPr>
            </w:pPr>
            <w:r>
              <w:rPr>
                <w:rFonts w:hint="eastAsia"/>
                <w:color w:val="auto"/>
                <w:sz w:val="24"/>
                <w:highlight w:val="none"/>
              </w:rPr>
              <w:t xml:space="preserve">  </w:t>
            </w:r>
          </w:p>
          <w:p w14:paraId="1F832B08">
            <w:pPr>
              <w:ind w:firstLine="480" w:firstLineChars="200"/>
              <w:rPr>
                <w:color w:val="auto"/>
                <w:sz w:val="24"/>
                <w:highlight w:val="none"/>
              </w:rPr>
            </w:pPr>
            <w:r>
              <w:rPr>
                <w:rFonts w:hint="eastAsia"/>
                <w:color w:val="auto"/>
                <w:sz w:val="24"/>
                <w:highlight w:val="none"/>
              </w:rPr>
              <w:t>该项目已于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日验收并交付使用。根据合同规定，该项目的履约保证金期限于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日已满，请将履约保证金</w:t>
            </w:r>
          </w:p>
          <w:p w14:paraId="0C0442BB">
            <w:pPr>
              <w:rPr>
                <w:color w:val="auto"/>
                <w:sz w:val="24"/>
                <w:highlight w:val="none"/>
              </w:rPr>
            </w:pPr>
            <w:r>
              <w:rPr>
                <w:rFonts w:hint="eastAsia"/>
                <w:color w:val="auto"/>
                <w:sz w:val="24"/>
                <w:highlight w:val="none"/>
              </w:rPr>
              <w:t>（大写）人民币</w:t>
            </w:r>
            <w:r>
              <w:rPr>
                <w:rFonts w:hint="eastAsia"/>
                <w:color w:val="auto"/>
                <w:sz w:val="24"/>
                <w:highlight w:val="none"/>
                <w:u w:val="single"/>
              </w:rPr>
              <w:t xml:space="preserve">                              </w:t>
            </w:r>
            <w:r>
              <w:rPr>
                <w:rFonts w:hint="eastAsia"/>
                <w:color w:val="auto"/>
                <w:sz w:val="24"/>
                <w:highlight w:val="none"/>
              </w:rPr>
              <w:t>（小写）¥</w:t>
            </w:r>
            <w:r>
              <w:rPr>
                <w:rFonts w:hint="eastAsia"/>
                <w:color w:val="auto"/>
                <w:sz w:val="24"/>
                <w:highlight w:val="none"/>
                <w:u w:val="single"/>
              </w:rPr>
              <w:t xml:space="preserve">          </w:t>
            </w:r>
            <w:r>
              <w:rPr>
                <w:rFonts w:hint="eastAsia"/>
                <w:color w:val="auto"/>
                <w:sz w:val="24"/>
                <w:highlight w:val="none"/>
              </w:rPr>
              <w:t>退付到达以下账户。</w:t>
            </w:r>
          </w:p>
          <w:p w14:paraId="6D768A56">
            <w:pPr>
              <w:rPr>
                <w:color w:val="auto"/>
                <w:sz w:val="24"/>
                <w:highlight w:val="none"/>
              </w:rPr>
            </w:pPr>
            <w:r>
              <w:rPr>
                <w:rFonts w:hint="eastAsia"/>
                <w:color w:val="auto"/>
                <w:sz w:val="24"/>
                <w:highlight w:val="none"/>
              </w:rPr>
              <w:t>单位名称：</w:t>
            </w:r>
          </w:p>
          <w:p w14:paraId="4C2A387C">
            <w:pPr>
              <w:rPr>
                <w:color w:val="auto"/>
                <w:sz w:val="24"/>
                <w:highlight w:val="none"/>
              </w:rPr>
            </w:pPr>
            <w:r>
              <w:rPr>
                <w:rFonts w:hint="eastAsia"/>
                <w:color w:val="auto"/>
                <w:sz w:val="24"/>
                <w:highlight w:val="none"/>
              </w:rPr>
              <w:t>开户银行：</w:t>
            </w:r>
          </w:p>
          <w:p w14:paraId="2A01B6CF">
            <w:pPr>
              <w:rPr>
                <w:color w:val="auto"/>
                <w:sz w:val="24"/>
                <w:highlight w:val="none"/>
              </w:rPr>
            </w:pPr>
            <w:r>
              <w:rPr>
                <w:rFonts w:hint="eastAsia"/>
                <w:color w:val="auto"/>
                <w:sz w:val="24"/>
                <w:highlight w:val="none"/>
              </w:rPr>
              <w:t>账    号：</w:t>
            </w:r>
          </w:p>
          <w:p w14:paraId="7B01E40F">
            <w:pPr>
              <w:rPr>
                <w:color w:val="auto"/>
                <w:sz w:val="24"/>
                <w:highlight w:val="none"/>
              </w:rPr>
            </w:pPr>
            <w:r>
              <w:rPr>
                <w:rFonts w:hint="eastAsia"/>
                <w:color w:val="auto"/>
                <w:sz w:val="24"/>
                <w:highlight w:val="none"/>
              </w:rPr>
              <w:t>联系人及电话：</w:t>
            </w:r>
          </w:p>
          <w:p w14:paraId="095BBDFA">
            <w:pPr>
              <w:rPr>
                <w:color w:val="auto"/>
                <w:sz w:val="24"/>
                <w:highlight w:val="none"/>
              </w:rPr>
            </w:pPr>
          </w:p>
          <w:p w14:paraId="13E0E5CF">
            <w:pPr>
              <w:jc w:val="center"/>
              <w:rPr>
                <w:color w:val="auto"/>
                <w:sz w:val="24"/>
                <w:highlight w:val="none"/>
              </w:rPr>
            </w:pPr>
            <w:r>
              <w:rPr>
                <w:rFonts w:hint="eastAsia"/>
                <w:color w:val="auto"/>
                <w:sz w:val="24"/>
                <w:highlight w:val="none"/>
              </w:rPr>
              <w:t xml:space="preserve">                           供应商签章：</w:t>
            </w:r>
          </w:p>
          <w:p w14:paraId="6D068BBD">
            <w:pPr>
              <w:jc w:val="center"/>
              <w:rPr>
                <w:color w:val="auto"/>
                <w:sz w:val="24"/>
                <w:highlight w:val="none"/>
              </w:rPr>
            </w:pPr>
            <w:r>
              <w:rPr>
                <w:rFonts w:hint="eastAsia"/>
                <w:color w:val="auto"/>
                <w:sz w:val="24"/>
                <w:highlight w:val="none"/>
              </w:rPr>
              <w:t xml:space="preserve">                                                年    月    日</w:t>
            </w:r>
          </w:p>
        </w:tc>
      </w:tr>
      <w:tr w14:paraId="24CC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14:paraId="12C448B0">
            <w:pPr>
              <w:jc w:val="center"/>
              <w:rPr>
                <w:color w:val="auto"/>
                <w:sz w:val="24"/>
                <w:highlight w:val="none"/>
              </w:rPr>
            </w:pPr>
            <w:r>
              <w:rPr>
                <w:rFonts w:hint="eastAsia"/>
                <w:color w:val="auto"/>
                <w:sz w:val="24"/>
                <w:highlight w:val="none"/>
              </w:rPr>
              <w:t>采</w:t>
            </w:r>
          </w:p>
          <w:p w14:paraId="0471F17D">
            <w:pPr>
              <w:jc w:val="center"/>
              <w:rPr>
                <w:color w:val="auto"/>
                <w:sz w:val="24"/>
                <w:highlight w:val="none"/>
              </w:rPr>
            </w:pPr>
            <w:r>
              <w:rPr>
                <w:rFonts w:hint="eastAsia"/>
                <w:color w:val="auto"/>
                <w:sz w:val="24"/>
                <w:highlight w:val="none"/>
              </w:rPr>
              <w:t>购</w:t>
            </w:r>
          </w:p>
          <w:p w14:paraId="2481BFF0">
            <w:pPr>
              <w:jc w:val="center"/>
              <w:rPr>
                <w:color w:val="auto"/>
                <w:sz w:val="24"/>
                <w:highlight w:val="none"/>
              </w:rPr>
            </w:pPr>
            <w:r>
              <w:rPr>
                <w:rFonts w:hint="eastAsia"/>
                <w:color w:val="auto"/>
                <w:sz w:val="24"/>
                <w:highlight w:val="none"/>
              </w:rPr>
              <w:t>单</w:t>
            </w:r>
          </w:p>
          <w:p w14:paraId="44C4366E">
            <w:pPr>
              <w:jc w:val="center"/>
              <w:rPr>
                <w:color w:val="auto"/>
                <w:sz w:val="24"/>
                <w:highlight w:val="none"/>
              </w:rPr>
            </w:pPr>
            <w:r>
              <w:rPr>
                <w:rFonts w:hint="eastAsia"/>
                <w:color w:val="auto"/>
                <w:sz w:val="24"/>
                <w:highlight w:val="none"/>
              </w:rPr>
              <w:t>位</w:t>
            </w:r>
          </w:p>
          <w:p w14:paraId="63BFC38A">
            <w:pPr>
              <w:jc w:val="center"/>
              <w:rPr>
                <w:color w:val="auto"/>
                <w:sz w:val="24"/>
                <w:highlight w:val="none"/>
              </w:rPr>
            </w:pPr>
            <w:r>
              <w:rPr>
                <w:rFonts w:hint="eastAsia"/>
                <w:color w:val="auto"/>
                <w:sz w:val="24"/>
                <w:highlight w:val="none"/>
              </w:rPr>
              <w:t>意</w:t>
            </w:r>
          </w:p>
          <w:p w14:paraId="7A615840">
            <w:pPr>
              <w:jc w:val="center"/>
              <w:rPr>
                <w:color w:val="auto"/>
                <w:sz w:val="24"/>
                <w:highlight w:val="none"/>
              </w:rPr>
            </w:pPr>
            <w:r>
              <w:rPr>
                <w:rFonts w:hint="eastAsia"/>
                <w:color w:val="auto"/>
                <w:sz w:val="24"/>
                <w:highlight w:val="none"/>
              </w:rPr>
              <w:t>见</w:t>
            </w:r>
          </w:p>
        </w:tc>
        <w:tc>
          <w:tcPr>
            <w:tcW w:w="8009" w:type="dxa"/>
          </w:tcPr>
          <w:p w14:paraId="70FE89CF">
            <w:pPr>
              <w:rPr>
                <w:color w:val="auto"/>
                <w:sz w:val="24"/>
                <w:highlight w:val="none"/>
              </w:rPr>
            </w:pPr>
          </w:p>
          <w:p w14:paraId="6A1E561E">
            <w:pPr>
              <w:rPr>
                <w:color w:val="auto"/>
                <w:sz w:val="24"/>
                <w:highlight w:val="none"/>
              </w:rPr>
            </w:pPr>
            <w:r>
              <w:rPr>
                <w:rFonts w:hint="eastAsia"/>
                <w:color w:val="auto"/>
                <w:sz w:val="24"/>
                <w:highlight w:val="none"/>
              </w:rPr>
              <w:t>退付意见：是否同意退付履约保证金及退付金额：</w:t>
            </w:r>
          </w:p>
          <w:p w14:paraId="6D0FF208">
            <w:pPr>
              <w:rPr>
                <w:color w:val="auto"/>
                <w:sz w:val="24"/>
                <w:highlight w:val="none"/>
              </w:rPr>
            </w:pPr>
          </w:p>
          <w:p w14:paraId="576A5F51">
            <w:pPr>
              <w:rPr>
                <w:color w:val="auto"/>
                <w:sz w:val="24"/>
                <w:highlight w:val="none"/>
              </w:rPr>
            </w:pPr>
          </w:p>
          <w:p w14:paraId="2D173D43">
            <w:pPr>
              <w:rPr>
                <w:color w:val="auto"/>
                <w:sz w:val="24"/>
                <w:highlight w:val="none"/>
              </w:rPr>
            </w:pPr>
            <w:r>
              <w:rPr>
                <w:rFonts w:hint="eastAsia"/>
                <w:color w:val="auto"/>
                <w:sz w:val="24"/>
                <w:highlight w:val="none"/>
              </w:rPr>
              <w:t xml:space="preserve">联系人及电话：                                </w:t>
            </w:r>
          </w:p>
          <w:p w14:paraId="6EDE4334">
            <w:pPr>
              <w:rPr>
                <w:color w:val="auto"/>
                <w:sz w:val="24"/>
                <w:highlight w:val="none"/>
              </w:rPr>
            </w:pPr>
          </w:p>
          <w:p w14:paraId="482D78B6">
            <w:pPr>
              <w:ind w:firstLine="4560" w:firstLineChars="1900"/>
              <w:rPr>
                <w:color w:val="auto"/>
                <w:sz w:val="24"/>
                <w:highlight w:val="none"/>
              </w:rPr>
            </w:pPr>
            <w:r>
              <w:rPr>
                <w:rFonts w:hint="eastAsia"/>
                <w:color w:val="auto"/>
                <w:sz w:val="24"/>
                <w:highlight w:val="none"/>
              </w:rPr>
              <w:t xml:space="preserve"> 采购单位签章：</w:t>
            </w:r>
          </w:p>
          <w:p w14:paraId="70A983EA">
            <w:pPr>
              <w:jc w:val="center"/>
              <w:rPr>
                <w:color w:val="auto"/>
                <w:sz w:val="24"/>
                <w:highlight w:val="none"/>
              </w:rPr>
            </w:pPr>
            <w:r>
              <w:rPr>
                <w:rFonts w:hint="eastAsia"/>
                <w:color w:val="auto"/>
                <w:sz w:val="24"/>
                <w:highlight w:val="none"/>
              </w:rPr>
              <w:t xml:space="preserve">                                                年    月    日</w:t>
            </w:r>
          </w:p>
        </w:tc>
      </w:tr>
      <w:tr w14:paraId="2D2E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14:paraId="10013FF2">
            <w:pPr>
              <w:jc w:val="center"/>
              <w:rPr>
                <w:color w:val="auto"/>
                <w:sz w:val="24"/>
                <w:highlight w:val="none"/>
              </w:rPr>
            </w:pPr>
            <w:r>
              <w:rPr>
                <w:rFonts w:hint="eastAsia"/>
                <w:color w:val="auto"/>
                <w:sz w:val="24"/>
                <w:highlight w:val="none"/>
              </w:rPr>
              <w:t>财</w:t>
            </w:r>
          </w:p>
          <w:p w14:paraId="3992D885">
            <w:pPr>
              <w:jc w:val="center"/>
              <w:rPr>
                <w:color w:val="auto"/>
                <w:sz w:val="24"/>
                <w:highlight w:val="none"/>
              </w:rPr>
            </w:pPr>
            <w:r>
              <w:rPr>
                <w:rFonts w:hint="eastAsia"/>
                <w:color w:val="auto"/>
                <w:sz w:val="24"/>
                <w:highlight w:val="none"/>
              </w:rPr>
              <w:t>务</w:t>
            </w:r>
          </w:p>
          <w:p w14:paraId="0BD6ECF9">
            <w:pPr>
              <w:jc w:val="center"/>
              <w:rPr>
                <w:color w:val="auto"/>
                <w:sz w:val="24"/>
                <w:highlight w:val="none"/>
              </w:rPr>
            </w:pPr>
            <w:r>
              <w:rPr>
                <w:rFonts w:hint="eastAsia"/>
                <w:color w:val="auto"/>
                <w:sz w:val="24"/>
                <w:highlight w:val="none"/>
              </w:rPr>
              <w:t>部</w:t>
            </w:r>
          </w:p>
          <w:p w14:paraId="7C33C6F5">
            <w:pPr>
              <w:jc w:val="center"/>
              <w:rPr>
                <w:color w:val="auto"/>
                <w:sz w:val="24"/>
                <w:highlight w:val="none"/>
              </w:rPr>
            </w:pPr>
            <w:r>
              <w:rPr>
                <w:rFonts w:hint="eastAsia"/>
                <w:color w:val="auto"/>
                <w:sz w:val="24"/>
                <w:highlight w:val="none"/>
              </w:rPr>
              <w:t>门</w:t>
            </w:r>
          </w:p>
          <w:p w14:paraId="7720DF6D">
            <w:pPr>
              <w:jc w:val="center"/>
              <w:rPr>
                <w:color w:val="auto"/>
                <w:sz w:val="24"/>
                <w:highlight w:val="none"/>
              </w:rPr>
            </w:pPr>
            <w:r>
              <w:rPr>
                <w:rFonts w:hint="eastAsia"/>
                <w:color w:val="auto"/>
                <w:sz w:val="24"/>
                <w:highlight w:val="none"/>
              </w:rPr>
              <w:t>意</w:t>
            </w:r>
          </w:p>
          <w:p w14:paraId="14D6F2F8">
            <w:pPr>
              <w:jc w:val="center"/>
              <w:rPr>
                <w:color w:val="auto"/>
                <w:sz w:val="24"/>
                <w:highlight w:val="none"/>
              </w:rPr>
            </w:pPr>
            <w:r>
              <w:rPr>
                <w:rFonts w:hint="eastAsia"/>
                <w:color w:val="auto"/>
                <w:sz w:val="24"/>
                <w:highlight w:val="none"/>
              </w:rPr>
              <w:t>见</w:t>
            </w:r>
          </w:p>
        </w:tc>
        <w:tc>
          <w:tcPr>
            <w:tcW w:w="8009" w:type="dxa"/>
          </w:tcPr>
          <w:p w14:paraId="4D4C2C23">
            <w:pPr>
              <w:rPr>
                <w:color w:val="auto"/>
                <w:sz w:val="24"/>
                <w:highlight w:val="none"/>
              </w:rPr>
            </w:pPr>
            <w:r>
              <w:rPr>
                <w:rFonts w:hint="eastAsia"/>
                <w:color w:val="auto"/>
                <w:sz w:val="24"/>
                <w:highlight w:val="none"/>
              </w:rPr>
              <w:t>此表于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日收到。</w:t>
            </w:r>
          </w:p>
          <w:p w14:paraId="53D46EC7">
            <w:pPr>
              <w:rPr>
                <w:color w:val="auto"/>
                <w:sz w:val="24"/>
                <w:highlight w:val="none"/>
              </w:rPr>
            </w:pPr>
          </w:p>
          <w:p w14:paraId="2A3B5D98">
            <w:pPr>
              <w:rPr>
                <w:color w:val="auto"/>
                <w:sz w:val="24"/>
                <w:highlight w:val="none"/>
              </w:rPr>
            </w:pPr>
            <w:r>
              <w:rPr>
                <w:rFonts w:hint="eastAsia"/>
                <w:color w:val="auto"/>
                <w:sz w:val="24"/>
                <w:highlight w:val="none"/>
              </w:rPr>
              <w:t>会计审核：</w:t>
            </w:r>
          </w:p>
          <w:p w14:paraId="7978A4A0">
            <w:pPr>
              <w:rPr>
                <w:color w:val="auto"/>
                <w:sz w:val="24"/>
                <w:highlight w:val="none"/>
              </w:rPr>
            </w:pPr>
          </w:p>
          <w:p w14:paraId="545CAD80">
            <w:pPr>
              <w:rPr>
                <w:color w:val="auto"/>
                <w:sz w:val="24"/>
                <w:highlight w:val="none"/>
              </w:rPr>
            </w:pPr>
            <w:r>
              <w:rPr>
                <w:rFonts w:hint="eastAsia"/>
                <w:color w:val="auto"/>
                <w:sz w:val="24"/>
                <w:highlight w:val="none"/>
              </w:rPr>
              <w:t>财务负责人审核：</w:t>
            </w:r>
          </w:p>
          <w:p w14:paraId="318E4207">
            <w:pPr>
              <w:rPr>
                <w:color w:val="auto"/>
                <w:sz w:val="24"/>
                <w:highlight w:val="none"/>
              </w:rPr>
            </w:pPr>
          </w:p>
          <w:p w14:paraId="02FC5DA1">
            <w:pPr>
              <w:rPr>
                <w:color w:val="auto"/>
                <w:sz w:val="24"/>
                <w:highlight w:val="none"/>
              </w:rPr>
            </w:pPr>
            <w:r>
              <w:rPr>
                <w:rFonts w:hint="eastAsia"/>
                <w:color w:val="auto"/>
                <w:sz w:val="24"/>
                <w:highlight w:val="none"/>
              </w:rPr>
              <w:t>单位负责人签字：</w:t>
            </w:r>
          </w:p>
          <w:p w14:paraId="560F0320">
            <w:pPr>
              <w:rPr>
                <w:color w:val="auto"/>
                <w:sz w:val="24"/>
                <w:highlight w:val="none"/>
              </w:rPr>
            </w:pPr>
          </w:p>
          <w:p w14:paraId="3777BB93">
            <w:pPr>
              <w:rPr>
                <w:color w:val="auto"/>
                <w:sz w:val="24"/>
                <w:highlight w:val="none"/>
              </w:rPr>
            </w:pPr>
            <w:r>
              <w:rPr>
                <w:rFonts w:hint="eastAsia"/>
                <w:color w:val="auto"/>
                <w:sz w:val="24"/>
                <w:highlight w:val="none"/>
              </w:rPr>
              <w:t>出纳办理转账日期：</w:t>
            </w:r>
          </w:p>
        </w:tc>
      </w:tr>
    </w:tbl>
    <w:p w14:paraId="38D65BC1">
      <w:pPr>
        <w:pStyle w:val="14"/>
        <w:ind w:left="1" w:firstLine="2" w:firstLineChars="1"/>
        <w:rPr>
          <w:rFonts w:ascii="宋体"/>
          <w:b/>
          <w:bCs/>
          <w:color w:val="auto"/>
          <w:sz w:val="18"/>
          <w:szCs w:val="18"/>
          <w:highlight w:val="none"/>
        </w:rPr>
      </w:pPr>
    </w:p>
    <w:p w14:paraId="708021BB">
      <w:pPr>
        <w:pStyle w:val="14"/>
        <w:ind w:left="1" w:firstLine="2" w:firstLineChars="1"/>
        <w:rPr>
          <w:rFonts w:ascii="宋体"/>
          <w:b/>
          <w:bCs/>
          <w:color w:val="auto"/>
          <w:sz w:val="18"/>
          <w:szCs w:val="18"/>
          <w:highlight w:val="none"/>
        </w:rPr>
      </w:pPr>
      <w:r>
        <w:rPr>
          <w:rFonts w:hint="eastAsia" w:ascii="宋体"/>
          <w:b/>
          <w:bCs/>
          <w:color w:val="auto"/>
          <w:sz w:val="18"/>
          <w:szCs w:val="18"/>
          <w:highlight w:val="none"/>
        </w:rPr>
        <w:t>注：供应商凭经采购人审批的退付意见书到履约保证金收取单位财务部门办理履约保证金退付事宜。</w:t>
      </w:r>
    </w:p>
    <w:p w14:paraId="172D7081">
      <w:pPr>
        <w:pStyle w:val="22"/>
        <w:rPr>
          <w:rFonts w:hint="eastAsia" w:ascii="宋体" w:hAnsi="宋体" w:cs="仿宋_GB2312"/>
          <w:color w:val="auto"/>
          <w:sz w:val="24"/>
          <w:szCs w:val="24"/>
          <w:highlight w:val="none"/>
        </w:rPr>
      </w:pPr>
    </w:p>
    <w:p w14:paraId="6606D00C">
      <w:pPr>
        <w:spacing w:line="520" w:lineRule="exact"/>
        <w:jc w:val="center"/>
        <w:rPr>
          <w:rFonts w:hint="eastAsia" w:ascii="宋体" w:hAnsi="宋体" w:eastAsia="宋体" w:cs="Times New Roman"/>
          <w:color w:val="auto"/>
          <w:sz w:val="24"/>
          <w:szCs w:val="24"/>
          <w:highlight w:val="none"/>
        </w:rPr>
      </w:pPr>
    </w:p>
    <w:p w14:paraId="2AE62D53">
      <w:pPr>
        <w:spacing w:line="520" w:lineRule="exact"/>
        <w:jc w:val="center"/>
        <w:rPr>
          <w:rFonts w:hint="eastAsia" w:ascii="宋体" w:hAnsi="宋体" w:eastAsia="宋体" w:cs="Times New Roman"/>
          <w:color w:val="auto"/>
          <w:sz w:val="24"/>
          <w:szCs w:val="24"/>
          <w:highlight w:val="none"/>
        </w:rPr>
      </w:pPr>
    </w:p>
    <w:p w14:paraId="24CD7932">
      <w:pPr>
        <w:spacing w:line="520" w:lineRule="exact"/>
        <w:jc w:val="center"/>
        <w:rPr>
          <w:rFonts w:hint="eastAsia" w:ascii="宋体" w:hAnsi="宋体" w:eastAsia="宋体" w:cs="Times New Roman"/>
          <w:color w:val="auto"/>
          <w:sz w:val="24"/>
          <w:szCs w:val="24"/>
          <w:highlight w:val="none"/>
        </w:rPr>
      </w:pPr>
    </w:p>
    <w:p w14:paraId="76C35D45">
      <w:pPr>
        <w:autoSpaceDE w:val="0"/>
        <w:autoSpaceDN w:val="0"/>
        <w:spacing w:line="360" w:lineRule="auto"/>
        <w:ind w:firstLine="6505" w:firstLineChars="2700"/>
        <w:rPr>
          <w:rFonts w:hint="eastAsia" w:ascii="宋体" w:hAnsi="宋体" w:cs="宋体"/>
          <w:b/>
          <w:bCs/>
          <w:color w:val="auto"/>
          <w:sz w:val="24"/>
          <w:highlight w:val="none"/>
        </w:rPr>
      </w:pPr>
    </w:p>
    <w:p w14:paraId="2F3AE0F9">
      <w:pPr>
        <w:spacing w:line="520" w:lineRule="exact"/>
        <w:jc w:val="center"/>
        <w:rPr>
          <w:rFonts w:hint="eastAsia" w:ascii="宋体" w:hAnsi="宋体" w:eastAsia="宋体" w:cs="Times New Roman"/>
          <w:color w:val="auto"/>
          <w:sz w:val="24"/>
          <w:szCs w:val="24"/>
          <w:highlight w:val="none"/>
        </w:rPr>
      </w:pPr>
    </w:p>
    <w:p w14:paraId="5EACFF26">
      <w:pPr>
        <w:spacing w:line="520" w:lineRule="exact"/>
        <w:jc w:val="center"/>
        <w:rPr>
          <w:rFonts w:hint="eastAsia" w:ascii="宋体" w:hAnsi="宋体" w:eastAsia="宋体" w:cs="Times New Roman"/>
          <w:color w:val="auto"/>
          <w:sz w:val="24"/>
          <w:szCs w:val="24"/>
          <w:highlight w:val="none"/>
        </w:rPr>
      </w:pPr>
    </w:p>
    <w:p w14:paraId="14B85D1F">
      <w:pPr>
        <w:spacing w:line="520" w:lineRule="exact"/>
        <w:jc w:val="center"/>
        <w:rPr>
          <w:rFonts w:hint="eastAsia" w:ascii="宋体" w:hAnsi="宋体" w:eastAsia="宋体" w:cs="Times New Roman"/>
          <w:color w:val="auto"/>
          <w:sz w:val="24"/>
          <w:szCs w:val="24"/>
          <w:highlight w:val="none"/>
        </w:rPr>
      </w:pPr>
    </w:p>
    <w:p w14:paraId="21B8AAA2">
      <w:pPr>
        <w:spacing w:line="520" w:lineRule="exact"/>
        <w:jc w:val="center"/>
        <w:rPr>
          <w:rFonts w:hint="eastAsia" w:ascii="宋体" w:hAnsi="宋体" w:eastAsia="宋体" w:cs="Times New Roman"/>
          <w:color w:val="auto"/>
          <w:sz w:val="24"/>
          <w:szCs w:val="24"/>
          <w:highlight w:val="none"/>
        </w:rPr>
      </w:pPr>
    </w:p>
    <w:p w14:paraId="42D94E97">
      <w:pPr>
        <w:spacing w:line="520" w:lineRule="exact"/>
        <w:jc w:val="center"/>
        <w:rPr>
          <w:rFonts w:hint="eastAsia" w:ascii="宋体" w:hAnsi="宋体" w:eastAsia="宋体" w:cs="Times New Roman"/>
          <w:color w:val="auto"/>
          <w:sz w:val="24"/>
          <w:szCs w:val="24"/>
          <w:highlight w:val="none"/>
        </w:rPr>
      </w:pPr>
    </w:p>
    <w:p w14:paraId="53A43B0B">
      <w:pPr>
        <w:keepNext/>
        <w:keepLines/>
        <w:spacing w:before="340" w:after="330" w:line="578" w:lineRule="auto"/>
        <w:jc w:val="center"/>
        <w:outlineLvl w:val="0"/>
        <w:rPr>
          <w:rFonts w:hint="eastAsia" w:ascii="宋体" w:hAnsi="宋体" w:eastAsia="宋体" w:cs="Times New Roman"/>
          <w:color w:val="auto"/>
          <w:kern w:val="44"/>
          <w:sz w:val="44"/>
          <w:szCs w:val="44"/>
          <w:highlight w:val="none"/>
          <w:lang w:val="zh-CN"/>
        </w:rPr>
      </w:pPr>
      <w:bookmarkStart w:id="161" w:name="_Toc22077"/>
      <w:bookmarkStart w:id="162" w:name="_Toc21248"/>
      <w:bookmarkStart w:id="163" w:name="_Toc4631"/>
      <w:bookmarkStart w:id="164" w:name="_Toc10008"/>
      <w:bookmarkStart w:id="165" w:name="_Toc20554"/>
      <w:bookmarkStart w:id="166" w:name="_Toc15382"/>
      <w:bookmarkStart w:id="167" w:name="_Toc23849"/>
      <w:bookmarkStart w:id="168" w:name="_Toc80205943"/>
      <w:bookmarkStart w:id="169" w:name="_Toc19175"/>
      <w:r>
        <w:rPr>
          <w:rFonts w:hint="eastAsia" w:ascii="宋体" w:hAnsi="宋体" w:eastAsia="宋体" w:cs="Times New Roman"/>
          <w:color w:val="auto"/>
          <w:kern w:val="44"/>
          <w:sz w:val="44"/>
          <w:szCs w:val="44"/>
          <w:highlight w:val="none"/>
          <w:lang w:val="zh-CN"/>
        </w:rPr>
        <w:t>第六章 合同文本</w:t>
      </w:r>
      <w:bookmarkEnd w:id="161"/>
      <w:bookmarkEnd w:id="162"/>
      <w:bookmarkEnd w:id="163"/>
      <w:bookmarkEnd w:id="164"/>
      <w:bookmarkEnd w:id="165"/>
      <w:bookmarkEnd w:id="166"/>
      <w:bookmarkEnd w:id="167"/>
      <w:bookmarkEnd w:id="168"/>
    </w:p>
    <w:bookmarkEnd w:id="169"/>
    <w:p w14:paraId="44E6E54F">
      <w:pPr>
        <w:keepNext/>
        <w:keepLines/>
        <w:spacing w:before="340" w:after="330" w:line="578" w:lineRule="auto"/>
        <w:jc w:val="center"/>
        <w:outlineLvl w:val="0"/>
        <w:rPr>
          <w:rFonts w:hint="eastAsia" w:ascii="仿宋_GB2312" w:hAnsi="楷体" w:eastAsia="仿宋_GB2312" w:cs="Times New Roman"/>
          <w:b/>
          <w:bCs/>
          <w:color w:val="auto"/>
          <w:kern w:val="44"/>
          <w:sz w:val="24"/>
          <w:szCs w:val="44"/>
          <w:highlight w:val="none"/>
          <w:u w:val="single"/>
          <w:lang w:val="zh-CN"/>
        </w:rPr>
      </w:pPr>
    </w:p>
    <w:p w14:paraId="3B8D45E3">
      <w:pPr>
        <w:jc w:val="left"/>
        <w:rPr>
          <w:rFonts w:hint="eastAsia" w:ascii="宋体" w:hAnsi="宋体"/>
          <w:b/>
          <w:color w:val="auto"/>
          <w:sz w:val="24"/>
          <w:szCs w:val="24"/>
          <w:highlight w:val="none"/>
        </w:rPr>
      </w:pPr>
      <w:r>
        <w:rPr>
          <w:rFonts w:hint="eastAsia" w:ascii="宋体" w:hAnsi="宋体"/>
          <w:b/>
          <w:color w:val="auto"/>
          <w:sz w:val="24"/>
          <w:szCs w:val="24"/>
          <w:highlight w:val="none"/>
        </w:rPr>
        <w:br w:type="page"/>
      </w:r>
    </w:p>
    <w:p w14:paraId="5FA2FD44">
      <w:pPr>
        <w:pStyle w:val="18"/>
        <w:jc w:val="center"/>
        <w:rPr>
          <w:rFonts w:hint="eastAsia" w:hAnsi="宋体"/>
          <w:b/>
          <w:color w:val="auto"/>
          <w:sz w:val="44"/>
          <w:szCs w:val="44"/>
          <w:highlight w:val="none"/>
          <w:lang w:val="en-US"/>
        </w:rPr>
      </w:pPr>
    </w:p>
    <w:p w14:paraId="4A57CA92">
      <w:pPr>
        <w:spacing w:line="360" w:lineRule="auto"/>
        <w:jc w:val="lef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广西政府采购</w:t>
      </w:r>
      <w:r>
        <w:rPr>
          <w:rFonts w:hint="eastAsia" w:ascii="宋体" w:hAnsi="宋体" w:eastAsia="宋体" w:cs="宋体"/>
          <w:color w:val="auto"/>
          <w:sz w:val="24"/>
          <w:highlight w:val="none"/>
        </w:rPr>
        <w:t>平台合同编号：</w:t>
      </w:r>
      <w:r>
        <w:rPr>
          <w:rFonts w:hint="eastAsia" w:ascii="宋体" w:hAnsi="宋体" w:eastAsia="宋体" w:cs="宋体"/>
          <w:color w:val="auto"/>
          <w:sz w:val="24"/>
          <w:highlight w:val="none"/>
          <w:u w:val="single"/>
          <w:lang w:val="en-US" w:eastAsia="zh-CN"/>
        </w:rPr>
        <w:t xml:space="preserve">                             </w:t>
      </w:r>
    </w:p>
    <w:p w14:paraId="6D801549">
      <w:pPr>
        <w:spacing w:line="360" w:lineRule="auto"/>
        <w:jc w:val="left"/>
        <w:rPr>
          <w:rFonts w:ascii="宋体" w:hAnsi="宋体" w:eastAsia="宋体" w:cs="宋体"/>
          <w:color w:val="auto"/>
          <w:sz w:val="24"/>
          <w:highlight w:val="none"/>
        </w:rPr>
      </w:pPr>
    </w:p>
    <w:p w14:paraId="105EEEF1">
      <w:pPr>
        <w:spacing w:line="360" w:lineRule="auto"/>
        <w:jc w:val="center"/>
        <w:rPr>
          <w:rFonts w:ascii="宋体" w:hAnsi="宋体" w:eastAsia="宋体" w:cs="宋体"/>
          <w:b/>
          <w:bCs/>
          <w:color w:val="auto"/>
          <w:sz w:val="52"/>
          <w:highlight w:val="none"/>
        </w:rPr>
      </w:pPr>
      <w:r>
        <w:rPr>
          <w:rFonts w:hint="eastAsia" w:ascii="宋体" w:hAnsi="宋体" w:eastAsia="宋体" w:cs="宋体"/>
          <w:b/>
          <w:bCs/>
          <w:color w:val="auto"/>
          <w:sz w:val="52"/>
          <w:highlight w:val="none"/>
        </w:rPr>
        <w:t>广西壮族自治区政府采购</w:t>
      </w:r>
    </w:p>
    <w:p w14:paraId="077234A7">
      <w:pPr>
        <w:spacing w:line="360" w:lineRule="auto"/>
        <w:jc w:val="left"/>
        <w:rPr>
          <w:rFonts w:ascii="宋体" w:hAnsi="宋体" w:eastAsia="宋体" w:cs="宋体"/>
          <w:color w:val="auto"/>
          <w:highlight w:val="none"/>
        </w:rPr>
      </w:pPr>
    </w:p>
    <w:p w14:paraId="431D789D">
      <w:pPr>
        <w:spacing w:line="360" w:lineRule="auto"/>
        <w:jc w:val="left"/>
        <w:rPr>
          <w:rFonts w:ascii="宋体" w:hAnsi="宋体" w:eastAsia="宋体" w:cs="宋体"/>
          <w:color w:val="auto"/>
          <w:highlight w:val="none"/>
        </w:rPr>
      </w:pPr>
    </w:p>
    <w:p w14:paraId="7EC68025">
      <w:pPr>
        <w:spacing w:line="360" w:lineRule="auto"/>
        <w:jc w:val="left"/>
        <w:rPr>
          <w:rFonts w:ascii="宋体" w:hAnsi="宋体" w:eastAsia="宋体" w:cs="宋体"/>
          <w:color w:val="auto"/>
          <w:highlight w:val="none"/>
        </w:rPr>
      </w:pPr>
    </w:p>
    <w:p w14:paraId="31A311C7">
      <w:pPr>
        <w:tabs>
          <w:tab w:val="center" w:pos="4153"/>
          <w:tab w:val="right" w:pos="8306"/>
        </w:tabs>
        <w:snapToGrid w:val="0"/>
        <w:jc w:val="center"/>
        <w:rPr>
          <w:rFonts w:ascii="宋体" w:hAnsi="宋体" w:eastAsia="宋体" w:cs="宋体"/>
          <w:b/>
          <w:bCs/>
          <w:color w:val="auto"/>
          <w:sz w:val="72"/>
          <w:szCs w:val="40"/>
          <w:highlight w:val="none"/>
        </w:rPr>
      </w:pPr>
      <w:r>
        <w:rPr>
          <w:rFonts w:hint="eastAsia" w:ascii="宋体" w:hAnsi="宋体" w:eastAsia="宋体" w:cs="宋体"/>
          <w:b/>
          <w:bCs/>
          <w:color w:val="auto"/>
          <w:sz w:val="72"/>
          <w:szCs w:val="40"/>
          <w:highlight w:val="none"/>
        </w:rPr>
        <w:t>演播室配套供配电设施升级优化项目合同</w:t>
      </w:r>
    </w:p>
    <w:p w14:paraId="30C2BE26">
      <w:pPr>
        <w:tabs>
          <w:tab w:val="center" w:pos="4153"/>
          <w:tab w:val="right" w:pos="8306"/>
        </w:tabs>
        <w:snapToGrid w:val="0"/>
        <w:jc w:val="left"/>
        <w:rPr>
          <w:rFonts w:ascii="宋体" w:hAnsi="宋体" w:eastAsia="宋体" w:cs="宋体"/>
          <w:b/>
          <w:bCs/>
          <w:color w:val="auto"/>
          <w:sz w:val="44"/>
          <w:szCs w:val="18"/>
          <w:highlight w:val="none"/>
        </w:rPr>
      </w:pPr>
    </w:p>
    <w:p w14:paraId="77B35B41">
      <w:pPr>
        <w:tabs>
          <w:tab w:val="center" w:pos="4153"/>
          <w:tab w:val="right" w:pos="8306"/>
        </w:tabs>
        <w:snapToGrid w:val="0"/>
        <w:jc w:val="left"/>
        <w:rPr>
          <w:rFonts w:ascii="宋体" w:hAnsi="宋体" w:eastAsia="宋体" w:cs="宋体"/>
          <w:b/>
          <w:bCs/>
          <w:color w:val="auto"/>
          <w:sz w:val="44"/>
          <w:szCs w:val="18"/>
          <w:highlight w:val="none"/>
        </w:rPr>
      </w:pPr>
    </w:p>
    <w:p w14:paraId="141C49EF">
      <w:pPr>
        <w:spacing w:line="360" w:lineRule="auto"/>
        <w:ind w:firstLine="1485" w:firstLineChars="41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合同编号：GXZC2026-J1-002061-GXKL</w:t>
      </w:r>
    </w:p>
    <w:p w14:paraId="6033E3A5">
      <w:pPr>
        <w:spacing w:line="360" w:lineRule="auto"/>
        <w:ind w:left="0" w:leftChars="0" w:firstLine="1485" w:firstLineChars="411"/>
        <w:rPr>
          <w:rFonts w:hint="default"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rPr>
        <w:t>计划编号：</w:t>
      </w:r>
      <w:r>
        <w:rPr>
          <w:rFonts w:hint="eastAsia" w:ascii="宋体" w:hAnsi="宋体" w:eastAsia="宋体" w:cs="宋体"/>
          <w:b/>
          <w:color w:val="auto"/>
          <w:sz w:val="36"/>
          <w:szCs w:val="36"/>
          <w:highlight w:val="none"/>
          <w:u w:val="single"/>
          <w:lang w:val="en-US" w:eastAsia="zh-CN"/>
        </w:rPr>
        <w:t xml:space="preserve">                       </w:t>
      </w:r>
    </w:p>
    <w:p w14:paraId="1E25DE8C">
      <w:pPr>
        <w:tabs>
          <w:tab w:val="center" w:pos="4153"/>
          <w:tab w:val="right" w:pos="8306"/>
        </w:tabs>
        <w:snapToGrid w:val="0"/>
        <w:jc w:val="left"/>
        <w:rPr>
          <w:rFonts w:ascii="宋体" w:hAnsi="宋体" w:eastAsia="宋体" w:cs="宋体"/>
          <w:color w:val="auto"/>
          <w:sz w:val="18"/>
          <w:szCs w:val="18"/>
          <w:highlight w:val="none"/>
        </w:rPr>
      </w:pPr>
    </w:p>
    <w:p w14:paraId="152BA66C">
      <w:pPr>
        <w:tabs>
          <w:tab w:val="center" w:pos="4153"/>
          <w:tab w:val="right" w:pos="8306"/>
        </w:tabs>
        <w:snapToGrid w:val="0"/>
        <w:jc w:val="left"/>
        <w:rPr>
          <w:rFonts w:ascii="宋体" w:hAnsi="宋体" w:eastAsia="宋体" w:cs="宋体"/>
          <w:color w:val="auto"/>
          <w:sz w:val="18"/>
          <w:szCs w:val="18"/>
          <w:highlight w:val="none"/>
        </w:rPr>
      </w:pPr>
    </w:p>
    <w:p w14:paraId="4E6A46DD">
      <w:pPr>
        <w:jc w:val="center"/>
        <w:rPr>
          <w:rFonts w:ascii="宋体" w:hAnsi="宋体" w:eastAsia="宋体" w:cs="宋体"/>
          <w:b/>
          <w:color w:val="auto"/>
          <w:sz w:val="36"/>
          <w:szCs w:val="36"/>
          <w:highlight w:val="none"/>
        </w:rPr>
      </w:pPr>
      <w:r>
        <w:rPr>
          <w:rFonts w:hint="eastAsia" w:ascii="宋体" w:hAnsi="宋体" w:eastAsia="宋体" w:cs="宋体"/>
          <w:color w:val="auto"/>
          <w:sz w:val="24"/>
          <w:szCs w:val="20"/>
          <w:highlight w:val="none"/>
        </w:rPr>
        <w:t>GXRTV技术播控中心（合约）字202</w:t>
      </w:r>
      <w:r>
        <w:rPr>
          <w:rFonts w:hint="eastAsia" w:ascii="宋体" w:hAnsi="宋体" w:eastAsia="宋体" w:cs="宋体"/>
          <w:color w:val="auto"/>
          <w:sz w:val="24"/>
          <w:szCs w:val="20"/>
          <w:highlight w:val="none"/>
          <w:lang w:val="en-US" w:eastAsia="zh-CN"/>
        </w:rPr>
        <w:t>6</w:t>
      </w:r>
      <w:r>
        <w:rPr>
          <w:rFonts w:hint="eastAsia" w:ascii="宋体" w:hAnsi="宋体" w:eastAsia="宋体" w:cs="宋体"/>
          <w:color w:val="auto"/>
          <w:sz w:val="24"/>
          <w:szCs w:val="20"/>
          <w:highlight w:val="none"/>
        </w:rPr>
        <w:t xml:space="preserve">第  </w:t>
      </w:r>
      <w:r>
        <w:rPr>
          <w:rFonts w:hint="eastAsia" w:ascii="宋体" w:hAnsi="宋体" w:eastAsia="宋体" w:cs="宋体"/>
          <w:color w:val="auto"/>
          <w:sz w:val="24"/>
          <w:szCs w:val="20"/>
          <w:highlight w:val="none"/>
          <w:lang w:val="en-US" w:eastAsia="zh-CN"/>
        </w:rPr>
        <w:t xml:space="preserve">    </w:t>
      </w:r>
      <w:r>
        <w:rPr>
          <w:rFonts w:hint="eastAsia" w:ascii="宋体" w:hAnsi="宋体" w:eastAsia="宋体" w:cs="宋体"/>
          <w:color w:val="auto"/>
          <w:sz w:val="24"/>
          <w:szCs w:val="20"/>
          <w:highlight w:val="none"/>
        </w:rPr>
        <w:t xml:space="preserve"> 号</w:t>
      </w:r>
    </w:p>
    <w:p w14:paraId="2B71DB60">
      <w:pPr>
        <w:rPr>
          <w:rFonts w:ascii="宋体" w:hAnsi="宋体" w:eastAsia="宋体" w:cs="宋体"/>
          <w:b/>
          <w:color w:val="auto"/>
          <w:sz w:val="36"/>
          <w:szCs w:val="36"/>
          <w:highlight w:val="none"/>
        </w:rPr>
      </w:pPr>
    </w:p>
    <w:p w14:paraId="729EEBD8">
      <w:pPr>
        <w:tabs>
          <w:tab w:val="center" w:pos="4153"/>
          <w:tab w:val="right" w:pos="8306"/>
        </w:tabs>
        <w:snapToGrid w:val="0"/>
        <w:jc w:val="left"/>
        <w:rPr>
          <w:rFonts w:ascii="宋体" w:hAnsi="宋体" w:eastAsia="宋体" w:cs="宋体"/>
          <w:b/>
          <w:color w:val="auto"/>
          <w:sz w:val="36"/>
          <w:szCs w:val="36"/>
          <w:highlight w:val="none"/>
        </w:rPr>
      </w:pPr>
    </w:p>
    <w:p w14:paraId="6F4C5AAD">
      <w:pPr>
        <w:tabs>
          <w:tab w:val="center" w:pos="4153"/>
          <w:tab w:val="right" w:pos="8306"/>
        </w:tabs>
        <w:snapToGrid w:val="0"/>
        <w:jc w:val="left"/>
        <w:rPr>
          <w:rFonts w:ascii="宋体" w:hAnsi="宋体" w:eastAsia="宋体" w:cs="宋体"/>
          <w:b/>
          <w:color w:val="auto"/>
          <w:sz w:val="36"/>
          <w:szCs w:val="36"/>
          <w:highlight w:val="none"/>
        </w:rPr>
      </w:pPr>
    </w:p>
    <w:p w14:paraId="7D4C4D6C">
      <w:pPr>
        <w:tabs>
          <w:tab w:val="left" w:pos="7200"/>
        </w:tabs>
        <w:spacing w:line="360" w:lineRule="auto"/>
        <w:jc w:val="center"/>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采购人：广西广播电视台</w:t>
      </w:r>
    </w:p>
    <w:p w14:paraId="40C6F6CC">
      <w:pPr>
        <w:tabs>
          <w:tab w:val="left" w:pos="7380"/>
        </w:tabs>
        <w:spacing w:line="360" w:lineRule="auto"/>
        <w:ind w:left="0" w:leftChars="0" w:firstLine="2830" w:firstLineChars="783"/>
        <w:jc w:val="both"/>
        <w:rPr>
          <w:rFonts w:hint="default" w:ascii="宋体" w:hAnsi="宋体" w:eastAsia="宋体" w:cs="宋体"/>
          <w:b/>
          <w:bCs/>
          <w:color w:val="auto"/>
          <w:sz w:val="44"/>
          <w:highlight w:val="none"/>
          <w:lang w:val="en-US" w:eastAsia="zh-CN"/>
        </w:rPr>
      </w:pPr>
      <w:r>
        <w:rPr>
          <w:rFonts w:hint="eastAsia" w:ascii="宋体" w:hAnsi="宋体" w:eastAsia="宋体" w:cs="宋体"/>
          <w:b/>
          <w:color w:val="auto"/>
          <w:sz w:val="36"/>
          <w:szCs w:val="36"/>
          <w:highlight w:val="none"/>
        </w:rPr>
        <w:t>成交供应商：</w:t>
      </w:r>
      <w:r>
        <w:rPr>
          <w:rFonts w:hint="eastAsia" w:ascii="宋体" w:hAnsi="宋体" w:eastAsia="宋体" w:cs="宋体"/>
          <w:b/>
          <w:color w:val="auto"/>
          <w:sz w:val="36"/>
          <w:szCs w:val="36"/>
          <w:highlight w:val="none"/>
          <w:u w:val="single"/>
          <w:lang w:val="en-US" w:eastAsia="zh-CN"/>
        </w:rPr>
        <w:t xml:space="preserve">          </w:t>
      </w:r>
    </w:p>
    <w:p w14:paraId="6DFD47B3">
      <w:pPr>
        <w:snapToGrid w:val="0"/>
        <w:spacing w:line="360" w:lineRule="auto"/>
        <w:jc w:val="center"/>
        <w:rPr>
          <w:rFonts w:ascii="宋体" w:hAnsi="宋体" w:eastAsia="宋体" w:cs="宋体"/>
          <w:b/>
          <w:color w:val="auto"/>
          <w:sz w:val="28"/>
          <w:szCs w:val="28"/>
          <w:highlight w:val="none"/>
        </w:rPr>
      </w:pPr>
    </w:p>
    <w:p w14:paraId="6E1119F0">
      <w:pPr>
        <w:jc w:val="center"/>
        <w:rPr>
          <w:rFonts w:ascii="宋体" w:hAnsi="宋体" w:eastAsia="宋体" w:cs="Times New Roman"/>
          <w:color w:val="auto"/>
          <w:highlight w:val="none"/>
        </w:rPr>
      </w:pPr>
      <w:r>
        <w:rPr>
          <w:rFonts w:hint="eastAsia" w:ascii="宋体" w:hAnsi="宋体" w:eastAsia="宋体" w:cs="宋体"/>
          <w:b/>
          <w:color w:val="auto"/>
          <w:sz w:val="28"/>
          <w:szCs w:val="28"/>
          <w:highlight w:val="none"/>
        </w:rPr>
        <w:t>签订日期：202</w:t>
      </w:r>
      <w:r>
        <w:rPr>
          <w:rFonts w:hint="eastAsia" w:ascii="宋体" w:hAnsi="宋体" w:eastAsia="宋体" w:cs="宋体"/>
          <w:b/>
          <w:color w:val="auto"/>
          <w:sz w:val="28"/>
          <w:szCs w:val="28"/>
          <w:highlight w:val="none"/>
          <w:lang w:val="en-US" w:eastAsia="zh-CN"/>
        </w:rPr>
        <w:t>6</w:t>
      </w:r>
      <w:r>
        <w:rPr>
          <w:rFonts w:hint="eastAsia" w:ascii="宋体" w:hAnsi="宋体" w:eastAsia="宋体" w:cs="宋体"/>
          <w:b/>
          <w:color w:val="auto"/>
          <w:sz w:val="28"/>
          <w:szCs w:val="28"/>
          <w:highlight w:val="none"/>
        </w:rPr>
        <w:t>年   月   日</w:t>
      </w:r>
      <w:r>
        <w:rPr>
          <w:rFonts w:hint="eastAsia" w:ascii="宋体" w:hAnsi="Courier New" w:eastAsia="宋体" w:cs="Times New Roman"/>
          <w:color w:val="auto"/>
          <w:highlight w:val="none"/>
        </w:rPr>
        <w:br w:type="page"/>
      </w:r>
    </w:p>
    <w:p w14:paraId="3696D4EC">
      <w:pPr>
        <w:jc w:val="center"/>
        <w:rPr>
          <w:rFonts w:ascii="Calibri" w:hAnsi="Calibri" w:eastAsia="宋体" w:cs="Times New Roman"/>
          <w:color w:val="auto"/>
          <w:sz w:val="52"/>
          <w:szCs w:val="52"/>
          <w:highlight w:val="none"/>
        </w:rPr>
      </w:pPr>
      <w:r>
        <w:rPr>
          <w:rFonts w:hint="eastAsia" w:ascii="Calibri" w:hAnsi="Calibri" w:eastAsia="宋体" w:cs="Times New Roman"/>
          <w:color w:val="auto"/>
          <w:sz w:val="52"/>
          <w:szCs w:val="52"/>
          <w:highlight w:val="none"/>
        </w:rPr>
        <w:t>目  录</w:t>
      </w:r>
    </w:p>
    <w:p w14:paraId="2F9538C6">
      <w:pPr>
        <w:jc w:val="center"/>
        <w:rPr>
          <w:rFonts w:ascii="Calibri" w:hAnsi="Calibri" w:eastAsia="宋体" w:cs="Times New Roman"/>
          <w:color w:val="auto"/>
          <w:sz w:val="72"/>
          <w:szCs w:val="36"/>
          <w:highlight w:val="none"/>
        </w:rPr>
      </w:pPr>
    </w:p>
    <w:p w14:paraId="7CF3DB89">
      <w:pPr>
        <w:spacing w:line="1000" w:lineRule="exact"/>
        <w:ind w:left="420" w:leftChars="200" w:firstLine="2518" w:firstLineChars="787"/>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1、 采购合同书</w:t>
      </w:r>
    </w:p>
    <w:p w14:paraId="4DCB3BC2">
      <w:pPr>
        <w:spacing w:line="1000" w:lineRule="exact"/>
        <w:ind w:left="420" w:leftChars="200" w:firstLine="2518" w:firstLineChars="787"/>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2、 需求一览表</w:t>
      </w:r>
    </w:p>
    <w:p w14:paraId="2D3CA206">
      <w:pPr>
        <w:spacing w:line="1000" w:lineRule="exact"/>
        <w:ind w:left="420" w:leftChars="200" w:firstLine="2518" w:firstLineChars="787"/>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3、 响应函</w:t>
      </w:r>
    </w:p>
    <w:p w14:paraId="6DFDD0A1">
      <w:pPr>
        <w:spacing w:line="1000" w:lineRule="exact"/>
        <w:ind w:left="420" w:leftChars="200" w:firstLine="2518" w:firstLineChars="787"/>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4、 响应报价表(首次报价）</w:t>
      </w:r>
    </w:p>
    <w:p w14:paraId="013E5276">
      <w:pPr>
        <w:spacing w:line="1000" w:lineRule="exact"/>
        <w:ind w:left="420" w:leftChars="200" w:firstLine="2518" w:firstLineChars="787"/>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5、 商务条款偏离表</w:t>
      </w:r>
    </w:p>
    <w:p w14:paraId="4250103E">
      <w:pPr>
        <w:spacing w:line="1000" w:lineRule="exact"/>
        <w:ind w:left="420" w:leftChars="200" w:firstLine="2518" w:firstLineChars="787"/>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val="en-US" w:eastAsia="zh-CN"/>
        </w:rPr>
        <w:t>6</w:t>
      </w:r>
      <w:r>
        <w:rPr>
          <w:rFonts w:hint="eastAsia" w:ascii="宋体" w:hAnsi="宋体" w:eastAsia="宋体" w:cs="宋体"/>
          <w:color w:val="auto"/>
          <w:sz w:val="32"/>
          <w:szCs w:val="32"/>
          <w:highlight w:val="none"/>
        </w:rPr>
        <w:t>、 技术需求偏离表</w:t>
      </w:r>
    </w:p>
    <w:p w14:paraId="1C0B703A">
      <w:pPr>
        <w:spacing w:line="1000" w:lineRule="exact"/>
        <w:ind w:left="420" w:leftChars="200" w:firstLine="2518" w:firstLineChars="787"/>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7、 二次（最终）报价表</w:t>
      </w:r>
    </w:p>
    <w:p w14:paraId="016690F3">
      <w:pPr>
        <w:spacing w:line="1000" w:lineRule="exact"/>
        <w:ind w:left="420" w:leftChars="200" w:firstLine="2518" w:firstLineChars="787"/>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8、 成交通知书</w:t>
      </w:r>
    </w:p>
    <w:p w14:paraId="06710BCA">
      <w:pPr>
        <w:snapToGrid w:val="0"/>
        <w:spacing w:line="360" w:lineRule="exact"/>
        <w:jc w:val="center"/>
        <w:rPr>
          <w:rFonts w:ascii="宋体" w:hAnsi="宋体"/>
          <w:b/>
          <w:bCs/>
          <w:color w:val="auto"/>
          <w:sz w:val="32"/>
          <w:szCs w:val="32"/>
          <w:highlight w:val="none"/>
        </w:rPr>
        <w:sectPr>
          <w:pgSz w:w="11906" w:h="16838"/>
          <w:pgMar w:top="1134" w:right="1134" w:bottom="1134" w:left="1134" w:header="851" w:footer="850" w:gutter="0"/>
          <w:cols w:space="0" w:num="1"/>
          <w:docGrid w:type="lines" w:linePitch="312" w:charSpace="0"/>
        </w:sectPr>
      </w:pPr>
    </w:p>
    <w:p w14:paraId="5A7A0670">
      <w:pPr>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lang w:val="en-US" w:eastAsia="zh-CN"/>
        </w:rPr>
        <w:t>广</w:t>
      </w:r>
      <w:r>
        <w:rPr>
          <w:rFonts w:hint="eastAsia" w:ascii="宋体" w:hAnsi="宋体" w:eastAsia="宋体" w:cs="Times New Roman"/>
          <w:b/>
          <w:bCs/>
          <w:color w:val="auto"/>
          <w:sz w:val="32"/>
          <w:szCs w:val="32"/>
          <w:highlight w:val="none"/>
        </w:rPr>
        <w:t>西壮族自治区政府采购合同</w:t>
      </w:r>
    </w:p>
    <w:p w14:paraId="6AA0F0D8">
      <w:pPr>
        <w:keepNext w:val="0"/>
        <w:keepLines w:val="0"/>
        <w:pageBreakBefore w:val="0"/>
        <w:widowControl w:val="0"/>
        <w:kinsoku/>
        <w:wordWrap/>
        <w:overflowPunct/>
        <w:topLinePunct w:val="0"/>
        <w:autoSpaceDE/>
        <w:autoSpaceDN/>
        <w:bidi w:val="0"/>
        <w:adjustRightInd/>
        <w:snapToGrid w:val="0"/>
        <w:spacing w:line="460" w:lineRule="exact"/>
        <w:ind w:right="480" w:firstLine="5250" w:firstLineChars="2500"/>
        <w:textAlignment w:val="auto"/>
        <w:rPr>
          <w:rFonts w:hint="eastAsia" w:ascii="宋体" w:hAnsi="宋体" w:eastAsia="宋体" w:cs="宋体"/>
          <w:bCs/>
          <w:color w:val="auto"/>
          <w:sz w:val="21"/>
          <w:szCs w:val="21"/>
          <w:highlight w:val="none"/>
        </w:rPr>
      </w:pPr>
    </w:p>
    <w:p w14:paraId="3D625099">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460" w:lineRule="exact"/>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合同编号：</w:t>
      </w:r>
      <w:r>
        <w:rPr>
          <w:rFonts w:hint="eastAsia" w:ascii="宋体" w:hAnsi="宋体" w:eastAsia="宋体" w:cs="宋体"/>
          <w:bCs/>
          <w:color w:val="auto"/>
          <w:sz w:val="21"/>
          <w:szCs w:val="21"/>
          <w:highlight w:val="none"/>
          <w:lang w:eastAsia="zh-CN"/>
        </w:rPr>
        <w:t>GXZC2026-J1-002061-GXKL</w:t>
      </w:r>
    </w:p>
    <w:p w14:paraId="75B43878">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460" w:lineRule="exact"/>
        <w:jc w:val="left"/>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zh-CN" w:eastAsia="zh-CN" w:bidi="ar-SA"/>
        </w:rPr>
        <w:t>采购计划号：</w:t>
      </w:r>
      <w:r>
        <w:rPr>
          <w:rFonts w:hint="eastAsia" w:ascii="宋体" w:hAnsi="宋体" w:eastAsia="宋体" w:cs="宋体"/>
          <w:color w:val="auto"/>
          <w:kern w:val="0"/>
          <w:sz w:val="21"/>
          <w:szCs w:val="21"/>
          <w:highlight w:val="none"/>
          <w:u w:val="single"/>
          <w:lang w:val="en-US" w:eastAsia="zh-CN" w:bidi="ar-SA"/>
        </w:rPr>
        <w:t xml:space="preserve">                     </w:t>
      </w:r>
    </w:p>
    <w:p w14:paraId="29AE15FF">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eastAsia="宋体" w:cs="宋体"/>
          <w:color w:val="auto"/>
          <w:sz w:val="21"/>
          <w:szCs w:val="21"/>
          <w:highlight w:val="none"/>
        </w:rPr>
      </w:pPr>
    </w:p>
    <w:p w14:paraId="2039E338">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eastAsia="宋体" w:cs="宋体"/>
          <w:b/>
          <w:bCs/>
          <w:color w:val="auto"/>
          <w:sz w:val="21"/>
          <w:szCs w:val="21"/>
          <w:highlight w:val="none"/>
          <w:u w:val="single"/>
        </w:rPr>
      </w:pPr>
      <w:r>
        <w:rPr>
          <w:rFonts w:hint="eastAsia" w:ascii="宋体" w:hAnsi="宋体" w:eastAsia="宋体" w:cs="宋体"/>
          <w:color w:val="auto"/>
          <w:sz w:val="21"/>
          <w:szCs w:val="21"/>
          <w:highlight w:val="none"/>
        </w:rPr>
        <w:t>采购人（甲方）：</w:t>
      </w:r>
      <w:r>
        <w:rPr>
          <w:rFonts w:hint="eastAsia" w:ascii="宋体" w:hAnsi="宋体" w:eastAsia="宋体" w:cs="宋体"/>
          <w:b/>
          <w:bCs/>
          <w:color w:val="auto"/>
          <w:sz w:val="21"/>
          <w:szCs w:val="21"/>
          <w:highlight w:val="none"/>
          <w:u w:val="single"/>
        </w:rPr>
        <w:t>广西广播电视台</w:t>
      </w:r>
    </w:p>
    <w:p w14:paraId="32E6AE4E">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default" w:ascii="宋体" w:hAnsi="宋体" w:eastAsia="宋体" w:cs="宋体"/>
          <w:b/>
          <w:bCs/>
          <w:color w:val="auto"/>
          <w:sz w:val="21"/>
          <w:szCs w:val="21"/>
          <w:highlight w:val="none"/>
          <w:u w:val="single"/>
          <w:lang w:val="en-US" w:eastAsia="zh-CN"/>
        </w:rPr>
      </w:pPr>
      <w:r>
        <w:rPr>
          <w:rFonts w:hint="eastAsia" w:ascii="宋体" w:hAnsi="宋体" w:eastAsia="宋体" w:cs="宋体"/>
          <w:color w:val="auto"/>
          <w:sz w:val="21"/>
          <w:szCs w:val="21"/>
          <w:highlight w:val="none"/>
        </w:rPr>
        <w:t>成交供应商（乙方）：</w:t>
      </w:r>
      <w:r>
        <w:rPr>
          <w:rFonts w:hint="eastAsia" w:ascii="宋体" w:hAnsi="宋体" w:eastAsia="宋体" w:cs="宋体"/>
          <w:b/>
          <w:bCs/>
          <w:color w:val="auto"/>
          <w:sz w:val="21"/>
          <w:szCs w:val="21"/>
          <w:highlight w:val="none"/>
          <w:u w:val="single"/>
          <w:lang w:val="en-US" w:eastAsia="zh-CN"/>
        </w:rPr>
        <w:t xml:space="preserve">                      </w:t>
      </w:r>
    </w:p>
    <w:p w14:paraId="6A5A1AC3">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项目名称：演播室配套供配电设施升级优化项目</w:t>
      </w:r>
    </w:p>
    <w:p w14:paraId="5F0B328D">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项目编号：</w:t>
      </w:r>
      <w:r>
        <w:rPr>
          <w:rFonts w:hint="eastAsia" w:ascii="宋体" w:hAnsi="宋体" w:eastAsia="宋体" w:cs="宋体"/>
          <w:color w:val="auto"/>
          <w:sz w:val="21"/>
          <w:szCs w:val="21"/>
          <w:highlight w:val="none"/>
          <w:lang w:eastAsia="zh-CN"/>
        </w:rPr>
        <w:t>GXZC2026-J1-002061-GXKL</w:t>
      </w:r>
    </w:p>
    <w:p w14:paraId="2647BEA6">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签订地点：</w:t>
      </w:r>
      <w:r>
        <w:rPr>
          <w:rFonts w:hint="eastAsia" w:ascii="宋体" w:hAnsi="宋体" w:eastAsia="宋体" w:cs="宋体"/>
          <w:color w:val="auto"/>
          <w:sz w:val="21"/>
          <w:szCs w:val="21"/>
          <w:highlight w:val="none"/>
          <w:lang w:val="en-US" w:eastAsia="zh-CN"/>
        </w:rPr>
        <w:t>广西南宁市</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签订时间：202</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5B7A297E">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p>
    <w:p w14:paraId="2B345EF2">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根据《中华人民共和国政府采购法》《中华人民共和国民法典》等法律、法规规定，按照竞争性谈判文件规定条款和成交供应商承诺，甲乙双方签订本合同。</w:t>
      </w:r>
    </w:p>
    <w:p w14:paraId="414229D6">
      <w:pPr>
        <w:keepNext w:val="0"/>
        <w:keepLines w:val="0"/>
        <w:pageBreakBefore w:val="0"/>
        <w:widowControl w:val="0"/>
        <w:kinsoku/>
        <w:wordWrap/>
        <w:overflowPunct/>
        <w:topLinePunct w:val="0"/>
        <w:autoSpaceDE/>
        <w:autoSpaceDN/>
        <w:bidi w:val="0"/>
        <w:adjustRightInd/>
        <w:snapToGrid w:val="0"/>
        <w:spacing w:line="4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第一条　合同标的</w:t>
      </w:r>
    </w:p>
    <w:p w14:paraId="40C19821">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1.合同总金额：</w:t>
      </w:r>
      <w:r>
        <w:rPr>
          <w:rFonts w:hint="eastAsia" w:ascii="宋体" w:hAnsi="宋体" w:eastAsia="宋体" w:cs="宋体"/>
          <w:b/>
          <w:bCs/>
          <w:color w:val="auto"/>
          <w:sz w:val="21"/>
          <w:szCs w:val="21"/>
          <w:highlight w:val="none"/>
          <w:u w:val="single"/>
          <w:lang w:val="en-US" w:eastAsia="zh-CN"/>
        </w:rPr>
        <w:t>人民币                （¥             ）</w:t>
      </w:r>
      <w:r>
        <w:rPr>
          <w:rFonts w:hint="eastAsia" w:ascii="宋体" w:hAnsi="宋体" w:eastAsia="宋体" w:cs="宋体"/>
          <w:color w:val="auto"/>
          <w:sz w:val="21"/>
          <w:szCs w:val="21"/>
          <w:highlight w:val="none"/>
        </w:rPr>
        <w:t>。</w:t>
      </w:r>
    </w:p>
    <w:p w14:paraId="76FA9A22">
      <w:pPr>
        <w:keepNext w:val="0"/>
        <w:keepLines w:val="0"/>
        <w:pageBreakBefore w:val="0"/>
        <w:widowControl w:val="0"/>
        <w:kinsoku/>
        <w:wordWrap/>
        <w:overflowPunct/>
        <w:topLinePunct w:val="0"/>
        <w:autoSpaceDE/>
        <w:autoSpaceDN/>
        <w:bidi w:val="0"/>
        <w:adjustRightInd/>
        <w:snapToGrid w:val="0"/>
        <w:spacing w:line="460" w:lineRule="exact"/>
        <w:ind w:right="42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2.供货一览表</w:t>
      </w:r>
      <w:r>
        <w:rPr>
          <w:rFonts w:hint="eastAsia" w:ascii="宋体" w:hAnsi="宋体" w:eastAsia="宋体" w:cs="宋体"/>
          <w:color w:val="auto"/>
          <w:sz w:val="21"/>
          <w:szCs w:val="21"/>
          <w:highlight w:val="none"/>
          <w:lang w:eastAsia="zh-CN"/>
        </w:rPr>
        <w:t>：</w:t>
      </w:r>
    </w:p>
    <w:tbl>
      <w:tblPr>
        <w:tblStyle w:val="32"/>
        <w:tblW w:w="9632"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367"/>
        <w:gridCol w:w="1077"/>
        <w:gridCol w:w="892"/>
        <w:gridCol w:w="1210"/>
        <w:gridCol w:w="737"/>
        <w:gridCol w:w="804"/>
        <w:gridCol w:w="1216"/>
        <w:gridCol w:w="1615"/>
      </w:tblGrid>
      <w:tr w14:paraId="75BB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14" w:type="dxa"/>
            <w:noWrap/>
            <w:vAlign w:val="center"/>
          </w:tcPr>
          <w:p w14:paraId="6E9154C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67" w:type="dxa"/>
            <w:noWrap/>
            <w:vAlign w:val="center"/>
          </w:tcPr>
          <w:p w14:paraId="3E5149B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标的名称</w:t>
            </w:r>
          </w:p>
        </w:tc>
        <w:tc>
          <w:tcPr>
            <w:tcW w:w="1077" w:type="dxa"/>
            <w:noWrap/>
            <w:vAlign w:val="center"/>
          </w:tcPr>
          <w:p w14:paraId="1042D5E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p w14:paraId="72D4CC6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（如有）</w:t>
            </w:r>
          </w:p>
        </w:tc>
        <w:tc>
          <w:tcPr>
            <w:tcW w:w="892" w:type="dxa"/>
            <w:noWrap/>
            <w:vAlign w:val="center"/>
          </w:tcPr>
          <w:p w14:paraId="05A5073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210" w:type="dxa"/>
            <w:noWrap/>
            <w:vAlign w:val="center"/>
          </w:tcPr>
          <w:p w14:paraId="5CC6C6B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生产厂家</w:t>
            </w:r>
          </w:p>
        </w:tc>
        <w:tc>
          <w:tcPr>
            <w:tcW w:w="737" w:type="dxa"/>
            <w:noWrap/>
            <w:vAlign w:val="center"/>
          </w:tcPr>
          <w:p w14:paraId="7414846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804" w:type="dxa"/>
            <w:noWrap/>
            <w:vAlign w:val="center"/>
          </w:tcPr>
          <w:p w14:paraId="19598D0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数量①</w:t>
            </w:r>
          </w:p>
        </w:tc>
        <w:tc>
          <w:tcPr>
            <w:tcW w:w="1216" w:type="dxa"/>
            <w:noWrap/>
            <w:vAlign w:val="center"/>
          </w:tcPr>
          <w:p w14:paraId="67FED7D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单价（元）②</w:t>
            </w:r>
          </w:p>
        </w:tc>
        <w:tc>
          <w:tcPr>
            <w:tcW w:w="1615" w:type="dxa"/>
            <w:noWrap/>
            <w:vAlign w:val="center"/>
          </w:tcPr>
          <w:p w14:paraId="2B6107E2">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单项合计（元）</w:t>
            </w:r>
          </w:p>
          <w:p w14:paraId="2D2582C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③＝①X②</w:t>
            </w:r>
          </w:p>
        </w:tc>
      </w:tr>
      <w:tr w14:paraId="321D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9632" w:type="dxa"/>
            <w:gridSpan w:val="9"/>
            <w:noWrap/>
            <w:vAlign w:val="center"/>
          </w:tcPr>
          <w:p w14:paraId="79E2DD9D">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详见合同附件最终报价表</w:t>
            </w:r>
          </w:p>
        </w:tc>
      </w:tr>
    </w:tbl>
    <w:p w14:paraId="1D3A83AE">
      <w:pPr>
        <w:keepNext w:val="0"/>
        <w:keepLines w:val="0"/>
        <w:pageBreakBefore w:val="0"/>
        <w:widowControl w:val="0"/>
        <w:kinsoku/>
        <w:wordWrap/>
        <w:overflowPunct/>
        <w:topLinePunct w:val="0"/>
        <w:autoSpaceDE/>
        <w:autoSpaceDN/>
        <w:bidi w:val="0"/>
        <w:adjustRightInd/>
        <w:snapToGrid w:val="0"/>
        <w:spacing w:line="460" w:lineRule="exact"/>
        <w:ind w:right="42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合同总金额包含满足本次竞标全部采购需求所应提供的货物，以及伴随的服务和工程（如有）的价格；包含竞标货物、工程的成本、运输（含保险）、安装（如有）、调试、检验、技术服务、培训、税费等所有费用。竞争性谈判文件另有约定的，从其约定。</w:t>
      </w:r>
    </w:p>
    <w:p w14:paraId="636B3087">
      <w:pPr>
        <w:keepNext w:val="0"/>
        <w:keepLines w:val="0"/>
        <w:pageBreakBefore w:val="0"/>
        <w:widowControl w:val="0"/>
        <w:kinsoku/>
        <w:wordWrap/>
        <w:overflowPunct/>
        <w:topLinePunct w:val="0"/>
        <w:autoSpaceDE/>
        <w:autoSpaceDN/>
        <w:bidi w:val="0"/>
        <w:adjustRightInd/>
        <w:snapToGrid w:val="0"/>
        <w:spacing w:line="46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第二条　质量要求</w:t>
      </w:r>
    </w:p>
    <w:p w14:paraId="5B11216E">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1.乙方所提供的产品名称、商标品牌、生产厂家、规格型号、技术参数等质量必须与竞争性谈判文件规定及响应文件承诺相一致。乙方提供的节能和环保产品必须是列入政府采购品目清单的产品。</w:t>
      </w:r>
    </w:p>
    <w:p w14:paraId="382FE2A6">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2.乙方所提供的货物必须是全新、未使用的原装产品，且在正常安装、使用和保养条件下，其使用寿命期内各项指标均达到竞争性谈判文件规定或者响应文件承诺的质量要求。</w:t>
      </w:r>
    </w:p>
    <w:p w14:paraId="7F1D9C89">
      <w:pPr>
        <w:keepNext w:val="0"/>
        <w:keepLines w:val="0"/>
        <w:pageBreakBefore w:val="0"/>
        <w:widowControl w:val="0"/>
        <w:kinsoku/>
        <w:wordWrap/>
        <w:overflowPunct/>
        <w:topLinePunct w:val="0"/>
        <w:autoSpaceDE/>
        <w:autoSpaceDN/>
        <w:bidi w:val="0"/>
        <w:adjustRightInd/>
        <w:snapToGrid w:val="0"/>
        <w:spacing w:line="46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第三条　权利保证</w:t>
      </w:r>
    </w:p>
    <w:p w14:paraId="3543F62E">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1.乙方应保证所提供货物在使用时不会侵犯任何第三方的专利权、商标权、工业设计权或者其他权利。</w:t>
      </w:r>
    </w:p>
    <w:p w14:paraId="02316B20">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2.乙方应按竞争性谈判文件规定或者响应文件承诺的时间向甲方提供使用货物的有关技术资料。</w:t>
      </w:r>
    </w:p>
    <w:p w14:paraId="65D9430F">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w:t>
      </w:r>
    </w:p>
    <w:p w14:paraId="02AADA14">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4.乙方保证将要交付的货物的所有权完全属于乙方且无任何抵押、质押、查封等产权瑕疵。</w:t>
      </w:r>
    </w:p>
    <w:p w14:paraId="3CADAC4B">
      <w:pPr>
        <w:keepNext w:val="0"/>
        <w:keepLines w:val="0"/>
        <w:pageBreakBefore w:val="0"/>
        <w:widowControl w:val="0"/>
        <w:kinsoku/>
        <w:wordWrap/>
        <w:overflowPunct/>
        <w:topLinePunct w:val="0"/>
        <w:autoSpaceDE/>
        <w:autoSpaceDN/>
        <w:bidi w:val="0"/>
        <w:adjustRightInd/>
        <w:snapToGrid w:val="0"/>
        <w:spacing w:line="4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第四条　包装和运输</w:t>
      </w:r>
    </w:p>
    <w:p w14:paraId="56F2AD73">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1.乙方提供的货物均应按竞争性谈判文件规定或者响应文件承诺的要求的包装材料、包装标准、包装方式进行包装，每一包装单元内应附详细的装箱单和质量合格证。</w:t>
      </w:r>
    </w:p>
    <w:p w14:paraId="39A4D3C5">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2.货物的运输方式：</w:t>
      </w:r>
      <w:r>
        <w:rPr>
          <w:rFonts w:hint="eastAsia" w:ascii="宋体" w:hAnsi="宋体" w:eastAsia="宋体" w:cs="宋体"/>
          <w:color w:val="auto"/>
          <w:sz w:val="21"/>
          <w:szCs w:val="21"/>
          <w:highlight w:val="none"/>
          <w:u w:val="single"/>
        </w:rPr>
        <w:t>按乙方响应文件承诺</w:t>
      </w:r>
      <w:r>
        <w:rPr>
          <w:rFonts w:hint="eastAsia" w:ascii="宋体" w:hAnsi="宋体" w:eastAsia="宋体" w:cs="宋体"/>
          <w:color w:val="auto"/>
          <w:sz w:val="21"/>
          <w:szCs w:val="21"/>
          <w:highlight w:val="none"/>
        </w:rPr>
        <w:t>。</w:t>
      </w:r>
    </w:p>
    <w:p w14:paraId="42BC58AF">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3.乙方负责货物运输，货物运输合理损耗及计算方法：乙方负责货物运输，货物运输合理损耗及计算方法：货物合格交付前毁损、灭失等所有风险由乙方承担。</w:t>
      </w:r>
    </w:p>
    <w:p w14:paraId="30962C2F">
      <w:pPr>
        <w:keepNext w:val="0"/>
        <w:keepLines w:val="0"/>
        <w:pageBreakBefore w:val="0"/>
        <w:widowControl w:val="0"/>
        <w:kinsoku/>
        <w:wordWrap/>
        <w:overflowPunct/>
        <w:topLinePunct w:val="0"/>
        <w:autoSpaceDE/>
        <w:autoSpaceDN/>
        <w:bidi w:val="0"/>
        <w:adjustRightInd/>
        <w:snapToGrid w:val="0"/>
        <w:spacing w:line="46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第五条　交付和验收</w:t>
      </w:r>
    </w:p>
    <w:p w14:paraId="4736EB94">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1.交付使用时间：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；交付地点：</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14:paraId="7025BD6E">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2.乙方提供不符合竞争性谈判文件规定或者响应文件承诺的和本合同规定的货物，甲方有权拒绝接受。</w:t>
      </w:r>
    </w:p>
    <w:p w14:paraId="1063093D">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应将所提供货物的装箱清单、用户手册、原厂保修卡、随机资料、工具和备品、备件等交付给甲方，货物属于进口产品的，供货时应同时附上中文使用说明书，如有缺失应在合理的规定时间内补齐，否则视为逾期交货。</w:t>
      </w:r>
    </w:p>
    <w:p w14:paraId="40377C87">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4.甲方应当在到货后五个工作日内进行初步验收，初步验收合格后，乙方方可进行安装、安装完成验收合格后由甲乙双方签署货物验收单并加盖甲方公章，甲乙双方各执一份。</w:t>
      </w:r>
    </w:p>
    <w:p w14:paraId="3AA05563">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4477A235">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6.甲方对验收有异议的，在验收后五个工作日内以书面形式向乙方提出，乙方应自收到甲方书面异议后</w:t>
      </w:r>
      <w:r>
        <w:rPr>
          <w:rFonts w:hint="eastAsia" w:ascii="宋体" w:hAnsi="宋体" w:eastAsia="宋体" w:cs="宋体"/>
          <w:color w:val="auto"/>
          <w:sz w:val="21"/>
          <w:szCs w:val="21"/>
          <w:highlight w:val="none"/>
          <w:u w:val="single"/>
        </w:rPr>
        <w:t>5</w:t>
      </w:r>
      <w:r>
        <w:rPr>
          <w:rFonts w:hint="eastAsia" w:ascii="宋体" w:hAnsi="宋体" w:eastAsia="宋体" w:cs="宋体"/>
          <w:color w:val="auto"/>
          <w:sz w:val="21"/>
          <w:szCs w:val="21"/>
          <w:highlight w:val="none"/>
        </w:rPr>
        <w:t>日内及时予以解决。</w:t>
      </w:r>
    </w:p>
    <w:p w14:paraId="350458B4">
      <w:pPr>
        <w:keepNext w:val="0"/>
        <w:keepLines w:val="0"/>
        <w:pageBreakBefore w:val="0"/>
        <w:widowControl w:val="0"/>
        <w:kinsoku/>
        <w:wordWrap/>
        <w:overflowPunct/>
        <w:topLinePunct w:val="0"/>
        <w:autoSpaceDE/>
        <w:autoSpaceDN/>
        <w:bidi w:val="0"/>
        <w:adjustRightInd/>
        <w:snapToGrid w:val="0"/>
        <w:spacing w:line="4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第六条　安装和培训</w:t>
      </w:r>
    </w:p>
    <w:p w14:paraId="2B7556A2">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1.甲方应提供必要安装条件（如场地、电源、水源等）。</w:t>
      </w:r>
    </w:p>
    <w:p w14:paraId="6687570E">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2.乙方响应文件承诺负责甲方有关人员的培训。培训时间、地点：</w:t>
      </w:r>
      <w:r>
        <w:rPr>
          <w:rFonts w:hint="eastAsia" w:ascii="宋体" w:hAnsi="宋体" w:eastAsia="宋体" w:cs="宋体"/>
          <w:color w:val="auto"/>
          <w:sz w:val="21"/>
          <w:szCs w:val="21"/>
          <w:highlight w:val="none"/>
          <w:u w:val="single"/>
        </w:rPr>
        <w:t>按乙方响应文件承诺</w:t>
      </w:r>
      <w:r>
        <w:rPr>
          <w:rFonts w:hint="eastAsia" w:ascii="宋体" w:hAnsi="宋体" w:eastAsia="宋体" w:cs="宋体"/>
          <w:color w:val="auto"/>
          <w:sz w:val="21"/>
          <w:szCs w:val="21"/>
          <w:highlight w:val="none"/>
        </w:rPr>
        <w:t>。</w:t>
      </w:r>
    </w:p>
    <w:p w14:paraId="698A38ED">
      <w:pPr>
        <w:keepNext w:val="0"/>
        <w:keepLines w:val="0"/>
        <w:pageBreakBefore w:val="0"/>
        <w:widowControl w:val="0"/>
        <w:kinsoku/>
        <w:wordWrap/>
        <w:overflowPunct/>
        <w:topLinePunct w:val="0"/>
        <w:autoSpaceDE/>
        <w:autoSpaceDN/>
        <w:bidi w:val="0"/>
        <w:adjustRightInd/>
        <w:snapToGrid w:val="0"/>
        <w:spacing w:line="4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第七条  售后服务、质保期</w:t>
      </w:r>
    </w:p>
    <w:p w14:paraId="61D0310A">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1.乙方应按照国家有关法律法规和“三包”规定以及本合同所附的《服务承诺》，为甲方提供售后服务。</w:t>
      </w:r>
    </w:p>
    <w:p w14:paraId="273D09EE">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2.货物质保期：</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14:paraId="09DF0BAC">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3.乙方提供的服务承诺和售后服务及保修期责任等其他具体约定事项。（见合同附件）</w:t>
      </w:r>
    </w:p>
    <w:p w14:paraId="6AB551F3">
      <w:pPr>
        <w:keepNext w:val="0"/>
        <w:keepLines w:val="0"/>
        <w:pageBreakBefore w:val="0"/>
        <w:widowControl w:val="0"/>
        <w:kinsoku/>
        <w:wordWrap/>
        <w:overflowPunct/>
        <w:topLinePunct w:val="0"/>
        <w:autoSpaceDE/>
        <w:autoSpaceDN/>
        <w:bidi w:val="0"/>
        <w:adjustRightInd/>
        <w:snapToGrid w:val="0"/>
        <w:spacing w:line="46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第八条　付款方式</w:t>
      </w:r>
    </w:p>
    <w:p w14:paraId="14CB85F8">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(1)预付款:合同生效后15个工作日内，甲方向乙方支付合同总价款的30%。</w:t>
      </w:r>
    </w:p>
    <w:p w14:paraId="69365585">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(2)到货款:全部货物送达甲方指定地点并完成到货清点验收合格后15个工作日内，支付合同总价款的12%。</w:t>
      </w:r>
    </w:p>
    <w:p w14:paraId="1DBA99FC">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(3)初验款:项目完成安装调试，按甲方验收流程通过系统初验合格后15个工作日内，支付合同总价款的20%。</w:t>
      </w:r>
    </w:p>
    <w:p w14:paraId="7523D6EB">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(4)终验款:货物全部安装完毕、试运行结束并通过最终验收后15个工作日内，支付合同总价款的20%。</w:t>
      </w:r>
    </w:p>
    <w:p w14:paraId="13A9645D">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(5)尾款:自项目最终验收合格之日起满一年，质保期内无质量问题的，期满后15个工作日内，支付剩余合同总价款的18%。</w:t>
      </w:r>
    </w:p>
    <w:p w14:paraId="24EAAD49">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(6)发票约定:每期款项支付前，乙方需向甲方开具对应金额的增值税专用发票。</w:t>
      </w:r>
    </w:p>
    <w:p w14:paraId="1BD6CAC2">
      <w:pPr>
        <w:keepNext w:val="0"/>
        <w:keepLines w:val="0"/>
        <w:pageBreakBefore w:val="0"/>
        <w:widowControl w:val="0"/>
        <w:kinsoku/>
        <w:wordWrap/>
        <w:overflowPunct/>
        <w:topLinePunct w:val="0"/>
        <w:autoSpaceDE/>
        <w:autoSpaceDN/>
        <w:bidi w:val="0"/>
        <w:adjustRightInd/>
        <w:snapToGrid w:val="0"/>
        <w:spacing w:line="460" w:lineRule="exact"/>
        <w:ind w:left="-61" w:leftChars="-29" w:firstLine="517" w:firstLineChars="245"/>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第九条　履约保证金</w:t>
      </w:r>
    </w:p>
    <w:p w14:paraId="374442BC">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1.履约保证金金额：</w:t>
      </w:r>
      <w:r>
        <w:rPr>
          <w:rFonts w:hint="eastAsia" w:ascii="宋体" w:hAnsi="宋体" w:eastAsia="宋体" w:cs="宋体"/>
          <w:color w:val="auto"/>
          <w:sz w:val="21"/>
          <w:szCs w:val="21"/>
          <w:highlight w:val="none"/>
          <w:u w:val="single"/>
        </w:rPr>
        <w:t>履约保证金为合同金额的2%</w:t>
      </w:r>
      <w:r>
        <w:rPr>
          <w:rFonts w:hint="eastAsia" w:ascii="宋体" w:hAnsi="宋体" w:eastAsia="宋体" w:cs="宋体"/>
          <w:color w:val="auto"/>
          <w:sz w:val="21"/>
          <w:szCs w:val="21"/>
          <w:highlight w:val="none"/>
        </w:rPr>
        <w:t>。</w:t>
      </w:r>
    </w:p>
    <w:p w14:paraId="45E8DF70">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2.履约保证金提交方式：</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在合同签定之日起5个工作日内以银行转账、支票、汇票、本票或者金融机构、担保机构出具的保函等非现金方式向</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提交。</w:t>
      </w:r>
    </w:p>
    <w:p w14:paraId="1CBC689F">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3.履约保证金退付方式、时间及条件：履约完成后，由</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提供《广西壮族自治区政府采购项目合同验收书》（详见桂财采〔2015〕22号），</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在收到有效的项目合同验收书后5个工作日内办理履约保证金退还手续（无息）。</w:t>
      </w:r>
    </w:p>
    <w:p w14:paraId="4EB0E73B">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4.缴纳履约保证金指定账户的信息：</w:t>
      </w:r>
    </w:p>
    <w:p w14:paraId="0C78CDE1">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开户名称：广西广播电视台</w:t>
      </w:r>
    </w:p>
    <w:p w14:paraId="2BD8562B">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开户银行：中国银行南宁市新竹路支行</w:t>
      </w:r>
    </w:p>
    <w:p w14:paraId="19C78701">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银行账号：626257498303</w:t>
      </w:r>
    </w:p>
    <w:p w14:paraId="0738382C">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第十条  税费</w:t>
      </w:r>
    </w:p>
    <w:p w14:paraId="338062A6">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本合同执行中相关的一切税费均由乙方负担，合同另有约定的除外。</w:t>
      </w:r>
    </w:p>
    <w:p w14:paraId="11DF9BFA">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第十一条  质量保证及售后服务</w:t>
      </w:r>
    </w:p>
    <w:p w14:paraId="7BE3BF6E">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bCs/>
          <w:color w:val="auto"/>
          <w:kern w:val="0"/>
          <w:sz w:val="21"/>
          <w:szCs w:val="21"/>
          <w:highlight w:val="none"/>
          <w:lang w:val="zh-CN" w:eastAsia="zh-CN" w:bidi="ar-SA"/>
        </w:rPr>
        <w:t>1.</w:t>
      </w:r>
      <w:r>
        <w:rPr>
          <w:rFonts w:hint="eastAsia" w:ascii="宋体" w:hAnsi="宋体" w:eastAsia="宋体" w:cs="宋体"/>
          <w:color w:val="auto"/>
          <w:kern w:val="0"/>
          <w:sz w:val="21"/>
          <w:szCs w:val="21"/>
          <w:highlight w:val="none"/>
          <w:lang w:val="zh-CN" w:eastAsia="zh-CN" w:bidi="ar-SA"/>
        </w:rPr>
        <w:t>乙方应按响应文件承诺的产品名称、商标品牌、生产厂家、规格型号、技术参数、质量标准向甲方提供未经使用的全新产品。不符合要求的，根据实际情况，经双方协商，可按以下办法处理：</w:t>
      </w:r>
    </w:p>
    <w:p w14:paraId="3E0B9F7E">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⑴更换：由乙方承担所发生的全部费用。</w:t>
      </w:r>
    </w:p>
    <w:p w14:paraId="38C3F71B">
      <w:pPr>
        <w:keepNext w:val="0"/>
        <w:keepLines w:val="0"/>
        <w:pageBreakBefore w:val="0"/>
        <w:widowControl w:val="0"/>
        <w:kinsoku/>
        <w:wordWrap/>
        <w:overflowPunct/>
        <w:topLinePunct w:val="0"/>
        <w:autoSpaceDE/>
        <w:autoSpaceDN/>
        <w:bidi w:val="0"/>
        <w:adjustRightInd/>
        <w:snapToGrid w:val="0"/>
        <w:spacing w:line="460" w:lineRule="exact"/>
        <w:ind w:firstLine="42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⑵贬值处理：由甲乙双方合议定价。</w:t>
      </w:r>
    </w:p>
    <w:p w14:paraId="3DDB201E">
      <w:pPr>
        <w:keepNext w:val="0"/>
        <w:keepLines w:val="0"/>
        <w:pageBreakBefore w:val="0"/>
        <w:widowControl w:val="0"/>
        <w:kinsoku/>
        <w:wordWrap/>
        <w:overflowPunct/>
        <w:topLinePunct w:val="0"/>
        <w:autoSpaceDE/>
        <w:autoSpaceDN/>
        <w:bidi w:val="0"/>
        <w:adjustRightInd/>
        <w:snapToGrid w:val="0"/>
        <w:spacing w:line="460" w:lineRule="exact"/>
        <w:ind w:firstLine="42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⑶退货处理：乙方应退还甲方支付的合同款，同时应承担该货物的直接费用（运输、保险、检验、货款利息及银行手续费等）。</w:t>
      </w:r>
    </w:p>
    <w:p w14:paraId="6026CDB2">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2.如在使用过程中发生质量问题，乙方在接到甲方通知后</w:t>
      </w:r>
      <w:r>
        <w:rPr>
          <w:rFonts w:hint="eastAsia" w:ascii="宋体" w:hAnsi="宋体" w:eastAsia="宋体" w:cs="宋体"/>
          <w:color w:val="auto"/>
          <w:kern w:val="0"/>
          <w:sz w:val="21"/>
          <w:szCs w:val="21"/>
          <w:highlight w:val="none"/>
          <w:u w:val="single"/>
          <w:lang w:val="en-US" w:eastAsia="zh-CN" w:bidi="ar-SA"/>
        </w:rPr>
        <w:t>按响应文件承诺的时间</w:t>
      </w:r>
      <w:r>
        <w:rPr>
          <w:rFonts w:hint="eastAsia" w:ascii="宋体" w:hAnsi="宋体" w:eastAsia="宋体" w:cs="宋体"/>
          <w:color w:val="auto"/>
          <w:kern w:val="0"/>
          <w:sz w:val="21"/>
          <w:szCs w:val="21"/>
          <w:highlight w:val="none"/>
          <w:lang w:val="zh-CN" w:eastAsia="zh-CN" w:bidi="ar-SA"/>
        </w:rPr>
        <w:t>到达甲方现场处理。</w:t>
      </w:r>
    </w:p>
    <w:p w14:paraId="24FD1384">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3.在质保期内，乙方应对货物出现的质量及安全问题负责处理解决并承担一切费用。</w:t>
      </w:r>
    </w:p>
    <w:p w14:paraId="0A19B629">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4.上述的货物质保期按</w:t>
      </w:r>
      <w:r>
        <w:rPr>
          <w:rFonts w:hint="eastAsia" w:ascii="宋体" w:hAnsi="宋体" w:eastAsia="宋体" w:cs="宋体"/>
          <w:color w:val="auto"/>
          <w:sz w:val="21"/>
          <w:szCs w:val="21"/>
          <w:highlight w:val="none"/>
          <w:u w:val="single"/>
        </w:rPr>
        <w:t>乙方响应文件承诺</w:t>
      </w:r>
      <w:r>
        <w:rPr>
          <w:rFonts w:hint="eastAsia" w:ascii="宋体" w:hAnsi="宋体" w:eastAsia="宋体" w:cs="宋体"/>
          <w:color w:val="auto"/>
          <w:sz w:val="21"/>
          <w:szCs w:val="21"/>
          <w:highlight w:val="none"/>
        </w:rPr>
        <w:t>，因人为因素出现的故障不在保修范围内。超过保修期的机器设备，终生维修，维修时只收部件成本费。</w:t>
      </w:r>
    </w:p>
    <w:p w14:paraId="1A200F49">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第十二条  调试和验收</w:t>
      </w:r>
    </w:p>
    <w:p w14:paraId="29A7FF82">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left"/>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1.甲方对乙方提交的货物依据竞争性谈判文件上的技术规格要求和国家有关质量标准进行现场初步验收，外观、说明书符合竞争性谈判文件技术要求的，给予签收，初步验收不合格的不予签收。货到后，甲方应当在到货（安装、调试完）后五个工作日内进行验收。</w:t>
      </w:r>
    </w:p>
    <w:p w14:paraId="2863C78A">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2.乙方交货前应对产品作出全面检查和对验收文件进行整理，并列出清单，作为甲方收货验收和使用的技术条件依据，检验的结果应随货物交甲方。</w:t>
      </w:r>
    </w:p>
    <w:p w14:paraId="7254E2AE">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3.甲方对乙方提供的货物在使用前进行调试时，乙方需负责安装并培训甲方的使用操作人员，并协助甲方一起调试，直到符合技术要求，甲方才做最终验收。</w:t>
      </w:r>
    </w:p>
    <w:p w14:paraId="54858C9C">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4.对技术复杂的货物，甲方应请国家认可的专业检测机构参与初步验收及最终验收，并由其出具质量检测报告。</w:t>
      </w:r>
    </w:p>
    <w:p w14:paraId="206C60BC">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5.验收时乙方必须在现场，验收完毕后作出验收结果报告；验收费用按竞争性谈判文件约定承担方负责。</w:t>
      </w:r>
    </w:p>
    <w:p w14:paraId="5E0974E2">
      <w:pPr>
        <w:keepNext w:val="0"/>
        <w:keepLines w:val="0"/>
        <w:pageBreakBefore w:val="0"/>
        <w:widowControl w:val="0"/>
        <w:kinsoku/>
        <w:wordWrap/>
        <w:overflowPunct/>
        <w:topLinePunct w:val="0"/>
        <w:autoSpaceDE/>
        <w:autoSpaceDN/>
        <w:bidi w:val="0"/>
        <w:adjustRightInd/>
        <w:snapToGrid w:val="0"/>
        <w:spacing w:line="460" w:lineRule="exact"/>
        <w:ind w:firstLine="413" w:firstLineChars="196"/>
        <w:jc w:val="both"/>
        <w:textAlignment w:val="auto"/>
        <w:rPr>
          <w:rFonts w:hint="eastAsia" w:ascii="宋体" w:hAnsi="宋体" w:eastAsia="宋体" w:cs="宋体"/>
          <w:b/>
          <w:color w:val="auto"/>
          <w:kern w:val="0"/>
          <w:sz w:val="21"/>
          <w:szCs w:val="21"/>
          <w:highlight w:val="none"/>
          <w:lang w:val="zh-CN" w:eastAsia="zh-CN" w:bidi="ar-SA"/>
        </w:rPr>
      </w:pPr>
      <w:r>
        <w:rPr>
          <w:rFonts w:hint="eastAsia" w:ascii="宋体" w:hAnsi="宋体" w:eastAsia="宋体" w:cs="宋体"/>
          <w:b/>
          <w:color w:val="auto"/>
          <w:kern w:val="0"/>
          <w:sz w:val="21"/>
          <w:szCs w:val="21"/>
          <w:highlight w:val="none"/>
          <w:lang w:val="zh-CN" w:eastAsia="zh-CN" w:bidi="ar-SA"/>
        </w:rPr>
        <w:t>第十三条  货物包装、发运及运输</w:t>
      </w:r>
    </w:p>
    <w:p w14:paraId="75790D77">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1.乙方应在货物发运前对其进行满足运输距离、防潮、防震、防锈和防破损装卸等要求包装，以保证货物安全运达甲方指定地点。</w:t>
      </w:r>
    </w:p>
    <w:p w14:paraId="540499F6">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2.使用说明书（货物属于进口产品的，供货时应同时附上中文使用说明书）、质量检验证明书、随配附件和工具以及清单一并附于货物内。</w:t>
      </w:r>
    </w:p>
    <w:p w14:paraId="256ED8A5">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3.乙方在货物发运手续办理完毕后二十四小时内或者货到甲方四十八小时前通知甲方，以准备接货。</w:t>
      </w:r>
    </w:p>
    <w:p w14:paraId="5EA8A308">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4.货物在交付甲方前发生的风险均由乙方负责。</w:t>
      </w:r>
    </w:p>
    <w:p w14:paraId="02CD100A">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5.货物在规定的交付期限内由乙方送达甲方指定的地点视为交付，乙方同时需通知甲方货物已送达。</w:t>
      </w:r>
    </w:p>
    <w:p w14:paraId="77F35637">
      <w:pPr>
        <w:keepNext w:val="0"/>
        <w:keepLines w:val="0"/>
        <w:pageBreakBefore w:val="0"/>
        <w:widowControl w:val="0"/>
        <w:kinsoku/>
        <w:wordWrap/>
        <w:overflowPunct/>
        <w:topLinePunct w:val="0"/>
        <w:autoSpaceDE/>
        <w:autoSpaceDN/>
        <w:bidi w:val="0"/>
        <w:adjustRightInd/>
        <w:snapToGrid w:val="0"/>
        <w:spacing w:line="4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第十四条　违约责任</w:t>
      </w:r>
    </w:p>
    <w:p w14:paraId="12785804">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1、乙方所提供的货物规格、技术标准、材料等质量不合格的，应及时更换，更换不及时的按逾期交货处罚；因质量问题甲方不同意接收的或特殊情况甲方同意接收的，乙方应向甲方支付合同总金额</w:t>
      </w:r>
      <w:r>
        <w:rPr>
          <w:rFonts w:hint="eastAsia" w:ascii="宋体" w:hAnsi="宋体" w:eastAsia="宋体" w:cs="宋体"/>
          <w:color w:val="auto"/>
          <w:kern w:val="0"/>
          <w:sz w:val="21"/>
          <w:szCs w:val="21"/>
          <w:highlight w:val="none"/>
          <w:lang w:val="en-US" w:eastAsia="zh-CN" w:bidi="ar-SA"/>
        </w:rPr>
        <w:t>20</w:t>
      </w:r>
      <w:r>
        <w:rPr>
          <w:rFonts w:hint="eastAsia" w:ascii="宋体" w:hAnsi="宋体" w:eastAsia="宋体" w:cs="宋体"/>
          <w:color w:val="auto"/>
          <w:kern w:val="0"/>
          <w:sz w:val="21"/>
          <w:szCs w:val="21"/>
          <w:highlight w:val="none"/>
          <w:lang w:val="zh-CN" w:eastAsia="zh-CN" w:bidi="ar-SA"/>
        </w:rPr>
        <w:t>%违约金并赔偿甲方经济损失。</w:t>
      </w:r>
    </w:p>
    <w:p w14:paraId="0D6BF7AC">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2、乙方提供的货物如侵犯了第三方合法权益而引发的任何纠纷或诉讼，均由乙方负责交涉并承担全部责任。若因此给甲方造成损失的，乙方须承担甲方的全部损失，包括甲方为些支付的诉讼费、保全费、律师费、交通费等。</w:t>
      </w:r>
    </w:p>
    <w:p w14:paraId="00D94FC7">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3、因包装、运输引起的货物损坏，按质量不合格处理。</w:t>
      </w:r>
    </w:p>
    <w:p w14:paraId="772DCFBA">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4、乙方逾期交货的，每天向对方偿付违约货款额0.</w:t>
      </w:r>
      <w:r>
        <w:rPr>
          <w:rFonts w:hint="eastAsia" w:ascii="宋体" w:hAnsi="宋体" w:eastAsia="宋体" w:cs="宋体"/>
          <w:color w:val="auto"/>
          <w:kern w:val="0"/>
          <w:sz w:val="21"/>
          <w:szCs w:val="21"/>
          <w:highlight w:val="none"/>
          <w:lang w:val="en-US" w:eastAsia="zh-CN" w:bidi="ar-SA"/>
        </w:rPr>
        <w:t>1</w:t>
      </w:r>
      <w:r>
        <w:rPr>
          <w:rFonts w:hint="eastAsia" w:ascii="宋体" w:hAnsi="宋体" w:eastAsia="宋体" w:cs="宋体"/>
          <w:color w:val="auto"/>
          <w:kern w:val="0"/>
          <w:sz w:val="21"/>
          <w:szCs w:val="21"/>
          <w:highlight w:val="none"/>
          <w:lang w:val="zh-CN" w:eastAsia="zh-CN" w:bidi="ar-SA"/>
        </w:rPr>
        <w:t>‰违约金，超过30天甲方有权解除合同，乙方承担因此给对方造成的全部经济损失包括但不限于将已正常交付货物运回的运输费等。甲方延期付货款的，每天向乙方偿付延期货款额0.1‰ 违约金，但</w:t>
      </w:r>
      <w:r>
        <w:rPr>
          <w:rFonts w:hint="eastAsia" w:ascii="宋体" w:hAnsi="宋体" w:eastAsia="宋体" w:cs="宋体"/>
          <w:color w:val="auto"/>
          <w:kern w:val="0"/>
          <w:sz w:val="21"/>
          <w:szCs w:val="21"/>
          <w:highlight w:val="none"/>
          <w:lang w:val="en-US" w:eastAsia="zh-CN" w:bidi="ar-SA"/>
        </w:rPr>
        <w:t>违约金</w:t>
      </w:r>
      <w:r>
        <w:rPr>
          <w:rFonts w:hint="eastAsia" w:ascii="宋体" w:hAnsi="宋体" w:eastAsia="宋体" w:cs="宋体"/>
          <w:color w:val="auto"/>
          <w:kern w:val="0"/>
          <w:sz w:val="21"/>
          <w:szCs w:val="21"/>
          <w:highlight w:val="none"/>
          <w:lang w:val="zh-CN" w:eastAsia="zh-CN" w:bidi="ar-SA"/>
        </w:rPr>
        <w:t>累计不得超过延期货款额</w:t>
      </w:r>
      <w:r>
        <w:rPr>
          <w:rFonts w:hint="eastAsia" w:ascii="宋体" w:hAnsi="宋体" w:eastAsia="宋体" w:cs="宋体"/>
          <w:color w:val="auto"/>
          <w:kern w:val="0"/>
          <w:sz w:val="21"/>
          <w:szCs w:val="21"/>
          <w:highlight w:val="none"/>
          <w:lang w:val="en-US" w:eastAsia="zh-CN" w:bidi="ar-SA"/>
        </w:rPr>
        <w:t>3</w:t>
      </w:r>
      <w:r>
        <w:rPr>
          <w:rFonts w:hint="eastAsia" w:ascii="宋体" w:hAnsi="宋体" w:eastAsia="宋体" w:cs="宋体"/>
          <w:color w:val="auto"/>
          <w:kern w:val="0"/>
          <w:sz w:val="21"/>
          <w:szCs w:val="21"/>
          <w:highlight w:val="none"/>
          <w:lang w:val="zh-CN" w:eastAsia="zh-CN" w:bidi="ar-SA"/>
        </w:rPr>
        <w:t xml:space="preserve">% 。 </w:t>
      </w:r>
    </w:p>
    <w:p w14:paraId="59BBC8AD">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5、乙方未按本项目合同和投标文件（响应文件）中规定的服务承诺提供售后服务的，乙方应每次向甲方支付违约金壹万元。</w:t>
      </w:r>
    </w:p>
    <w:p w14:paraId="0A940212">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6、乙方提供的货物在质保期内，因设计、工艺或材料的缺陷和其它质量原因造成的问题，由乙方负责，费用从剩余</w:t>
      </w:r>
      <w:r>
        <w:rPr>
          <w:rFonts w:hint="eastAsia" w:ascii="宋体" w:hAnsi="宋体" w:eastAsia="宋体" w:cs="宋体"/>
          <w:color w:val="auto"/>
          <w:kern w:val="0"/>
          <w:sz w:val="21"/>
          <w:szCs w:val="21"/>
          <w:highlight w:val="none"/>
          <w:lang w:val="en-US" w:eastAsia="zh-CN" w:bidi="ar-SA"/>
        </w:rPr>
        <w:t>合同</w:t>
      </w:r>
      <w:r>
        <w:rPr>
          <w:rFonts w:hint="eastAsia" w:ascii="宋体" w:hAnsi="宋体" w:eastAsia="宋体" w:cs="宋体"/>
          <w:color w:val="auto"/>
          <w:kern w:val="0"/>
          <w:sz w:val="21"/>
          <w:szCs w:val="21"/>
          <w:highlight w:val="none"/>
          <w:lang w:val="zh-CN" w:eastAsia="zh-CN" w:bidi="ar-SA"/>
        </w:rPr>
        <w:t>款项中扣除，不足另补。</w:t>
      </w:r>
    </w:p>
    <w:p w14:paraId="1C519067">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7、其它违约行为按违约货款额5%收取违约金并赔偿经济损失。</w:t>
      </w:r>
    </w:p>
    <w:p w14:paraId="26A3E452">
      <w:pPr>
        <w:keepNext w:val="0"/>
        <w:keepLines w:val="0"/>
        <w:pageBreakBefore w:val="0"/>
        <w:widowControl w:val="0"/>
        <w:kinsoku/>
        <w:wordWrap/>
        <w:overflowPunct/>
        <w:topLinePunct w:val="0"/>
        <w:autoSpaceDE/>
        <w:autoSpaceDN/>
        <w:bidi w:val="0"/>
        <w:adjustRightInd/>
        <w:snapToGrid w:val="0"/>
        <w:spacing w:line="460" w:lineRule="exact"/>
        <w:ind w:firstLine="413" w:firstLineChars="196"/>
        <w:jc w:val="both"/>
        <w:textAlignment w:val="auto"/>
        <w:rPr>
          <w:rFonts w:hint="eastAsia" w:ascii="宋体" w:hAnsi="宋体" w:eastAsia="宋体" w:cs="宋体"/>
          <w:b/>
          <w:color w:val="auto"/>
          <w:kern w:val="0"/>
          <w:sz w:val="21"/>
          <w:szCs w:val="21"/>
          <w:highlight w:val="none"/>
          <w:lang w:val="zh-CN" w:eastAsia="zh-CN" w:bidi="ar-SA"/>
        </w:rPr>
      </w:pPr>
      <w:r>
        <w:rPr>
          <w:rFonts w:hint="eastAsia" w:ascii="宋体" w:hAnsi="宋体" w:eastAsia="宋体" w:cs="宋体"/>
          <w:b/>
          <w:color w:val="auto"/>
          <w:kern w:val="0"/>
          <w:sz w:val="21"/>
          <w:szCs w:val="21"/>
          <w:highlight w:val="none"/>
          <w:lang w:val="zh-CN" w:eastAsia="zh-CN" w:bidi="ar-SA"/>
        </w:rPr>
        <w:t>第十五条  不可抗力事件处理</w:t>
      </w:r>
    </w:p>
    <w:p w14:paraId="2C9D769A">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1.在合同有效期内，任何一方因不可抗力事件导致不能履行合同，则合同履行期可延长，其延长期与不可抗力影响期相同。</w:t>
      </w:r>
    </w:p>
    <w:p w14:paraId="7850D31B">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2.不可抗力事件发生后，应立即通知对方，并寄送有关权威机构出具的证明。</w:t>
      </w:r>
    </w:p>
    <w:p w14:paraId="37B80028">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3.不可抗力事件延续一百二十天以上，双方应通过友好协商，确定是否继续履行合同。</w:t>
      </w:r>
    </w:p>
    <w:p w14:paraId="7A96BA37">
      <w:pPr>
        <w:keepNext w:val="0"/>
        <w:keepLines w:val="0"/>
        <w:pageBreakBefore w:val="0"/>
        <w:widowControl w:val="0"/>
        <w:kinsoku/>
        <w:wordWrap/>
        <w:overflowPunct/>
        <w:topLinePunct w:val="0"/>
        <w:autoSpaceDE/>
        <w:autoSpaceDN/>
        <w:bidi w:val="0"/>
        <w:adjustRightInd/>
        <w:snapToGrid w:val="0"/>
        <w:spacing w:line="46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第十六条  合同争议解决</w:t>
      </w:r>
    </w:p>
    <w:p w14:paraId="4672ED9C">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1.因货物质量问题发生争议的，应邀请国家认可的质量检测机构对货物质量进行鉴定。鉴定费由乙方承担。</w:t>
      </w:r>
    </w:p>
    <w:p w14:paraId="20137F19">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2.因履行本合同引起的或者与本合同有关的争议，甲乙双方应首先通过友好协商解决，如果协商不能解决，可向甲方所在地人民法院提起诉讼。</w:t>
      </w:r>
    </w:p>
    <w:p w14:paraId="433BDE47">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3.诉讼期间，本合同继续履行。</w:t>
      </w:r>
    </w:p>
    <w:p w14:paraId="41EE4EE9">
      <w:pPr>
        <w:keepNext w:val="0"/>
        <w:keepLines w:val="0"/>
        <w:pageBreakBefore w:val="0"/>
        <w:widowControl w:val="0"/>
        <w:kinsoku/>
        <w:wordWrap/>
        <w:overflowPunct/>
        <w:topLinePunct w:val="0"/>
        <w:autoSpaceDE/>
        <w:autoSpaceDN/>
        <w:bidi w:val="0"/>
        <w:adjustRightInd/>
        <w:snapToGrid w:val="0"/>
        <w:spacing w:line="460" w:lineRule="exact"/>
        <w:ind w:firstLine="413" w:firstLineChars="196"/>
        <w:jc w:val="both"/>
        <w:textAlignment w:val="auto"/>
        <w:rPr>
          <w:rFonts w:hint="eastAsia" w:ascii="宋体" w:hAnsi="宋体" w:eastAsia="宋体" w:cs="宋体"/>
          <w:b/>
          <w:color w:val="auto"/>
          <w:kern w:val="0"/>
          <w:sz w:val="21"/>
          <w:szCs w:val="21"/>
          <w:highlight w:val="none"/>
          <w:lang w:val="zh-CN" w:eastAsia="zh-CN" w:bidi="ar-SA"/>
        </w:rPr>
      </w:pPr>
      <w:r>
        <w:rPr>
          <w:rFonts w:hint="eastAsia" w:ascii="宋体" w:hAnsi="宋体" w:eastAsia="宋体" w:cs="宋体"/>
          <w:b/>
          <w:color w:val="auto"/>
          <w:kern w:val="0"/>
          <w:sz w:val="21"/>
          <w:szCs w:val="21"/>
          <w:highlight w:val="none"/>
          <w:lang w:val="zh-CN" w:eastAsia="zh-CN" w:bidi="ar-SA"/>
        </w:rPr>
        <w:t>第十七条  合同生效及其他</w:t>
      </w:r>
    </w:p>
    <w:p w14:paraId="4CB4D044">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b w:val="0"/>
          <w:bCs/>
          <w:color w:val="auto"/>
          <w:kern w:val="0"/>
          <w:sz w:val="21"/>
          <w:szCs w:val="21"/>
          <w:highlight w:val="none"/>
          <w:lang w:val="zh-CN" w:eastAsia="zh-CN" w:bidi="ar-SA"/>
        </w:rPr>
      </w:pPr>
      <w:r>
        <w:rPr>
          <w:rFonts w:hint="eastAsia" w:ascii="宋体" w:hAnsi="宋体" w:eastAsia="宋体" w:cs="宋体"/>
          <w:b w:val="0"/>
          <w:bCs/>
          <w:color w:val="auto"/>
          <w:kern w:val="0"/>
          <w:sz w:val="21"/>
          <w:szCs w:val="21"/>
          <w:highlight w:val="none"/>
          <w:lang w:val="zh-CN" w:eastAsia="zh-CN" w:bidi="ar-SA"/>
        </w:rPr>
        <w:t>1. 合同经双方法定代表人或者其委托代理人签字并加盖单位公章后生效（委托代理人签字的需后附法定代表人授权委托书，格式自拟）。</w:t>
      </w:r>
    </w:p>
    <w:p w14:paraId="183CDCF1">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jc w:val="both"/>
        <w:textAlignment w:val="auto"/>
        <w:rPr>
          <w:rFonts w:hint="eastAsia" w:ascii="宋体" w:hAnsi="宋体" w:eastAsia="宋体" w:cs="宋体"/>
          <w:b w:val="0"/>
          <w:bCs/>
          <w:color w:val="auto"/>
          <w:kern w:val="0"/>
          <w:sz w:val="21"/>
          <w:szCs w:val="21"/>
          <w:highlight w:val="none"/>
          <w:lang w:val="zh-CN" w:eastAsia="zh-CN" w:bidi="ar-SA"/>
        </w:rPr>
      </w:pPr>
      <w:r>
        <w:rPr>
          <w:rFonts w:hint="eastAsia" w:ascii="宋体" w:hAnsi="宋体" w:eastAsia="宋体" w:cs="宋体"/>
          <w:b w:val="0"/>
          <w:bCs/>
          <w:color w:val="auto"/>
          <w:kern w:val="0"/>
          <w:sz w:val="21"/>
          <w:szCs w:val="21"/>
          <w:highlight w:val="none"/>
          <w:lang w:val="zh-CN" w:eastAsia="zh-CN" w:bidi="ar-SA"/>
        </w:rPr>
        <w:t>2.合同执行中涉及采购资金和采购内容修改或者补充的，须经财政部门审批，并签书面补充协议报财政部门备案，方可作为主合同不可分割的一部分。</w:t>
      </w:r>
    </w:p>
    <w:p w14:paraId="1D5C761A">
      <w:pPr>
        <w:keepNext w:val="0"/>
        <w:keepLines w:val="0"/>
        <w:pageBreakBefore w:val="0"/>
        <w:widowControl w:val="0"/>
        <w:kinsoku/>
        <w:wordWrap/>
        <w:overflowPunct/>
        <w:topLinePunct w:val="0"/>
        <w:autoSpaceDE/>
        <w:autoSpaceDN/>
        <w:bidi w:val="0"/>
        <w:adjustRightInd/>
        <w:snapToGrid w:val="0"/>
        <w:spacing w:line="460" w:lineRule="exact"/>
        <w:ind w:left="283" w:leftChars="135" w:firstLine="143"/>
        <w:jc w:val="both"/>
        <w:textAlignment w:val="auto"/>
        <w:rPr>
          <w:rFonts w:hint="eastAsia" w:ascii="宋体" w:hAnsi="宋体" w:eastAsia="宋体" w:cs="宋体"/>
          <w:b w:val="0"/>
          <w:bCs/>
          <w:color w:val="auto"/>
          <w:kern w:val="0"/>
          <w:sz w:val="21"/>
          <w:szCs w:val="21"/>
          <w:highlight w:val="none"/>
          <w:lang w:val="zh-CN" w:eastAsia="zh-CN" w:bidi="ar-SA"/>
        </w:rPr>
      </w:pPr>
      <w:r>
        <w:rPr>
          <w:rFonts w:hint="eastAsia" w:ascii="宋体" w:hAnsi="宋体" w:eastAsia="宋体" w:cs="宋体"/>
          <w:b w:val="0"/>
          <w:bCs/>
          <w:color w:val="auto"/>
          <w:kern w:val="0"/>
          <w:sz w:val="21"/>
          <w:szCs w:val="21"/>
          <w:highlight w:val="none"/>
          <w:lang w:val="zh-CN" w:eastAsia="zh-CN" w:bidi="ar-SA"/>
        </w:rPr>
        <w:t>3.本合同未尽事宜，遵照《中华人民共和国民法典》有关条文执行。</w:t>
      </w:r>
    </w:p>
    <w:p w14:paraId="4CCC858B">
      <w:pPr>
        <w:keepNext w:val="0"/>
        <w:keepLines w:val="0"/>
        <w:pageBreakBefore w:val="0"/>
        <w:widowControl w:val="0"/>
        <w:kinsoku/>
        <w:wordWrap/>
        <w:overflowPunct/>
        <w:topLinePunct w:val="0"/>
        <w:autoSpaceDE/>
        <w:autoSpaceDN/>
        <w:bidi w:val="0"/>
        <w:adjustRightInd/>
        <w:snapToGrid w:val="0"/>
        <w:spacing w:line="4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第十八条　合同的变更、终止与转让</w:t>
      </w:r>
    </w:p>
    <w:p w14:paraId="08629351">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1.除《中华人民共和国政府采购法》第五十条规定的情形外，本合同一经签订，甲乙双方不得擅自变更、中止或者终止。</w:t>
      </w:r>
    </w:p>
    <w:p w14:paraId="1E15F17B">
      <w:pPr>
        <w:keepNext w:val="0"/>
        <w:keepLines w:val="0"/>
        <w:pageBreakBefore w:val="0"/>
        <w:widowControl w:val="0"/>
        <w:kinsoku/>
        <w:wordWrap/>
        <w:overflowPunct/>
        <w:topLinePunct w:val="0"/>
        <w:autoSpaceDE/>
        <w:autoSpaceDN/>
        <w:bidi w:val="0"/>
        <w:adjustRightInd/>
        <w:snapToGrid w:val="0"/>
        <w:spacing w:line="460" w:lineRule="exact"/>
        <w:ind w:left="-61" w:firstLine="514"/>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2.乙方不得擅自转让（无进口资格的供应商委托进口货物除外）其应履行的合同义务。</w:t>
      </w:r>
    </w:p>
    <w:p w14:paraId="174C19FB">
      <w:pPr>
        <w:keepNext w:val="0"/>
        <w:keepLines w:val="0"/>
        <w:pageBreakBefore w:val="0"/>
        <w:widowControl w:val="0"/>
        <w:kinsoku/>
        <w:wordWrap/>
        <w:overflowPunct/>
        <w:topLinePunct w:val="0"/>
        <w:autoSpaceDE/>
        <w:autoSpaceDN/>
        <w:bidi w:val="0"/>
        <w:adjustRightInd/>
        <w:snapToGrid w:val="0"/>
        <w:spacing w:line="4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第十九条　</w:t>
      </w:r>
      <w:r>
        <w:rPr>
          <w:rFonts w:hint="eastAsia" w:ascii="宋体" w:hAnsi="宋体" w:eastAsia="宋体" w:cs="宋体"/>
          <w:b/>
          <w:bCs/>
          <w:color w:val="auto"/>
          <w:kern w:val="0"/>
          <w:sz w:val="21"/>
          <w:szCs w:val="21"/>
          <w:highlight w:val="none"/>
        </w:rPr>
        <w:t>本合同书与下列文件一起构成合同文件</w:t>
      </w:r>
    </w:p>
    <w:p w14:paraId="7061F4A6">
      <w:pPr>
        <w:keepNext w:val="0"/>
        <w:keepLines w:val="0"/>
        <w:pageBreakBefore w:val="0"/>
        <w:widowControl w:val="0"/>
        <w:kinsoku/>
        <w:wordWrap/>
        <w:overflowPunct/>
        <w:topLinePunct w:val="0"/>
        <w:autoSpaceDE/>
        <w:autoSpaceDN/>
        <w:bidi w:val="0"/>
        <w:adjustRightInd/>
        <w:snapToGrid w:val="0"/>
        <w:spacing w:line="460" w:lineRule="exact"/>
        <w:ind w:left="420" w:left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1.成交通知书；</w:t>
      </w:r>
    </w:p>
    <w:p w14:paraId="150939C6">
      <w:pPr>
        <w:keepNext w:val="0"/>
        <w:keepLines w:val="0"/>
        <w:pageBreakBefore w:val="0"/>
        <w:widowControl w:val="0"/>
        <w:kinsoku/>
        <w:wordWrap/>
        <w:overflowPunct/>
        <w:topLinePunct w:val="0"/>
        <w:autoSpaceDE/>
        <w:autoSpaceDN/>
        <w:bidi w:val="0"/>
        <w:adjustRightInd/>
        <w:snapToGrid w:val="0"/>
        <w:spacing w:line="460" w:lineRule="exact"/>
        <w:ind w:left="420" w:left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2.响应函；</w:t>
      </w:r>
    </w:p>
    <w:p w14:paraId="0E241346">
      <w:pPr>
        <w:keepNext w:val="0"/>
        <w:keepLines w:val="0"/>
        <w:pageBreakBefore w:val="0"/>
        <w:widowControl w:val="0"/>
        <w:kinsoku/>
        <w:wordWrap/>
        <w:overflowPunct/>
        <w:topLinePunct w:val="0"/>
        <w:autoSpaceDE/>
        <w:autoSpaceDN/>
        <w:bidi w:val="0"/>
        <w:adjustRightInd/>
        <w:snapToGrid w:val="0"/>
        <w:spacing w:line="460" w:lineRule="exact"/>
        <w:ind w:left="420" w:left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3.商务条款偏离表和技术需求偏离表；</w:t>
      </w:r>
    </w:p>
    <w:p w14:paraId="53232558">
      <w:pPr>
        <w:keepNext w:val="0"/>
        <w:keepLines w:val="0"/>
        <w:pageBreakBefore w:val="0"/>
        <w:widowControl w:val="0"/>
        <w:kinsoku/>
        <w:wordWrap/>
        <w:overflowPunct/>
        <w:topLinePunct w:val="0"/>
        <w:autoSpaceDE/>
        <w:autoSpaceDN/>
        <w:bidi w:val="0"/>
        <w:adjustRightInd/>
        <w:snapToGrid w:val="0"/>
        <w:spacing w:line="460" w:lineRule="exact"/>
        <w:ind w:left="420" w:left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4.采购需求；</w:t>
      </w:r>
    </w:p>
    <w:p w14:paraId="23B70344">
      <w:pPr>
        <w:keepNext w:val="0"/>
        <w:keepLines w:val="0"/>
        <w:pageBreakBefore w:val="0"/>
        <w:widowControl w:val="0"/>
        <w:kinsoku/>
        <w:wordWrap/>
        <w:overflowPunct/>
        <w:topLinePunct w:val="0"/>
        <w:autoSpaceDE/>
        <w:autoSpaceDN/>
        <w:bidi w:val="0"/>
        <w:adjustRightInd/>
        <w:snapToGrid w:val="0"/>
        <w:spacing w:line="460" w:lineRule="exact"/>
        <w:ind w:left="420" w:left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5.响应报价表；</w:t>
      </w:r>
    </w:p>
    <w:p w14:paraId="57D3DEBC">
      <w:pPr>
        <w:keepNext w:val="0"/>
        <w:keepLines w:val="0"/>
        <w:pageBreakBefore w:val="0"/>
        <w:widowControl w:val="0"/>
        <w:kinsoku/>
        <w:wordWrap/>
        <w:overflowPunct/>
        <w:topLinePunct w:val="0"/>
        <w:autoSpaceDE/>
        <w:autoSpaceDN/>
        <w:bidi w:val="0"/>
        <w:adjustRightInd/>
        <w:snapToGrid w:val="0"/>
        <w:spacing w:line="460" w:lineRule="exact"/>
        <w:ind w:left="420" w:left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6.</w:t>
      </w:r>
      <w:r>
        <w:rPr>
          <w:rFonts w:hint="eastAsia" w:ascii="宋体" w:hAnsi="宋体" w:eastAsia="宋体" w:cs="宋体"/>
          <w:color w:val="auto"/>
          <w:kern w:val="0"/>
          <w:sz w:val="21"/>
          <w:szCs w:val="21"/>
          <w:highlight w:val="none"/>
          <w:lang w:val="en-US" w:eastAsia="zh-CN" w:bidi="ar-SA"/>
        </w:rPr>
        <w:t>最后报价表</w:t>
      </w:r>
      <w:r>
        <w:rPr>
          <w:rFonts w:hint="eastAsia" w:ascii="宋体" w:hAnsi="宋体" w:eastAsia="宋体" w:cs="宋体"/>
          <w:color w:val="auto"/>
          <w:kern w:val="0"/>
          <w:sz w:val="21"/>
          <w:szCs w:val="21"/>
          <w:highlight w:val="none"/>
          <w:lang w:val="zh-CN" w:eastAsia="zh-CN" w:bidi="ar-SA"/>
        </w:rPr>
        <w:t>；</w:t>
      </w:r>
    </w:p>
    <w:p w14:paraId="7149ED62">
      <w:pPr>
        <w:keepNext w:val="0"/>
        <w:keepLines w:val="0"/>
        <w:pageBreakBefore w:val="0"/>
        <w:widowControl w:val="0"/>
        <w:kinsoku/>
        <w:wordWrap/>
        <w:overflowPunct/>
        <w:topLinePunct w:val="0"/>
        <w:autoSpaceDE/>
        <w:autoSpaceDN/>
        <w:bidi w:val="0"/>
        <w:adjustRightInd/>
        <w:snapToGrid w:val="0"/>
        <w:spacing w:line="460" w:lineRule="exact"/>
        <w:ind w:left="420" w:leftChars="20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7.其他合同文件。</w:t>
      </w:r>
    </w:p>
    <w:p w14:paraId="0899D449">
      <w:pPr>
        <w:keepNext w:val="0"/>
        <w:keepLines w:val="0"/>
        <w:pageBreakBefore w:val="0"/>
        <w:widowControl w:val="0"/>
        <w:kinsoku/>
        <w:wordWrap/>
        <w:overflowPunct/>
        <w:topLinePunct w:val="0"/>
        <w:autoSpaceDE/>
        <w:autoSpaceDN/>
        <w:bidi w:val="0"/>
        <w:adjustRightInd/>
        <w:snapToGrid w:val="0"/>
        <w:spacing w:line="460" w:lineRule="exact"/>
        <w:ind w:firstLine="371" w:firstLineChars="177"/>
        <w:jc w:val="both"/>
        <w:textAlignment w:val="auto"/>
        <w:rPr>
          <w:rFonts w:hint="eastAsia" w:ascii="宋体" w:hAnsi="宋体" w:eastAsia="宋体" w:cs="宋体"/>
          <w:b/>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en-US" w:eastAsia="zh-CN" w:bidi="ar-SA"/>
        </w:rPr>
        <w:t>8</w:t>
      </w:r>
      <w:r>
        <w:rPr>
          <w:rFonts w:hint="eastAsia" w:ascii="宋体" w:hAnsi="宋体" w:eastAsia="宋体" w:cs="宋体"/>
          <w:color w:val="auto"/>
          <w:kern w:val="0"/>
          <w:sz w:val="21"/>
          <w:szCs w:val="21"/>
          <w:highlight w:val="none"/>
          <w:lang w:val="zh-CN" w:eastAsia="zh-CN" w:bidi="ar-SA"/>
        </w:rPr>
        <w:t>.上述合同文件互相补充和解释。如果合同文件之间存在矛盾或者不一致之处，以上述文件的排列顺序在先者为准。</w:t>
      </w:r>
    </w:p>
    <w:p w14:paraId="151118A4">
      <w:pPr>
        <w:keepNext w:val="0"/>
        <w:keepLines w:val="0"/>
        <w:pageBreakBefore w:val="0"/>
        <w:widowControl w:val="0"/>
        <w:kinsoku/>
        <w:wordWrap/>
        <w:overflowPunct/>
        <w:topLinePunct w:val="0"/>
        <w:autoSpaceDE/>
        <w:autoSpaceDN/>
        <w:bidi w:val="0"/>
        <w:adjustRightInd/>
        <w:snapToGrid w:val="0"/>
        <w:spacing w:line="46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第二十条　</w:t>
      </w:r>
      <w:r>
        <w:rPr>
          <w:rFonts w:hint="eastAsia" w:ascii="宋体" w:hAnsi="宋体" w:eastAsia="宋体" w:cs="宋体"/>
          <w:color w:val="auto"/>
          <w:kern w:val="0"/>
          <w:sz w:val="21"/>
          <w:szCs w:val="21"/>
          <w:highlight w:val="none"/>
          <w:lang w:val="zh-CN" w:eastAsia="zh-CN" w:bidi="ar-SA"/>
        </w:rPr>
        <w:t>本合同一式</w:t>
      </w:r>
      <w:r>
        <w:rPr>
          <w:rFonts w:hint="eastAsia" w:ascii="宋体" w:hAnsi="宋体" w:eastAsia="宋体" w:cs="宋体"/>
          <w:color w:val="auto"/>
          <w:kern w:val="0"/>
          <w:sz w:val="21"/>
          <w:szCs w:val="21"/>
          <w:highlight w:val="none"/>
          <w:u w:val="single"/>
          <w:lang w:val="en-US" w:eastAsia="zh-CN" w:bidi="ar-SA"/>
        </w:rPr>
        <w:t>5</w:t>
      </w:r>
      <w:r>
        <w:rPr>
          <w:rFonts w:hint="eastAsia" w:ascii="宋体" w:hAnsi="宋体" w:eastAsia="宋体" w:cs="宋体"/>
          <w:color w:val="auto"/>
          <w:kern w:val="0"/>
          <w:sz w:val="21"/>
          <w:szCs w:val="21"/>
          <w:highlight w:val="none"/>
          <w:lang w:val="zh-CN" w:eastAsia="zh-CN" w:bidi="ar-SA"/>
        </w:rPr>
        <w:t>份，</w:t>
      </w:r>
      <w:r>
        <w:rPr>
          <w:rFonts w:hint="eastAsia" w:ascii="宋体" w:hAnsi="宋体" w:cs="宋体"/>
          <w:color w:val="auto"/>
          <w:highlight w:val="none"/>
        </w:rPr>
        <w:t>具有同等法律效力，采购代理机构存档</w:t>
      </w:r>
      <w:r>
        <w:rPr>
          <w:rFonts w:hint="eastAsia" w:ascii="宋体" w:hAnsi="宋体" w:cs="宋体"/>
          <w:color w:val="auto"/>
          <w:highlight w:val="none"/>
          <w:u w:val="single"/>
        </w:rPr>
        <w:t>1</w:t>
      </w:r>
      <w:r>
        <w:rPr>
          <w:rFonts w:hint="eastAsia" w:ascii="宋体" w:hAnsi="宋体" w:cs="宋体"/>
          <w:color w:val="auto"/>
          <w:highlight w:val="none"/>
        </w:rPr>
        <w:t>份，甲方执</w:t>
      </w:r>
      <w:r>
        <w:rPr>
          <w:rFonts w:hint="eastAsia" w:ascii="宋体" w:hAnsi="宋体" w:cs="宋体"/>
          <w:color w:val="auto"/>
          <w:highlight w:val="none"/>
          <w:u w:val="single"/>
        </w:rPr>
        <w:t>3</w:t>
      </w:r>
      <w:r>
        <w:rPr>
          <w:rFonts w:hint="eastAsia" w:ascii="宋体" w:hAnsi="宋体" w:cs="宋体"/>
          <w:color w:val="auto"/>
          <w:highlight w:val="none"/>
        </w:rPr>
        <w:t>份，乙方执</w:t>
      </w:r>
      <w:r>
        <w:rPr>
          <w:rFonts w:hint="eastAsia" w:ascii="宋体" w:hAnsi="宋体" w:cs="宋体"/>
          <w:color w:val="auto"/>
          <w:highlight w:val="none"/>
          <w:u w:val="single"/>
        </w:rPr>
        <w:t>1</w:t>
      </w:r>
      <w:r>
        <w:rPr>
          <w:rFonts w:hint="eastAsia" w:ascii="宋体" w:hAnsi="宋体" w:cs="宋体"/>
          <w:color w:val="auto"/>
          <w:highlight w:val="none"/>
        </w:rPr>
        <w:t>份</w:t>
      </w:r>
      <w:r>
        <w:rPr>
          <w:rFonts w:hint="eastAsia" w:ascii="宋体" w:hAnsi="宋体" w:cs="宋体"/>
          <w:color w:val="auto"/>
          <w:szCs w:val="21"/>
          <w:highlight w:val="none"/>
        </w:rPr>
        <w:t>。</w:t>
      </w:r>
      <w:r>
        <w:rPr>
          <w:rFonts w:hint="eastAsia" w:ascii="宋体" w:hAnsi="宋体" w:eastAsia="宋体" w:cs="宋体"/>
          <w:color w:val="auto"/>
          <w:kern w:val="0"/>
          <w:sz w:val="21"/>
          <w:szCs w:val="21"/>
          <w:highlight w:val="none"/>
          <w:lang w:val="zh-CN" w:eastAsia="zh-CN" w:bidi="ar-SA"/>
        </w:rPr>
        <w:t>本合同甲乙双方签字盖章后生效，自签订之日起七个工作日内，甲方应当将合同副本报同级财政部门备案。本合同自签订之日起2个工作日内，甲方应当将采购合同在广西壮族自治区财政厅指定的媒体上公告。</w:t>
      </w:r>
    </w:p>
    <w:tbl>
      <w:tblPr>
        <w:tblStyle w:val="32"/>
        <w:tblW w:w="97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2"/>
        <w:gridCol w:w="4872"/>
      </w:tblGrid>
      <w:tr w14:paraId="7E74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872" w:type="dxa"/>
            <w:noWrap/>
            <w:vAlign w:val="center"/>
          </w:tcPr>
          <w:p w14:paraId="0C955CFE">
            <w:pPr>
              <w:snapToGrid w:val="0"/>
              <w:spacing w:line="360" w:lineRule="auto"/>
              <w:rPr>
                <w:rFonts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rPr>
              <w:t>甲方（章）</w:t>
            </w:r>
          </w:p>
          <w:p w14:paraId="533B957B">
            <w:pPr>
              <w:snapToGrid w:val="0"/>
              <w:spacing w:line="360" w:lineRule="auto"/>
              <w:rPr>
                <w:rFonts w:hint="eastAsia" w:ascii="宋体" w:hAnsi="宋体" w:eastAsia="宋体" w:cs="Times New Roman"/>
                <w:b/>
                <w:bCs/>
                <w:color w:val="auto"/>
                <w:sz w:val="21"/>
                <w:szCs w:val="20"/>
                <w:highlight w:val="none"/>
              </w:rPr>
            </w:pPr>
          </w:p>
          <w:p w14:paraId="4D9A1EEB">
            <w:pPr>
              <w:snapToGrid w:val="0"/>
              <w:spacing w:line="360" w:lineRule="auto"/>
              <w:rPr>
                <w:rFonts w:hint="eastAsia" w:ascii="宋体" w:hAnsi="宋体" w:eastAsia="宋体" w:cs="Times New Roman"/>
                <w:b/>
                <w:bCs/>
                <w:color w:val="auto"/>
                <w:sz w:val="21"/>
                <w:szCs w:val="20"/>
                <w:highlight w:val="none"/>
              </w:rPr>
            </w:pPr>
            <w:r>
              <w:rPr>
                <w:rFonts w:hint="eastAsia" w:ascii="宋体" w:hAnsi="宋体" w:eastAsia="宋体" w:cs="Times New Roman"/>
                <w:b/>
                <w:bCs/>
                <w:color w:val="auto"/>
                <w:sz w:val="21"/>
                <w:szCs w:val="20"/>
                <w:highlight w:val="none"/>
              </w:rPr>
              <w:t>广西广播电视台</w:t>
            </w:r>
          </w:p>
          <w:p w14:paraId="0B440926">
            <w:pPr>
              <w:widowControl w:val="0"/>
              <w:spacing w:after="120"/>
              <w:ind w:left="0" w:leftChars="0" w:firstLine="0" w:firstLineChars="0"/>
              <w:jc w:val="both"/>
              <w:rPr>
                <w:rFonts w:ascii="Times New Roman" w:hAnsi="Times New Roman" w:eastAsia="宋体" w:cs="Times New Roman"/>
                <w:color w:val="auto"/>
                <w:kern w:val="0"/>
                <w:sz w:val="24"/>
                <w:szCs w:val="21"/>
                <w:highlight w:val="none"/>
                <w:lang w:val="zh-CN" w:eastAsia="zh-CN" w:bidi="ar-SA"/>
              </w:rPr>
            </w:pPr>
          </w:p>
          <w:p w14:paraId="47B5B672">
            <w:pPr>
              <w:snapToGrid w:val="0"/>
              <w:spacing w:line="360" w:lineRule="auto"/>
              <w:ind w:firstLine="945" w:firstLineChars="450"/>
              <w:jc w:val="right"/>
              <w:rPr>
                <w:rFonts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lang w:val="en-US" w:eastAsia="zh-CN"/>
              </w:rPr>
              <w:t>2029</w:t>
            </w:r>
            <w:r>
              <w:rPr>
                <w:rFonts w:hint="eastAsia" w:ascii="宋体" w:hAnsi="宋体" w:eastAsia="宋体" w:cs="Times New Roman"/>
                <w:color w:val="auto"/>
                <w:sz w:val="21"/>
                <w:szCs w:val="20"/>
                <w:highlight w:val="none"/>
              </w:rPr>
              <w:t>年   月   日</w:t>
            </w:r>
          </w:p>
        </w:tc>
        <w:tc>
          <w:tcPr>
            <w:tcW w:w="4872" w:type="dxa"/>
            <w:noWrap/>
            <w:vAlign w:val="center"/>
          </w:tcPr>
          <w:p w14:paraId="4EB42F8D">
            <w:pPr>
              <w:snapToGrid w:val="0"/>
              <w:spacing w:line="360" w:lineRule="auto"/>
              <w:rPr>
                <w:rFonts w:hint="eastAsia"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rPr>
              <w:t>乙方（章）</w:t>
            </w:r>
          </w:p>
          <w:p w14:paraId="44A3A115">
            <w:pPr>
              <w:snapToGrid w:val="0"/>
              <w:spacing w:line="360" w:lineRule="auto"/>
              <w:rPr>
                <w:rFonts w:hint="eastAsia" w:ascii="宋体" w:hAnsi="宋体" w:eastAsia="宋体" w:cs="Times New Roman"/>
                <w:color w:val="auto"/>
                <w:sz w:val="21"/>
                <w:szCs w:val="20"/>
                <w:highlight w:val="none"/>
              </w:rPr>
            </w:pPr>
          </w:p>
          <w:p w14:paraId="59779661">
            <w:pPr>
              <w:snapToGrid w:val="0"/>
              <w:spacing w:line="360" w:lineRule="auto"/>
              <w:rPr>
                <w:rFonts w:ascii="宋体" w:hAnsi="宋体" w:eastAsia="宋体" w:cs="Times New Roman"/>
                <w:b/>
                <w:bCs/>
                <w:color w:val="auto"/>
                <w:sz w:val="21"/>
                <w:szCs w:val="20"/>
                <w:highlight w:val="none"/>
              </w:rPr>
            </w:pPr>
          </w:p>
          <w:p w14:paraId="0BAE354E">
            <w:pPr>
              <w:widowControl w:val="0"/>
              <w:spacing w:after="120"/>
              <w:ind w:left="0" w:leftChars="0" w:firstLine="0" w:firstLineChars="0"/>
              <w:jc w:val="both"/>
              <w:rPr>
                <w:rFonts w:ascii="Times New Roman" w:hAnsi="Times New Roman" w:eastAsia="宋体" w:cs="Times New Roman"/>
                <w:color w:val="auto"/>
                <w:kern w:val="0"/>
                <w:sz w:val="24"/>
                <w:szCs w:val="21"/>
                <w:highlight w:val="none"/>
                <w:lang w:val="zh-CN" w:eastAsia="zh-CN" w:bidi="ar-SA"/>
              </w:rPr>
            </w:pPr>
          </w:p>
          <w:p w14:paraId="5DABD887">
            <w:pPr>
              <w:snapToGrid w:val="0"/>
              <w:spacing w:line="360" w:lineRule="auto"/>
              <w:jc w:val="right"/>
              <w:rPr>
                <w:rFonts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rPr>
              <w:t xml:space="preserve"> </w:t>
            </w:r>
            <w:r>
              <w:rPr>
                <w:rFonts w:hint="eastAsia" w:ascii="宋体" w:hAnsi="宋体" w:eastAsia="宋体" w:cs="Times New Roman"/>
                <w:color w:val="auto"/>
                <w:sz w:val="21"/>
                <w:szCs w:val="20"/>
                <w:highlight w:val="none"/>
                <w:lang w:val="en-US" w:eastAsia="zh-CN"/>
              </w:rPr>
              <w:t>2029</w:t>
            </w:r>
            <w:r>
              <w:rPr>
                <w:rFonts w:hint="eastAsia" w:ascii="宋体" w:hAnsi="宋体" w:eastAsia="宋体" w:cs="Times New Roman"/>
                <w:color w:val="auto"/>
                <w:sz w:val="21"/>
                <w:szCs w:val="20"/>
                <w:highlight w:val="none"/>
              </w:rPr>
              <w:t>年   月   日</w:t>
            </w:r>
          </w:p>
        </w:tc>
      </w:tr>
      <w:tr w14:paraId="1AE3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trPr>
        <w:tc>
          <w:tcPr>
            <w:tcW w:w="4872" w:type="dxa"/>
            <w:noWrap/>
            <w:vAlign w:val="top"/>
          </w:tcPr>
          <w:p w14:paraId="353B5174">
            <w:pPr>
              <w:snapToGrid w:val="0"/>
              <w:spacing w:line="360" w:lineRule="auto"/>
              <w:jc w:val="both"/>
              <w:rPr>
                <w:rFonts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rPr>
              <w:t>单位地址：广西南宁市民族大道73号</w:t>
            </w:r>
          </w:p>
        </w:tc>
        <w:tc>
          <w:tcPr>
            <w:tcW w:w="4872" w:type="dxa"/>
            <w:noWrap/>
            <w:vAlign w:val="top"/>
          </w:tcPr>
          <w:p w14:paraId="5F62057D">
            <w:pPr>
              <w:snapToGrid w:val="0"/>
              <w:spacing w:line="360" w:lineRule="auto"/>
              <w:jc w:val="both"/>
              <w:rPr>
                <w:rFonts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rPr>
              <w:t>单位地址：</w:t>
            </w:r>
          </w:p>
        </w:tc>
      </w:tr>
      <w:tr w14:paraId="5353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trPr>
        <w:tc>
          <w:tcPr>
            <w:tcW w:w="4872" w:type="dxa"/>
            <w:noWrap/>
            <w:vAlign w:val="top"/>
          </w:tcPr>
          <w:p w14:paraId="640479B4">
            <w:pPr>
              <w:snapToGrid w:val="0"/>
              <w:spacing w:line="360" w:lineRule="auto"/>
              <w:jc w:val="both"/>
              <w:rPr>
                <w:rFonts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rPr>
              <w:t>法定代表人或者其委托代理人：</w:t>
            </w:r>
          </w:p>
        </w:tc>
        <w:tc>
          <w:tcPr>
            <w:tcW w:w="4872" w:type="dxa"/>
            <w:noWrap/>
            <w:vAlign w:val="top"/>
          </w:tcPr>
          <w:p w14:paraId="71750798">
            <w:pPr>
              <w:snapToGrid w:val="0"/>
              <w:spacing w:line="360" w:lineRule="auto"/>
              <w:jc w:val="both"/>
              <w:rPr>
                <w:rFonts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rPr>
              <w:t>法定代表人或者其委托代理人：</w:t>
            </w:r>
          </w:p>
        </w:tc>
      </w:tr>
      <w:tr w14:paraId="5D57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trPr>
        <w:tc>
          <w:tcPr>
            <w:tcW w:w="4872" w:type="dxa"/>
            <w:noWrap/>
            <w:vAlign w:val="top"/>
          </w:tcPr>
          <w:p w14:paraId="203FF777">
            <w:pPr>
              <w:snapToGrid w:val="0"/>
              <w:spacing w:line="360" w:lineRule="auto"/>
              <w:jc w:val="both"/>
              <w:rPr>
                <w:rFonts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rPr>
              <w:t>电话：0771-2091996</w:t>
            </w:r>
          </w:p>
        </w:tc>
        <w:tc>
          <w:tcPr>
            <w:tcW w:w="4872" w:type="dxa"/>
            <w:noWrap/>
            <w:vAlign w:val="top"/>
          </w:tcPr>
          <w:p w14:paraId="7DFAFA48">
            <w:pPr>
              <w:snapToGrid w:val="0"/>
              <w:spacing w:line="360" w:lineRule="auto"/>
              <w:jc w:val="both"/>
              <w:rPr>
                <w:rFonts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rPr>
              <w:t>电话：</w:t>
            </w:r>
          </w:p>
        </w:tc>
      </w:tr>
      <w:tr w14:paraId="18EB3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trPr>
        <w:tc>
          <w:tcPr>
            <w:tcW w:w="4872" w:type="dxa"/>
            <w:noWrap/>
            <w:vAlign w:val="top"/>
          </w:tcPr>
          <w:p w14:paraId="30F2DF45">
            <w:pPr>
              <w:snapToGrid w:val="0"/>
              <w:spacing w:line="360" w:lineRule="auto"/>
              <w:jc w:val="both"/>
              <w:rPr>
                <w:rFonts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rPr>
              <w:t>电子邮箱：</w:t>
            </w:r>
          </w:p>
        </w:tc>
        <w:tc>
          <w:tcPr>
            <w:tcW w:w="4872" w:type="dxa"/>
            <w:noWrap/>
            <w:vAlign w:val="top"/>
          </w:tcPr>
          <w:p w14:paraId="0D80846D">
            <w:pPr>
              <w:snapToGrid w:val="0"/>
              <w:spacing w:line="360" w:lineRule="auto"/>
              <w:jc w:val="both"/>
              <w:rPr>
                <w:rFonts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rPr>
              <w:t>电子邮箱：</w:t>
            </w:r>
          </w:p>
        </w:tc>
      </w:tr>
      <w:tr w14:paraId="7A33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trPr>
        <w:tc>
          <w:tcPr>
            <w:tcW w:w="4872" w:type="dxa"/>
            <w:noWrap/>
            <w:vAlign w:val="top"/>
          </w:tcPr>
          <w:p w14:paraId="76845B8B">
            <w:pPr>
              <w:snapToGrid w:val="0"/>
              <w:spacing w:line="360" w:lineRule="auto"/>
              <w:jc w:val="both"/>
              <w:rPr>
                <w:rFonts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rPr>
              <w:t>开户银行：中国银行南宁市新竹路支行</w:t>
            </w:r>
          </w:p>
        </w:tc>
        <w:tc>
          <w:tcPr>
            <w:tcW w:w="4872" w:type="dxa"/>
            <w:noWrap/>
            <w:vAlign w:val="top"/>
          </w:tcPr>
          <w:p w14:paraId="4C3E9AD8">
            <w:pPr>
              <w:snapToGrid w:val="0"/>
              <w:spacing w:line="360" w:lineRule="auto"/>
              <w:jc w:val="both"/>
              <w:rPr>
                <w:rFonts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rPr>
              <w:t>开户银行：</w:t>
            </w:r>
          </w:p>
        </w:tc>
      </w:tr>
      <w:tr w14:paraId="29E4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trPr>
        <w:tc>
          <w:tcPr>
            <w:tcW w:w="4872" w:type="dxa"/>
            <w:noWrap/>
            <w:vAlign w:val="top"/>
          </w:tcPr>
          <w:p w14:paraId="34E7FCFB">
            <w:pPr>
              <w:snapToGrid w:val="0"/>
              <w:spacing w:line="360" w:lineRule="auto"/>
              <w:jc w:val="both"/>
              <w:rPr>
                <w:rFonts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rPr>
              <w:t>账号：626257498303</w:t>
            </w:r>
          </w:p>
        </w:tc>
        <w:tc>
          <w:tcPr>
            <w:tcW w:w="4872" w:type="dxa"/>
            <w:noWrap/>
            <w:vAlign w:val="top"/>
          </w:tcPr>
          <w:p w14:paraId="792A23BB">
            <w:pPr>
              <w:snapToGrid w:val="0"/>
              <w:spacing w:line="360" w:lineRule="auto"/>
              <w:jc w:val="both"/>
              <w:rPr>
                <w:rFonts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rPr>
              <w:t>账号：</w:t>
            </w:r>
          </w:p>
        </w:tc>
      </w:tr>
      <w:tr w14:paraId="7318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trPr>
        <w:tc>
          <w:tcPr>
            <w:tcW w:w="4872" w:type="dxa"/>
            <w:noWrap/>
            <w:vAlign w:val="top"/>
          </w:tcPr>
          <w:p w14:paraId="03D295EF">
            <w:pPr>
              <w:snapToGrid w:val="0"/>
              <w:spacing w:line="360" w:lineRule="auto"/>
              <w:jc w:val="both"/>
              <w:rPr>
                <w:rFonts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rPr>
              <w:t>邮政编码：530015</w:t>
            </w:r>
          </w:p>
        </w:tc>
        <w:tc>
          <w:tcPr>
            <w:tcW w:w="4872" w:type="dxa"/>
            <w:noWrap/>
            <w:vAlign w:val="top"/>
          </w:tcPr>
          <w:p w14:paraId="564AAC54">
            <w:pPr>
              <w:snapToGrid w:val="0"/>
              <w:spacing w:line="360" w:lineRule="auto"/>
              <w:jc w:val="both"/>
              <w:rPr>
                <w:rFonts w:ascii="宋体" w:hAnsi="宋体" w:eastAsia="宋体" w:cs="Times New Roman"/>
                <w:color w:val="auto"/>
                <w:sz w:val="21"/>
                <w:szCs w:val="20"/>
                <w:highlight w:val="none"/>
              </w:rPr>
            </w:pPr>
            <w:r>
              <w:rPr>
                <w:rFonts w:hint="eastAsia" w:ascii="宋体" w:hAnsi="宋体" w:eastAsia="宋体" w:cs="Times New Roman"/>
                <w:color w:val="auto"/>
                <w:sz w:val="21"/>
                <w:szCs w:val="20"/>
                <w:highlight w:val="none"/>
              </w:rPr>
              <w:t>邮政编码：</w:t>
            </w:r>
          </w:p>
        </w:tc>
      </w:tr>
    </w:tbl>
    <w:p w14:paraId="19528ABC">
      <w:pPr>
        <w:snapToGrid w:val="0"/>
        <w:spacing w:line="360" w:lineRule="auto"/>
        <w:jc w:val="left"/>
        <w:rPr>
          <w:rFonts w:hint="eastAsia" w:ascii="宋体" w:hAnsi="宋体" w:eastAsia="宋体" w:cs="仿宋_GB2312"/>
          <w:bCs/>
          <w:color w:val="auto"/>
          <w:kern w:val="44"/>
          <w:sz w:val="44"/>
          <w:szCs w:val="44"/>
          <w:highlight w:val="none"/>
          <w:lang w:val="zh-CN"/>
        </w:rPr>
      </w:pPr>
      <w:r>
        <w:rPr>
          <w:rFonts w:ascii="宋体" w:hAnsi="宋体"/>
          <w:b/>
          <w:color w:val="auto"/>
          <w:sz w:val="24"/>
          <w:highlight w:val="none"/>
        </w:rPr>
        <w:br w:type="page"/>
      </w:r>
      <w:bookmarkStart w:id="170" w:name="_Toc31751"/>
      <w:bookmarkStart w:id="171" w:name="_Toc80205947"/>
    </w:p>
    <w:p w14:paraId="14CCD7B1">
      <w:pPr>
        <w:keepNext/>
        <w:keepLines/>
        <w:spacing w:before="340" w:after="330" w:line="578" w:lineRule="auto"/>
        <w:jc w:val="center"/>
        <w:outlineLvl w:val="0"/>
        <w:rPr>
          <w:rFonts w:hint="eastAsia" w:ascii="宋体" w:hAnsi="宋体" w:eastAsia="宋体" w:cs="仿宋_GB2312"/>
          <w:bCs/>
          <w:color w:val="auto"/>
          <w:kern w:val="44"/>
          <w:sz w:val="44"/>
          <w:szCs w:val="44"/>
          <w:highlight w:val="none"/>
          <w:lang w:val="zh-CN"/>
        </w:rPr>
      </w:pPr>
    </w:p>
    <w:p w14:paraId="4D07034A">
      <w:pPr>
        <w:keepNext/>
        <w:keepLines/>
        <w:spacing w:before="340" w:after="330" w:line="578" w:lineRule="auto"/>
        <w:jc w:val="center"/>
        <w:outlineLvl w:val="0"/>
        <w:rPr>
          <w:rFonts w:hint="eastAsia" w:ascii="宋体" w:hAnsi="宋体" w:eastAsia="宋体" w:cs="仿宋_GB2312"/>
          <w:b/>
          <w:bCs/>
          <w:color w:val="auto"/>
          <w:kern w:val="44"/>
          <w:sz w:val="44"/>
          <w:szCs w:val="44"/>
          <w:highlight w:val="none"/>
          <w:lang w:val="zh-CN"/>
        </w:rPr>
        <w:sectPr>
          <w:pgSz w:w="11910" w:h="16840"/>
          <w:pgMar w:top="1134" w:right="1134" w:bottom="1134" w:left="1134" w:header="720" w:footer="720" w:gutter="0"/>
          <w:cols w:space="720" w:num="1"/>
        </w:sectPr>
      </w:pPr>
      <w:bookmarkStart w:id="172" w:name="_Toc2169"/>
      <w:bookmarkStart w:id="173" w:name="_Toc24483"/>
      <w:bookmarkStart w:id="174" w:name="_Toc6393"/>
      <w:bookmarkStart w:id="175" w:name="_Toc27629"/>
      <w:bookmarkStart w:id="176" w:name="_Toc32254"/>
      <w:bookmarkStart w:id="177" w:name="_Toc25054"/>
      <w:bookmarkStart w:id="178" w:name="_Toc5523"/>
      <w:r>
        <w:rPr>
          <w:rFonts w:hint="eastAsia" w:ascii="宋体" w:hAnsi="宋体" w:eastAsia="宋体" w:cs="仿宋_GB2312"/>
          <w:bCs/>
          <w:color w:val="auto"/>
          <w:kern w:val="44"/>
          <w:sz w:val="44"/>
          <w:szCs w:val="44"/>
          <w:highlight w:val="none"/>
          <w:lang w:val="zh-CN"/>
        </w:rPr>
        <w:t>第七章 质疑、投诉材料格式</w:t>
      </w:r>
      <w:bookmarkEnd w:id="170"/>
      <w:bookmarkEnd w:id="171"/>
      <w:bookmarkEnd w:id="172"/>
      <w:bookmarkEnd w:id="173"/>
      <w:bookmarkEnd w:id="174"/>
      <w:bookmarkEnd w:id="175"/>
      <w:bookmarkEnd w:id="176"/>
      <w:bookmarkEnd w:id="177"/>
      <w:bookmarkEnd w:id="178"/>
    </w:p>
    <w:p w14:paraId="09F541DE">
      <w:pPr>
        <w:spacing w:line="360" w:lineRule="auto"/>
        <w:jc w:val="center"/>
        <w:rPr>
          <w:rFonts w:hint="eastAsia"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质疑函（格式）</w:t>
      </w:r>
    </w:p>
    <w:p w14:paraId="30149343">
      <w:pPr>
        <w:spacing w:line="360" w:lineRule="auto"/>
        <w:ind w:firstLine="482" w:firstLineChars="200"/>
        <w:contextualSpacing/>
        <w:rPr>
          <w:rFonts w:hint="eastAsia"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一、质疑供应商基本信息：</w:t>
      </w:r>
    </w:p>
    <w:p w14:paraId="5E972A44">
      <w:pPr>
        <w:spacing w:line="360" w:lineRule="auto"/>
        <w:ind w:firstLine="480" w:firstLineChars="200"/>
        <w:contextualSpacing/>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质疑供应商：</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3687E98A">
      <w:pPr>
        <w:spacing w:line="360" w:lineRule="auto"/>
        <w:ind w:firstLine="480" w:firstLineChars="200"/>
        <w:contextualSpacing/>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0DADF352">
      <w:pPr>
        <w:spacing w:line="360" w:lineRule="auto"/>
        <w:ind w:firstLine="480" w:firstLineChars="200"/>
        <w:contextualSpacing/>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联系电话</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14:paraId="318F5EF7">
      <w:pPr>
        <w:spacing w:line="360" w:lineRule="auto"/>
        <w:ind w:firstLine="480" w:firstLineChars="200"/>
        <w:contextualSpacing/>
        <w:rPr>
          <w:rFonts w:hint="eastAsia"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授权代表：</w:t>
      </w:r>
      <w:r>
        <w:rPr>
          <w:rFonts w:hint="eastAsia" w:ascii="宋体" w:hAnsi="宋体" w:eastAsia="宋体" w:cs="Times New Roman"/>
          <w:bCs/>
          <w:color w:val="auto"/>
          <w:kern w:val="0"/>
          <w:sz w:val="24"/>
          <w:szCs w:val="24"/>
          <w:highlight w:val="none"/>
          <w:u w:val="single"/>
          <w:lang w:val="zh-CN"/>
        </w:rPr>
        <w:t xml:space="preserve">                      </w:t>
      </w:r>
    </w:p>
    <w:p w14:paraId="44CFDBEC">
      <w:pPr>
        <w:spacing w:line="360" w:lineRule="auto"/>
        <w:ind w:firstLine="480" w:firstLineChars="200"/>
        <w:contextualSpacing/>
        <w:rPr>
          <w:rFonts w:hint="eastAsia"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14:paraId="11EE41C8">
      <w:pPr>
        <w:spacing w:line="360" w:lineRule="auto"/>
        <w:ind w:firstLine="480" w:firstLineChars="200"/>
        <w:contextualSpacing/>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15097FE5">
      <w:pPr>
        <w:spacing w:line="360" w:lineRule="auto"/>
        <w:ind w:firstLine="482" w:firstLineChars="200"/>
        <w:contextualSpacing/>
        <w:rPr>
          <w:rFonts w:hint="eastAsia"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二、质疑项目基本情况：</w:t>
      </w:r>
    </w:p>
    <w:p w14:paraId="49273272">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质疑</w:t>
      </w:r>
      <w:r>
        <w:rPr>
          <w:rFonts w:hint="eastAsia" w:ascii="宋体" w:hAnsi="宋体" w:eastAsia="宋体" w:cs="Times New Roman"/>
          <w:color w:val="auto"/>
          <w:kern w:val="0"/>
          <w:sz w:val="24"/>
          <w:szCs w:val="24"/>
          <w:highlight w:val="none"/>
          <w:lang w:val="zh-CN"/>
        </w:rPr>
        <w:t>项目的名称：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13496CC8">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质疑</w:t>
      </w:r>
      <w:r>
        <w:rPr>
          <w:rFonts w:hint="eastAsia" w:ascii="宋体" w:hAnsi="宋体" w:eastAsia="宋体" w:cs="Times New Roman"/>
          <w:color w:val="auto"/>
          <w:kern w:val="0"/>
          <w:sz w:val="24"/>
          <w:szCs w:val="24"/>
          <w:highlight w:val="none"/>
          <w:lang w:val="zh-CN"/>
        </w:rPr>
        <w:t>项目的编号：</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19D3E012">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采购人名称：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0FF23566">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w:t>
      </w:r>
    </w:p>
    <w:p w14:paraId="5141E5DE">
      <w:pPr>
        <w:spacing w:line="360" w:lineRule="auto"/>
        <w:ind w:left="25" w:leftChars="12" w:firstLine="352" w:firstLineChars="14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□采购文件   采购文件获取日期：</w:t>
      </w:r>
      <w:r>
        <w:rPr>
          <w:rFonts w:hint="eastAsia" w:ascii="宋体" w:hAnsi="宋体" w:eastAsia="宋体" w:cs="Times New Roman"/>
          <w:bCs/>
          <w:color w:val="auto"/>
          <w:kern w:val="0"/>
          <w:sz w:val="24"/>
          <w:szCs w:val="24"/>
          <w:highlight w:val="none"/>
          <w:u w:val="single"/>
          <w:lang w:val="zh-CN"/>
        </w:rPr>
        <w:t xml:space="preserve">                                   </w:t>
      </w:r>
    </w:p>
    <w:p w14:paraId="5E26D30C">
      <w:pPr>
        <w:spacing w:line="360" w:lineRule="auto"/>
        <w:ind w:left="25" w:leftChars="12" w:firstLine="352" w:firstLineChars="14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 xml:space="preserve">□采购过程   </w:t>
      </w:r>
    </w:p>
    <w:p w14:paraId="0233C684">
      <w:pPr>
        <w:spacing w:line="360" w:lineRule="auto"/>
        <w:ind w:left="25" w:leftChars="12" w:firstLine="352" w:firstLineChars="147"/>
        <w:contextualSpacing/>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 xml:space="preserve">□成交结果   </w:t>
      </w:r>
    </w:p>
    <w:p w14:paraId="4CD4542B">
      <w:pPr>
        <w:spacing w:line="360" w:lineRule="auto"/>
        <w:ind w:left="25" w:leftChars="12" w:firstLine="472" w:firstLineChars="196"/>
        <w:contextualSpacing/>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三、质疑事项具体内容</w:t>
      </w:r>
    </w:p>
    <w:p w14:paraId="1E902CA9">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质疑事项1：</w:t>
      </w:r>
      <w:r>
        <w:rPr>
          <w:rFonts w:hint="eastAsia" w:ascii="宋体" w:hAnsi="宋体" w:eastAsia="宋体" w:cs="Times New Roman"/>
          <w:bCs/>
          <w:color w:val="auto"/>
          <w:kern w:val="0"/>
          <w:sz w:val="24"/>
          <w:szCs w:val="24"/>
          <w:highlight w:val="none"/>
          <w:u w:val="single"/>
          <w:lang w:val="zh-CN"/>
        </w:rPr>
        <w:t xml:space="preserve">                                                                    </w:t>
      </w:r>
    </w:p>
    <w:p w14:paraId="47C4ED6E">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事实依据：</w:t>
      </w:r>
      <w:r>
        <w:rPr>
          <w:rFonts w:hint="eastAsia" w:ascii="宋体" w:hAnsi="宋体" w:eastAsia="宋体" w:cs="Times New Roman"/>
          <w:bCs/>
          <w:color w:val="auto"/>
          <w:kern w:val="0"/>
          <w:sz w:val="24"/>
          <w:szCs w:val="24"/>
          <w:highlight w:val="none"/>
          <w:u w:val="single"/>
          <w:lang w:val="zh-CN"/>
        </w:rPr>
        <w:t xml:space="preserve">                                                                      </w:t>
      </w:r>
    </w:p>
    <w:p w14:paraId="025D4BB2">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法律依据：</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2A854370">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质疑事项2</w:t>
      </w:r>
    </w:p>
    <w:p w14:paraId="24E9DF08">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ascii="宋体" w:hAnsi="宋体" w:eastAsia="宋体" w:cs="Times New Roman"/>
          <w:color w:val="auto"/>
          <w:kern w:val="0"/>
          <w:sz w:val="24"/>
          <w:szCs w:val="24"/>
          <w:highlight w:val="none"/>
          <w:lang w:val="zh-CN"/>
        </w:rPr>
        <w:t>……</w:t>
      </w:r>
    </w:p>
    <w:p w14:paraId="30290DC7">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四、与质疑事项相关的质疑请求：</w:t>
      </w:r>
    </w:p>
    <w:p w14:paraId="3A9FBAB1">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请求：</w:t>
      </w:r>
      <w:r>
        <w:rPr>
          <w:rFonts w:hint="eastAsia" w:ascii="宋体" w:hAnsi="宋体" w:eastAsia="宋体" w:cs="Times New Roman"/>
          <w:bCs/>
          <w:color w:val="auto"/>
          <w:kern w:val="0"/>
          <w:sz w:val="24"/>
          <w:szCs w:val="24"/>
          <w:highlight w:val="none"/>
          <w:u w:val="single"/>
          <w:lang w:val="zh-CN"/>
        </w:rPr>
        <w:t xml:space="preserve">                                                                </w:t>
      </w:r>
    </w:p>
    <w:p w14:paraId="714E09D0">
      <w:pPr>
        <w:spacing w:line="360" w:lineRule="auto"/>
        <w:ind w:left="25" w:leftChars="12" w:firstLine="352" w:firstLineChars="147"/>
        <w:contextualSpacing/>
        <w:rPr>
          <w:rFonts w:hint="eastAsia" w:ascii="宋体" w:hAnsi="宋体" w:eastAsia="宋体" w:cs="Times New Roman"/>
          <w:color w:val="auto"/>
          <w:kern w:val="0"/>
          <w:sz w:val="24"/>
          <w:szCs w:val="24"/>
          <w:highlight w:val="none"/>
          <w:lang w:val="zh-CN"/>
        </w:rPr>
      </w:pPr>
    </w:p>
    <w:p w14:paraId="2572E0CD">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签字（签章）：                                       公章：</w:t>
      </w:r>
    </w:p>
    <w:p w14:paraId="6A6E5B3A">
      <w:pPr>
        <w:spacing w:line="360" w:lineRule="auto"/>
        <w:ind w:left="25" w:leftChars="12" w:firstLine="352" w:firstLineChars="147"/>
        <w:contextualSpacing/>
        <w:rPr>
          <w:rFonts w:hint="eastAsia" w:ascii="宋体" w:hAnsi="宋体" w:eastAsia="宋体" w:cs="Times New Roman"/>
          <w:color w:val="auto"/>
          <w:kern w:val="0"/>
          <w:sz w:val="24"/>
          <w:szCs w:val="24"/>
          <w:highlight w:val="none"/>
          <w:lang w:val="zh-CN"/>
        </w:rPr>
      </w:pPr>
    </w:p>
    <w:p w14:paraId="11B493AF">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日期：</w:t>
      </w:r>
    </w:p>
    <w:p w14:paraId="419950F0">
      <w:pPr>
        <w:spacing w:line="360" w:lineRule="auto"/>
        <w:contextualSpacing/>
        <w:rPr>
          <w:rFonts w:hint="eastAsia" w:ascii="宋体" w:hAnsi="宋体" w:eastAsia="宋体" w:cs="Times New Roman"/>
          <w:b/>
          <w:color w:val="auto"/>
          <w:kern w:val="0"/>
          <w:sz w:val="24"/>
          <w:szCs w:val="24"/>
          <w:highlight w:val="none"/>
          <w:lang w:val="zh-CN"/>
        </w:rPr>
      </w:pPr>
    </w:p>
    <w:p w14:paraId="519BA695">
      <w:pPr>
        <w:spacing w:line="360" w:lineRule="auto"/>
        <w:contextualSpacing/>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说明：</w:t>
      </w:r>
    </w:p>
    <w:p w14:paraId="0C56661E">
      <w:pPr>
        <w:spacing w:line="360" w:lineRule="auto"/>
        <w:ind w:left="25" w:leftChars="12" w:firstLine="354" w:firstLineChars="147"/>
        <w:contextualSpacing/>
        <w:rPr>
          <w:rFonts w:hint="eastAsia" w:ascii="宋体" w:hAnsi="宋体" w:eastAsia="宋体" w:cs="Times New Roman"/>
          <w:b/>
          <w:bCs/>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1.供应商提出质疑时，应提交质疑函和必要的证明材料</w:t>
      </w:r>
      <w:r>
        <w:rPr>
          <w:rFonts w:hint="eastAsia" w:ascii="宋体" w:hAnsi="宋体" w:eastAsia="宋体" w:cs="Times New Roman"/>
          <w:b/>
          <w:bCs/>
          <w:color w:val="auto"/>
          <w:kern w:val="0"/>
          <w:sz w:val="24"/>
          <w:szCs w:val="24"/>
          <w:highlight w:val="none"/>
          <w:lang w:val="zh-CN"/>
        </w:rPr>
        <w:t>。</w:t>
      </w:r>
    </w:p>
    <w:p w14:paraId="59FAC1CF">
      <w:pPr>
        <w:spacing w:line="360" w:lineRule="auto"/>
        <w:ind w:left="25" w:leftChars="12" w:firstLine="354" w:firstLineChars="147"/>
        <w:contextualSpacing/>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A157F95">
      <w:pPr>
        <w:spacing w:line="360" w:lineRule="auto"/>
        <w:ind w:left="25" w:leftChars="12" w:firstLine="354" w:firstLineChars="147"/>
        <w:contextualSpacing/>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3.质疑函的质疑事项应具体、明确，并有必要的事实依据和法律依据。</w:t>
      </w:r>
    </w:p>
    <w:p w14:paraId="12E139F1">
      <w:pPr>
        <w:spacing w:line="360" w:lineRule="auto"/>
        <w:ind w:left="25" w:leftChars="12" w:firstLine="354" w:firstLineChars="147"/>
        <w:contextualSpacing/>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4.质疑函的质疑请求应与质疑事项相关。</w:t>
      </w:r>
    </w:p>
    <w:p w14:paraId="264E39F0">
      <w:pPr>
        <w:spacing w:line="360" w:lineRule="auto"/>
        <w:ind w:left="25" w:leftChars="12" w:firstLine="354" w:firstLineChars="147"/>
        <w:contextualSpacing/>
        <w:rPr>
          <w:rFonts w:hint="eastAsia" w:ascii="宋体" w:hAnsi="宋体" w:eastAsia="宋体" w:cs="Times New Roman"/>
          <w:b/>
          <w:color w:val="auto"/>
          <w:kern w:val="0"/>
          <w:sz w:val="20"/>
          <w:szCs w:val="21"/>
          <w:highlight w:val="none"/>
          <w:lang w:val="zh-CN"/>
        </w:rPr>
      </w:pPr>
      <w:r>
        <w:rPr>
          <w:rFonts w:hint="eastAsia" w:ascii="宋体" w:hAnsi="宋体" w:eastAsia="宋体" w:cs="Times New Roman"/>
          <w:b/>
          <w:color w:val="auto"/>
          <w:kern w:val="0"/>
          <w:sz w:val="24"/>
          <w:szCs w:val="24"/>
          <w:highlight w:val="none"/>
          <w:lang w:val="zh-CN"/>
        </w:rPr>
        <w:t>5.质疑供应商为法人或者其他组织的，质疑函应由法定代表人、主要负责人，或者其授权代表签字或者盖章，并加盖公章。</w:t>
      </w:r>
    </w:p>
    <w:p w14:paraId="729FAC89">
      <w:pPr>
        <w:snapToGrid w:val="0"/>
        <w:rPr>
          <w:rFonts w:ascii="宋体" w:hAnsi="Courier New" w:eastAsia="宋体" w:cs="Times New Roman"/>
          <w:b/>
          <w:color w:val="auto"/>
          <w:kern w:val="0"/>
          <w:sz w:val="24"/>
          <w:szCs w:val="24"/>
          <w:highlight w:val="none"/>
          <w:lang w:val="zh-CN"/>
        </w:rPr>
      </w:pPr>
    </w:p>
    <w:p w14:paraId="4881310A">
      <w:pPr>
        <w:spacing w:line="460" w:lineRule="exact"/>
        <w:jc w:val="center"/>
        <w:rPr>
          <w:rFonts w:ascii="Times New Roman" w:hAnsi="Times New Roman" w:eastAsia="隶书" w:cs="Times New Roman"/>
          <w:color w:val="auto"/>
          <w:sz w:val="44"/>
          <w:szCs w:val="24"/>
          <w:highlight w:val="none"/>
        </w:rPr>
      </w:pPr>
      <w:r>
        <w:rPr>
          <w:rFonts w:ascii="Times New Roman" w:hAnsi="Times New Roman" w:eastAsia="隶书" w:cs="Times New Roman"/>
          <w:color w:val="auto"/>
          <w:sz w:val="44"/>
          <w:szCs w:val="24"/>
          <w:highlight w:val="none"/>
        </w:rPr>
        <w:br w:type="page"/>
      </w:r>
    </w:p>
    <w:p w14:paraId="02BD7AEC">
      <w:pPr>
        <w:spacing w:line="360" w:lineRule="auto"/>
        <w:jc w:val="center"/>
        <w:rPr>
          <w:rFonts w:hint="eastAsia"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投诉书（格式）</w:t>
      </w:r>
    </w:p>
    <w:p w14:paraId="43525FAB">
      <w:pPr>
        <w:snapToGrid w:val="0"/>
        <w:spacing w:line="360" w:lineRule="auto"/>
        <w:ind w:firstLine="482" w:firstLineChars="200"/>
        <w:rPr>
          <w:rFonts w:hint="eastAsia"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一、投诉相关主体基本情况：</w:t>
      </w:r>
    </w:p>
    <w:p w14:paraId="5F714E05">
      <w:pPr>
        <w:snapToGrid w:val="0"/>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供应商：</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5113F7CB">
      <w:pPr>
        <w:snapToGrid w:val="0"/>
        <w:spacing w:line="360" w:lineRule="auto"/>
        <w:ind w:firstLine="480" w:firstLineChars="200"/>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64A10030">
      <w:pPr>
        <w:snapToGrid w:val="0"/>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法定代表人/主要负责人：</w:t>
      </w:r>
      <w:r>
        <w:rPr>
          <w:rFonts w:hint="eastAsia" w:ascii="宋体" w:hAnsi="宋体" w:eastAsia="宋体" w:cs="Times New Roman"/>
          <w:bCs/>
          <w:color w:val="auto"/>
          <w:kern w:val="0"/>
          <w:sz w:val="24"/>
          <w:szCs w:val="24"/>
          <w:highlight w:val="none"/>
          <w:u w:val="single"/>
          <w:lang w:val="zh-CN"/>
        </w:rPr>
        <w:t xml:space="preserve">                                                         </w:t>
      </w:r>
    </w:p>
    <w:p w14:paraId="3DE6229D">
      <w:pPr>
        <w:snapToGrid w:val="0"/>
        <w:spacing w:line="360" w:lineRule="auto"/>
        <w:ind w:firstLine="480" w:firstLineChars="200"/>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联系电话</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14:paraId="7B9030DF">
      <w:pPr>
        <w:snapToGrid w:val="0"/>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授权代表：</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14:paraId="016C3E0E">
      <w:pPr>
        <w:snapToGrid w:val="0"/>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14:paraId="177CCEDE">
      <w:pPr>
        <w:snapToGrid w:val="0"/>
        <w:spacing w:line="360" w:lineRule="auto"/>
        <w:ind w:firstLine="480" w:firstLineChars="200"/>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1B413035">
      <w:pPr>
        <w:snapToGrid w:val="0"/>
        <w:spacing w:line="360" w:lineRule="auto"/>
        <w:ind w:firstLine="480" w:firstLineChars="200"/>
        <w:rPr>
          <w:rFonts w:hint="eastAsia"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被投诉人1：</w:t>
      </w:r>
    </w:p>
    <w:p w14:paraId="43F65CE9">
      <w:pPr>
        <w:snapToGrid w:val="0"/>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u w:val="single"/>
          <w:lang w:val="zh-CN"/>
        </w:rPr>
        <w:t xml:space="preserve">                                                            </w:t>
      </w:r>
    </w:p>
    <w:p w14:paraId="5FBB863F">
      <w:pPr>
        <w:snapToGrid w:val="0"/>
        <w:spacing w:line="360" w:lineRule="auto"/>
        <w:ind w:firstLine="480" w:firstLineChars="200"/>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499F35CB">
      <w:pPr>
        <w:snapToGrid w:val="0"/>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14:paraId="75C57411">
      <w:pPr>
        <w:snapToGrid w:val="0"/>
        <w:spacing w:line="360" w:lineRule="auto"/>
        <w:ind w:firstLine="480" w:firstLineChars="200"/>
        <w:rPr>
          <w:rFonts w:hint="eastAsia"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被投诉人2：</w:t>
      </w:r>
    </w:p>
    <w:p w14:paraId="19941560">
      <w:pPr>
        <w:snapToGrid w:val="0"/>
        <w:spacing w:line="360" w:lineRule="auto"/>
        <w:ind w:firstLine="480" w:firstLineChars="200"/>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w:t>
      </w:r>
    </w:p>
    <w:p w14:paraId="3E20641B">
      <w:pPr>
        <w:snapToGrid w:val="0"/>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相关供应商：</w:t>
      </w:r>
      <w:r>
        <w:rPr>
          <w:rFonts w:hint="eastAsia" w:ascii="宋体" w:hAnsi="宋体" w:eastAsia="宋体" w:cs="Times New Roman"/>
          <w:bCs/>
          <w:color w:val="auto"/>
          <w:kern w:val="0"/>
          <w:sz w:val="24"/>
          <w:szCs w:val="24"/>
          <w:highlight w:val="none"/>
          <w:u w:val="single"/>
          <w:lang w:val="zh-CN"/>
        </w:rPr>
        <w:t xml:space="preserve">                                                                       </w:t>
      </w:r>
    </w:p>
    <w:p w14:paraId="623C155B">
      <w:pPr>
        <w:snapToGrid w:val="0"/>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14:paraId="09FE6046">
      <w:pPr>
        <w:snapToGrid w:val="0"/>
        <w:spacing w:line="360" w:lineRule="auto"/>
        <w:ind w:firstLine="480" w:firstLineChars="200"/>
        <w:rPr>
          <w:rFonts w:hint="eastAsia"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04A6184D">
      <w:pPr>
        <w:snapToGrid w:val="0"/>
        <w:spacing w:line="360" w:lineRule="auto"/>
        <w:ind w:firstLine="482" w:firstLineChars="200"/>
        <w:rPr>
          <w:rFonts w:hint="eastAsia"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二、投诉项目基本情况：</w:t>
      </w:r>
    </w:p>
    <w:p w14:paraId="0C627518">
      <w:pPr>
        <w:spacing w:line="360" w:lineRule="auto"/>
        <w:ind w:left="25" w:leftChars="12" w:firstLine="472" w:firstLineChars="197"/>
        <w:rPr>
          <w:rFonts w:hint="eastAsia"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采购</w:t>
      </w:r>
      <w:r>
        <w:rPr>
          <w:rFonts w:hint="eastAsia" w:ascii="宋体" w:hAnsi="宋体" w:eastAsia="宋体" w:cs="Times New Roman"/>
          <w:color w:val="auto"/>
          <w:kern w:val="0"/>
          <w:sz w:val="24"/>
          <w:szCs w:val="24"/>
          <w:highlight w:val="none"/>
          <w:lang w:val="zh-CN"/>
        </w:rPr>
        <w:t>项目的名称：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5F0A4403">
      <w:pPr>
        <w:spacing w:line="360" w:lineRule="auto"/>
        <w:ind w:left="25" w:leftChars="12" w:firstLine="472" w:firstLineChars="197"/>
        <w:rPr>
          <w:rFonts w:hint="eastAsia" w:ascii="宋体" w:hAnsi="宋体" w:eastAsia="宋体" w:cs="Times New Roman"/>
          <w:color w:val="auto"/>
          <w:kern w:val="0"/>
          <w:sz w:val="24"/>
          <w:szCs w:val="24"/>
          <w:highlight w:val="none"/>
        </w:rPr>
      </w:pPr>
      <w:r>
        <w:rPr>
          <w:rFonts w:hint="eastAsia" w:ascii="宋体" w:hAnsi="宋体" w:eastAsia="宋体" w:cs="Times New Roman"/>
          <w:bCs/>
          <w:color w:val="auto"/>
          <w:kern w:val="0"/>
          <w:sz w:val="24"/>
          <w:szCs w:val="24"/>
          <w:highlight w:val="none"/>
          <w:lang w:val="zh-CN"/>
        </w:rPr>
        <w:t>采购</w:t>
      </w:r>
      <w:r>
        <w:rPr>
          <w:rFonts w:hint="eastAsia" w:ascii="宋体" w:hAnsi="宋体" w:eastAsia="宋体" w:cs="Times New Roman"/>
          <w:color w:val="auto"/>
          <w:kern w:val="0"/>
          <w:sz w:val="24"/>
          <w:szCs w:val="24"/>
          <w:highlight w:val="none"/>
          <w:lang w:val="zh-CN"/>
        </w:rPr>
        <w:t>项目的编号：</w:t>
      </w:r>
      <w:r>
        <w:rPr>
          <w:rFonts w:hint="eastAsia" w:ascii="宋体" w:hAnsi="宋体" w:eastAsia="宋体" w:cs="Times New Roman"/>
          <w:bCs/>
          <w:color w:val="auto"/>
          <w:kern w:val="0"/>
          <w:sz w:val="24"/>
          <w:szCs w:val="24"/>
          <w:highlight w:val="none"/>
          <w:u w:val="single"/>
        </w:rPr>
        <w:t xml:space="preserve">                 </w:t>
      </w:r>
    </w:p>
    <w:p w14:paraId="13822339">
      <w:pPr>
        <w:spacing w:line="360" w:lineRule="auto"/>
        <w:ind w:left="25" w:leftChars="12" w:firstLine="472" w:firstLineChars="197"/>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采购人名称：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3039475F">
      <w:pPr>
        <w:spacing w:line="360" w:lineRule="auto"/>
        <w:ind w:left="25" w:leftChars="12" w:firstLine="472" w:firstLineChars="197"/>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代理机构名称：</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1E4BC77B">
      <w:pPr>
        <w:spacing w:line="360" w:lineRule="auto"/>
        <w:ind w:left="25" w:leftChars="12" w:firstLine="472" w:firstLineChars="197"/>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rPr>
        <w:t>采购</w:t>
      </w:r>
      <w:r>
        <w:rPr>
          <w:rFonts w:hint="eastAsia" w:ascii="宋体" w:hAnsi="宋体" w:eastAsia="宋体" w:cs="Times New Roman"/>
          <w:bCs/>
          <w:color w:val="auto"/>
          <w:kern w:val="0"/>
          <w:sz w:val="24"/>
          <w:szCs w:val="24"/>
          <w:highlight w:val="none"/>
          <w:lang w:val="zh-CN"/>
        </w:rPr>
        <w:t>文件公告：</w:t>
      </w:r>
      <w:r>
        <w:rPr>
          <w:rFonts w:hint="eastAsia" w:ascii="宋体" w:hAnsi="宋体" w:eastAsia="宋体" w:cs="Times New Roman"/>
          <w:bCs/>
          <w:color w:val="auto"/>
          <w:kern w:val="0"/>
          <w:sz w:val="24"/>
          <w:szCs w:val="24"/>
          <w:highlight w:val="none"/>
          <w:u w:val="single"/>
          <w:lang w:val="zh-CN"/>
        </w:rPr>
        <w:t>是/否</w:t>
      </w:r>
      <w:r>
        <w:rPr>
          <w:rFonts w:hint="eastAsia" w:ascii="宋体" w:hAnsi="宋体" w:eastAsia="宋体" w:cs="Times New Roman"/>
          <w:bCs/>
          <w:color w:val="auto"/>
          <w:kern w:val="0"/>
          <w:sz w:val="24"/>
          <w:szCs w:val="24"/>
          <w:highlight w:val="none"/>
          <w:lang w:val="zh-CN"/>
        </w:rPr>
        <w:t>公告期限：</w:t>
      </w:r>
      <w:r>
        <w:rPr>
          <w:rFonts w:hint="eastAsia" w:ascii="宋体" w:hAnsi="宋体" w:eastAsia="宋体" w:cs="Times New Roman"/>
          <w:bCs/>
          <w:color w:val="auto"/>
          <w:kern w:val="0"/>
          <w:sz w:val="24"/>
          <w:szCs w:val="24"/>
          <w:highlight w:val="none"/>
          <w:u w:val="single"/>
          <w:lang w:val="zh-CN"/>
        </w:rPr>
        <w:t xml:space="preserve">                                                       </w:t>
      </w:r>
    </w:p>
    <w:p w14:paraId="55F032FB">
      <w:pPr>
        <w:spacing w:line="360" w:lineRule="auto"/>
        <w:ind w:left="25" w:leftChars="12" w:firstLine="472" w:firstLineChars="197"/>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采购结果公告：</w:t>
      </w:r>
      <w:r>
        <w:rPr>
          <w:rFonts w:hint="eastAsia" w:ascii="宋体" w:hAnsi="宋体" w:eastAsia="宋体" w:cs="Times New Roman"/>
          <w:bCs/>
          <w:color w:val="auto"/>
          <w:kern w:val="0"/>
          <w:sz w:val="24"/>
          <w:szCs w:val="24"/>
          <w:highlight w:val="none"/>
          <w:u w:val="single"/>
          <w:lang w:val="zh-CN"/>
        </w:rPr>
        <w:t>是/否</w:t>
      </w:r>
      <w:r>
        <w:rPr>
          <w:rFonts w:hint="eastAsia" w:ascii="宋体" w:hAnsi="宋体" w:eastAsia="宋体" w:cs="Times New Roman"/>
          <w:bCs/>
          <w:color w:val="auto"/>
          <w:kern w:val="0"/>
          <w:sz w:val="24"/>
          <w:szCs w:val="24"/>
          <w:highlight w:val="none"/>
          <w:lang w:val="zh-CN"/>
        </w:rPr>
        <w:t>公告期限：</w:t>
      </w:r>
      <w:r>
        <w:rPr>
          <w:rFonts w:hint="eastAsia" w:ascii="宋体" w:hAnsi="宋体" w:eastAsia="宋体" w:cs="Times New Roman"/>
          <w:bCs/>
          <w:color w:val="auto"/>
          <w:kern w:val="0"/>
          <w:sz w:val="24"/>
          <w:szCs w:val="24"/>
          <w:highlight w:val="none"/>
          <w:u w:val="single"/>
          <w:lang w:val="zh-CN"/>
        </w:rPr>
        <w:t xml:space="preserve">                                                       </w:t>
      </w:r>
    </w:p>
    <w:p w14:paraId="13D9FA0A">
      <w:pPr>
        <w:spacing w:line="360" w:lineRule="auto"/>
        <w:ind w:left="25" w:leftChars="12" w:firstLine="472" w:firstLineChars="196"/>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三、质疑基本情况</w:t>
      </w:r>
    </w:p>
    <w:p w14:paraId="0715BF34">
      <w:pPr>
        <w:spacing w:line="360" w:lineRule="auto"/>
        <w:ind w:firstLine="480" w:firstLineChars="200"/>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投诉人于</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年</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月</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日，向</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提出质疑，质疑事项为：</w:t>
      </w:r>
    </w:p>
    <w:p w14:paraId="7C78BC29">
      <w:pPr>
        <w:spacing w:line="360" w:lineRule="auto"/>
        <w:ind w:firstLine="241"/>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186A5285">
      <w:pPr>
        <w:spacing w:line="360" w:lineRule="auto"/>
        <w:ind w:firstLine="241"/>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38BD81E6">
      <w:pPr>
        <w:spacing w:line="360" w:lineRule="auto"/>
        <w:ind w:firstLine="480" w:firstLineChars="200"/>
        <w:rPr>
          <w:rFonts w:hint="eastAsia"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u w:val="single"/>
          <w:lang w:val="zh-CN"/>
        </w:rPr>
        <w:t>采购人/代理机构</w:t>
      </w:r>
      <w:r>
        <w:rPr>
          <w:rFonts w:hint="eastAsia" w:ascii="宋体" w:hAnsi="宋体" w:eastAsia="宋体" w:cs="Times New Roman"/>
          <w:bCs/>
          <w:color w:val="auto"/>
          <w:kern w:val="0"/>
          <w:sz w:val="24"/>
          <w:szCs w:val="24"/>
          <w:highlight w:val="none"/>
          <w:lang w:val="zh-CN"/>
        </w:rPr>
        <w:t>于</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年</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月</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日，</w:t>
      </w:r>
      <w:r>
        <w:rPr>
          <w:rFonts w:hint="eastAsia" w:ascii="宋体" w:hAnsi="宋体" w:eastAsia="宋体" w:cs="Times New Roman"/>
          <w:bCs/>
          <w:color w:val="auto"/>
          <w:kern w:val="0"/>
          <w:sz w:val="24"/>
          <w:szCs w:val="24"/>
          <w:highlight w:val="none"/>
          <w:lang w:val="zh-CN"/>
        </w:rPr>
        <w:t xml:space="preserve">就质疑事项作出了答复/没有在法定期限内作出答复。                                                                                             </w:t>
      </w:r>
    </w:p>
    <w:p w14:paraId="21E0C474">
      <w:pPr>
        <w:spacing w:line="360" w:lineRule="auto"/>
        <w:ind w:left="25" w:leftChars="12" w:firstLine="472" w:firstLineChars="196"/>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四、投诉事项具体内容</w:t>
      </w:r>
    </w:p>
    <w:p w14:paraId="6600E1E0">
      <w:pPr>
        <w:spacing w:line="360" w:lineRule="auto"/>
        <w:ind w:left="25" w:leftChars="12" w:firstLine="472" w:firstLineChars="197"/>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投诉事项1：</w:t>
      </w:r>
      <w:r>
        <w:rPr>
          <w:rFonts w:hint="eastAsia" w:ascii="宋体" w:hAnsi="宋体" w:eastAsia="宋体" w:cs="Times New Roman"/>
          <w:bCs/>
          <w:color w:val="auto"/>
          <w:kern w:val="0"/>
          <w:sz w:val="24"/>
          <w:szCs w:val="24"/>
          <w:highlight w:val="none"/>
          <w:u w:val="single"/>
          <w:lang w:val="zh-CN"/>
        </w:rPr>
        <w:t xml:space="preserve">                                                                           </w:t>
      </w:r>
    </w:p>
    <w:p w14:paraId="609CD61C">
      <w:pPr>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事实依据：</w:t>
      </w: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3AD0122E">
      <w:pPr>
        <w:spacing w:line="360" w:lineRule="auto"/>
        <w:ind w:left="25" w:leftChars="12" w:firstLine="472" w:firstLineChars="197"/>
        <w:rPr>
          <w:rFonts w:hint="eastAsia"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u w:val="single"/>
          <w:lang w:val="zh-CN"/>
        </w:rPr>
        <w:t xml:space="preserve">                                                                                        </w:t>
      </w:r>
    </w:p>
    <w:p w14:paraId="35C964B8">
      <w:pPr>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法律依据：</w:t>
      </w: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0E5773F1">
      <w:pPr>
        <w:spacing w:line="360" w:lineRule="auto"/>
        <w:ind w:left="25" w:leftChars="12" w:firstLine="352" w:firstLineChars="147"/>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66ECFAD6">
      <w:pPr>
        <w:spacing w:line="360" w:lineRule="auto"/>
        <w:ind w:left="25" w:leftChars="12" w:firstLine="472" w:firstLineChars="197"/>
        <w:rPr>
          <w:rFonts w:hint="eastAsia" w:ascii="宋体" w:hAnsi="宋体" w:eastAsia="宋体" w:cs="Times New Roman"/>
          <w:bCs/>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 xml:space="preserve">投诉事项2  </w:t>
      </w:r>
      <w:r>
        <w:rPr>
          <w:rFonts w:hint="eastAsia" w:ascii="宋体" w:hAnsi="宋体" w:eastAsia="宋体" w:cs="Times New Roman"/>
          <w:bCs/>
          <w:color w:val="auto"/>
          <w:kern w:val="0"/>
          <w:sz w:val="24"/>
          <w:szCs w:val="24"/>
          <w:highlight w:val="none"/>
          <w:lang w:val="zh-CN"/>
        </w:rPr>
        <w:t xml:space="preserve">   </w:t>
      </w:r>
    </w:p>
    <w:p w14:paraId="30E292FA">
      <w:pPr>
        <w:spacing w:line="360" w:lineRule="auto"/>
        <w:ind w:left="25" w:leftChars="12" w:firstLine="472" w:firstLineChars="197"/>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w:t>
      </w:r>
    </w:p>
    <w:p w14:paraId="7C64752E">
      <w:pPr>
        <w:spacing w:line="360" w:lineRule="auto"/>
        <w:ind w:left="25" w:leftChars="12" w:firstLine="472" w:firstLineChars="196"/>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五、与投诉事项相关的投诉请求：</w:t>
      </w:r>
    </w:p>
    <w:p w14:paraId="6B992BE5">
      <w:pPr>
        <w:spacing w:line="360" w:lineRule="auto"/>
        <w:ind w:left="25" w:leftChars="12" w:firstLine="472" w:firstLineChars="197"/>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请求：</w:t>
      </w:r>
      <w:r>
        <w:rPr>
          <w:rFonts w:hint="eastAsia" w:ascii="宋体" w:hAnsi="宋体" w:eastAsia="宋体" w:cs="Times New Roman"/>
          <w:bCs/>
          <w:color w:val="auto"/>
          <w:kern w:val="0"/>
          <w:sz w:val="24"/>
          <w:szCs w:val="24"/>
          <w:highlight w:val="none"/>
          <w:u w:val="single"/>
          <w:lang w:val="zh-CN"/>
        </w:rPr>
        <w:t xml:space="preserve">                                                                                 </w:t>
      </w:r>
    </w:p>
    <w:p w14:paraId="5E9A568F">
      <w:pPr>
        <w:spacing w:line="360" w:lineRule="auto"/>
        <w:ind w:left="25" w:leftChars="12" w:firstLine="352" w:firstLineChars="147"/>
        <w:rPr>
          <w:rFonts w:hint="eastAsia" w:ascii="宋体" w:hAnsi="宋体" w:eastAsia="宋体" w:cs="Times New Roman"/>
          <w:color w:val="auto"/>
          <w:kern w:val="0"/>
          <w:sz w:val="24"/>
          <w:szCs w:val="24"/>
          <w:highlight w:val="none"/>
          <w:lang w:val="zh-CN"/>
        </w:rPr>
      </w:pPr>
    </w:p>
    <w:p w14:paraId="3BCF5122">
      <w:pPr>
        <w:spacing w:line="360" w:lineRule="auto"/>
        <w:ind w:left="25" w:leftChars="12" w:firstLine="472" w:firstLineChars="197"/>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签字（签章）：                                       公章：</w:t>
      </w:r>
    </w:p>
    <w:p w14:paraId="35819AB4">
      <w:pPr>
        <w:spacing w:line="360" w:lineRule="auto"/>
        <w:ind w:left="25" w:leftChars="12" w:firstLine="352" w:firstLineChars="147"/>
        <w:rPr>
          <w:rFonts w:hint="eastAsia" w:ascii="宋体" w:hAnsi="宋体" w:eastAsia="宋体" w:cs="Times New Roman"/>
          <w:color w:val="auto"/>
          <w:kern w:val="0"/>
          <w:sz w:val="24"/>
          <w:szCs w:val="24"/>
          <w:highlight w:val="none"/>
          <w:lang w:val="zh-CN"/>
        </w:rPr>
      </w:pPr>
    </w:p>
    <w:p w14:paraId="4E93F003">
      <w:pPr>
        <w:spacing w:line="360" w:lineRule="auto"/>
        <w:ind w:left="25" w:leftChars="12" w:firstLine="472" w:firstLineChars="197"/>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日期：</w:t>
      </w:r>
    </w:p>
    <w:p w14:paraId="1FD0F966">
      <w:pPr>
        <w:spacing w:line="360" w:lineRule="auto"/>
        <w:ind w:left="25" w:leftChars="12" w:firstLine="472" w:firstLineChars="197"/>
        <w:rPr>
          <w:rFonts w:hint="eastAsia"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 xml:space="preserve">                                                                                 </w:t>
      </w:r>
    </w:p>
    <w:p w14:paraId="2279997B">
      <w:pPr>
        <w:snapToGrid w:val="0"/>
        <w:spacing w:line="360" w:lineRule="auto"/>
        <w:rPr>
          <w:rFonts w:hint="eastAsia" w:ascii="宋体" w:hAnsi="宋体" w:eastAsia="宋体" w:cs="Times New Roman"/>
          <w:b/>
          <w:color w:val="auto"/>
          <w:kern w:val="0"/>
          <w:sz w:val="24"/>
          <w:szCs w:val="24"/>
          <w:highlight w:val="none"/>
          <w:lang w:val="zh-CN"/>
        </w:rPr>
      </w:pPr>
    </w:p>
    <w:p w14:paraId="42FCD711">
      <w:pPr>
        <w:snapToGrid w:val="0"/>
        <w:spacing w:line="360" w:lineRule="auto"/>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说明：</w:t>
      </w:r>
    </w:p>
    <w:p w14:paraId="3E63FBFB">
      <w:pPr>
        <w:spacing w:line="360" w:lineRule="auto"/>
        <w:ind w:left="25" w:leftChars="12" w:firstLine="354" w:firstLineChars="147"/>
        <w:rPr>
          <w:rFonts w:hint="eastAsia" w:ascii="宋体" w:hAnsi="宋体" w:eastAsia="宋体" w:cs="Times New Roman"/>
          <w:b/>
          <w:bCs/>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1.投诉人提起投诉时，应当提交投诉书和必要的证明材料，并按照被投诉人和与投诉事项有关的供应商数量提供投诉书副本</w:t>
      </w:r>
      <w:r>
        <w:rPr>
          <w:rFonts w:hint="eastAsia" w:ascii="宋体" w:hAnsi="宋体" w:eastAsia="宋体" w:cs="Times New Roman"/>
          <w:b/>
          <w:bCs/>
          <w:color w:val="auto"/>
          <w:kern w:val="0"/>
          <w:sz w:val="24"/>
          <w:szCs w:val="24"/>
          <w:highlight w:val="none"/>
          <w:lang w:val="zh-CN"/>
        </w:rPr>
        <w:t>。</w:t>
      </w:r>
    </w:p>
    <w:p w14:paraId="2150E38A">
      <w:pPr>
        <w:spacing w:line="360" w:lineRule="auto"/>
        <w:ind w:left="25" w:leftChars="12" w:firstLine="354" w:firstLineChars="147"/>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2EA3C88">
      <w:pPr>
        <w:spacing w:line="360" w:lineRule="auto"/>
        <w:ind w:left="25" w:leftChars="12" w:firstLine="354" w:firstLineChars="147"/>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3.投诉书应简要列明质疑事项，质疑函、质疑答复等作为附件材料提供。</w:t>
      </w:r>
    </w:p>
    <w:p w14:paraId="47EE5C45">
      <w:pPr>
        <w:spacing w:line="360" w:lineRule="auto"/>
        <w:ind w:left="25" w:leftChars="12" w:firstLine="354" w:firstLineChars="147"/>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4.投诉书的投诉事项应具体、明确，并有必要的事实依据和法律依据。</w:t>
      </w:r>
    </w:p>
    <w:p w14:paraId="119CE9FC">
      <w:pPr>
        <w:spacing w:line="360" w:lineRule="auto"/>
        <w:ind w:left="25" w:leftChars="12" w:firstLine="354" w:firstLineChars="147"/>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5.投诉书的投诉请求应与投诉事项相关。</w:t>
      </w:r>
    </w:p>
    <w:p w14:paraId="5426DB0C">
      <w:pPr>
        <w:spacing w:line="360" w:lineRule="auto"/>
        <w:ind w:left="25" w:leftChars="12" w:firstLine="354" w:firstLineChars="147"/>
        <w:rPr>
          <w:rFonts w:hint="eastAsia" w:ascii="宋体" w:hAnsi="宋体" w:eastAsia="宋体" w:cs="Times New Roman"/>
          <w:b/>
          <w:color w:val="auto"/>
          <w:kern w:val="0"/>
          <w:sz w:val="20"/>
          <w:szCs w:val="21"/>
          <w:highlight w:val="none"/>
          <w:lang w:val="zh-CN"/>
        </w:rPr>
      </w:pPr>
      <w:r>
        <w:rPr>
          <w:rFonts w:hint="eastAsia" w:ascii="宋体" w:hAnsi="宋体" w:eastAsia="宋体" w:cs="Times New Roman"/>
          <w:b/>
          <w:color w:val="auto"/>
          <w:kern w:val="0"/>
          <w:sz w:val="24"/>
          <w:szCs w:val="24"/>
          <w:highlight w:val="none"/>
          <w:lang w:val="zh-CN"/>
        </w:rPr>
        <w:t>6.投诉人为法人或者其他组织的，投诉书应由法定代表人、主要负责人，或者其授权代表签字或者盖章，并加盖公章。</w:t>
      </w:r>
    </w:p>
    <w:p w14:paraId="04CDE4DA">
      <w:pPr>
        <w:rPr>
          <w:rFonts w:ascii="Times New Roman" w:hAnsi="Times New Roman" w:eastAsia="宋体" w:cs="Times New Roman"/>
          <w:color w:val="auto"/>
          <w:szCs w:val="24"/>
          <w:highlight w:val="none"/>
          <w:lang w:val="zh-CN"/>
        </w:rPr>
      </w:pPr>
    </w:p>
    <w:p w14:paraId="46528185">
      <w:pPr>
        <w:rPr>
          <w:rFonts w:ascii="Times New Roman" w:hAnsi="Times New Roman" w:eastAsia="宋体" w:cs="Times New Roman"/>
          <w:color w:val="auto"/>
          <w:szCs w:val="24"/>
          <w:highlight w:val="none"/>
        </w:rPr>
      </w:pPr>
    </w:p>
    <w:p w14:paraId="6E5671A1">
      <w:pPr>
        <w:rPr>
          <w:color w:val="auto"/>
          <w:highlight w:val="none"/>
        </w:rPr>
      </w:pPr>
    </w:p>
    <w:sectPr>
      <w:footerReference r:id="rId11" w:type="first"/>
      <w:footerReference r:id="rId10" w:type="default"/>
      <w:pgSz w:w="11910" w:h="16840"/>
      <w:pgMar w:top="1134" w:right="1134" w:bottom="1134" w:left="113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2D1C25-A85A-49EE-8AE6-36D926256140}"/>
  </w:font>
  <w:font w:name="Courier New">
    <w:panose1 w:val="02070309020205020404"/>
    <w:charset w:val="01"/>
    <w:family w:val="modern"/>
    <w:pitch w:val="default"/>
    <w:sig w:usb0="E0002EFF" w:usb1="C0007843" w:usb2="00000009" w:usb3="00000000" w:csb0="400001FF" w:csb1="FFFF0000"/>
    <w:embedRegular r:id="rId2" w:fontKey="{07F6D31D-2604-468F-9BF8-AE100D462CC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2BFB0EB-8BD5-4861-9634-902B4D85FCDE}"/>
  </w:font>
  <w:font w:name="Cambria">
    <w:panose1 w:val="02040503050406030204"/>
    <w:charset w:val="00"/>
    <w:family w:val="roman"/>
    <w:pitch w:val="default"/>
    <w:sig w:usb0="E00006FF" w:usb1="420024FF" w:usb2="02000000" w:usb3="00000000" w:csb0="2000019F" w:csb1="00000000"/>
    <w:embedRegular r:id="rId4" w:fontKey="{40CA05DA-2458-47F6-8752-1769A5EEEEDD}"/>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ECD61FE2-C86D-4AD8-88AD-D215C552786B}"/>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6" w:fontKey="{9BCB3F2C-FBC4-4397-B9B4-3DC60DC62295}"/>
  </w:font>
  <w:font w:name="Arial Unicode MS">
    <w:panose1 w:val="020B0604020202020204"/>
    <w:charset w:val="86"/>
    <w:family w:val="swiss"/>
    <w:pitch w:val="default"/>
    <w:sig w:usb0="F7FFAEFF" w:usb1="F9DFFFFF" w:usb2="0000007F" w:usb3="00000000" w:csb0="203F01FF" w:csb1="DFFF0000"/>
    <w:embedRegular r:id="rId7" w:fontKey="{137D11ED-837E-4665-B22F-F71E2079ADA0}"/>
  </w:font>
  <w:font w:name="Wingdings 2">
    <w:panose1 w:val="05020102010507070707"/>
    <w:charset w:val="02"/>
    <w:family w:val="roman"/>
    <w:pitch w:val="default"/>
    <w:sig w:usb0="00000000" w:usb1="00000000" w:usb2="00000000" w:usb3="00000000" w:csb0="80000000" w:csb1="00000000"/>
    <w:embedRegular r:id="rId8" w:fontKey="{1C57AF44-3DC5-4E82-AC56-B66CC8B54C6C}"/>
  </w:font>
  <w:font w:name="Helvetica">
    <w:altName w:val="Arial"/>
    <w:panose1 w:val="00000000000000000000"/>
    <w:charset w:val="00"/>
    <w:family w:val="swiss"/>
    <w:pitch w:val="default"/>
    <w:sig w:usb0="00000000" w:usb1="00000000" w:usb2="00000000" w:usb3="00000000" w:csb0="2000019F" w:csb1="4F010000"/>
    <w:embedRegular r:id="rId9" w:fontKey="{878A7726-473F-478B-95A9-4850D7F99B9F}"/>
  </w:font>
  <w:font w:name="方正小标宋简体">
    <w:panose1 w:val="03000509000000000000"/>
    <w:charset w:val="86"/>
    <w:family w:val="script"/>
    <w:pitch w:val="default"/>
    <w:sig w:usb0="00000001" w:usb1="080E0000" w:usb2="00000000" w:usb3="00000000" w:csb0="00040000" w:csb1="00000000"/>
    <w:embedRegular r:id="rId10" w:fontKey="{73DE346F-59B7-48F7-86FA-BA853063AB76}"/>
  </w:font>
  <w:font w:name="Verdana">
    <w:panose1 w:val="020B0604030504040204"/>
    <w:charset w:val="00"/>
    <w:family w:val="swiss"/>
    <w:pitch w:val="default"/>
    <w:sig w:usb0="A00006FF" w:usb1="4000205B" w:usb2="00000010" w:usb3="00000000" w:csb0="2000019F" w:csb1="00000000"/>
    <w:embedRegular r:id="rId11" w:fontKey="{B3EFA930-E570-46DD-8D36-9F684F3A422A}"/>
  </w:font>
  <w:font w:name="楷体">
    <w:panose1 w:val="02010609060101010101"/>
    <w:charset w:val="86"/>
    <w:family w:val="modern"/>
    <w:pitch w:val="default"/>
    <w:sig w:usb0="800002BF" w:usb1="38CF7CFA" w:usb2="00000016" w:usb3="00000000" w:csb0="00040001" w:csb1="00000000"/>
    <w:embedRegular r:id="rId12" w:fontKey="{193E8210-E773-4576-BAF2-40BD5C0DECB6}"/>
  </w:font>
  <w:font w:name="隶书">
    <w:altName w:val="Arial Unicode MS"/>
    <w:panose1 w:val="02010509060101010101"/>
    <w:charset w:val="86"/>
    <w:family w:val="modern"/>
    <w:pitch w:val="default"/>
    <w:sig w:usb0="00000000" w:usb1="00000000" w:usb2="00000010" w:usb3="00000000" w:csb0="00040000" w:csb1="00000000"/>
    <w:embedRegular r:id="rId13" w:fontKey="{1A93C0BE-1F06-48C8-83DE-5CCF7C5E8B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B1986">
    <w:pPr>
      <w:pStyle w:val="22"/>
      <w:tabs>
        <w:tab w:val="center" w:pos="4439"/>
        <w:tab w:val="clear" w:pos="4153"/>
      </w:tabs>
      <w:jc w:val="both"/>
    </w:pPr>
  </w:p>
  <w:p w14:paraId="59FF6ADE">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0E0CC">
    <w:pPr>
      <w:pStyle w:val="22"/>
      <w:tabs>
        <w:tab w:val="center" w:pos="4439"/>
        <w:tab w:val="clear" w:pos="4153"/>
      </w:tabs>
    </w:pP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BF0BFCF"/>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CGLlBtBQIAAAYEAAAOAAAAAAAAAAEAIAAAAB4BAABkcnMvZTJv&#10;RG9jLnhtbFBLBQYAAAAABgAGAFkBAACVBQAAAAA=&#10;">
              <v:fill on="f" focussize="0,0"/>
              <v:stroke on="f"/>
              <v:imagedata o:title=""/>
              <o:lock v:ext="edit" aspectratio="f"/>
              <v:textbox inset="0mm,0mm,0mm,0mm" style="mso-fit-shape-to-text:t;">
                <w:txbxContent>
                  <w:p w14:paraId="3BF0BFCF"/>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D6AA1">
    <w:pPr>
      <w:pStyle w:val="22"/>
      <w:tabs>
        <w:tab w:val="center" w:pos="4439"/>
        <w:tab w:val="clear" w:pos="4153"/>
      </w:tabs>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C6A08C">
                          <w:pPr>
                            <w:pStyle w:val="22"/>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4C6A08C">
                    <w:pPr>
                      <w:pStyle w:val="22"/>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p w14:paraId="51AB2270">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E1E61">
    <w:pPr>
      <w:pStyle w:val="22"/>
      <w:tabs>
        <w:tab w:val="center" w:pos="4439"/>
        <w:tab w:val="clear" w:pos="4153"/>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D9EA27">
                          <w:pPr>
                            <w:pStyle w:val="22"/>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4D9EA27">
                    <w:pPr>
                      <w:pStyle w:val="22"/>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D0EFE6E"/>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ql5uc8AAAAFAQAADwAAAAAAAAABACAAAAAiAAAAZHJzL2Rvd25yZXYu&#10;eG1sUEsBAhQAFAAAAAgAh07iQDc+5psEAgAABAQAAA4AAAAAAAAAAQAgAAAAHgEAAGRycy9lMm9E&#10;b2MueG1sUEsFBgAAAAAGAAYAWQEAAJQFAAAAAA==&#10;">
              <v:fill on="f" focussize="0,0"/>
              <v:stroke on="f"/>
              <v:imagedata o:title=""/>
              <o:lock v:ext="edit" aspectratio="f"/>
              <v:textbox inset="0mm,0mm,0mm,0mm" style="mso-fit-shape-to-text:t;">
                <w:txbxContent>
                  <w:p w14:paraId="4D0EFE6E"/>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605A4">
    <w:pPr>
      <w:pStyle w:val="22"/>
      <w:ind w:left="420" w:hanging="420"/>
      <w:jc w:val="center"/>
    </w:pPr>
    <w:r>
      <w:rPr>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2902FF57">
                          <w:pPr>
                            <w:pStyle w:val="22"/>
                            <w:ind w:left="420" w:hanging="420"/>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RJcnJAkCAAAUBAAADgAAAAAAAAABACAAAAAeAQAAZHJz&#10;L2Uyb0RvYy54bWxQSwUGAAAAAAYABgBZAQAAmQUAAAAA&#10;">
              <v:fill on="f" focussize="0,0"/>
              <v:stroke on="f"/>
              <v:imagedata o:title=""/>
              <o:lock v:ext="edit" aspectratio="f"/>
              <v:textbox inset="0mm,0mm,0mm,0mm" style="mso-fit-shape-to-text:t;">
                <w:txbxContent>
                  <w:p w14:paraId="2902FF57">
                    <w:pPr>
                      <w:pStyle w:val="22"/>
                      <w:ind w:left="420" w:hanging="420"/>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p w14:paraId="36A7CA06">
    <w:pPr>
      <w:pStyle w:val="22"/>
      <w:ind w:left="420" w:hanging="4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8B01F">
    <w:pPr>
      <w:pStyle w:val="22"/>
      <w:jc w:val="center"/>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2CBACE8E">
                          <w:pPr>
                            <w:pStyle w:val="22"/>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POGSwkCAAAUBAAADgAAAAAAAAABACAAAAAeAQAAZHJz&#10;L2Uyb0RvYy54bWxQSwUGAAAAAAYABgBZAQAAmQUAAAAA&#10;">
              <v:fill on="f" focussize="0,0"/>
              <v:stroke on="f"/>
              <v:imagedata o:title=""/>
              <o:lock v:ext="edit" aspectratio="f"/>
              <v:textbox inset="0mm,0mm,0mm,0mm" style="mso-fit-shape-to-text:t;">
                <w:txbxContent>
                  <w:p w14:paraId="2CBACE8E">
                    <w:pPr>
                      <w:pStyle w:val="22"/>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p w14:paraId="55AA0B33">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13D81">
    <w:pPr>
      <w:pStyle w:val="22"/>
    </w:pP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4C0512CF">
                          <w:pPr>
                            <w:pStyle w:val="22"/>
                          </w:pPr>
                          <w:r>
                            <w:rPr>
                              <w:rFonts w:hint="eastAsia"/>
                            </w:rPr>
                            <w:fldChar w:fldCharType="begin"/>
                          </w:r>
                          <w:r>
                            <w:rPr>
                              <w:rFonts w:hint="eastAsia"/>
                            </w:rPr>
                            <w:instrText xml:space="preserve"> PAGE  \* MERGEFORMAT </w:instrText>
                          </w:r>
                          <w:r>
                            <w:rPr>
                              <w:rFonts w:hint="eastAsia"/>
                            </w:rPr>
                            <w:fldChar w:fldCharType="separate"/>
                          </w:r>
                          <w:r>
                            <w:rPr>
                              <w:lang w:val="en-US"/>
                            </w:rPr>
                            <w:t>63</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gBt3wkCAAAUBAAADgAAAAAAAAABACAAAAAeAQAAZHJz&#10;L2Uyb0RvYy54bWxQSwUGAAAAAAYABgBZAQAAmQUAAAAA&#10;">
              <v:fill on="f" focussize="0,0"/>
              <v:stroke on="f"/>
              <v:imagedata o:title=""/>
              <o:lock v:ext="edit" aspectratio="f"/>
              <v:textbox inset="0mm,0mm,0mm,0mm" style="mso-fit-shape-to-text:t;">
                <w:txbxContent>
                  <w:p w14:paraId="4C0512CF">
                    <w:pPr>
                      <w:pStyle w:val="22"/>
                    </w:pPr>
                    <w:r>
                      <w:rPr>
                        <w:rFonts w:hint="eastAsia"/>
                      </w:rPr>
                      <w:fldChar w:fldCharType="begin"/>
                    </w:r>
                    <w:r>
                      <w:rPr>
                        <w:rFonts w:hint="eastAsia"/>
                      </w:rPr>
                      <w:instrText xml:space="preserve"> PAGE  \* MERGEFORMAT </w:instrText>
                    </w:r>
                    <w:r>
                      <w:rPr>
                        <w:rFonts w:hint="eastAsia"/>
                      </w:rPr>
                      <w:fldChar w:fldCharType="separate"/>
                    </w:r>
                    <w:r>
                      <w:rPr>
                        <w:lang w:val="en-US"/>
                      </w:rP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18D12">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7B546">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NhODFkODNlNjgyOGRiZjM0NGExMDlhMzkzODVlZDMifQ=="/>
  </w:docVars>
  <w:rsids>
    <w:rsidRoot w:val="00172A27"/>
    <w:rsid w:val="00011D8A"/>
    <w:rsid w:val="00013A77"/>
    <w:rsid w:val="000822E4"/>
    <w:rsid w:val="00084549"/>
    <w:rsid w:val="000903CF"/>
    <w:rsid w:val="000E5E76"/>
    <w:rsid w:val="000F6CD7"/>
    <w:rsid w:val="00134530"/>
    <w:rsid w:val="00172A27"/>
    <w:rsid w:val="001F225D"/>
    <w:rsid w:val="002620F4"/>
    <w:rsid w:val="00293058"/>
    <w:rsid w:val="002E189D"/>
    <w:rsid w:val="002E7FF7"/>
    <w:rsid w:val="002F2FA4"/>
    <w:rsid w:val="002F5CBD"/>
    <w:rsid w:val="003905EC"/>
    <w:rsid w:val="003C468C"/>
    <w:rsid w:val="00466919"/>
    <w:rsid w:val="00481183"/>
    <w:rsid w:val="004F1359"/>
    <w:rsid w:val="00523EB0"/>
    <w:rsid w:val="005A62A1"/>
    <w:rsid w:val="005C088A"/>
    <w:rsid w:val="00606AC3"/>
    <w:rsid w:val="00693E1C"/>
    <w:rsid w:val="00735925"/>
    <w:rsid w:val="0074236E"/>
    <w:rsid w:val="0075194C"/>
    <w:rsid w:val="007C21E9"/>
    <w:rsid w:val="008A1173"/>
    <w:rsid w:val="008C20B8"/>
    <w:rsid w:val="00900A16"/>
    <w:rsid w:val="009415AE"/>
    <w:rsid w:val="009511CD"/>
    <w:rsid w:val="009B5C60"/>
    <w:rsid w:val="00A24FC2"/>
    <w:rsid w:val="00A544E2"/>
    <w:rsid w:val="00A612AB"/>
    <w:rsid w:val="00A67D58"/>
    <w:rsid w:val="00AF631C"/>
    <w:rsid w:val="00B62257"/>
    <w:rsid w:val="00C91C98"/>
    <w:rsid w:val="00D2580D"/>
    <w:rsid w:val="00DA616D"/>
    <w:rsid w:val="00DE260D"/>
    <w:rsid w:val="00F306B7"/>
    <w:rsid w:val="00F97CDD"/>
    <w:rsid w:val="00FE5830"/>
    <w:rsid w:val="00FF1901"/>
    <w:rsid w:val="011D075F"/>
    <w:rsid w:val="012B444D"/>
    <w:rsid w:val="01574459"/>
    <w:rsid w:val="019E3125"/>
    <w:rsid w:val="01B7243B"/>
    <w:rsid w:val="01C34939"/>
    <w:rsid w:val="01C56903"/>
    <w:rsid w:val="01CB02C6"/>
    <w:rsid w:val="01DE3F57"/>
    <w:rsid w:val="01E07299"/>
    <w:rsid w:val="01FF46E4"/>
    <w:rsid w:val="02217A18"/>
    <w:rsid w:val="024457B0"/>
    <w:rsid w:val="0250392C"/>
    <w:rsid w:val="02700A12"/>
    <w:rsid w:val="027F4BED"/>
    <w:rsid w:val="02B103DD"/>
    <w:rsid w:val="02C1531D"/>
    <w:rsid w:val="02D81677"/>
    <w:rsid w:val="02F33579"/>
    <w:rsid w:val="03036BF9"/>
    <w:rsid w:val="03214847"/>
    <w:rsid w:val="036B6560"/>
    <w:rsid w:val="0372245E"/>
    <w:rsid w:val="037F62D3"/>
    <w:rsid w:val="03930F0A"/>
    <w:rsid w:val="039C0894"/>
    <w:rsid w:val="03A74512"/>
    <w:rsid w:val="03AF786B"/>
    <w:rsid w:val="03B60BF9"/>
    <w:rsid w:val="03E301C6"/>
    <w:rsid w:val="03FB16C0"/>
    <w:rsid w:val="04206237"/>
    <w:rsid w:val="044F16F0"/>
    <w:rsid w:val="045126D0"/>
    <w:rsid w:val="04E105B3"/>
    <w:rsid w:val="04E8539D"/>
    <w:rsid w:val="05304A58"/>
    <w:rsid w:val="054D6AF6"/>
    <w:rsid w:val="055A4D20"/>
    <w:rsid w:val="055C132D"/>
    <w:rsid w:val="05827A6F"/>
    <w:rsid w:val="05A26DA7"/>
    <w:rsid w:val="05B10123"/>
    <w:rsid w:val="05BA0F6E"/>
    <w:rsid w:val="05C85B6F"/>
    <w:rsid w:val="05CF2A51"/>
    <w:rsid w:val="05D45367"/>
    <w:rsid w:val="05D67DD4"/>
    <w:rsid w:val="05F17190"/>
    <w:rsid w:val="05F55A06"/>
    <w:rsid w:val="05FD56D0"/>
    <w:rsid w:val="0616772D"/>
    <w:rsid w:val="061C77CE"/>
    <w:rsid w:val="065B47F7"/>
    <w:rsid w:val="06695A20"/>
    <w:rsid w:val="06712BB6"/>
    <w:rsid w:val="068407F0"/>
    <w:rsid w:val="06852C34"/>
    <w:rsid w:val="06B45B9F"/>
    <w:rsid w:val="06C511BF"/>
    <w:rsid w:val="06E717BD"/>
    <w:rsid w:val="06F20FC3"/>
    <w:rsid w:val="0701218C"/>
    <w:rsid w:val="07032602"/>
    <w:rsid w:val="07087A4C"/>
    <w:rsid w:val="07435ABD"/>
    <w:rsid w:val="07707311"/>
    <w:rsid w:val="078556FE"/>
    <w:rsid w:val="07CA30A1"/>
    <w:rsid w:val="07E278AB"/>
    <w:rsid w:val="08162E97"/>
    <w:rsid w:val="08165323"/>
    <w:rsid w:val="08841649"/>
    <w:rsid w:val="0892386F"/>
    <w:rsid w:val="0896540B"/>
    <w:rsid w:val="08A72DDC"/>
    <w:rsid w:val="08C01BD2"/>
    <w:rsid w:val="08DB7137"/>
    <w:rsid w:val="08E40B8D"/>
    <w:rsid w:val="08ED6087"/>
    <w:rsid w:val="08F5187C"/>
    <w:rsid w:val="090B3A39"/>
    <w:rsid w:val="094521FA"/>
    <w:rsid w:val="09661969"/>
    <w:rsid w:val="096F5B1B"/>
    <w:rsid w:val="09786076"/>
    <w:rsid w:val="098004AE"/>
    <w:rsid w:val="098E29CC"/>
    <w:rsid w:val="09A233BC"/>
    <w:rsid w:val="09AF056B"/>
    <w:rsid w:val="09BC6684"/>
    <w:rsid w:val="09CF3FB8"/>
    <w:rsid w:val="09F650AE"/>
    <w:rsid w:val="0A0124A3"/>
    <w:rsid w:val="0A0B1817"/>
    <w:rsid w:val="0A22681D"/>
    <w:rsid w:val="0A2D2358"/>
    <w:rsid w:val="0A303492"/>
    <w:rsid w:val="0A4D49DC"/>
    <w:rsid w:val="0A7D2FA4"/>
    <w:rsid w:val="0AD007F3"/>
    <w:rsid w:val="0AEA2F37"/>
    <w:rsid w:val="0B097343"/>
    <w:rsid w:val="0B254482"/>
    <w:rsid w:val="0B2D703C"/>
    <w:rsid w:val="0B3231DB"/>
    <w:rsid w:val="0B4A3976"/>
    <w:rsid w:val="0B5551FE"/>
    <w:rsid w:val="0B7E6E21"/>
    <w:rsid w:val="0B925AA8"/>
    <w:rsid w:val="0BC843BD"/>
    <w:rsid w:val="0BEA62BE"/>
    <w:rsid w:val="0C023496"/>
    <w:rsid w:val="0C3C2026"/>
    <w:rsid w:val="0C423B4C"/>
    <w:rsid w:val="0C6754D4"/>
    <w:rsid w:val="0CA6632A"/>
    <w:rsid w:val="0CBC262F"/>
    <w:rsid w:val="0CC61B2F"/>
    <w:rsid w:val="0CDF4D1D"/>
    <w:rsid w:val="0CE57E5A"/>
    <w:rsid w:val="0D0822EF"/>
    <w:rsid w:val="0D1A3FA7"/>
    <w:rsid w:val="0D22418C"/>
    <w:rsid w:val="0D263625"/>
    <w:rsid w:val="0D442DD2"/>
    <w:rsid w:val="0D982CF5"/>
    <w:rsid w:val="0DBA1896"/>
    <w:rsid w:val="0E015DD7"/>
    <w:rsid w:val="0E411532"/>
    <w:rsid w:val="0E4214FE"/>
    <w:rsid w:val="0E4A4226"/>
    <w:rsid w:val="0E752256"/>
    <w:rsid w:val="0E8F15F0"/>
    <w:rsid w:val="0E9915AA"/>
    <w:rsid w:val="0E9D4D60"/>
    <w:rsid w:val="0EAE428B"/>
    <w:rsid w:val="0EBB5316"/>
    <w:rsid w:val="0EBF4080"/>
    <w:rsid w:val="0ECA4573"/>
    <w:rsid w:val="0ED4798D"/>
    <w:rsid w:val="0F2C2E76"/>
    <w:rsid w:val="0F4C0664"/>
    <w:rsid w:val="0F580DB7"/>
    <w:rsid w:val="0F6A1F1A"/>
    <w:rsid w:val="0F7C513B"/>
    <w:rsid w:val="0F7E6819"/>
    <w:rsid w:val="0FB55CA2"/>
    <w:rsid w:val="1018013C"/>
    <w:rsid w:val="101F264D"/>
    <w:rsid w:val="10240EAE"/>
    <w:rsid w:val="10267F1F"/>
    <w:rsid w:val="107E2A9F"/>
    <w:rsid w:val="10817F12"/>
    <w:rsid w:val="10914580"/>
    <w:rsid w:val="109E1CBC"/>
    <w:rsid w:val="10CF7081"/>
    <w:rsid w:val="10D3604C"/>
    <w:rsid w:val="11074842"/>
    <w:rsid w:val="110765F0"/>
    <w:rsid w:val="110B3F03"/>
    <w:rsid w:val="113B0990"/>
    <w:rsid w:val="113E5504"/>
    <w:rsid w:val="113F075A"/>
    <w:rsid w:val="11534D38"/>
    <w:rsid w:val="11694069"/>
    <w:rsid w:val="116C2CA8"/>
    <w:rsid w:val="119D4B96"/>
    <w:rsid w:val="119E326A"/>
    <w:rsid w:val="11A56003"/>
    <w:rsid w:val="11AB207C"/>
    <w:rsid w:val="11AE4D38"/>
    <w:rsid w:val="11B56492"/>
    <w:rsid w:val="11EA5308"/>
    <w:rsid w:val="11FA1551"/>
    <w:rsid w:val="121543C9"/>
    <w:rsid w:val="12290F0E"/>
    <w:rsid w:val="12296A3A"/>
    <w:rsid w:val="12412737"/>
    <w:rsid w:val="12415A70"/>
    <w:rsid w:val="12620197"/>
    <w:rsid w:val="126F0578"/>
    <w:rsid w:val="12753A2E"/>
    <w:rsid w:val="12802254"/>
    <w:rsid w:val="128E5246"/>
    <w:rsid w:val="12B14A74"/>
    <w:rsid w:val="12B17E78"/>
    <w:rsid w:val="12EF2845"/>
    <w:rsid w:val="12FC28BE"/>
    <w:rsid w:val="13117BFA"/>
    <w:rsid w:val="13264E55"/>
    <w:rsid w:val="13675A6C"/>
    <w:rsid w:val="13813795"/>
    <w:rsid w:val="139E2CE4"/>
    <w:rsid w:val="144C3236"/>
    <w:rsid w:val="147D4F72"/>
    <w:rsid w:val="14847F58"/>
    <w:rsid w:val="148A3D0B"/>
    <w:rsid w:val="1497248C"/>
    <w:rsid w:val="149C28BF"/>
    <w:rsid w:val="14A45FB0"/>
    <w:rsid w:val="14A6243D"/>
    <w:rsid w:val="14B06F9F"/>
    <w:rsid w:val="14B3682E"/>
    <w:rsid w:val="14CB1AD4"/>
    <w:rsid w:val="150A39A3"/>
    <w:rsid w:val="15412561"/>
    <w:rsid w:val="155234DD"/>
    <w:rsid w:val="156A7853"/>
    <w:rsid w:val="158E19C1"/>
    <w:rsid w:val="159C4EFE"/>
    <w:rsid w:val="15A113D0"/>
    <w:rsid w:val="15A24B3A"/>
    <w:rsid w:val="15A46B04"/>
    <w:rsid w:val="15A85EC8"/>
    <w:rsid w:val="15B912F9"/>
    <w:rsid w:val="15C60DCC"/>
    <w:rsid w:val="15D942D4"/>
    <w:rsid w:val="16082FC8"/>
    <w:rsid w:val="162F52A8"/>
    <w:rsid w:val="16493163"/>
    <w:rsid w:val="165401BC"/>
    <w:rsid w:val="167F30CD"/>
    <w:rsid w:val="16931028"/>
    <w:rsid w:val="16C14BCE"/>
    <w:rsid w:val="16D01B7A"/>
    <w:rsid w:val="16E46F14"/>
    <w:rsid w:val="16E87E3D"/>
    <w:rsid w:val="16F342B3"/>
    <w:rsid w:val="16F46E3D"/>
    <w:rsid w:val="17120F22"/>
    <w:rsid w:val="17191730"/>
    <w:rsid w:val="171E2B79"/>
    <w:rsid w:val="172B12F3"/>
    <w:rsid w:val="17332B1E"/>
    <w:rsid w:val="179C641F"/>
    <w:rsid w:val="17B86748"/>
    <w:rsid w:val="17BA0187"/>
    <w:rsid w:val="17C47764"/>
    <w:rsid w:val="17E413A1"/>
    <w:rsid w:val="17EE22B8"/>
    <w:rsid w:val="17FD65D0"/>
    <w:rsid w:val="18023817"/>
    <w:rsid w:val="18495740"/>
    <w:rsid w:val="186E2BE4"/>
    <w:rsid w:val="18882852"/>
    <w:rsid w:val="18975246"/>
    <w:rsid w:val="18A336A5"/>
    <w:rsid w:val="18A60DE5"/>
    <w:rsid w:val="18AF432C"/>
    <w:rsid w:val="18BD6E20"/>
    <w:rsid w:val="18DD6D5C"/>
    <w:rsid w:val="18DF0FE7"/>
    <w:rsid w:val="18E5190D"/>
    <w:rsid w:val="19241D0A"/>
    <w:rsid w:val="19404D95"/>
    <w:rsid w:val="19406B43"/>
    <w:rsid w:val="194128BC"/>
    <w:rsid w:val="19793E03"/>
    <w:rsid w:val="197A3F9A"/>
    <w:rsid w:val="198E56A0"/>
    <w:rsid w:val="1992381E"/>
    <w:rsid w:val="19AA594A"/>
    <w:rsid w:val="19C21A99"/>
    <w:rsid w:val="19C40971"/>
    <w:rsid w:val="19F17C09"/>
    <w:rsid w:val="19F42470"/>
    <w:rsid w:val="1A064C4B"/>
    <w:rsid w:val="1A0E41E2"/>
    <w:rsid w:val="1A1839A8"/>
    <w:rsid w:val="1A1B57CD"/>
    <w:rsid w:val="1A557565"/>
    <w:rsid w:val="1A7D169C"/>
    <w:rsid w:val="1AA94BBC"/>
    <w:rsid w:val="1AB33A4E"/>
    <w:rsid w:val="1AC71182"/>
    <w:rsid w:val="1AE64D67"/>
    <w:rsid w:val="1B210BF7"/>
    <w:rsid w:val="1B382423"/>
    <w:rsid w:val="1B41346E"/>
    <w:rsid w:val="1B4E247D"/>
    <w:rsid w:val="1B5003D3"/>
    <w:rsid w:val="1B593164"/>
    <w:rsid w:val="1B597FF7"/>
    <w:rsid w:val="1B6612C9"/>
    <w:rsid w:val="1BA05BD2"/>
    <w:rsid w:val="1BC53330"/>
    <w:rsid w:val="1BF64E38"/>
    <w:rsid w:val="1C0F2192"/>
    <w:rsid w:val="1C3D560A"/>
    <w:rsid w:val="1C4A28E3"/>
    <w:rsid w:val="1C533032"/>
    <w:rsid w:val="1C642B1A"/>
    <w:rsid w:val="1C6B32EA"/>
    <w:rsid w:val="1C830837"/>
    <w:rsid w:val="1C8B2EA7"/>
    <w:rsid w:val="1CA053AF"/>
    <w:rsid w:val="1CAB5E94"/>
    <w:rsid w:val="1CB75DAF"/>
    <w:rsid w:val="1D232A04"/>
    <w:rsid w:val="1D5860E0"/>
    <w:rsid w:val="1D76522A"/>
    <w:rsid w:val="1D7853F7"/>
    <w:rsid w:val="1D9D1A60"/>
    <w:rsid w:val="1DAF7A74"/>
    <w:rsid w:val="1DB409DB"/>
    <w:rsid w:val="1DC34DD9"/>
    <w:rsid w:val="1DD44CD6"/>
    <w:rsid w:val="1DE541AF"/>
    <w:rsid w:val="1E0C3498"/>
    <w:rsid w:val="1E162569"/>
    <w:rsid w:val="1E415936"/>
    <w:rsid w:val="1E831280"/>
    <w:rsid w:val="1E9544FA"/>
    <w:rsid w:val="1EB7105D"/>
    <w:rsid w:val="1EB81009"/>
    <w:rsid w:val="1F002B00"/>
    <w:rsid w:val="1F2A0E70"/>
    <w:rsid w:val="1F526FB3"/>
    <w:rsid w:val="1F7D662F"/>
    <w:rsid w:val="1F852C37"/>
    <w:rsid w:val="1F906AC3"/>
    <w:rsid w:val="1F9F7F10"/>
    <w:rsid w:val="1FC73078"/>
    <w:rsid w:val="1FC9696C"/>
    <w:rsid w:val="1FEE30BC"/>
    <w:rsid w:val="20000DDB"/>
    <w:rsid w:val="20682955"/>
    <w:rsid w:val="206F45D9"/>
    <w:rsid w:val="20720C33"/>
    <w:rsid w:val="20A22E61"/>
    <w:rsid w:val="20AA183D"/>
    <w:rsid w:val="20D11800"/>
    <w:rsid w:val="20D17529"/>
    <w:rsid w:val="20DF35F5"/>
    <w:rsid w:val="20E60491"/>
    <w:rsid w:val="20F71370"/>
    <w:rsid w:val="210431F4"/>
    <w:rsid w:val="214B077B"/>
    <w:rsid w:val="215C59D3"/>
    <w:rsid w:val="218E49DB"/>
    <w:rsid w:val="2196513D"/>
    <w:rsid w:val="21DA13C0"/>
    <w:rsid w:val="21DB5AB4"/>
    <w:rsid w:val="21DE294A"/>
    <w:rsid w:val="220B2862"/>
    <w:rsid w:val="220B3A67"/>
    <w:rsid w:val="225B1540"/>
    <w:rsid w:val="22883309"/>
    <w:rsid w:val="229F6CCB"/>
    <w:rsid w:val="22A10409"/>
    <w:rsid w:val="22AD570A"/>
    <w:rsid w:val="231E655E"/>
    <w:rsid w:val="233F18A9"/>
    <w:rsid w:val="237130FB"/>
    <w:rsid w:val="237A74F0"/>
    <w:rsid w:val="237F7B4B"/>
    <w:rsid w:val="238306FE"/>
    <w:rsid w:val="23902B66"/>
    <w:rsid w:val="239B7D19"/>
    <w:rsid w:val="23E85BCA"/>
    <w:rsid w:val="23F173A1"/>
    <w:rsid w:val="23F83D03"/>
    <w:rsid w:val="23FE0D78"/>
    <w:rsid w:val="24367BD5"/>
    <w:rsid w:val="2446522A"/>
    <w:rsid w:val="245002E6"/>
    <w:rsid w:val="245B23CF"/>
    <w:rsid w:val="24603FA7"/>
    <w:rsid w:val="24945F95"/>
    <w:rsid w:val="24963CCF"/>
    <w:rsid w:val="24986210"/>
    <w:rsid w:val="24B81ED1"/>
    <w:rsid w:val="24BC52F1"/>
    <w:rsid w:val="24E753E1"/>
    <w:rsid w:val="25184381"/>
    <w:rsid w:val="25290C20"/>
    <w:rsid w:val="25644CFB"/>
    <w:rsid w:val="25CA3B82"/>
    <w:rsid w:val="26037C97"/>
    <w:rsid w:val="26062336"/>
    <w:rsid w:val="26094761"/>
    <w:rsid w:val="26380B80"/>
    <w:rsid w:val="263F5510"/>
    <w:rsid w:val="2641436D"/>
    <w:rsid w:val="26650CFE"/>
    <w:rsid w:val="266F5212"/>
    <w:rsid w:val="26866639"/>
    <w:rsid w:val="26931184"/>
    <w:rsid w:val="26991B1E"/>
    <w:rsid w:val="26B17E46"/>
    <w:rsid w:val="26B40B71"/>
    <w:rsid w:val="26D82824"/>
    <w:rsid w:val="27042BD3"/>
    <w:rsid w:val="27261C55"/>
    <w:rsid w:val="275A1718"/>
    <w:rsid w:val="27713BA0"/>
    <w:rsid w:val="27996369"/>
    <w:rsid w:val="279F1523"/>
    <w:rsid w:val="27A060EE"/>
    <w:rsid w:val="27A83535"/>
    <w:rsid w:val="27AF3352"/>
    <w:rsid w:val="27B839C1"/>
    <w:rsid w:val="27D35203"/>
    <w:rsid w:val="27F62352"/>
    <w:rsid w:val="27F70088"/>
    <w:rsid w:val="27F80870"/>
    <w:rsid w:val="28033475"/>
    <w:rsid w:val="284E416D"/>
    <w:rsid w:val="285E1230"/>
    <w:rsid w:val="286B40D0"/>
    <w:rsid w:val="287729B5"/>
    <w:rsid w:val="288D2BA7"/>
    <w:rsid w:val="28A36273"/>
    <w:rsid w:val="28A56D74"/>
    <w:rsid w:val="28A90122"/>
    <w:rsid w:val="28CA5E86"/>
    <w:rsid w:val="29095871"/>
    <w:rsid w:val="29095FDB"/>
    <w:rsid w:val="290C539D"/>
    <w:rsid w:val="29230B26"/>
    <w:rsid w:val="295335C6"/>
    <w:rsid w:val="297665B1"/>
    <w:rsid w:val="29824F56"/>
    <w:rsid w:val="298E4DCE"/>
    <w:rsid w:val="2999028F"/>
    <w:rsid w:val="29A309EE"/>
    <w:rsid w:val="29BF7193"/>
    <w:rsid w:val="29D61C04"/>
    <w:rsid w:val="29D84B76"/>
    <w:rsid w:val="29E1562F"/>
    <w:rsid w:val="2A046273"/>
    <w:rsid w:val="2A077C31"/>
    <w:rsid w:val="2A0C4820"/>
    <w:rsid w:val="2A1566FD"/>
    <w:rsid w:val="2A3A313B"/>
    <w:rsid w:val="2A4223DA"/>
    <w:rsid w:val="2A4C1CBA"/>
    <w:rsid w:val="2A6F0F88"/>
    <w:rsid w:val="2A88659C"/>
    <w:rsid w:val="2A9767DF"/>
    <w:rsid w:val="2AA07BC7"/>
    <w:rsid w:val="2ABE6CA5"/>
    <w:rsid w:val="2AD01E8E"/>
    <w:rsid w:val="2AEA63A2"/>
    <w:rsid w:val="2B08148B"/>
    <w:rsid w:val="2B55197B"/>
    <w:rsid w:val="2B564195"/>
    <w:rsid w:val="2B5A7FF7"/>
    <w:rsid w:val="2B950AAF"/>
    <w:rsid w:val="2BC90C1A"/>
    <w:rsid w:val="2BE74F7F"/>
    <w:rsid w:val="2BFF15D3"/>
    <w:rsid w:val="2C0408BB"/>
    <w:rsid w:val="2C17787B"/>
    <w:rsid w:val="2C50160E"/>
    <w:rsid w:val="2C526025"/>
    <w:rsid w:val="2C5741F8"/>
    <w:rsid w:val="2C8D7E9A"/>
    <w:rsid w:val="2CA912D0"/>
    <w:rsid w:val="2CB814C7"/>
    <w:rsid w:val="2CFC7DA1"/>
    <w:rsid w:val="2D354F55"/>
    <w:rsid w:val="2D404F0C"/>
    <w:rsid w:val="2D586C07"/>
    <w:rsid w:val="2D957504"/>
    <w:rsid w:val="2DB17BB8"/>
    <w:rsid w:val="2DCA2A28"/>
    <w:rsid w:val="2DD6761F"/>
    <w:rsid w:val="2E1A19B8"/>
    <w:rsid w:val="2E1D5CE0"/>
    <w:rsid w:val="2E267AAE"/>
    <w:rsid w:val="2E3C7780"/>
    <w:rsid w:val="2E8C61DA"/>
    <w:rsid w:val="2EBC5ED0"/>
    <w:rsid w:val="2EDF2503"/>
    <w:rsid w:val="2EE43201"/>
    <w:rsid w:val="2F163D01"/>
    <w:rsid w:val="2F28021B"/>
    <w:rsid w:val="2F4460DD"/>
    <w:rsid w:val="2F546A5B"/>
    <w:rsid w:val="2F6061FA"/>
    <w:rsid w:val="2F754C15"/>
    <w:rsid w:val="2FAE1719"/>
    <w:rsid w:val="2FBE480E"/>
    <w:rsid w:val="300050D2"/>
    <w:rsid w:val="300A2253"/>
    <w:rsid w:val="300F463E"/>
    <w:rsid w:val="30275F10"/>
    <w:rsid w:val="3038636F"/>
    <w:rsid w:val="30446AC1"/>
    <w:rsid w:val="304C5976"/>
    <w:rsid w:val="304F5A47"/>
    <w:rsid w:val="30643430"/>
    <w:rsid w:val="307A7FB1"/>
    <w:rsid w:val="307C438B"/>
    <w:rsid w:val="30905E99"/>
    <w:rsid w:val="30915A7F"/>
    <w:rsid w:val="30F56C6E"/>
    <w:rsid w:val="31013CC3"/>
    <w:rsid w:val="31172076"/>
    <w:rsid w:val="31306402"/>
    <w:rsid w:val="31396EFD"/>
    <w:rsid w:val="31647AAC"/>
    <w:rsid w:val="31876C3F"/>
    <w:rsid w:val="31B95D43"/>
    <w:rsid w:val="31C75679"/>
    <w:rsid w:val="31E56082"/>
    <w:rsid w:val="32077110"/>
    <w:rsid w:val="32096215"/>
    <w:rsid w:val="3216323D"/>
    <w:rsid w:val="3220221C"/>
    <w:rsid w:val="323B2880"/>
    <w:rsid w:val="32AA4AAD"/>
    <w:rsid w:val="32C963C0"/>
    <w:rsid w:val="32DA429C"/>
    <w:rsid w:val="32F6543D"/>
    <w:rsid w:val="33072028"/>
    <w:rsid w:val="332018FF"/>
    <w:rsid w:val="333F343F"/>
    <w:rsid w:val="3350753D"/>
    <w:rsid w:val="335C4EDA"/>
    <w:rsid w:val="33722773"/>
    <w:rsid w:val="33813B89"/>
    <w:rsid w:val="339006F2"/>
    <w:rsid w:val="33C5268F"/>
    <w:rsid w:val="33DB529E"/>
    <w:rsid w:val="33DE56E7"/>
    <w:rsid w:val="33FE6BEC"/>
    <w:rsid w:val="342437A7"/>
    <w:rsid w:val="34317897"/>
    <w:rsid w:val="34613F15"/>
    <w:rsid w:val="3463243E"/>
    <w:rsid w:val="34743D26"/>
    <w:rsid w:val="348273D4"/>
    <w:rsid w:val="349067FB"/>
    <w:rsid w:val="34AE07E1"/>
    <w:rsid w:val="34B77502"/>
    <w:rsid w:val="34C71A6F"/>
    <w:rsid w:val="34CE29B2"/>
    <w:rsid w:val="34E071A9"/>
    <w:rsid w:val="34F37EB7"/>
    <w:rsid w:val="35012BCA"/>
    <w:rsid w:val="351773B6"/>
    <w:rsid w:val="3538471B"/>
    <w:rsid w:val="353941E1"/>
    <w:rsid w:val="35447101"/>
    <w:rsid w:val="35480275"/>
    <w:rsid w:val="359C3F8A"/>
    <w:rsid w:val="35C62FCB"/>
    <w:rsid w:val="36062A6B"/>
    <w:rsid w:val="364C4922"/>
    <w:rsid w:val="36710F4D"/>
    <w:rsid w:val="368C11C2"/>
    <w:rsid w:val="368D08AD"/>
    <w:rsid w:val="368F2BEB"/>
    <w:rsid w:val="36A13002"/>
    <w:rsid w:val="36AB5593"/>
    <w:rsid w:val="36D13CC6"/>
    <w:rsid w:val="36E4661C"/>
    <w:rsid w:val="37006F53"/>
    <w:rsid w:val="3717778E"/>
    <w:rsid w:val="371F5976"/>
    <w:rsid w:val="3747202B"/>
    <w:rsid w:val="37AC1F65"/>
    <w:rsid w:val="37E54FA0"/>
    <w:rsid w:val="37E6666B"/>
    <w:rsid w:val="37EB3B9D"/>
    <w:rsid w:val="37F47234"/>
    <w:rsid w:val="37FD2E72"/>
    <w:rsid w:val="380A6CA1"/>
    <w:rsid w:val="38255474"/>
    <w:rsid w:val="38312FD9"/>
    <w:rsid w:val="384E79F8"/>
    <w:rsid w:val="385A55DE"/>
    <w:rsid w:val="385F2FBF"/>
    <w:rsid w:val="386629E9"/>
    <w:rsid w:val="38845E7E"/>
    <w:rsid w:val="38A3375B"/>
    <w:rsid w:val="38A70067"/>
    <w:rsid w:val="38AD71CE"/>
    <w:rsid w:val="38CF42A3"/>
    <w:rsid w:val="38D60B41"/>
    <w:rsid w:val="390B4155"/>
    <w:rsid w:val="39195460"/>
    <w:rsid w:val="392A049E"/>
    <w:rsid w:val="3970374E"/>
    <w:rsid w:val="39886599"/>
    <w:rsid w:val="39894A1A"/>
    <w:rsid w:val="398A077C"/>
    <w:rsid w:val="398A732C"/>
    <w:rsid w:val="399D0FAB"/>
    <w:rsid w:val="39A122D0"/>
    <w:rsid w:val="39AB655A"/>
    <w:rsid w:val="39B95146"/>
    <w:rsid w:val="39D90239"/>
    <w:rsid w:val="39EA2F5F"/>
    <w:rsid w:val="39F03604"/>
    <w:rsid w:val="39F634E7"/>
    <w:rsid w:val="3A1C285D"/>
    <w:rsid w:val="3A2A0A6E"/>
    <w:rsid w:val="3A3D5DAF"/>
    <w:rsid w:val="3A3E0A2D"/>
    <w:rsid w:val="3A4B3142"/>
    <w:rsid w:val="3A5A096E"/>
    <w:rsid w:val="3A5B056F"/>
    <w:rsid w:val="3A6A4AE7"/>
    <w:rsid w:val="3A6F521E"/>
    <w:rsid w:val="3A756C76"/>
    <w:rsid w:val="3A8F1281"/>
    <w:rsid w:val="3A9C74FA"/>
    <w:rsid w:val="3AC52EF5"/>
    <w:rsid w:val="3AD04B45"/>
    <w:rsid w:val="3ADD73C6"/>
    <w:rsid w:val="3B283915"/>
    <w:rsid w:val="3B5509C6"/>
    <w:rsid w:val="3B7010B2"/>
    <w:rsid w:val="3BA260E2"/>
    <w:rsid w:val="3C0C409C"/>
    <w:rsid w:val="3C187054"/>
    <w:rsid w:val="3C99459C"/>
    <w:rsid w:val="3CCD7F3F"/>
    <w:rsid w:val="3CFF4663"/>
    <w:rsid w:val="3D1837B0"/>
    <w:rsid w:val="3D3B536E"/>
    <w:rsid w:val="3D47564F"/>
    <w:rsid w:val="3D9866A6"/>
    <w:rsid w:val="3DB135FF"/>
    <w:rsid w:val="3DB339C8"/>
    <w:rsid w:val="3DB51BFC"/>
    <w:rsid w:val="3E082B8C"/>
    <w:rsid w:val="3E351BF4"/>
    <w:rsid w:val="3E5C28BB"/>
    <w:rsid w:val="3E646774"/>
    <w:rsid w:val="3E736717"/>
    <w:rsid w:val="3E862809"/>
    <w:rsid w:val="3EC84D62"/>
    <w:rsid w:val="3EF732F4"/>
    <w:rsid w:val="3F060785"/>
    <w:rsid w:val="3F0D73C5"/>
    <w:rsid w:val="3F1B55DB"/>
    <w:rsid w:val="3F1C70CA"/>
    <w:rsid w:val="3F302E94"/>
    <w:rsid w:val="3F3514F6"/>
    <w:rsid w:val="3F3538AF"/>
    <w:rsid w:val="3F646EED"/>
    <w:rsid w:val="3F6D0A65"/>
    <w:rsid w:val="3F967FAC"/>
    <w:rsid w:val="3FAB5C1E"/>
    <w:rsid w:val="3FB670F9"/>
    <w:rsid w:val="3FB70DDA"/>
    <w:rsid w:val="3FC1296F"/>
    <w:rsid w:val="3FC83D82"/>
    <w:rsid w:val="3FCE45FA"/>
    <w:rsid w:val="3FE17866"/>
    <w:rsid w:val="3FFB07ED"/>
    <w:rsid w:val="400267A6"/>
    <w:rsid w:val="40073668"/>
    <w:rsid w:val="402B37FA"/>
    <w:rsid w:val="403F2197"/>
    <w:rsid w:val="40493C80"/>
    <w:rsid w:val="406E7B8B"/>
    <w:rsid w:val="40853C52"/>
    <w:rsid w:val="409D1F9F"/>
    <w:rsid w:val="40E55E64"/>
    <w:rsid w:val="40F21E30"/>
    <w:rsid w:val="410459C4"/>
    <w:rsid w:val="412A4DF8"/>
    <w:rsid w:val="412C0C24"/>
    <w:rsid w:val="41480BFA"/>
    <w:rsid w:val="416750F2"/>
    <w:rsid w:val="41C64225"/>
    <w:rsid w:val="421D4EA6"/>
    <w:rsid w:val="42383FAC"/>
    <w:rsid w:val="42786A9F"/>
    <w:rsid w:val="427F1068"/>
    <w:rsid w:val="42876CE2"/>
    <w:rsid w:val="42993D4D"/>
    <w:rsid w:val="42F05AF9"/>
    <w:rsid w:val="430239C6"/>
    <w:rsid w:val="431E13F4"/>
    <w:rsid w:val="432A5A06"/>
    <w:rsid w:val="4335673E"/>
    <w:rsid w:val="436037BB"/>
    <w:rsid w:val="436446AC"/>
    <w:rsid w:val="43657023"/>
    <w:rsid w:val="436808C1"/>
    <w:rsid w:val="43777787"/>
    <w:rsid w:val="43853578"/>
    <w:rsid w:val="43923B90"/>
    <w:rsid w:val="439C1270"/>
    <w:rsid w:val="43A20CB6"/>
    <w:rsid w:val="43B35FE0"/>
    <w:rsid w:val="43D227C4"/>
    <w:rsid w:val="43E268C5"/>
    <w:rsid w:val="43FA0D9A"/>
    <w:rsid w:val="44310D3A"/>
    <w:rsid w:val="4436276D"/>
    <w:rsid w:val="443A225E"/>
    <w:rsid w:val="44473DD4"/>
    <w:rsid w:val="44661ADD"/>
    <w:rsid w:val="446C3689"/>
    <w:rsid w:val="4497149C"/>
    <w:rsid w:val="44CE4B84"/>
    <w:rsid w:val="44F00076"/>
    <w:rsid w:val="44F22B38"/>
    <w:rsid w:val="44FC5BF6"/>
    <w:rsid w:val="45386DA3"/>
    <w:rsid w:val="457635EC"/>
    <w:rsid w:val="45863281"/>
    <w:rsid w:val="45A271CF"/>
    <w:rsid w:val="45C04752"/>
    <w:rsid w:val="45F54D27"/>
    <w:rsid w:val="45F778F0"/>
    <w:rsid w:val="461F5BAF"/>
    <w:rsid w:val="4624449B"/>
    <w:rsid w:val="462B75C2"/>
    <w:rsid w:val="468948B3"/>
    <w:rsid w:val="468A75E6"/>
    <w:rsid w:val="46B57629"/>
    <w:rsid w:val="46C14906"/>
    <w:rsid w:val="46CB0A6B"/>
    <w:rsid w:val="46CE73EA"/>
    <w:rsid w:val="471823D7"/>
    <w:rsid w:val="471A10D7"/>
    <w:rsid w:val="472C05EE"/>
    <w:rsid w:val="472C440A"/>
    <w:rsid w:val="4762121A"/>
    <w:rsid w:val="47937301"/>
    <w:rsid w:val="479E2B03"/>
    <w:rsid w:val="47C8182E"/>
    <w:rsid w:val="47DC362C"/>
    <w:rsid w:val="47EC192A"/>
    <w:rsid w:val="47F409BD"/>
    <w:rsid w:val="47FB3498"/>
    <w:rsid w:val="47FC6B7A"/>
    <w:rsid w:val="48182364"/>
    <w:rsid w:val="48483C88"/>
    <w:rsid w:val="485052D8"/>
    <w:rsid w:val="489F4D85"/>
    <w:rsid w:val="48C26B67"/>
    <w:rsid w:val="48C72033"/>
    <w:rsid w:val="48CF747F"/>
    <w:rsid w:val="48FA2A51"/>
    <w:rsid w:val="491403CF"/>
    <w:rsid w:val="49156D95"/>
    <w:rsid w:val="491D321B"/>
    <w:rsid w:val="493424A6"/>
    <w:rsid w:val="49441489"/>
    <w:rsid w:val="4955729B"/>
    <w:rsid w:val="495D4AFD"/>
    <w:rsid w:val="496074EF"/>
    <w:rsid w:val="498F1A34"/>
    <w:rsid w:val="49965291"/>
    <w:rsid w:val="49CC5CF4"/>
    <w:rsid w:val="49D8660C"/>
    <w:rsid w:val="49DF4588"/>
    <w:rsid w:val="49E014E1"/>
    <w:rsid w:val="4A1258A3"/>
    <w:rsid w:val="4A1743C6"/>
    <w:rsid w:val="4A3009D4"/>
    <w:rsid w:val="4A4E23DD"/>
    <w:rsid w:val="4A581C9D"/>
    <w:rsid w:val="4A730C3E"/>
    <w:rsid w:val="4A96370D"/>
    <w:rsid w:val="4AA046CC"/>
    <w:rsid w:val="4ADD32B8"/>
    <w:rsid w:val="4AE61714"/>
    <w:rsid w:val="4B01448A"/>
    <w:rsid w:val="4B10107A"/>
    <w:rsid w:val="4B1B05A1"/>
    <w:rsid w:val="4B241572"/>
    <w:rsid w:val="4B29541F"/>
    <w:rsid w:val="4B46773A"/>
    <w:rsid w:val="4B5B5F59"/>
    <w:rsid w:val="4B651054"/>
    <w:rsid w:val="4B745B24"/>
    <w:rsid w:val="4B790C73"/>
    <w:rsid w:val="4BB626BF"/>
    <w:rsid w:val="4BDC6A62"/>
    <w:rsid w:val="4BF52E1B"/>
    <w:rsid w:val="4C336E5A"/>
    <w:rsid w:val="4C353356"/>
    <w:rsid w:val="4C3F6109"/>
    <w:rsid w:val="4C4A325A"/>
    <w:rsid w:val="4C5127F9"/>
    <w:rsid w:val="4C5D0BEE"/>
    <w:rsid w:val="4C8A0551"/>
    <w:rsid w:val="4C9E5CED"/>
    <w:rsid w:val="4CB56D37"/>
    <w:rsid w:val="4CE4720A"/>
    <w:rsid w:val="4CF4135C"/>
    <w:rsid w:val="4D075106"/>
    <w:rsid w:val="4D1C2E8A"/>
    <w:rsid w:val="4D4A034A"/>
    <w:rsid w:val="4D5D5E3B"/>
    <w:rsid w:val="4D767F1E"/>
    <w:rsid w:val="4D8F32A0"/>
    <w:rsid w:val="4DC1754C"/>
    <w:rsid w:val="4DD059E1"/>
    <w:rsid w:val="4DD16A27"/>
    <w:rsid w:val="4E0D7324"/>
    <w:rsid w:val="4E1A512D"/>
    <w:rsid w:val="4E1B3100"/>
    <w:rsid w:val="4E2509D2"/>
    <w:rsid w:val="4E374B25"/>
    <w:rsid w:val="4E4C49A1"/>
    <w:rsid w:val="4E584AF2"/>
    <w:rsid w:val="4E614C78"/>
    <w:rsid w:val="4E6605CA"/>
    <w:rsid w:val="4E7A08D1"/>
    <w:rsid w:val="4E8C5DAC"/>
    <w:rsid w:val="4EA64975"/>
    <w:rsid w:val="4EAB0114"/>
    <w:rsid w:val="4EB2609A"/>
    <w:rsid w:val="4EC21D09"/>
    <w:rsid w:val="4EE96625"/>
    <w:rsid w:val="4F044D97"/>
    <w:rsid w:val="4F1B2C8C"/>
    <w:rsid w:val="4F4F29EA"/>
    <w:rsid w:val="4F522C31"/>
    <w:rsid w:val="4F654F68"/>
    <w:rsid w:val="4F8F6D42"/>
    <w:rsid w:val="4FA908D9"/>
    <w:rsid w:val="500408DE"/>
    <w:rsid w:val="500A7FBC"/>
    <w:rsid w:val="50163486"/>
    <w:rsid w:val="503C2CE4"/>
    <w:rsid w:val="5080374E"/>
    <w:rsid w:val="5095081C"/>
    <w:rsid w:val="50A14F50"/>
    <w:rsid w:val="50B27017"/>
    <w:rsid w:val="50B9391E"/>
    <w:rsid w:val="50BB2978"/>
    <w:rsid w:val="50C6631B"/>
    <w:rsid w:val="50D61560"/>
    <w:rsid w:val="50E13A61"/>
    <w:rsid w:val="50E60E5F"/>
    <w:rsid w:val="51037E7B"/>
    <w:rsid w:val="51083745"/>
    <w:rsid w:val="514714E4"/>
    <w:rsid w:val="51597AB2"/>
    <w:rsid w:val="516850BA"/>
    <w:rsid w:val="516F3258"/>
    <w:rsid w:val="51776B62"/>
    <w:rsid w:val="518C2C3D"/>
    <w:rsid w:val="51A01538"/>
    <w:rsid w:val="51DB39B9"/>
    <w:rsid w:val="51F04E77"/>
    <w:rsid w:val="522A6F3E"/>
    <w:rsid w:val="5247070E"/>
    <w:rsid w:val="5257234F"/>
    <w:rsid w:val="52720BC3"/>
    <w:rsid w:val="527A2805"/>
    <w:rsid w:val="52922181"/>
    <w:rsid w:val="52965D29"/>
    <w:rsid w:val="52A22E8C"/>
    <w:rsid w:val="52AB41DD"/>
    <w:rsid w:val="52B14033"/>
    <w:rsid w:val="52CF6267"/>
    <w:rsid w:val="52E0467E"/>
    <w:rsid w:val="5302488E"/>
    <w:rsid w:val="53070C6E"/>
    <w:rsid w:val="532924FD"/>
    <w:rsid w:val="53746B8D"/>
    <w:rsid w:val="538C78B4"/>
    <w:rsid w:val="53980D4F"/>
    <w:rsid w:val="53BE59EE"/>
    <w:rsid w:val="53C4320D"/>
    <w:rsid w:val="53CD6ECD"/>
    <w:rsid w:val="541F6F1A"/>
    <w:rsid w:val="547436E0"/>
    <w:rsid w:val="54AD202B"/>
    <w:rsid w:val="54B20A58"/>
    <w:rsid w:val="54B836B4"/>
    <w:rsid w:val="54E258CE"/>
    <w:rsid w:val="55382BA4"/>
    <w:rsid w:val="55514833"/>
    <w:rsid w:val="556F2587"/>
    <w:rsid w:val="55706236"/>
    <w:rsid w:val="55A1249C"/>
    <w:rsid w:val="55A62B8A"/>
    <w:rsid w:val="55BA1450"/>
    <w:rsid w:val="55DF61D7"/>
    <w:rsid w:val="5639773E"/>
    <w:rsid w:val="566E6EB5"/>
    <w:rsid w:val="567B1298"/>
    <w:rsid w:val="568D7B85"/>
    <w:rsid w:val="56A0706B"/>
    <w:rsid w:val="56BF0CF1"/>
    <w:rsid w:val="56D45B12"/>
    <w:rsid w:val="56E66275"/>
    <w:rsid w:val="56F125AB"/>
    <w:rsid w:val="56F67C83"/>
    <w:rsid w:val="57061B4B"/>
    <w:rsid w:val="5736758D"/>
    <w:rsid w:val="57515444"/>
    <w:rsid w:val="57560E52"/>
    <w:rsid w:val="57607DD5"/>
    <w:rsid w:val="5766386C"/>
    <w:rsid w:val="57670253"/>
    <w:rsid w:val="57757558"/>
    <w:rsid w:val="57775CAB"/>
    <w:rsid w:val="577949F3"/>
    <w:rsid w:val="577F0B42"/>
    <w:rsid w:val="579040FA"/>
    <w:rsid w:val="57AB500F"/>
    <w:rsid w:val="57CD7318"/>
    <w:rsid w:val="57E30AE1"/>
    <w:rsid w:val="580C6D7B"/>
    <w:rsid w:val="58127246"/>
    <w:rsid w:val="581773FE"/>
    <w:rsid w:val="58311AAA"/>
    <w:rsid w:val="58363036"/>
    <w:rsid w:val="58733B38"/>
    <w:rsid w:val="587B10A4"/>
    <w:rsid w:val="58984351"/>
    <w:rsid w:val="58AF1DF6"/>
    <w:rsid w:val="58F921A1"/>
    <w:rsid w:val="58FA76E7"/>
    <w:rsid w:val="592438F8"/>
    <w:rsid w:val="59465FF6"/>
    <w:rsid w:val="596078FE"/>
    <w:rsid w:val="59674D3E"/>
    <w:rsid w:val="597F637D"/>
    <w:rsid w:val="59882C3D"/>
    <w:rsid w:val="59AC7302"/>
    <w:rsid w:val="59B04FE8"/>
    <w:rsid w:val="59BF56A8"/>
    <w:rsid w:val="59D16D68"/>
    <w:rsid w:val="59D4035A"/>
    <w:rsid w:val="59D538CC"/>
    <w:rsid w:val="59E756D3"/>
    <w:rsid w:val="5A107157"/>
    <w:rsid w:val="5A1233D7"/>
    <w:rsid w:val="5A2426EB"/>
    <w:rsid w:val="5A4E5930"/>
    <w:rsid w:val="5A501676"/>
    <w:rsid w:val="5AAC1340"/>
    <w:rsid w:val="5AC039E7"/>
    <w:rsid w:val="5B0A12CC"/>
    <w:rsid w:val="5B244E01"/>
    <w:rsid w:val="5B2B24A8"/>
    <w:rsid w:val="5B2C167F"/>
    <w:rsid w:val="5B4C010D"/>
    <w:rsid w:val="5B673AB6"/>
    <w:rsid w:val="5B835D00"/>
    <w:rsid w:val="5BB406F0"/>
    <w:rsid w:val="5BCF5517"/>
    <w:rsid w:val="5BD61BB0"/>
    <w:rsid w:val="5C2A2760"/>
    <w:rsid w:val="5C33344D"/>
    <w:rsid w:val="5C353B57"/>
    <w:rsid w:val="5C38462F"/>
    <w:rsid w:val="5C441A74"/>
    <w:rsid w:val="5C47491A"/>
    <w:rsid w:val="5C5F21C7"/>
    <w:rsid w:val="5CA5043C"/>
    <w:rsid w:val="5CA910DC"/>
    <w:rsid w:val="5CB94636"/>
    <w:rsid w:val="5CC4676D"/>
    <w:rsid w:val="5D0329F7"/>
    <w:rsid w:val="5D293D84"/>
    <w:rsid w:val="5D3662B3"/>
    <w:rsid w:val="5D6A7321"/>
    <w:rsid w:val="5D82193F"/>
    <w:rsid w:val="5DA64068"/>
    <w:rsid w:val="5DBC2E9F"/>
    <w:rsid w:val="5DF262C7"/>
    <w:rsid w:val="5DFB56B0"/>
    <w:rsid w:val="5E006713"/>
    <w:rsid w:val="5E0707E8"/>
    <w:rsid w:val="5E326B7D"/>
    <w:rsid w:val="5E4173F2"/>
    <w:rsid w:val="5E493FE8"/>
    <w:rsid w:val="5E6C6963"/>
    <w:rsid w:val="5EA00D2C"/>
    <w:rsid w:val="5ECB4F8C"/>
    <w:rsid w:val="5ED30E8D"/>
    <w:rsid w:val="5ED5673A"/>
    <w:rsid w:val="5ED57CA3"/>
    <w:rsid w:val="5ED87FD4"/>
    <w:rsid w:val="5EEE5B65"/>
    <w:rsid w:val="5F082B32"/>
    <w:rsid w:val="5F5B21D3"/>
    <w:rsid w:val="5F700EAB"/>
    <w:rsid w:val="5F76621D"/>
    <w:rsid w:val="5FC03B07"/>
    <w:rsid w:val="5FD21DA9"/>
    <w:rsid w:val="600F33B6"/>
    <w:rsid w:val="601E3E49"/>
    <w:rsid w:val="602D199B"/>
    <w:rsid w:val="603802AC"/>
    <w:rsid w:val="603C296A"/>
    <w:rsid w:val="60711F15"/>
    <w:rsid w:val="607169C6"/>
    <w:rsid w:val="607B1C93"/>
    <w:rsid w:val="60866FE9"/>
    <w:rsid w:val="60A42C31"/>
    <w:rsid w:val="60C166EF"/>
    <w:rsid w:val="60EE5A75"/>
    <w:rsid w:val="614E60D8"/>
    <w:rsid w:val="616E7E24"/>
    <w:rsid w:val="61734C5D"/>
    <w:rsid w:val="619C7C5C"/>
    <w:rsid w:val="61E01682"/>
    <w:rsid w:val="61FD59BC"/>
    <w:rsid w:val="621C6E31"/>
    <w:rsid w:val="621D659D"/>
    <w:rsid w:val="623C31ED"/>
    <w:rsid w:val="624354B5"/>
    <w:rsid w:val="62585A7C"/>
    <w:rsid w:val="626C1757"/>
    <w:rsid w:val="62AF39BF"/>
    <w:rsid w:val="62B65BC3"/>
    <w:rsid w:val="62EE71CA"/>
    <w:rsid w:val="63403FBC"/>
    <w:rsid w:val="6350137D"/>
    <w:rsid w:val="63624336"/>
    <w:rsid w:val="63963F15"/>
    <w:rsid w:val="63BC0D27"/>
    <w:rsid w:val="63C37C63"/>
    <w:rsid w:val="63C811DC"/>
    <w:rsid w:val="63D43630"/>
    <w:rsid w:val="63E241AA"/>
    <w:rsid w:val="63F0428F"/>
    <w:rsid w:val="64083C3F"/>
    <w:rsid w:val="64117515"/>
    <w:rsid w:val="64183574"/>
    <w:rsid w:val="64300CED"/>
    <w:rsid w:val="64857D05"/>
    <w:rsid w:val="649474DD"/>
    <w:rsid w:val="64B77BC7"/>
    <w:rsid w:val="64D375A3"/>
    <w:rsid w:val="64FC3B9A"/>
    <w:rsid w:val="653D1B90"/>
    <w:rsid w:val="655D015B"/>
    <w:rsid w:val="65901B77"/>
    <w:rsid w:val="659B7170"/>
    <w:rsid w:val="65DA6397"/>
    <w:rsid w:val="65E5782A"/>
    <w:rsid w:val="65FD47A4"/>
    <w:rsid w:val="66052F39"/>
    <w:rsid w:val="660A0B49"/>
    <w:rsid w:val="66635961"/>
    <w:rsid w:val="666B47EA"/>
    <w:rsid w:val="6677718C"/>
    <w:rsid w:val="668A4D5C"/>
    <w:rsid w:val="66952ECC"/>
    <w:rsid w:val="669E0F91"/>
    <w:rsid w:val="66A30D0A"/>
    <w:rsid w:val="66D9725C"/>
    <w:rsid w:val="67045800"/>
    <w:rsid w:val="670D5158"/>
    <w:rsid w:val="671958AB"/>
    <w:rsid w:val="671D52AD"/>
    <w:rsid w:val="67303947"/>
    <w:rsid w:val="67424E02"/>
    <w:rsid w:val="674C6803"/>
    <w:rsid w:val="675237C7"/>
    <w:rsid w:val="67540D81"/>
    <w:rsid w:val="67855FB8"/>
    <w:rsid w:val="678633BA"/>
    <w:rsid w:val="679163B6"/>
    <w:rsid w:val="67C1666E"/>
    <w:rsid w:val="67E81E4D"/>
    <w:rsid w:val="682F280A"/>
    <w:rsid w:val="68552E02"/>
    <w:rsid w:val="687F6274"/>
    <w:rsid w:val="68D96000"/>
    <w:rsid w:val="68EC2B74"/>
    <w:rsid w:val="69054339"/>
    <w:rsid w:val="690D6941"/>
    <w:rsid w:val="691D6BEF"/>
    <w:rsid w:val="692270F9"/>
    <w:rsid w:val="69265655"/>
    <w:rsid w:val="69333C1F"/>
    <w:rsid w:val="693C3AD3"/>
    <w:rsid w:val="69E85B59"/>
    <w:rsid w:val="69F148BD"/>
    <w:rsid w:val="6A083C8B"/>
    <w:rsid w:val="6A310ACA"/>
    <w:rsid w:val="6A475C3C"/>
    <w:rsid w:val="6A5247FE"/>
    <w:rsid w:val="6A762D68"/>
    <w:rsid w:val="6A7F2149"/>
    <w:rsid w:val="6ACB2D3F"/>
    <w:rsid w:val="6AF26B3F"/>
    <w:rsid w:val="6B072B94"/>
    <w:rsid w:val="6B7226E0"/>
    <w:rsid w:val="6B7227BC"/>
    <w:rsid w:val="6B7554DF"/>
    <w:rsid w:val="6BA81731"/>
    <w:rsid w:val="6BBC39AC"/>
    <w:rsid w:val="6BC05C7A"/>
    <w:rsid w:val="6BDA195D"/>
    <w:rsid w:val="6BDA2004"/>
    <w:rsid w:val="6BF37332"/>
    <w:rsid w:val="6BF863D7"/>
    <w:rsid w:val="6C800049"/>
    <w:rsid w:val="6CC87405"/>
    <w:rsid w:val="6CD21729"/>
    <w:rsid w:val="6CD8269F"/>
    <w:rsid w:val="6CDB6E8A"/>
    <w:rsid w:val="6D311F7D"/>
    <w:rsid w:val="6D330653"/>
    <w:rsid w:val="6D39117E"/>
    <w:rsid w:val="6D556E3C"/>
    <w:rsid w:val="6D59581D"/>
    <w:rsid w:val="6D5D2B62"/>
    <w:rsid w:val="6D6745F5"/>
    <w:rsid w:val="6D8117F8"/>
    <w:rsid w:val="6DA24BAA"/>
    <w:rsid w:val="6DB56881"/>
    <w:rsid w:val="6DBE5BA3"/>
    <w:rsid w:val="6DDD7632"/>
    <w:rsid w:val="6E0923D8"/>
    <w:rsid w:val="6E482931"/>
    <w:rsid w:val="6E6648EE"/>
    <w:rsid w:val="6E7243FD"/>
    <w:rsid w:val="6E8610ED"/>
    <w:rsid w:val="6EF528DD"/>
    <w:rsid w:val="6F2B261F"/>
    <w:rsid w:val="6F41302D"/>
    <w:rsid w:val="6F42354B"/>
    <w:rsid w:val="6F610C1F"/>
    <w:rsid w:val="6F767D3E"/>
    <w:rsid w:val="6F9D5714"/>
    <w:rsid w:val="6FBC4A26"/>
    <w:rsid w:val="6FCE7735"/>
    <w:rsid w:val="6FD263D0"/>
    <w:rsid w:val="6FDC0C5D"/>
    <w:rsid w:val="6FE16D2C"/>
    <w:rsid w:val="6FE264A0"/>
    <w:rsid w:val="7036571F"/>
    <w:rsid w:val="705A50F3"/>
    <w:rsid w:val="70765B1C"/>
    <w:rsid w:val="707B198B"/>
    <w:rsid w:val="707E651C"/>
    <w:rsid w:val="708B7819"/>
    <w:rsid w:val="70BB6549"/>
    <w:rsid w:val="70C8462E"/>
    <w:rsid w:val="70D9311B"/>
    <w:rsid w:val="71140069"/>
    <w:rsid w:val="71290211"/>
    <w:rsid w:val="71593CED"/>
    <w:rsid w:val="71762C26"/>
    <w:rsid w:val="719426FE"/>
    <w:rsid w:val="71A0693C"/>
    <w:rsid w:val="71BA427F"/>
    <w:rsid w:val="71CC23C9"/>
    <w:rsid w:val="71CD6690"/>
    <w:rsid w:val="71DD152F"/>
    <w:rsid w:val="71E068B0"/>
    <w:rsid w:val="71E36583"/>
    <w:rsid w:val="71EC182A"/>
    <w:rsid w:val="72080DF0"/>
    <w:rsid w:val="722331A5"/>
    <w:rsid w:val="72295052"/>
    <w:rsid w:val="724B7A6D"/>
    <w:rsid w:val="725C1317"/>
    <w:rsid w:val="72C429AD"/>
    <w:rsid w:val="72D73503"/>
    <w:rsid w:val="73007C3A"/>
    <w:rsid w:val="730D1CCA"/>
    <w:rsid w:val="73281380"/>
    <w:rsid w:val="73293018"/>
    <w:rsid w:val="735143BA"/>
    <w:rsid w:val="736425A4"/>
    <w:rsid w:val="737F23C2"/>
    <w:rsid w:val="73814F04"/>
    <w:rsid w:val="738B2CC1"/>
    <w:rsid w:val="73956BEF"/>
    <w:rsid w:val="73CD4ED4"/>
    <w:rsid w:val="73EF6ABA"/>
    <w:rsid w:val="73F11447"/>
    <w:rsid w:val="73F54682"/>
    <w:rsid w:val="741572BE"/>
    <w:rsid w:val="741E4D72"/>
    <w:rsid w:val="743254BC"/>
    <w:rsid w:val="744637BC"/>
    <w:rsid w:val="74767ADE"/>
    <w:rsid w:val="747E5633"/>
    <w:rsid w:val="748A2B38"/>
    <w:rsid w:val="74C97E89"/>
    <w:rsid w:val="74F5031E"/>
    <w:rsid w:val="753D2E6F"/>
    <w:rsid w:val="754444B6"/>
    <w:rsid w:val="758449E9"/>
    <w:rsid w:val="758E4672"/>
    <w:rsid w:val="75B66ADA"/>
    <w:rsid w:val="75D20A3E"/>
    <w:rsid w:val="75D73501"/>
    <w:rsid w:val="762C3780"/>
    <w:rsid w:val="764D6A4B"/>
    <w:rsid w:val="767E397C"/>
    <w:rsid w:val="768B2013"/>
    <w:rsid w:val="769F05AF"/>
    <w:rsid w:val="76EA5389"/>
    <w:rsid w:val="76F07A22"/>
    <w:rsid w:val="772103AE"/>
    <w:rsid w:val="773D41E7"/>
    <w:rsid w:val="7765236E"/>
    <w:rsid w:val="77775D89"/>
    <w:rsid w:val="77865594"/>
    <w:rsid w:val="779C20FF"/>
    <w:rsid w:val="779C7574"/>
    <w:rsid w:val="77A226B4"/>
    <w:rsid w:val="77A7245B"/>
    <w:rsid w:val="780C2EA6"/>
    <w:rsid w:val="78166FF5"/>
    <w:rsid w:val="781C68DB"/>
    <w:rsid w:val="785D0AD4"/>
    <w:rsid w:val="78674783"/>
    <w:rsid w:val="786848AD"/>
    <w:rsid w:val="78685C72"/>
    <w:rsid w:val="78A52233"/>
    <w:rsid w:val="78B673FD"/>
    <w:rsid w:val="78FE3DD4"/>
    <w:rsid w:val="791315C3"/>
    <w:rsid w:val="79311BB8"/>
    <w:rsid w:val="79447889"/>
    <w:rsid w:val="7949458C"/>
    <w:rsid w:val="79606AA8"/>
    <w:rsid w:val="7966655A"/>
    <w:rsid w:val="799C62EB"/>
    <w:rsid w:val="79AB4A88"/>
    <w:rsid w:val="79AF1C2F"/>
    <w:rsid w:val="79C74800"/>
    <w:rsid w:val="79DA7170"/>
    <w:rsid w:val="7A1C7E11"/>
    <w:rsid w:val="7A2A3030"/>
    <w:rsid w:val="7A396538"/>
    <w:rsid w:val="7A6016BC"/>
    <w:rsid w:val="7A952101"/>
    <w:rsid w:val="7AA97D3A"/>
    <w:rsid w:val="7ABB2A50"/>
    <w:rsid w:val="7AD0558D"/>
    <w:rsid w:val="7B1623D5"/>
    <w:rsid w:val="7B307F57"/>
    <w:rsid w:val="7B3F19BB"/>
    <w:rsid w:val="7B46197D"/>
    <w:rsid w:val="7B516C2E"/>
    <w:rsid w:val="7B663479"/>
    <w:rsid w:val="7B690757"/>
    <w:rsid w:val="7BB75966"/>
    <w:rsid w:val="7C194312"/>
    <w:rsid w:val="7C1973BE"/>
    <w:rsid w:val="7C1E5415"/>
    <w:rsid w:val="7C247CA2"/>
    <w:rsid w:val="7C2B36FC"/>
    <w:rsid w:val="7C4618BD"/>
    <w:rsid w:val="7C5400E1"/>
    <w:rsid w:val="7C74092F"/>
    <w:rsid w:val="7C824FF2"/>
    <w:rsid w:val="7C99383D"/>
    <w:rsid w:val="7CF3413E"/>
    <w:rsid w:val="7D336427"/>
    <w:rsid w:val="7D4E40A8"/>
    <w:rsid w:val="7D61609A"/>
    <w:rsid w:val="7D7D2BE0"/>
    <w:rsid w:val="7DA94EE7"/>
    <w:rsid w:val="7DC66335"/>
    <w:rsid w:val="7E213C36"/>
    <w:rsid w:val="7E3E1F98"/>
    <w:rsid w:val="7E3F68A0"/>
    <w:rsid w:val="7E4075FF"/>
    <w:rsid w:val="7E576F8D"/>
    <w:rsid w:val="7E600DC3"/>
    <w:rsid w:val="7E694279"/>
    <w:rsid w:val="7E765D97"/>
    <w:rsid w:val="7E77229F"/>
    <w:rsid w:val="7E7E700C"/>
    <w:rsid w:val="7EA50B70"/>
    <w:rsid w:val="7EB97C47"/>
    <w:rsid w:val="7EC47289"/>
    <w:rsid w:val="7EEB5927"/>
    <w:rsid w:val="7EEF0E7A"/>
    <w:rsid w:val="7EFD0989"/>
    <w:rsid w:val="7F0251EE"/>
    <w:rsid w:val="7F1430D0"/>
    <w:rsid w:val="7F4436EB"/>
    <w:rsid w:val="7F5C31CD"/>
    <w:rsid w:val="7F6B5095"/>
    <w:rsid w:val="7F737744"/>
    <w:rsid w:val="7FA147C6"/>
    <w:rsid w:val="7FC17032"/>
    <w:rsid w:val="7FE50115"/>
    <w:rsid w:val="7FEE66E4"/>
    <w:rsid w:val="7FEF0C9A"/>
    <w:rsid w:val="7FF96F48"/>
    <w:rsid w:val="FFE22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2"/>
    <w:qFormat/>
    <w:uiPriority w:val="9"/>
    <w:pPr>
      <w:keepNext/>
      <w:keepLines/>
      <w:spacing w:before="340" w:after="330" w:line="578" w:lineRule="auto"/>
      <w:outlineLvl w:val="0"/>
    </w:pPr>
    <w:rPr>
      <w:rFonts w:ascii="Times New Roman" w:hAnsi="Times New Roman" w:eastAsia="宋体" w:cs="Times New Roman"/>
      <w:b/>
      <w:bCs/>
      <w:kern w:val="44"/>
      <w:sz w:val="44"/>
      <w:szCs w:val="44"/>
      <w:lang w:val="zh-CN"/>
    </w:rPr>
  </w:style>
  <w:style w:type="paragraph" w:styleId="3">
    <w:name w:val="heading 2"/>
    <w:basedOn w:val="1"/>
    <w:next w:val="1"/>
    <w:link w:val="44"/>
    <w:qFormat/>
    <w:uiPriority w:val="9"/>
    <w:pPr>
      <w:keepNext/>
      <w:keepLines/>
      <w:spacing w:before="260" w:after="260" w:line="416" w:lineRule="auto"/>
      <w:outlineLvl w:val="1"/>
    </w:pPr>
    <w:rPr>
      <w:rFonts w:ascii="Cambria" w:hAnsi="Cambria" w:eastAsia="宋体" w:cs="Times New Roman"/>
      <w:b/>
      <w:bCs/>
      <w:sz w:val="32"/>
      <w:szCs w:val="32"/>
      <w:lang w:val="zh-CN"/>
    </w:rPr>
  </w:style>
  <w:style w:type="paragraph" w:styleId="4">
    <w:name w:val="heading 3"/>
    <w:basedOn w:val="1"/>
    <w:next w:val="1"/>
    <w:link w:val="43"/>
    <w:qFormat/>
    <w:uiPriority w:val="9"/>
    <w:pPr>
      <w:keepNext/>
      <w:keepLines/>
      <w:spacing w:before="260" w:after="260" w:line="416" w:lineRule="auto"/>
      <w:outlineLvl w:val="2"/>
    </w:pPr>
    <w:rPr>
      <w:rFonts w:ascii="Times New Roman" w:hAnsi="Times New Roman" w:eastAsia="宋体" w:cs="Times New Roman"/>
      <w:b/>
      <w:bCs/>
      <w:sz w:val="32"/>
      <w:szCs w:val="32"/>
      <w:lang w:val="zh-CN"/>
    </w:rPr>
  </w:style>
  <w:style w:type="paragraph" w:styleId="5">
    <w:name w:val="heading 4"/>
    <w:basedOn w:val="1"/>
    <w:next w:val="1"/>
    <w:qFormat/>
    <w:uiPriority w:val="0"/>
    <w:pPr>
      <w:keepNext/>
      <w:keepLines/>
      <w:widowControl/>
      <w:spacing w:line="360" w:lineRule="auto"/>
      <w:jc w:val="left"/>
      <w:outlineLvl w:val="3"/>
    </w:pPr>
    <w:rPr>
      <w:rFonts w:ascii="Arial" w:hAnsi="Arial" w:eastAsia="黑体"/>
      <w:kern w:val="0"/>
      <w:sz w:val="28"/>
      <w:szCs w:val="20"/>
    </w:rPr>
  </w:style>
  <w:style w:type="paragraph" w:styleId="6">
    <w:name w:val="heading 5"/>
    <w:basedOn w:val="1"/>
    <w:next w:val="7"/>
    <w:link w:val="51"/>
    <w:qFormat/>
    <w:uiPriority w:val="9"/>
    <w:pPr>
      <w:keepNext/>
      <w:keepLines/>
      <w:spacing w:before="280" w:after="290" w:line="376" w:lineRule="auto"/>
      <w:outlineLvl w:val="4"/>
    </w:pPr>
    <w:rPr>
      <w:rFonts w:ascii="Times New Roman" w:hAnsi="Times New Roman" w:eastAsia="宋体" w:cs="Times New Roman"/>
      <w:b/>
      <w:bCs/>
      <w:sz w:val="28"/>
      <w:szCs w:val="28"/>
      <w:lang w:val="zh-CN"/>
    </w:rPr>
  </w:style>
  <w:style w:type="paragraph" w:styleId="8">
    <w:name w:val="heading 8"/>
    <w:basedOn w:val="1"/>
    <w:next w:val="1"/>
    <w:link w:val="52"/>
    <w:qFormat/>
    <w:uiPriority w:val="9"/>
    <w:pPr>
      <w:keepNext/>
      <w:keepLines/>
      <w:spacing w:before="240" w:after="64" w:line="320" w:lineRule="auto"/>
      <w:outlineLvl w:val="7"/>
    </w:pPr>
    <w:rPr>
      <w:rFonts w:ascii="等线 Light" w:hAnsi="等线 Light" w:eastAsia="等线 Light" w:cs="Times New Roman"/>
      <w:sz w:val="24"/>
      <w:szCs w:val="24"/>
      <w:lang w:val="zh-CN"/>
    </w:rPr>
  </w:style>
  <w:style w:type="paragraph" w:styleId="9">
    <w:name w:val="heading 9"/>
    <w:basedOn w:val="1"/>
    <w:next w:val="1"/>
    <w:link w:val="53"/>
    <w:qFormat/>
    <w:uiPriority w:val="9"/>
    <w:pPr>
      <w:keepNext/>
      <w:keepLines/>
      <w:spacing w:before="240" w:after="64" w:line="320" w:lineRule="auto"/>
      <w:outlineLvl w:val="8"/>
    </w:pPr>
    <w:rPr>
      <w:rFonts w:ascii="Cambria" w:hAnsi="Cambria" w:eastAsia="宋体" w:cs="Times New Roman"/>
      <w:szCs w:val="21"/>
      <w:lang w:val="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rFonts w:ascii="Times New Roman" w:hAnsi="Times New Roman" w:eastAsia="宋体" w:cs="Times New Roman"/>
      <w:szCs w:val="20"/>
    </w:rPr>
  </w:style>
  <w:style w:type="paragraph" w:styleId="10">
    <w:name w:val="index 8"/>
    <w:basedOn w:val="1"/>
    <w:next w:val="1"/>
    <w:qFormat/>
    <w:uiPriority w:val="0"/>
    <w:pPr>
      <w:ind w:left="2940"/>
    </w:pPr>
  </w:style>
  <w:style w:type="paragraph" w:styleId="11">
    <w:name w:val="List Number"/>
    <w:basedOn w:val="1"/>
    <w:qFormat/>
    <w:uiPriority w:val="0"/>
    <w:pPr>
      <w:widowControl/>
      <w:tabs>
        <w:tab w:val="left" w:pos="454"/>
        <w:tab w:val="left" w:pos="720"/>
        <w:tab w:val="left" w:pos="840"/>
      </w:tabs>
      <w:spacing w:after="50" w:afterLines="50"/>
      <w:ind w:left="454" w:hanging="284"/>
      <w:jc w:val="left"/>
    </w:pPr>
    <w:rPr>
      <w:rFonts w:ascii="Times New Roman" w:hAnsi="Times New Roman" w:eastAsia="宋体" w:cs="Times New Roman"/>
      <w:kern w:val="0"/>
      <w:sz w:val="24"/>
      <w:szCs w:val="20"/>
    </w:rPr>
  </w:style>
  <w:style w:type="paragraph" w:styleId="12">
    <w:name w:val="annotation text"/>
    <w:basedOn w:val="1"/>
    <w:link w:val="55"/>
    <w:qFormat/>
    <w:uiPriority w:val="0"/>
    <w:pPr>
      <w:jc w:val="left"/>
    </w:pPr>
    <w:rPr>
      <w:rFonts w:ascii="Times New Roman" w:hAnsi="Times New Roman" w:eastAsia="宋体" w:cs="Times New Roman"/>
      <w:szCs w:val="24"/>
      <w:lang w:val="zh-CN"/>
    </w:rPr>
  </w:style>
  <w:style w:type="paragraph" w:styleId="13">
    <w:name w:val="Body Text 3"/>
    <w:basedOn w:val="1"/>
    <w:link w:val="57"/>
    <w:unhideWhenUsed/>
    <w:qFormat/>
    <w:uiPriority w:val="99"/>
    <w:pPr>
      <w:spacing w:after="120"/>
    </w:pPr>
    <w:rPr>
      <w:rFonts w:ascii="Times New Roman" w:hAnsi="Times New Roman" w:eastAsia="宋体" w:cs="Times New Roman"/>
      <w:sz w:val="16"/>
      <w:szCs w:val="16"/>
      <w:lang w:val="zh-CN"/>
    </w:rPr>
  </w:style>
  <w:style w:type="paragraph" w:styleId="14">
    <w:name w:val="Body Text"/>
    <w:basedOn w:val="1"/>
    <w:link w:val="59"/>
    <w:unhideWhenUsed/>
    <w:qFormat/>
    <w:uiPriority w:val="0"/>
    <w:pPr>
      <w:spacing w:after="120"/>
    </w:pPr>
    <w:rPr>
      <w:rFonts w:ascii="Times New Roman" w:hAnsi="Times New Roman" w:eastAsia="宋体" w:cs="Times New Roman"/>
      <w:szCs w:val="24"/>
      <w:lang w:val="zh-CN"/>
    </w:rPr>
  </w:style>
  <w:style w:type="paragraph" w:styleId="15">
    <w:name w:val="Body Text Indent"/>
    <w:basedOn w:val="1"/>
    <w:link w:val="61"/>
    <w:qFormat/>
    <w:uiPriority w:val="0"/>
    <w:pPr>
      <w:ind w:firstLine="830" w:firstLineChars="352"/>
    </w:pPr>
    <w:rPr>
      <w:rFonts w:ascii="仿宋_GB2312" w:hAnsi="Times New Roman" w:eastAsia="仿宋_GB2312" w:cs="Times New Roman"/>
      <w:kern w:val="0"/>
      <w:sz w:val="32"/>
      <w:szCs w:val="20"/>
      <w:lang w:val="zh-CN"/>
    </w:rPr>
  </w:style>
  <w:style w:type="paragraph" w:styleId="16">
    <w:name w:val="List 2"/>
    <w:basedOn w:val="1"/>
    <w:unhideWhenUsed/>
    <w:qFormat/>
    <w:uiPriority w:val="99"/>
    <w:pPr>
      <w:ind w:left="100" w:leftChars="200" w:hanging="200" w:hangingChars="200"/>
      <w:contextualSpacing/>
    </w:pPr>
    <w:rPr>
      <w:rFonts w:ascii="Times New Roman" w:hAnsi="Times New Roman" w:eastAsia="宋体" w:cs="Times New Roman"/>
      <w:szCs w:val="24"/>
    </w:rPr>
  </w:style>
  <w:style w:type="paragraph" w:styleId="17">
    <w:name w:val="toc 3"/>
    <w:basedOn w:val="1"/>
    <w:next w:val="1"/>
    <w:semiHidden/>
    <w:unhideWhenUsed/>
    <w:qFormat/>
    <w:uiPriority w:val="39"/>
    <w:pPr>
      <w:ind w:left="840" w:leftChars="400"/>
    </w:pPr>
  </w:style>
  <w:style w:type="paragraph" w:styleId="18">
    <w:name w:val="Plain Text"/>
    <w:basedOn w:val="1"/>
    <w:next w:val="19"/>
    <w:link w:val="65"/>
    <w:qFormat/>
    <w:uiPriority w:val="0"/>
    <w:rPr>
      <w:rFonts w:ascii="宋体" w:hAnsi="Courier New" w:eastAsia="宋体" w:cs="Times New Roman"/>
      <w:kern w:val="0"/>
      <w:sz w:val="20"/>
      <w:szCs w:val="21"/>
      <w:lang w:val="zh-CN"/>
    </w:rPr>
  </w:style>
  <w:style w:type="paragraph" w:customStyle="1" w:styleId="19">
    <w:name w:val="TOC 标题2"/>
    <w:next w:val="1"/>
    <w:qFormat/>
    <w:uiPriority w:val="99"/>
    <w:pPr>
      <w:wordWrap w:val="0"/>
    </w:pPr>
    <w:rPr>
      <w:rFonts w:ascii="Calibri" w:hAnsi="Calibri" w:eastAsia="宋体" w:cs="Times New Roman"/>
      <w:sz w:val="32"/>
      <w:lang w:val="en-US" w:eastAsia="zh-CN" w:bidi="ar-SA"/>
    </w:rPr>
  </w:style>
  <w:style w:type="paragraph" w:styleId="20">
    <w:name w:val="Date"/>
    <w:basedOn w:val="1"/>
    <w:next w:val="1"/>
    <w:link w:val="67"/>
    <w:unhideWhenUsed/>
    <w:qFormat/>
    <w:uiPriority w:val="99"/>
    <w:pPr>
      <w:ind w:left="100" w:leftChars="2500"/>
    </w:pPr>
    <w:rPr>
      <w:rFonts w:ascii="Times New Roman" w:hAnsi="Times New Roman" w:eastAsia="宋体" w:cs="Times New Roman"/>
      <w:szCs w:val="24"/>
      <w:lang w:val="zh-CN"/>
    </w:rPr>
  </w:style>
  <w:style w:type="paragraph" w:styleId="21">
    <w:name w:val="Balloon Text"/>
    <w:basedOn w:val="1"/>
    <w:link w:val="103"/>
    <w:semiHidden/>
    <w:qFormat/>
    <w:uiPriority w:val="0"/>
    <w:rPr>
      <w:rFonts w:ascii="Times New Roman" w:hAnsi="Times New Roman" w:eastAsia="宋体" w:cs="Times New Roman"/>
      <w:sz w:val="18"/>
      <w:szCs w:val="18"/>
    </w:rPr>
  </w:style>
  <w:style w:type="paragraph" w:styleId="22">
    <w:name w:val="footer"/>
    <w:basedOn w:val="1"/>
    <w:next w:val="1"/>
    <w:link w:val="70"/>
    <w:unhideWhenUsed/>
    <w:qFormat/>
    <w:uiPriority w:val="0"/>
    <w:pPr>
      <w:tabs>
        <w:tab w:val="center" w:pos="4153"/>
        <w:tab w:val="right" w:pos="8306"/>
      </w:tabs>
      <w:snapToGrid w:val="0"/>
      <w:jc w:val="left"/>
    </w:pPr>
    <w:rPr>
      <w:rFonts w:ascii="Times New Roman" w:hAnsi="Times New Roman" w:eastAsia="宋体" w:cs="Times New Roman"/>
      <w:kern w:val="0"/>
      <w:sz w:val="18"/>
      <w:szCs w:val="18"/>
      <w:lang w:val="zh-CN"/>
    </w:rPr>
  </w:style>
  <w:style w:type="paragraph" w:styleId="23">
    <w:name w:val="header"/>
    <w:basedOn w:val="1"/>
    <w:link w:val="72"/>
    <w:unhideWhenUsed/>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lang w:val="zh-CN"/>
    </w:rPr>
  </w:style>
  <w:style w:type="paragraph" w:styleId="24">
    <w:name w:val="toc 1"/>
    <w:basedOn w:val="1"/>
    <w:next w:val="1"/>
    <w:semiHidden/>
    <w:unhideWhenUsed/>
    <w:qFormat/>
    <w:uiPriority w:val="39"/>
  </w:style>
  <w:style w:type="paragraph" w:styleId="25">
    <w:name w:val="List"/>
    <w:basedOn w:val="1"/>
    <w:unhideWhenUsed/>
    <w:qFormat/>
    <w:uiPriority w:val="99"/>
    <w:pPr>
      <w:ind w:left="200" w:hanging="200" w:hangingChars="200"/>
      <w:contextualSpacing/>
    </w:pPr>
    <w:rPr>
      <w:rFonts w:ascii="Times New Roman" w:hAnsi="Times New Roman" w:eastAsia="宋体" w:cs="Times New Roman"/>
      <w:szCs w:val="24"/>
    </w:rPr>
  </w:style>
  <w:style w:type="paragraph" w:styleId="26">
    <w:name w:val="toc 2"/>
    <w:basedOn w:val="1"/>
    <w:next w:val="1"/>
    <w:semiHidden/>
    <w:unhideWhenUsed/>
    <w:qFormat/>
    <w:uiPriority w:val="39"/>
    <w:pPr>
      <w:ind w:left="420" w:leftChars="200"/>
    </w:pPr>
  </w:style>
  <w:style w:type="paragraph" w:styleId="27">
    <w:name w:val="Normal (Web)"/>
    <w:basedOn w:val="1"/>
    <w:unhideWhenUsed/>
    <w:qFormat/>
    <w:uiPriority w:val="99"/>
    <w:rPr>
      <w:rFonts w:ascii="Calibri" w:hAnsi="Calibri" w:eastAsia="宋体" w:cs="Times New Roman"/>
      <w:kern w:val="0"/>
      <w:sz w:val="24"/>
      <w:szCs w:val="24"/>
    </w:rPr>
  </w:style>
  <w:style w:type="paragraph" w:styleId="28">
    <w:name w:val="Title"/>
    <w:basedOn w:val="1"/>
    <w:next w:val="1"/>
    <w:link w:val="74"/>
    <w:qFormat/>
    <w:uiPriority w:val="10"/>
    <w:pPr>
      <w:widowControl/>
      <w:overflowPunct w:val="0"/>
      <w:autoSpaceDE w:val="0"/>
      <w:autoSpaceDN w:val="0"/>
      <w:adjustRightInd w:val="0"/>
      <w:jc w:val="center"/>
      <w:textAlignment w:val="baseline"/>
    </w:pPr>
    <w:rPr>
      <w:rFonts w:ascii="Cambria" w:hAnsi="Cambria" w:eastAsia="宋体" w:cs="Times New Roman"/>
      <w:b/>
      <w:bCs/>
      <w:sz w:val="32"/>
      <w:szCs w:val="32"/>
      <w:lang w:val="zh-CN"/>
    </w:rPr>
  </w:style>
  <w:style w:type="paragraph" w:styleId="29">
    <w:name w:val="annotation subject"/>
    <w:basedOn w:val="12"/>
    <w:next w:val="1"/>
    <w:link w:val="76"/>
    <w:qFormat/>
    <w:uiPriority w:val="99"/>
    <w:rPr>
      <w:b/>
      <w:bCs/>
    </w:rPr>
  </w:style>
  <w:style w:type="paragraph" w:styleId="30">
    <w:name w:val="Body Text First Indent"/>
    <w:basedOn w:val="14"/>
    <w:qFormat/>
    <w:uiPriority w:val="0"/>
    <w:pPr>
      <w:ind w:firstLine="420" w:firstLineChars="100"/>
    </w:pPr>
  </w:style>
  <w:style w:type="paragraph" w:styleId="31">
    <w:name w:val="Body Text First Indent 2"/>
    <w:basedOn w:val="15"/>
    <w:link w:val="112"/>
    <w:semiHidden/>
    <w:unhideWhenUsed/>
    <w:qFormat/>
    <w:uiPriority w:val="99"/>
    <w:pPr>
      <w:spacing w:after="120"/>
      <w:ind w:left="420" w:leftChars="200" w:firstLine="420" w:firstLineChars="200"/>
    </w:pPr>
    <w:rPr>
      <w:rFonts w:ascii="Times New Roman" w:eastAsia="宋体"/>
      <w:szCs w:val="24"/>
    </w:rPr>
  </w:style>
  <w:style w:type="table" w:styleId="33">
    <w:name w:val="Table Grid"/>
    <w:basedOn w:val="3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5">
    <w:name w:val="Strong"/>
    <w:basedOn w:val="34"/>
    <w:qFormat/>
    <w:uiPriority w:val="0"/>
    <w:rPr>
      <w:b/>
    </w:rPr>
  </w:style>
  <w:style w:type="character" w:styleId="36">
    <w:name w:val="endnote reference"/>
    <w:unhideWhenUsed/>
    <w:qFormat/>
    <w:uiPriority w:val="99"/>
    <w:rPr>
      <w:vertAlign w:val="superscript"/>
    </w:rPr>
  </w:style>
  <w:style w:type="character" w:styleId="37">
    <w:name w:val="page number"/>
    <w:qFormat/>
    <w:uiPriority w:val="0"/>
    <w:rPr>
      <w:rFonts w:ascii="Arial" w:hAnsi="Arial" w:eastAsia="黑体" w:cs="Arial"/>
      <w:snapToGrid w:val="0"/>
      <w:kern w:val="0"/>
      <w:szCs w:val="21"/>
    </w:rPr>
  </w:style>
  <w:style w:type="character" w:styleId="38">
    <w:name w:val="FollowedHyperlink"/>
    <w:basedOn w:val="34"/>
    <w:unhideWhenUsed/>
    <w:qFormat/>
    <w:uiPriority w:val="99"/>
    <w:rPr>
      <w:color w:val="800080"/>
      <w:u w:val="single"/>
    </w:rPr>
  </w:style>
  <w:style w:type="character" w:styleId="39">
    <w:name w:val="Emphasis"/>
    <w:basedOn w:val="34"/>
    <w:qFormat/>
    <w:uiPriority w:val="20"/>
    <w:rPr>
      <w:i/>
    </w:rPr>
  </w:style>
  <w:style w:type="character" w:styleId="40">
    <w:name w:val="Hyperlink"/>
    <w:unhideWhenUsed/>
    <w:qFormat/>
    <w:uiPriority w:val="99"/>
    <w:rPr>
      <w:color w:val="0000FF"/>
      <w:u w:val="single"/>
    </w:rPr>
  </w:style>
  <w:style w:type="character" w:styleId="41">
    <w:name w:val="annotation reference"/>
    <w:qFormat/>
    <w:uiPriority w:val="99"/>
    <w:rPr>
      <w:sz w:val="21"/>
      <w:szCs w:val="21"/>
    </w:rPr>
  </w:style>
  <w:style w:type="character" w:customStyle="1" w:styleId="42">
    <w:name w:val="标题 1 字符"/>
    <w:link w:val="2"/>
    <w:qFormat/>
    <w:uiPriority w:val="9"/>
    <w:rPr>
      <w:rFonts w:ascii="Times New Roman" w:hAnsi="Times New Roman" w:eastAsia="宋体" w:cs="Times New Roman"/>
      <w:b/>
      <w:bCs/>
      <w:kern w:val="44"/>
      <w:sz w:val="44"/>
      <w:szCs w:val="44"/>
      <w:lang w:val="zh-CN" w:eastAsia="zh-CN"/>
    </w:rPr>
  </w:style>
  <w:style w:type="character" w:customStyle="1" w:styleId="43">
    <w:name w:val="标题 3 字符"/>
    <w:link w:val="4"/>
    <w:qFormat/>
    <w:uiPriority w:val="9"/>
    <w:rPr>
      <w:rFonts w:ascii="Times New Roman" w:hAnsi="Times New Roman" w:eastAsia="宋体" w:cs="Times New Roman"/>
      <w:b/>
      <w:bCs/>
      <w:sz w:val="32"/>
      <w:szCs w:val="32"/>
      <w:lang w:val="zh-CN" w:eastAsia="zh-CN"/>
    </w:rPr>
  </w:style>
  <w:style w:type="character" w:customStyle="1" w:styleId="44">
    <w:name w:val="标题 2 字符"/>
    <w:link w:val="3"/>
    <w:qFormat/>
    <w:uiPriority w:val="9"/>
    <w:rPr>
      <w:rFonts w:ascii="Cambria" w:hAnsi="Cambria" w:eastAsia="宋体" w:cs="Times New Roman"/>
      <w:b/>
      <w:bCs/>
      <w:sz w:val="32"/>
      <w:szCs w:val="32"/>
      <w:lang w:val="zh-CN" w:eastAsia="zh-CN"/>
    </w:rPr>
  </w:style>
  <w:style w:type="character" w:customStyle="1" w:styleId="45">
    <w:name w:val="标题 1 Char"/>
    <w:basedOn w:val="34"/>
    <w:qFormat/>
    <w:uiPriority w:val="9"/>
    <w:rPr>
      <w:b/>
      <w:bCs/>
      <w:kern w:val="44"/>
      <w:sz w:val="44"/>
      <w:szCs w:val="44"/>
    </w:rPr>
  </w:style>
  <w:style w:type="character" w:customStyle="1" w:styleId="46">
    <w:name w:val="标题 2 Char"/>
    <w:basedOn w:val="34"/>
    <w:qFormat/>
    <w:uiPriority w:val="9"/>
    <w:rPr>
      <w:rFonts w:asciiTheme="majorHAnsi" w:hAnsiTheme="majorHAnsi" w:eastAsiaTheme="majorEastAsia" w:cstheme="majorBidi"/>
      <w:b/>
      <w:bCs/>
      <w:sz w:val="32"/>
      <w:szCs w:val="32"/>
    </w:rPr>
  </w:style>
  <w:style w:type="character" w:customStyle="1" w:styleId="47">
    <w:name w:val="标题 3 Char"/>
    <w:basedOn w:val="34"/>
    <w:qFormat/>
    <w:uiPriority w:val="9"/>
    <w:rPr>
      <w:b/>
      <w:bCs/>
      <w:sz w:val="32"/>
      <w:szCs w:val="32"/>
    </w:rPr>
  </w:style>
  <w:style w:type="character" w:customStyle="1" w:styleId="48">
    <w:name w:val="标题 5 Char"/>
    <w:basedOn w:val="34"/>
    <w:qFormat/>
    <w:uiPriority w:val="9"/>
    <w:rPr>
      <w:b/>
      <w:bCs/>
      <w:sz w:val="28"/>
      <w:szCs w:val="28"/>
    </w:rPr>
  </w:style>
  <w:style w:type="character" w:customStyle="1" w:styleId="49">
    <w:name w:val="标题 8 Char"/>
    <w:basedOn w:val="34"/>
    <w:qFormat/>
    <w:uiPriority w:val="0"/>
    <w:rPr>
      <w:rFonts w:asciiTheme="majorHAnsi" w:hAnsiTheme="majorHAnsi" w:eastAsiaTheme="majorEastAsia" w:cstheme="majorBidi"/>
      <w:sz w:val="24"/>
      <w:szCs w:val="24"/>
    </w:rPr>
  </w:style>
  <w:style w:type="character" w:customStyle="1" w:styleId="50">
    <w:name w:val="标题 9 Char"/>
    <w:basedOn w:val="34"/>
    <w:semiHidden/>
    <w:qFormat/>
    <w:uiPriority w:val="9"/>
    <w:rPr>
      <w:rFonts w:asciiTheme="majorHAnsi" w:hAnsiTheme="majorHAnsi" w:eastAsiaTheme="majorEastAsia" w:cstheme="majorBidi"/>
      <w:szCs w:val="21"/>
    </w:rPr>
  </w:style>
  <w:style w:type="character" w:customStyle="1" w:styleId="51">
    <w:name w:val="标题 5 字符"/>
    <w:link w:val="6"/>
    <w:qFormat/>
    <w:uiPriority w:val="9"/>
    <w:rPr>
      <w:rFonts w:ascii="Times New Roman" w:hAnsi="Times New Roman" w:eastAsia="宋体" w:cs="Times New Roman"/>
      <w:b/>
      <w:bCs/>
      <w:sz w:val="28"/>
      <w:szCs w:val="28"/>
      <w:lang w:val="zh-CN" w:eastAsia="zh-CN"/>
    </w:rPr>
  </w:style>
  <w:style w:type="character" w:customStyle="1" w:styleId="52">
    <w:name w:val="标题 8 字符"/>
    <w:link w:val="8"/>
    <w:qFormat/>
    <w:uiPriority w:val="9"/>
    <w:rPr>
      <w:rFonts w:ascii="等线 Light" w:hAnsi="等线 Light" w:eastAsia="等线 Light" w:cs="Times New Roman"/>
      <w:sz w:val="24"/>
      <w:szCs w:val="24"/>
      <w:lang w:val="zh-CN" w:eastAsia="zh-CN"/>
    </w:rPr>
  </w:style>
  <w:style w:type="character" w:customStyle="1" w:styleId="53">
    <w:name w:val="标题 9 字符"/>
    <w:link w:val="9"/>
    <w:qFormat/>
    <w:uiPriority w:val="9"/>
    <w:rPr>
      <w:rFonts w:ascii="Cambria" w:hAnsi="Cambria" w:eastAsia="宋体" w:cs="Times New Roman"/>
      <w:szCs w:val="21"/>
      <w:lang w:val="zh-CN" w:eastAsia="zh-CN"/>
    </w:rPr>
  </w:style>
  <w:style w:type="character" w:customStyle="1" w:styleId="54">
    <w:name w:val="批注文字 Char"/>
    <w:basedOn w:val="34"/>
    <w:qFormat/>
    <w:uiPriority w:val="0"/>
  </w:style>
  <w:style w:type="character" w:customStyle="1" w:styleId="55">
    <w:name w:val="批注文字 字符2"/>
    <w:link w:val="12"/>
    <w:qFormat/>
    <w:uiPriority w:val="0"/>
    <w:rPr>
      <w:rFonts w:ascii="Times New Roman" w:hAnsi="Times New Roman" w:eastAsia="宋体" w:cs="Times New Roman"/>
      <w:szCs w:val="24"/>
      <w:lang w:val="zh-CN" w:eastAsia="zh-CN"/>
    </w:rPr>
  </w:style>
  <w:style w:type="character" w:customStyle="1" w:styleId="56">
    <w:name w:val="正文文本 3 Char"/>
    <w:basedOn w:val="34"/>
    <w:qFormat/>
    <w:uiPriority w:val="99"/>
    <w:rPr>
      <w:sz w:val="16"/>
      <w:szCs w:val="16"/>
    </w:rPr>
  </w:style>
  <w:style w:type="character" w:customStyle="1" w:styleId="57">
    <w:name w:val="正文文本 3 字符"/>
    <w:link w:val="13"/>
    <w:qFormat/>
    <w:uiPriority w:val="99"/>
    <w:rPr>
      <w:rFonts w:ascii="Times New Roman" w:hAnsi="Times New Roman" w:eastAsia="宋体" w:cs="Times New Roman"/>
      <w:sz w:val="16"/>
      <w:szCs w:val="16"/>
      <w:lang w:val="zh-CN" w:eastAsia="zh-CN"/>
    </w:rPr>
  </w:style>
  <w:style w:type="character" w:customStyle="1" w:styleId="58">
    <w:name w:val="正文文本 Char"/>
    <w:basedOn w:val="34"/>
    <w:qFormat/>
    <w:uiPriority w:val="0"/>
  </w:style>
  <w:style w:type="character" w:customStyle="1" w:styleId="59">
    <w:name w:val="正文文本 字符1"/>
    <w:link w:val="14"/>
    <w:qFormat/>
    <w:uiPriority w:val="0"/>
    <w:rPr>
      <w:rFonts w:ascii="Times New Roman" w:hAnsi="Times New Roman" w:eastAsia="宋体" w:cs="Times New Roman"/>
      <w:szCs w:val="24"/>
      <w:lang w:val="zh-CN" w:eastAsia="zh-CN"/>
    </w:rPr>
  </w:style>
  <w:style w:type="character" w:customStyle="1" w:styleId="60">
    <w:name w:val="正文文本缩进 Char"/>
    <w:basedOn w:val="34"/>
    <w:qFormat/>
    <w:uiPriority w:val="0"/>
  </w:style>
  <w:style w:type="character" w:customStyle="1" w:styleId="61">
    <w:name w:val="正文文本缩进 字符1"/>
    <w:link w:val="15"/>
    <w:qFormat/>
    <w:uiPriority w:val="0"/>
    <w:rPr>
      <w:rFonts w:ascii="仿宋_GB2312" w:hAnsi="Times New Roman" w:eastAsia="仿宋_GB2312" w:cs="Times New Roman"/>
      <w:kern w:val="0"/>
      <w:sz w:val="32"/>
      <w:szCs w:val="20"/>
      <w:lang w:val="zh-CN" w:eastAsia="zh-CN"/>
    </w:rPr>
  </w:style>
  <w:style w:type="paragraph" w:customStyle="1" w:styleId="62">
    <w:name w:val="_Style 36"/>
    <w:basedOn w:val="1"/>
    <w:next w:val="63"/>
    <w:qFormat/>
    <w:uiPriority w:val="99"/>
    <w:pPr>
      <w:ind w:firstLine="420" w:firstLineChars="200"/>
    </w:pPr>
    <w:rPr>
      <w:rFonts w:ascii="Times New Roman" w:hAnsi="Times New Roman" w:eastAsia="宋体" w:cs="Times New Roman"/>
      <w:szCs w:val="24"/>
    </w:rPr>
  </w:style>
  <w:style w:type="paragraph" w:styleId="63">
    <w:name w:val="List Paragraph"/>
    <w:basedOn w:val="1"/>
    <w:qFormat/>
    <w:uiPriority w:val="34"/>
    <w:pPr>
      <w:ind w:firstLine="420" w:firstLineChars="200"/>
    </w:pPr>
    <w:rPr>
      <w:rFonts w:ascii="Times New Roman" w:hAnsi="Times New Roman" w:eastAsia="宋体" w:cs="Times New Roman"/>
      <w:szCs w:val="24"/>
    </w:rPr>
  </w:style>
  <w:style w:type="character" w:customStyle="1" w:styleId="64">
    <w:name w:val="纯文本 Char"/>
    <w:basedOn w:val="34"/>
    <w:qFormat/>
    <w:uiPriority w:val="0"/>
    <w:rPr>
      <w:rFonts w:ascii="宋体" w:hAnsi="Courier New" w:eastAsia="宋体" w:cs="Courier New"/>
      <w:szCs w:val="21"/>
    </w:rPr>
  </w:style>
  <w:style w:type="character" w:customStyle="1" w:styleId="65">
    <w:name w:val="纯文本 字符3"/>
    <w:link w:val="18"/>
    <w:qFormat/>
    <w:uiPriority w:val="0"/>
    <w:rPr>
      <w:rFonts w:ascii="宋体" w:hAnsi="Courier New" w:eastAsia="宋体" w:cs="Times New Roman"/>
      <w:kern w:val="0"/>
      <w:sz w:val="20"/>
      <w:szCs w:val="21"/>
      <w:lang w:val="zh-CN" w:eastAsia="zh-CN"/>
    </w:rPr>
  </w:style>
  <w:style w:type="character" w:customStyle="1" w:styleId="66">
    <w:name w:val="日期 Char"/>
    <w:basedOn w:val="34"/>
    <w:qFormat/>
    <w:uiPriority w:val="99"/>
  </w:style>
  <w:style w:type="character" w:customStyle="1" w:styleId="67">
    <w:name w:val="日期 字符"/>
    <w:link w:val="20"/>
    <w:qFormat/>
    <w:uiPriority w:val="99"/>
    <w:rPr>
      <w:rFonts w:ascii="Times New Roman" w:hAnsi="Times New Roman" w:eastAsia="宋体" w:cs="Times New Roman"/>
      <w:szCs w:val="24"/>
      <w:lang w:val="zh-CN" w:eastAsia="zh-CN"/>
    </w:rPr>
  </w:style>
  <w:style w:type="character" w:customStyle="1" w:styleId="68">
    <w:name w:val="批注框文本 Char"/>
    <w:basedOn w:val="34"/>
    <w:semiHidden/>
    <w:qFormat/>
    <w:uiPriority w:val="0"/>
    <w:rPr>
      <w:sz w:val="18"/>
      <w:szCs w:val="18"/>
    </w:rPr>
  </w:style>
  <w:style w:type="character" w:customStyle="1" w:styleId="69">
    <w:name w:val="页脚 Char"/>
    <w:basedOn w:val="34"/>
    <w:qFormat/>
    <w:uiPriority w:val="99"/>
    <w:rPr>
      <w:sz w:val="18"/>
      <w:szCs w:val="18"/>
    </w:rPr>
  </w:style>
  <w:style w:type="character" w:customStyle="1" w:styleId="70">
    <w:name w:val="页脚 字符"/>
    <w:link w:val="22"/>
    <w:qFormat/>
    <w:uiPriority w:val="0"/>
    <w:rPr>
      <w:rFonts w:ascii="Times New Roman" w:hAnsi="Times New Roman" w:eastAsia="宋体" w:cs="Times New Roman"/>
      <w:kern w:val="0"/>
      <w:sz w:val="18"/>
      <w:szCs w:val="18"/>
      <w:lang w:val="zh-CN" w:eastAsia="zh-CN"/>
    </w:rPr>
  </w:style>
  <w:style w:type="character" w:customStyle="1" w:styleId="71">
    <w:name w:val="页眉 Char"/>
    <w:basedOn w:val="34"/>
    <w:qFormat/>
    <w:uiPriority w:val="99"/>
    <w:rPr>
      <w:sz w:val="18"/>
      <w:szCs w:val="18"/>
    </w:rPr>
  </w:style>
  <w:style w:type="character" w:customStyle="1" w:styleId="72">
    <w:name w:val="页眉 字符"/>
    <w:link w:val="23"/>
    <w:qFormat/>
    <w:uiPriority w:val="0"/>
    <w:rPr>
      <w:rFonts w:ascii="Times New Roman" w:hAnsi="Times New Roman" w:eastAsia="宋体" w:cs="Times New Roman"/>
      <w:kern w:val="0"/>
      <w:sz w:val="18"/>
      <w:szCs w:val="18"/>
      <w:lang w:val="zh-CN" w:eastAsia="zh-CN"/>
    </w:rPr>
  </w:style>
  <w:style w:type="character" w:customStyle="1" w:styleId="73">
    <w:name w:val="标题 Char"/>
    <w:basedOn w:val="34"/>
    <w:qFormat/>
    <w:uiPriority w:val="10"/>
    <w:rPr>
      <w:rFonts w:eastAsia="宋体" w:asciiTheme="majorHAnsi" w:hAnsiTheme="majorHAnsi" w:cstheme="majorBidi"/>
      <w:b/>
      <w:bCs/>
      <w:sz w:val="32"/>
      <w:szCs w:val="32"/>
    </w:rPr>
  </w:style>
  <w:style w:type="character" w:customStyle="1" w:styleId="74">
    <w:name w:val="标题 字符"/>
    <w:link w:val="28"/>
    <w:qFormat/>
    <w:uiPriority w:val="10"/>
    <w:rPr>
      <w:rFonts w:ascii="Cambria" w:hAnsi="Cambria" w:eastAsia="宋体" w:cs="Times New Roman"/>
      <w:b/>
      <w:bCs/>
      <w:sz w:val="32"/>
      <w:szCs w:val="32"/>
      <w:lang w:val="zh-CN" w:eastAsia="zh-CN"/>
    </w:rPr>
  </w:style>
  <w:style w:type="character" w:customStyle="1" w:styleId="75">
    <w:name w:val="批注主题 Char"/>
    <w:basedOn w:val="54"/>
    <w:qFormat/>
    <w:uiPriority w:val="99"/>
    <w:rPr>
      <w:b/>
      <w:bCs/>
    </w:rPr>
  </w:style>
  <w:style w:type="character" w:customStyle="1" w:styleId="76">
    <w:name w:val="批注主题 字符"/>
    <w:link w:val="29"/>
    <w:qFormat/>
    <w:uiPriority w:val="99"/>
    <w:rPr>
      <w:rFonts w:ascii="Times New Roman" w:hAnsi="Times New Roman" w:eastAsia="宋体" w:cs="Times New Roman"/>
      <w:b/>
      <w:bCs/>
      <w:szCs w:val="24"/>
      <w:lang w:val="zh-CN" w:eastAsia="zh-CN"/>
    </w:rPr>
  </w:style>
  <w:style w:type="character" w:customStyle="1" w:styleId="77">
    <w:name w:val="正文文本首行缩进 2 字符"/>
    <w:qFormat/>
    <w:uiPriority w:val="99"/>
    <w:rPr>
      <w:kern w:val="2"/>
      <w:sz w:val="21"/>
      <w:szCs w:val="24"/>
    </w:rPr>
  </w:style>
  <w:style w:type="character" w:customStyle="1" w:styleId="78">
    <w:name w:val="标题 Char1"/>
    <w:qFormat/>
    <w:uiPriority w:val="0"/>
    <w:rPr>
      <w:rFonts w:ascii="Calibri" w:hAnsi="Calibri"/>
      <w:b/>
      <w:sz w:val="24"/>
      <w:lang w:val="en-GB"/>
    </w:rPr>
  </w:style>
  <w:style w:type="character" w:customStyle="1" w:styleId="79">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80">
    <w:name w:val="正文文本 字符"/>
    <w:qFormat/>
    <w:uiPriority w:val="0"/>
    <w:rPr>
      <w:rFonts w:ascii="Times New Roman" w:hAnsi="Times New Roman"/>
      <w:kern w:val="2"/>
      <w:sz w:val="21"/>
      <w:szCs w:val="24"/>
    </w:rPr>
  </w:style>
  <w:style w:type="character" w:customStyle="1" w:styleId="81">
    <w:name w:val="批注文字 字符1"/>
    <w:qFormat/>
    <w:uiPriority w:val="0"/>
    <w:rPr>
      <w:rFonts w:ascii="Times New Roman" w:hAnsi="Times New Roman"/>
      <w:kern w:val="2"/>
      <w:sz w:val="21"/>
      <w:szCs w:val="24"/>
    </w:rPr>
  </w:style>
  <w:style w:type="character" w:customStyle="1" w:styleId="82">
    <w:name w:val="批注文字 字符"/>
    <w:qFormat/>
    <w:uiPriority w:val="0"/>
    <w:rPr>
      <w:rFonts w:ascii="Times New Roman" w:hAnsi="Times New Roman"/>
      <w:kern w:val="2"/>
      <w:sz w:val="21"/>
      <w:szCs w:val="24"/>
    </w:rPr>
  </w:style>
  <w:style w:type="character" w:customStyle="1" w:styleId="83">
    <w:name w:val="未处理的提及1"/>
    <w:unhideWhenUsed/>
    <w:qFormat/>
    <w:uiPriority w:val="99"/>
    <w:rPr>
      <w:color w:val="605E5C"/>
      <w:shd w:val="clear" w:color="auto" w:fill="E1DFDD"/>
    </w:rPr>
  </w:style>
  <w:style w:type="character" w:customStyle="1" w:styleId="84">
    <w:name w:val="apple-style-span"/>
    <w:qFormat/>
    <w:uiPriority w:val="0"/>
  </w:style>
  <w:style w:type="character" w:customStyle="1" w:styleId="85">
    <w:name w:val="纯文本 字符2"/>
    <w:qFormat/>
    <w:uiPriority w:val="0"/>
    <w:rPr>
      <w:rFonts w:ascii="宋体" w:hAnsi="Courier New" w:eastAsia="宋体" w:cs="Courier New"/>
      <w:szCs w:val="21"/>
    </w:rPr>
  </w:style>
  <w:style w:type="character" w:customStyle="1" w:styleId="86">
    <w:name w:val="textcontents"/>
    <w:qFormat/>
    <w:uiPriority w:val="0"/>
  </w:style>
  <w:style w:type="character" w:customStyle="1" w:styleId="87">
    <w:name w:val="纯文本 字符1"/>
    <w:qFormat/>
    <w:uiPriority w:val="0"/>
    <w:rPr>
      <w:rFonts w:ascii="宋体" w:hAnsi="Courier New"/>
    </w:rPr>
  </w:style>
  <w:style w:type="character" w:customStyle="1" w:styleId="88">
    <w:name w:val="标题 1 字符1"/>
    <w:qFormat/>
    <w:uiPriority w:val="0"/>
    <w:rPr>
      <w:b/>
      <w:bCs/>
      <w:kern w:val="44"/>
      <w:sz w:val="44"/>
      <w:szCs w:val="44"/>
    </w:rPr>
  </w:style>
  <w:style w:type="character" w:customStyle="1" w:styleId="89">
    <w:name w:val="纯文本 字符"/>
    <w:qFormat/>
    <w:uiPriority w:val="0"/>
    <w:rPr>
      <w:rFonts w:ascii="宋体" w:hAnsi="Courier New" w:eastAsia="宋体" w:cs="Courier New"/>
      <w:szCs w:val="21"/>
    </w:rPr>
  </w:style>
  <w:style w:type="paragraph" w:customStyle="1" w:styleId="90">
    <w:name w:val="Char Char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91">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92">
    <w:name w:val="TOC 标题1"/>
    <w:basedOn w:val="2"/>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lang w:val="en-US"/>
    </w:rPr>
  </w:style>
  <w:style w:type="paragraph" w:customStyle="1" w:styleId="93">
    <w:name w:val="表内文字"/>
    <w:basedOn w:val="1"/>
    <w:qFormat/>
    <w:uiPriority w:val="0"/>
    <w:pPr>
      <w:snapToGrid w:val="0"/>
      <w:spacing w:before="50" w:after="50"/>
      <w:jc w:val="center"/>
    </w:pPr>
    <w:rPr>
      <w:rFonts w:ascii="仿宋_GB2312" w:hAnsi="宋体" w:eastAsia="仿宋_GB2312" w:cs="Times New Roman"/>
      <w:b/>
      <w:color w:val="000000"/>
      <w:sz w:val="32"/>
      <w:szCs w:val="32"/>
    </w:rPr>
  </w:style>
  <w:style w:type="paragraph" w:customStyle="1" w:styleId="94">
    <w:name w:val="Table Paragraph"/>
    <w:basedOn w:val="1"/>
    <w:qFormat/>
    <w:uiPriority w:val="1"/>
    <w:pPr>
      <w:jc w:val="left"/>
    </w:pPr>
    <w:rPr>
      <w:rFonts w:ascii="Calibri" w:hAnsi="Calibri" w:eastAsia="宋体" w:cs="Times New Roman"/>
      <w:kern w:val="0"/>
      <w:sz w:val="22"/>
      <w:lang w:eastAsia="en-US"/>
    </w:rPr>
  </w:style>
  <w:style w:type="character" w:customStyle="1" w:styleId="95">
    <w:name w:val="正文文本缩进 字符"/>
    <w:qFormat/>
    <w:uiPriority w:val="0"/>
    <w:rPr>
      <w:rFonts w:ascii="仿宋_GB2312" w:hAnsi="Times New Roman" w:eastAsia="仿宋_GB2312" w:cs="Times New Roman"/>
      <w:sz w:val="32"/>
      <w:szCs w:val="20"/>
    </w:rPr>
  </w:style>
  <w:style w:type="character" w:customStyle="1" w:styleId="96">
    <w:name w:val="正文2 Char Char"/>
    <w:link w:val="97"/>
    <w:qFormat/>
    <w:uiPriority w:val="0"/>
    <w:rPr>
      <w:sz w:val="24"/>
    </w:rPr>
  </w:style>
  <w:style w:type="paragraph" w:customStyle="1" w:styleId="97">
    <w:name w:val="正文2"/>
    <w:basedOn w:val="1"/>
    <w:link w:val="96"/>
    <w:qFormat/>
    <w:uiPriority w:val="0"/>
    <w:pPr>
      <w:adjustRightInd w:val="0"/>
      <w:spacing w:before="156" w:line="360" w:lineRule="auto"/>
      <w:ind w:firstLine="510" w:firstLineChars="200"/>
    </w:pPr>
    <w:rPr>
      <w:sz w:val="24"/>
    </w:rPr>
  </w:style>
  <w:style w:type="character" w:customStyle="1" w:styleId="98">
    <w:name w:val="纯文本 Char2"/>
    <w:qFormat/>
    <w:uiPriority w:val="0"/>
    <w:rPr>
      <w:rFonts w:ascii="宋体" w:hAnsi="Courier New" w:cs="Arial"/>
      <w:snapToGrid w:val="0"/>
      <w:szCs w:val="21"/>
    </w:rPr>
  </w:style>
  <w:style w:type="paragraph" w:customStyle="1" w:styleId="99">
    <w:name w:val="表格文字"/>
    <w:basedOn w:val="15"/>
    <w:qFormat/>
    <w:uiPriority w:val="0"/>
    <w:pPr>
      <w:adjustRightInd w:val="0"/>
      <w:spacing w:line="420" w:lineRule="atLeast"/>
      <w:jc w:val="left"/>
      <w:textAlignment w:val="baseline"/>
    </w:pPr>
    <w:rPr>
      <w:rFonts w:ascii="Times New Roman" w:eastAsia="宋体"/>
      <w:szCs w:val="24"/>
    </w:rPr>
  </w:style>
  <w:style w:type="paragraph" w:customStyle="1" w:styleId="100">
    <w:name w:val="样式5"/>
    <w:basedOn w:val="1"/>
    <w:qFormat/>
    <w:uiPriority w:val="0"/>
    <w:pPr>
      <w:adjustRightInd w:val="0"/>
      <w:spacing w:line="440" w:lineRule="exact"/>
      <w:ind w:left="2" w:firstLine="480" w:firstLineChars="200"/>
    </w:pPr>
    <w:rPr>
      <w:rFonts w:ascii="仿宋_GB2312" w:hAnsi="仿宋" w:eastAsia="仿宋_GB2312" w:cs="Times New Roman"/>
      <w:sz w:val="24"/>
      <w:szCs w:val="24"/>
    </w:rPr>
  </w:style>
  <w:style w:type="paragraph" w:customStyle="1" w:styleId="101">
    <w:name w:val="正文缩进1"/>
    <w:basedOn w:val="1"/>
    <w:next w:val="15"/>
    <w:qFormat/>
    <w:uiPriority w:val="0"/>
    <w:pPr>
      <w:autoSpaceDE w:val="0"/>
      <w:autoSpaceDN w:val="0"/>
      <w:adjustRightInd w:val="0"/>
      <w:snapToGrid w:val="0"/>
      <w:spacing w:after="120" w:line="360" w:lineRule="auto"/>
      <w:ind w:left="420" w:leftChars="200" w:firstLine="480" w:firstLineChars="200"/>
    </w:pPr>
    <w:rPr>
      <w:rFonts w:ascii="Times New Roman" w:hAnsi="Times New Roman" w:eastAsia="宋体" w:cs="Times New Roman"/>
      <w:sz w:val="24"/>
      <w:szCs w:val="21"/>
    </w:rPr>
  </w:style>
  <w:style w:type="character" w:customStyle="1" w:styleId="102">
    <w:name w:val="NormalCharacter"/>
    <w:qFormat/>
    <w:uiPriority w:val="0"/>
  </w:style>
  <w:style w:type="character" w:customStyle="1" w:styleId="103">
    <w:name w:val="批注框文本 字符"/>
    <w:link w:val="21"/>
    <w:semiHidden/>
    <w:qFormat/>
    <w:uiPriority w:val="0"/>
    <w:rPr>
      <w:rFonts w:ascii="Times New Roman" w:hAnsi="Times New Roman" w:eastAsia="宋体" w:cs="Times New Roman"/>
      <w:sz w:val="18"/>
      <w:szCs w:val="18"/>
    </w:rPr>
  </w:style>
  <w:style w:type="character" w:customStyle="1" w:styleId="104">
    <w:name w:val="正文首行缩进 2 字符"/>
    <w:qFormat/>
    <w:uiPriority w:val="99"/>
    <w:rPr>
      <w:rFonts w:ascii="仿宋_GB2312" w:hAnsi="Times New Roman" w:eastAsia="仿宋_GB2312" w:cs="Times New Roman"/>
      <w:kern w:val="2"/>
      <w:sz w:val="21"/>
      <w:szCs w:val="24"/>
    </w:rPr>
  </w:style>
  <w:style w:type="character" w:customStyle="1" w:styleId="105">
    <w:name w:val="纯文本 Char1"/>
    <w:qFormat/>
    <w:uiPriority w:val="0"/>
    <w:rPr>
      <w:rFonts w:ascii="宋体" w:hAnsi="Courier New" w:eastAsia="宋体" w:cs="Times New Roman"/>
      <w:kern w:val="0"/>
      <w:sz w:val="20"/>
      <w:szCs w:val="21"/>
    </w:rPr>
  </w:style>
  <w:style w:type="character" w:customStyle="1" w:styleId="106">
    <w:name w:val="标题 2 Char1"/>
    <w:qFormat/>
    <w:uiPriority w:val="9"/>
    <w:rPr>
      <w:rFonts w:ascii="Cambria" w:hAnsi="Cambria"/>
      <w:b/>
      <w:bCs/>
      <w:kern w:val="2"/>
      <w:sz w:val="32"/>
      <w:szCs w:val="32"/>
      <w:lang w:val="zh-CN" w:eastAsia="zh-CN"/>
    </w:rPr>
  </w:style>
  <w:style w:type="character" w:customStyle="1" w:styleId="107">
    <w:name w:val="标题 8 Char1"/>
    <w:qFormat/>
    <w:uiPriority w:val="9"/>
    <w:rPr>
      <w:rFonts w:ascii="等线 Light" w:hAnsi="等线 Light" w:eastAsia="等线 Light"/>
      <w:kern w:val="2"/>
      <w:sz w:val="24"/>
      <w:szCs w:val="24"/>
      <w:lang w:val="zh-CN" w:eastAsia="zh-CN"/>
    </w:rPr>
  </w:style>
  <w:style w:type="character" w:customStyle="1" w:styleId="108">
    <w:name w:val="批注文字 Char1"/>
    <w:qFormat/>
    <w:uiPriority w:val="0"/>
    <w:rPr>
      <w:kern w:val="2"/>
      <w:sz w:val="21"/>
      <w:szCs w:val="24"/>
      <w:lang w:val="zh-CN" w:eastAsia="zh-CN"/>
    </w:rPr>
  </w:style>
  <w:style w:type="character" w:customStyle="1" w:styleId="109">
    <w:name w:val="正文文本 Char1"/>
    <w:qFormat/>
    <w:uiPriority w:val="0"/>
    <w:rPr>
      <w:kern w:val="2"/>
      <w:sz w:val="21"/>
      <w:szCs w:val="24"/>
      <w:lang w:val="zh-CN" w:eastAsia="zh-CN"/>
    </w:rPr>
  </w:style>
  <w:style w:type="character" w:customStyle="1" w:styleId="110">
    <w:name w:val="正文首行缩进 2 字符1"/>
    <w:semiHidden/>
    <w:qFormat/>
    <w:uiPriority w:val="99"/>
    <w:rPr>
      <w:rFonts w:ascii="仿宋_GB2312" w:hAnsi="Times New Roman" w:eastAsia="仿宋_GB2312" w:cs="Times New Roman"/>
      <w:kern w:val="2"/>
      <w:sz w:val="21"/>
      <w:szCs w:val="24"/>
      <w:lang w:val="zh-CN" w:eastAsia="zh-CN"/>
    </w:rPr>
  </w:style>
  <w:style w:type="character" w:customStyle="1" w:styleId="111">
    <w:name w:val="正文首行缩进 2 字符2"/>
    <w:semiHidden/>
    <w:qFormat/>
    <w:uiPriority w:val="99"/>
    <w:rPr>
      <w:rFonts w:ascii="仿宋_GB2312" w:hAnsi="Times New Roman" w:eastAsia="仿宋_GB2312" w:cs="Times New Roman"/>
      <w:kern w:val="2"/>
      <w:sz w:val="21"/>
      <w:szCs w:val="24"/>
      <w:lang w:val="zh-CN" w:eastAsia="zh-CN"/>
    </w:rPr>
  </w:style>
  <w:style w:type="character" w:customStyle="1" w:styleId="112">
    <w:name w:val="正文文本首行缩进 2 字符1"/>
    <w:basedOn w:val="60"/>
    <w:link w:val="31"/>
    <w:semiHidden/>
    <w:qFormat/>
    <w:uiPriority w:val="99"/>
    <w:rPr>
      <w:rFonts w:ascii="Times New Roman" w:hAnsi="Times New Roman" w:eastAsia="宋体" w:cs="Times New Roman"/>
      <w:szCs w:val="24"/>
    </w:rPr>
  </w:style>
  <w:style w:type="paragraph" w:customStyle="1" w:styleId="113">
    <w:name w:val="Heading2"/>
    <w:basedOn w:val="1"/>
    <w:next w:val="1"/>
    <w:qFormat/>
    <w:uiPriority w:val="0"/>
    <w:pPr>
      <w:keepNext/>
      <w:keepLines/>
      <w:spacing w:before="260" w:after="260" w:line="416" w:lineRule="auto"/>
    </w:pPr>
    <w:rPr>
      <w:rFonts w:ascii="Arial" w:hAnsi="Arial" w:eastAsia="黑体" w:cs="Times New Roman"/>
      <w:b/>
      <w:bCs/>
      <w:kern w:val="0"/>
      <w:sz w:val="32"/>
      <w:szCs w:val="32"/>
    </w:rPr>
  </w:style>
  <w:style w:type="paragraph" w:customStyle="1" w:styleId="114">
    <w:name w:val="列表段落1"/>
    <w:basedOn w:val="1"/>
    <w:qFormat/>
    <w:uiPriority w:val="99"/>
    <w:pPr>
      <w:ind w:firstLine="420" w:firstLineChars="200"/>
    </w:pPr>
  </w:style>
  <w:style w:type="table" w:customStyle="1" w:styleId="115">
    <w:name w:val="Table Normal"/>
    <w:semiHidden/>
    <w:unhideWhenUsed/>
    <w:qFormat/>
    <w:uiPriority w:val="0"/>
    <w:rPr>
      <w:rFonts w:ascii="Arial" w:hAnsi="Arial" w:cs="Arial"/>
    </w:rPr>
    <w:tblPr>
      <w:tblCellMar>
        <w:top w:w="0" w:type="dxa"/>
        <w:left w:w="0" w:type="dxa"/>
        <w:bottom w:w="0" w:type="dxa"/>
        <w:right w:w="0" w:type="dxa"/>
      </w:tblCellMar>
    </w:tblPr>
  </w:style>
  <w:style w:type="paragraph" w:customStyle="1" w:styleId="116">
    <w:name w:val="[正文行首缩进]"/>
    <w:qFormat/>
    <w:uiPriority w:val="0"/>
    <w:pPr>
      <w:widowControl w:val="0"/>
      <w:spacing w:line="360" w:lineRule="auto"/>
      <w:ind w:firstLine="200" w:firstLineChars="200"/>
      <w:jc w:val="both"/>
    </w:pPr>
    <w:rPr>
      <w:rFonts w:ascii="宋体" w:hAnsi="宋体" w:eastAsia="宋体" w:cs="Times New Roman"/>
      <w:bCs/>
      <w:color w:val="000000"/>
      <w:kern w:val="2"/>
      <w:sz w:val="24"/>
      <w:szCs w:val="24"/>
      <w:lang w:val="en-US" w:eastAsia="zh-CN" w:bidi="ar-SA"/>
    </w:rPr>
  </w:style>
  <w:style w:type="paragraph" w:customStyle="1" w:styleId="11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18">
    <w:name w:val="修订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19">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105</Pages>
  <Words>2563</Words>
  <Characters>3070</Characters>
  <Lines>591</Lines>
  <Paragraphs>166</Paragraphs>
  <TotalTime>40</TotalTime>
  <ScaleCrop>false</ScaleCrop>
  <LinksUpToDate>false</LinksUpToDate>
  <CharactersWithSpaces>3110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2026-06-28T13:06:00Z</dcterms:created>
  <dc:creator>个人用户</dc:creator>
  <cp:lastModifiedBy>科联招标韦毅锋</cp:lastModifiedBy>
  <dcterms:modified xsi:type="dcterms:W3CDTF">2026-06-30T09:16:23Z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0CF1C00079544F3F95DD91815B00350C_13</vt:lpwstr>
  </property>
  <property fmtid="{D5CDD505-2E9C-101B-9397-08002B2CF9AE}" pid="4" name="KSOTemplateDocerSaveRecord">
    <vt:lpwstr>eyJoZGlkIjoiNjIxYjVlZjBiYTRlN2Y3YTNhNzAyNGNjMTRjNWNhZWYiLCJ1c2VySWQiOiIxNTkyMzIxODc0In0=</vt:lpwstr>
  </property>
</Properties>
</file>