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140380">
      <w:pPr>
        <w:widowControl w:val="0"/>
        <w:jc w:val="center"/>
        <w:outlineLvl w:val="0"/>
        <w:rPr>
          <w:rFonts w:ascii="Times New Roman" w:hAnsi="Times New Roman" w:eastAsia="宋体" w:cs="Times New Roman"/>
          <w:b/>
          <w:kern w:val="2"/>
          <w:sz w:val="36"/>
          <w:szCs w:val="20"/>
          <w:lang w:val="en-US" w:eastAsia="zh-CN" w:bidi="ar-SA"/>
        </w:rPr>
      </w:pPr>
      <w:r>
        <w:rPr>
          <w:rFonts w:hint="eastAsia" w:ascii="Times New Roman" w:hAnsi="Times New Roman" w:eastAsia="宋体" w:cs="Times New Roman"/>
          <w:b/>
          <w:kern w:val="2"/>
          <w:sz w:val="36"/>
          <w:szCs w:val="20"/>
          <w:lang w:val="en-US" w:eastAsia="zh-CN" w:bidi="ar-SA"/>
        </w:rPr>
        <w:t>采购需求</w:t>
      </w:r>
    </w:p>
    <w:p w14:paraId="7D44B1DC">
      <w:pPr>
        <w:adjustRightInd w:val="0"/>
        <w:spacing w:line="340" w:lineRule="exact"/>
        <w:ind w:leftChars="0"/>
        <w:rPr>
          <w:rFonts w:ascii="Times New Roman" w:hAnsi="宋体" w:eastAsia="宋体" w:cs="Times New Roman"/>
          <w:b/>
          <w:sz w:val="21"/>
          <w:szCs w:val="21"/>
        </w:rPr>
      </w:pPr>
    </w:p>
    <w:p w14:paraId="06749B33">
      <w:pPr>
        <w:spacing w:line="420" w:lineRule="exact"/>
        <w:ind w:leftChars="0"/>
        <w:jc w:val="left"/>
        <w:rPr>
          <w:rFonts w:hint="eastAsia" w:ascii="Times New Roman" w:hAnsi="Times New Roman" w:eastAsia="宋体" w:cs="宋体"/>
          <w:color w:val="auto"/>
          <w:sz w:val="21"/>
          <w:szCs w:val="21"/>
          <w:highlight w:val="none"/>
        </w:rPr>
      </w:pPr>
      <w:r>
        <w:rPr>
          <w:rFonts w:hint="eastAsia" w:ascii="Times New Roman" w:hAnsi="Times New Roman" w:eastAsia="宋体" w:cs="宋体"/>
          <w:color w:val="auto"/>
          <w:sz w:val="21"/>
          <w:szCs w:val="21"/>
          <w:highlight w:val="none"/>
        </w:rPr>
        <w:t>说明：</w:t>
      </w:r>
    </w:p>
    <w:p w14:paraId="56993684">
      <w:pPr>
        <w:spacing w:line="420" w:lineRule="exact"/>
        <w:ind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highlight w:val="none"/>
        </w:rPr>
        <w:t>1. 为落实政府采购政策需满足的要求：</w:t>
      </w:r>
      <w:bookmarkStart w:id="0" w:name="_GoBack"/>
      <w:bookmarkEnd w:id="0"/>
    </w:p>
    <w:p w14:paraId="61A24417">
      <w:pPr>
        <w:spacing w:line="420" w:lineRule="exact"/>
        <w:ind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（1）本竞争性磋商文件所称中小企业必须符合《政府采购促进中小企业发展管理办法》（财库〔2020〕46号）的规定。</w:t>
      </w:r>
    </w:p>
    <w:p w14:paraId="08D7F384">
      <w:pPr>
        <w:spacing w:line="420" w:lineRule="exact"/>
        <w:ind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（2）服务项目中包含货物的，根据《财政部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详见本章</w:t>
      </w:r>
      <w:r>
        <w:rPr>
          <w:rFonts w:hint="eastAsia" w:ascii="宋体" w:hAnsi="宋体" w:eastAsia="宋体" w:cs="宋体"/>
          <w:color w:val="auto"/>
          <w:sz w:val="21"/>
          <w:szCs w:val="21"/>
          <w:highlight w:val="none"/>
          <w:lang w:eastAsia="zh-CN"/>
        </w:rPr>
        <w:t>附件</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r>
        <w:rPr>
          <w:rFonts w:hint="eastAsia" w:ascii="宋体" w:hAnsi="宋体" w:eastAsia="宋体" w:cs="宋体"/>
          <w:b/>
          <w:bCs/>
          <w:color w:val="auto"/>
          <w:sz w:val="21"/>
          <w:szCs w:val="21"/>
          <w:highlight w:val="none"/>
        </w:rPr>
        <w:t>供应商必须在响应文件中提供所竞标产品有效期内的节能产品认证证书复印件（加盖供应商公章），否则响应文件</w:t>
      </w:r>
      <w:r>
        <w:rPr>
          <w:rFonts w:hint="eastAsia" w:ascii="宋体" w:hAnsi="宋体" w:eastAsia="宋体" w:cs="宋体"/>
          <w:b/>
          <w:bCs/>
          <w:color w:val="auto"/>
          <w:sz w:val="21"/>
          <w:szCs w:val="21"/>
          <w:highlight w:val="none"/>
          <w:lang w:eastAsia="zh-CN"/>
        </w:rPr>
        <w:t>按无效</w:t>
      </w:r>
      <w:r>
        <w:rPr>
          <w:rFonts w:hint="eastAsia" w:ascii="宋体" w:hAnsi="宋体" w:eastAsia="宋体" w:cs="宋体"/>
          <w:b/>
          <w:bCs/>
          <w:color w:val="auto"/>
          <w:sz w:val="21"/>
          <w:szCs w:val="21"/>
          <w:highlight w:val="none"/>
        </w:rPr>
        <w:t>处理</w:t>
      </w:r>
      <w:r>
        <w:rPr>
          <w:rFonts w:hint="eastAsia" w:ascii="宋体" w:hAnsi="宋体" w:eastAsia="宋体" w:cs="宋体"/>
          <w:color w:val="auto"/>
          <w:sz w:val="21"/>
          <w:szCs w:val="21"/>
          <w:highlight w:val="none"/>
        </w:rPr>
        <w:t xml:space="preserve">。如本项目包含的配套货物属于品目清单内非标注“★”的产品时，应优先采购，具体详见“第四章 </w:t>
      </w:r>
      <w:r>
        <w:rPr>
          <w:rStyle w:val="8"/>
          <w:rFonts w:hint="eastAsia" w:ascii="宋体" w:hAnsi="宋体" w:eastAsia="宋体" w:cs="宋体"/>
          <w:color w:val="auto"/>
          <w:sz w:val="21"/>
          <w:highlight w:val="none"/>
        </w:rPr>
        <w:t>评审程序、评审方法和评审标准</w:t>
      </w:r>
      <w:r>
        <w:rPr>
          <w:rFonts w:hint="eastAsia" w:ascii="宋体" w:hAnsi="宋体" w:eastAsia="宋体" w:cs="宋体"/>
          <w:color w:val="auto"/>
          <w:sz w:val="21"/>
          <w:szCs w:val="21"/>
          <w:highlight w:val="none"/>
        </w:rPr>
        <w:t>”。</w:t>
      </w:r>
    </w:p>
    <w:p w14:paraId="37B5BD20">
      <w:pPr>
        <w:spacing w:line="420" w:lineRule="exact"/>
        <w:ind w:leftChars="0" w:firstLine="420" w:firstLineChars="200"/>
        <w:jc w:val="lef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w:t>
      </w:r>
      <w:r>
        <w:rPr>
          <w:rFonts w:hint="eastAsia" w:ascii="宋体" w:hAnsi="宋体" w:eastAsia="宋体" w:cs="宋体"/>
          <w:color w:val="auto"/>
          <w:sz w:val="21"/>
          <w:szCs w:val="21"/>
          <w:highlight w:val="none"/>
          <w:lang w:val="en-US"/>
        </w:rPr>
        <w:t xml:space="preserve"> </w:t>
      </w:r>
      <w:r>
        <w:rPr>
          <w:rFonts w:hint="eastAsia" w:ascii="宋体" w:hAnsi="宋体" w:eastAsia="宋体" w:cs="宋体"/>
          <w:b w:val="0"/>
          <w:bCs w:val="0"/>
          <w:color w:val="auto"/>
          <w:sz w:val="21"/>
          <w:szCs w:val="21"/>
          <w:highlight w:val="none"/>
          <w:lang w:val="en-US"/>
        </w:rPr>
        <w:t>采购需求中带“▲”的条款</w:t>
      </w:r>
      <w:r>
        <w:rPr>
          <w:rFonts w:hint="eastAsia" w:ascii="宋体" w:hAnsi="宋体" w:eastAsia="宋体" w:cs="宋体"/>
          <w:b w:val="0"/>
          <w:bCs w:val="0"/>
          <w:color w:val="auto"/>
          <w:sz w:val="21"/>
          <w:szCs w:val="21"/>
          <w:highlight w:val="none"/>
          <w:lang w:val="en-US" w:eastAsia="zh-CN"/>
        </w:rPr>
        <w:t>为实质性条款，不满足作</w:t>
      </w:r>
      <w:r>
        <w:rPr>
          <w:rFonts w:hint="eastAsia" w:ascii="宋体" w:hAnsi="宋体" w:eastAsia="宋体" w:cs="宋体"/>
          <w:b w:val="0"/>
          <w:bCs w:val="0"/>
          <w:color w:val="auto"/>
          <w:sz w:val="21"/>
          <w:szCs w:val="21"/>
          <w:highlight w:val="none"/>
          <w:lang w:val="en-US"/>
        </w:rPr>
        <w:t>无效响应处理。</w:t>
      </w:r>
    </w:p>
    <w:p w14:paraId="07978892">
      <w:pPr>
        <w:spacing w:line="420" w:lineRule="exact"/>
        <w:ind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rPr>
        <w:t>3</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本</w:t>
      </w:r>
      <w:r>
        <w:rPr>
          <w:rFonts w:hint="eastAsia" w:ascii="宋体" w:hAnsi="宋体" w:eastAsia="宋体" w:cs="宋体"/>
          <w:color w:val="auto"/>
          <w:sz w:val="21"/>
          <w:szCs w:val="21"/>
          <w:highlight w:val="none"/>
        </w:rPr>
        <w:t>服务项目中伴随货物的，采购需求中出现的品牌、型号或者</w:t>
      </w:r>
      <w:r>
        <w:rPr>
          <w:rFonts w:hint="eastAsia" w:ascii="宋体" w:hAnsi="宋体" w:eastAsia="宋体" w:cs="宋体"/>
          <w:color w:val="auto"/>
          <w:sz w:val="21"/>
          <w:szCs w:val="21"/>
          <w:highlight w:val="none"/>
          <w:lang w:eastAsia="zh-CN"/>
        </w:rPr>
        <w:t>制造商</w:t>
      </w:r>
      <w:r>
        <w:rPr>
          <w:rFonts w:hint="eastAsia" w:ascii="宋体" w:hAnsi="宋体" w:eastAsia="宋体" w:cs="宋体"/>
          <w:color w:val="auto"/>
          <w:sz w:val="21"/>
          <w:szCs w:val="21"/>
          <w:highlight w:val="none"/>
        </w:rPr>
        <w:t>仅起参考作用，不属于指定品牌、型号或者</w:t>
      </w:r>
      <w:r>
        <w:rPr>
          <w:rFonts w:hint="eastAsia" w:ascii="宋体" w:hAnsi="宋体" w:eastAsia="宋体" w:cs="宋体"/>
          <w:color w:val="auto"/>
          <w:sz w:val="21"/>
          <w:szCs w:val="21"/>
          <w:highlight w:val="none"/>
          <w:lang w:eastAsia="zh-CN"/>
        </w:rPr>
        <w:t>制造商</w:t>
      </w:r>
      <w:r>
        <w:rPr>
          <w:rFonts w:hint="eastAsia" w:ascii="宋体" w:hAnsi="宋体" w:eastAsia="宋体" w:cs="宋体"/>
          <w:color w:val="auto"/>
          <w:sz w:val="21"/>
          <w:szCs w:val="21"/>
          <w:highlight w:val="none"/>
        </w:rPr>
        <w:t>的情形。</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可参照或者选用其他相当的品牌、型号或者</w:t>
      </w:r>
      <w:r>
        <w:rPr>
          <w:rFonts w:hint="eastAsia" w:ascii="宋体" w:hAnsi="宋体" w:eastAsia="宋体" w:cs="宋体"/>
          <w:color w:val="auto"/>
          <w:sz w:val="21"/>
          <w:szCs w:val="21"/>
          <w:highlight w:val="none"/>
          <w:lang w:eastAsia="zh-CN"/>
        </w:rPr>
        <w:t>制造商</w:t>
      </w:r>
      <w:r>
        <w:rPr>
          <w:rFonts w:hint="eastAsia" w:ascii="宋体" w:hAnsi="宋体" w:eastAsia="宋体" w:cs="宋体"/>
          <w:color w:val="auto"/>
          <w:sz w:val="21"/>
          <w:szCs w:val="21"/>
          <w:highlight w:val="none"/>
        </w:rPr>
        <w:t>替代，但选用的</w:t>
      </w:r>
      <w:r>
        <w:rPr>
          <w:rFonts w:hint="eastAsia" w:ascii="宋体" w:hAnsi="宋体" w:eastAsia="宋体" w:cs="宋体"/>
          <w:color w:val="auto"/>
          <w:sz w:val="21"/>
          <w:szCs w:val="21"/>
          <w:highlight w:val="none"/>
          <w:lang w:eastAsia="zh-CN"/>
        </w:rPr>
        <w:t>竞标</w:t>
      </w:r>
      <w:r>
        <w:rPr>
          <w:rFonts w:hint="eastAsia" w:ascii="宋体" w:hAnsi="宋体" w:eastAsia="宋体" w:cs="宋体"/>
          <w:color w:val="auto"/>
          <w:sz w:val="21"/>
          <w:szCs w:val="21"/>
          <w:highlight w:val="none"/>
        </w:rPr>
        <w:t>产品</w:t>
      </w:r>
      <w:r>
        <w:rPr>
          <w:rFonts w:hint="eastAsia" w:ascii="宋体" w:hAnsi="宋体" w:eastAsia="宋体" w:cs="宋体"/>
          <w:color w:val="auto"/>
          <w:sz w:val="21"/>
          <w:szCs w:val="21"/>
          <w:highlight w:val="none"/>
          <w:lang w:eastAsia="zh-CN"/>
        </w:rPr>
        <w:t>技术</w:t>
      </w:r>
      <w:r>
        <w:rPr>
          <w:rFonts w:hint="eastAsia" w:ascii="宋体" w:hAnsi="宋体" w:eastAsia="宋体" w:cs="宋体"/>
          <w:color w:val="auto"/>
          <w:sz w:val="21"/>
          <w:szCs w:val="21"/>
          <w:highlight w:val="none"/>
        </w:rPr>
        <w:t>参数</w:t>
      </w:r>
      <w:r>
        <w:rPr>
          <w:rFonts w:hint="eastAsia" w:ascii="宋体" w:hAnsi="宋体" w:eastAsia="宋体" w:cs="宋体"/>
          <w:color w:val="auto"/>
          <w:sz w:val="21"/>
          <w:szCs w:val="21"/>
          <w:highlight w:val="none"/>
          <w:lang w:eastAsia="zh-CN"/>
        </w:rPr>
        <w:t>及配置</w:t>
      </w:r>
      <w:r>
        <w:rPr>
          <w:rFonts w:hint="eastAsia" w:ascii="宋体" w:hAnsi="宋体" w:eastAsia="宋体" w:cs="宋体"/>
          <w:color w:val="auto"/>
          <w:sz w:val="21"/>
          <w:szCs w:val="21"/>
          <w:highlight w:val="none"/>
        </w:rPr>
        <w:t>必须满足</w:t>
      </w:r>
      <w:r>
        <w:rPr>
          <w:rFonts w:hint="eastAsia" w:ascii="宋体" w:hAnsi="宋体" w:eastAsia="宋体" w:cs="宋体"/>
          <w:color w:val="auto"/>
          <w:sz w:val="21"/>
          <w:szCs w:val="21"/>
          <w:highlight w:val="none"/>
          <w:lang w:eastAsia="zh-CN"/>
        </w:rPr>
        <w:t>采购</w:t>
      </w:r>
      <w:r>
        <w:rPr>
          <w:rFonts w:hint="eastAsia" w:ascii="宋体" w:hAnsi="宋体" w:eastAsia="宋体" w:cs="宋体"/>
          <w:color w:val="auto"/>
          <w:sz w:val="21"/>
          <w:szCs w:val="21"/>
          <w:highlight w:val="none"/>
        </w:rPr>
        <w:t>要求。</w:t>
      </w:r>
    </w:p>
    <w:p w14:paraId="66CFF01A">
      <w:pPr>
        <w:spacing w:line="420" w:lineRule="exact"/>
        <w:ind w:leftChars="0" w:firstLine="420" w:firstLineChars="200"/>
        <w:jc w:val="left"/>
        <w:rPr>
          <w:rFonts w:hint="eastAsia" w:ascii="宋体" w:hAnsi="宋体" w:eastAsia="宋体" w:cs="宋体"/>
          <w:color w:val="auto"/>
          <w:sz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必须对</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中提供的证明材料和资质文件真实性负责，如出现虚假应标情况，</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除了应接受有关部门的处罚外，还应依据《中华人民共和国民法典》的相关条款来</w:t>
      </w:r>
      <w:r>
        <w:rPr>
          <w:rFonts w:hint="eastAsia" w:ascii="宋体" w:hAnsi="宋体" w:eastAsia="宋体" w:cs="宋体"/>
          <w:color w:val="auto"/>
          <w:sz w:val="21"/>
          <w:szCs w:val="21"/>
          <w:highlight w:val="none"/>
          <w:lang w:eastAsia="zh-CN"/>
        </w:rPr>
        <w:t>进行</w:t>
      </w:r>
      <w:r>
        <w:rPr>
          <w:rFonts w:hint="eastAsia" w:ascii="宋体" w:hAnsi="宋体" w:eastAsia="宋体" w:cs="宋体"/>
          <w:color w:val="auto"/>
          <w:sz w:val="21"/>
          <w:szCs w:val="21"/>
          <w:highlight w:val="none"/>
        </w:rPr>
        <w:t>赔偿。</w:t>
      </w:r>
    </w:p>
    <w:p w14:paraId="1B4F6F37">
      <w:pPr>
        <w:pStyle w:val="4"/>
        <w:spacing w:line="420" w:lineRule="exact"/>
        <w:ind w:leftChars="0" w:firstLine="420" w:firstLineChars="200"/>
        <w:rPr>
          <w:rFonts w:hint="eastAsia" w:ascii="宋体" w:hAnsi="宋体" w:eastAsia="宋体" w:cs="宋体"/>
          <w:color w:val="auto"/>
          <w:sz w:val="22"/>
          <w:szCs w:val="22"/>
          <w:highlight w:val="none"/>
        </w:rPr>
      </w:pP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highlight w:val="none"/>
        </w:rPr>
        <w:t>应对</w:t>
      </w:r>
      <w:r>
        <w:rPr>
          <w:rFonts w:hint="eastAsia" w:ascii="宋体" w:hAnsi="宋体" w:eastAsia="宋体" w:cs="宋体"/>
          <w:color w:val="auto"/>
          <w:highlight w:val="none"/>
          <w:lang w:eastAsia="zh-CN"/>
        </w:rPr>
        <w:t>竞标</w:t>
      </w:r>
      <w:r>
        <w:rPr>
          <w:rFonts w:hint="eastAsia" w:ascii="宋体" w:hAnsi="宋体" w:eastAsia="宋体" w:cs="宋体"/>
          <w:color w:val="auto"/>
          <w:highlight w:val="none"/>
        </w:rPr>
        <w:t>内容所涉及的专利承担法律责任，并负责保护</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的利益不受任何损害。一切由于文字、商标、技术和软件专利授权引起的法律裁决、诉讼和赔偿费用均由</w:t>
      </w:r>
      <w:r>
        <w:rPr>
          <w:rFonts w:hint="eastAsia" w:ascii="宋体" w:hAnsi="宋体" w:eastAsia="宋体" w:cs="宋体"/>
          <w:color w:val="auto"/>
          <w:highlight w:val="none"/>
          <w:lang w:val="en-US" w:eastAsia="zh-CN"/>
        </w:rPr>
        <w:t>成交</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highlight w:val="none"/>
        </w:rPr>
        <w:t>负责。</w:t>
      </w:r>
    </w:p>
    <w:tbl>
      <w:tblPr>
        <w:tblStyle w:val="5"/>
        <w:tblW w:w="96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6"/>
        <w:gridCol w:w="976"/>
        <w:gridCol w:w="702"/>
        <w:gridCol w:w="6462"/>
        <w:gridCol w:w="946"/>
      </w:tblGrid>
      <w:tr w14:paraId="625B6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82" w:type="dxa"/>
            <w:gridSpan w:val="5"/>
            <w:tcBorders>
              <w:top w:val="single" w:color="auto" w:sz="4" w:space="0"/>
            </w:tcBorders>
            <w:noWrap w:val="0"/>
            <w:vAlign w:val="center"/>
          </w:tcPr>
          <w:p w14:paraId="6423DFA5">
            <w:pPr>
              <w:spacing w:line="360" w:lineRule="auto"/>
              <w:ind w:leftChars="0"/>
              <w:rPr>
                <w:rFonts w:hint="eastAsia" w:ascii="宋体" w:hAnsi="宋体" w:eastAsia="宋体" w:cs="宋体"/>
                <w:color w:val="auto"/>
                <w:sz w:val="22"/>
                <w:szCs w:val="22"/>
                <w:highlight w:val="none"/>
              </w:rPr>
            </w:pPr>
            <w:r>
              <w:rPr>
                <w:rFonts w:hint="eastAsia" w:ascii="宋体" w:hAnsi="宋体" w:eastAsia="宋体" w:cs="宋体"/>
                <w:b/>
                <w:bCs/>
                <w:color w:val="auto"/>
                <w:sz w:val="22"/>
                <w:szCs w:val="22"/>
                <w:highlight w:val="none"/>
              </w:rPr>
              <w:t>一、需求一览表</w:t>
            </w:r>
          </w:p>
        </w:tc>
      </w:tr>
      <w:tr w14:paraId="7A659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96" w:type="dxa"/>
            <w:tcBorders>
              <w:top w:val="single" w:color="auto" w:sz="4" w:space="0"/>
            </w:tcBorders>
            <w:noWrap w:val="0"/>
            <w:vAlign w:val="center"/>
          </w:tcPr>
          <w:p w14:paraId="071A8B87">
            <w:pPr>
              <w:spacing w:line="360" w:lineRule="auto"/>
              <w:ind w:lef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976" w:type="dxa"/>
            <w:tcBorders>
              <w:top w:val="single" w:color="auto" w:sz="4" w:space="0"/>
            </w:tcBorders>
            <w:noWrap w:val="0"/>
            <w:vAlign w:val="center"/>
          </w:tcPr>
          <w:p w14:paraId="5EE56E87">
            <w:pPr>
              <w:spacing w:line="360" w:lineRule="auto"/>
              <w:ind w:lef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标的名称</w:t>
            </w:r>
          </w:p>
        </w:tc>
        <w:tc>
          <w:tcPr>
            <w:tcW w:w="702" w:type="dxa"/>
            <w:tcBorders>
              <w:top w:val="single" w:color="auto" w:sz="4" w:space="0"/>
            </w:tcBorders>
            <w:noWrap w:val="0"/>
            <w:vAlign w:val="center"/>
          </w:tcPr>
          <w:p w14:paraId="72BACFDB">
            <w:pPr>
              <w:spacing w:line="360" w:lineRule="auto"/>
              <w:ind w:lef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数量及单位</w:t>
            </w:r>
          </w:p>
        </w:tc>
        <w:tc>
          <w:tcPr>
            <w:tcW w:w="6462" w:type="dxa"/>
            <w:tcBorders>
              <w:top w:val="single" w:color="auto" w:sz="4" w:space="0"/>
            </w:tcBorders>
            <w:noWrap w:val="0"/>
            <w:vAlign w:val="center"/>
          </w:tcPr>
          <w:p w14:paraId="01031BED">
            <w:pPr>
              <w:spacing w:line="360" w:lineRule="auto"/>
              <w:ind w:leftChars="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服务</w:t>
            </w:r>
            <w:r>
              <w:rPr>
                <w:rFonts w:hint="eastAsia" w:ascii="宋体" w:hAnsi="宋体" w:eastAsia="宋体" w:cs="宋体"/>
                <w:color w:val="auto"/>
                <w:sz w:val="21"/>
                <w:szCs w:val="21"/>
                <w:highlight w:val="none"/>
                <w:lang w:val="en-US" w:eastAsia="zh-CN"/>
              </w:rPr>
              <w:t>要求</w:t>
            </w:r>
          </w:p>
        </w:tc>
        <w:tc>
          <w:tcPr>
            <w:tcW w:w="946" w:type="dxa"/>
            <w:tcBorders>
              <w:top w:val="single" w:color="auto" w:sz="4" w:space="0"/>
            </w:tcBorders>
            <w:noWrap w:val="0"/>
            <w:vAlign w:val="center"/>
          </w:tcPr>
          <w:p w14:paraId="21284E47">
            <w:pPr>
              <w:spacing w:line="360" w:lineRule="auto"/>
              <w:ind w:lef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中小企业划分标准所属行业名称（行业名称及划分见本章附件</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w:t>
            </w:r>
          </w:p>
        </w:tc>
      </w:tr>
      <w:tr w14:paraId="557C0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96" w:type="dxa"/>
            <w:noWrap w:val="0"/>
            <w:vAlign w:val="center"/>
          </w:tcPr>
          <w:p w14:paraId="4CB5CF51">
            <w:pPr>
              <w:pStyle w:val="10"/>
              <w:numPr>
                <w:ilvl w:val="0"/>
                <w:numId w:val="0"/>
              </w:numPr>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976" w:type="dxa"/>
            <w:noWrap w:val="0"/>
            <w:vAlign w:val="center"/>
          </w:tcPr>
          <w:p w14:paraId="42C12E76">
            <w:pPr>
              <w:ind w:leftChars="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防城港职业技术学院图书馆2026年中文图书批发服务</w:t>
            </w:r>
          </w:p>
        </w:tc>
        <w:tc>
          <w:tcPr>
            <w:tcW w:w="702" w:type="dxa"/>
            <w:noWrap w:val="0"/>
            <w:vAlign w:val="center"/>
          </w:tcPr>
          <w:p w14:paraId="027EB967">
            <w:pPr>
              <w:spacing w:line="360" w:lineRule="auto"/>
              <w:ind w:left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1项</w:t>
            </w:r>
          </w:p>
        </w:tc>
        <w:tc>
          <w:tcPr>
            <w:tcW w:w="6462" w:type="dxa"/>
            <w:noWrap w:val="0"/>
            <w:vAlign w:val="top"/>
          </w:tcPr>
          <w:p w14:paraId="659A1811">
            <w:pPr>
              <w:keepNext w:val="0"/>
              <w:keepLines w:val="0"/>
              <w:pageBreakBefore w:val="0"/>
              <w:kinsoku/>
              <w:wordWrap/>
              <w:overflowPunct/>
              <w:topLinePunct w:val="0"/>
              <w:bidi w:val="0"/>
              <w:snapToGrid/>
              <w:spacing w:line="240" w:lineRule="auto"/>
              <w:ind w:leftChars="0" w:firstLine="422" w:firstLineChars="200"/>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▲一、图书册数及要求：</w:t>
            </w:r>
          </w:p>
          <w:p w14:paraId="7F252C0A">
            <w:pPr>
              <w:keepNext w:val="0"/>
              <w:keepLines w:val="0"/>
              <w:pageBreakBefore w:val="0"/>
              <w:kinsoku/>
              <w:wordWrap/>
              <w:overflowPunct/>
              <w:topLinePunct w:val="0"/>
              <w:bidi w:val="0"/>
              <w:snapToGrid/>
              <w:spacing w:line="240" w:lineRule="auto"/>
              <w:ind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、本分标供应商</w:t>
            </w:r>
            <w:r>
              <w:rPr>
                <w:rFonts w:hint="eastAsia" w:ascii="宋体" w:hAnsi="宋体" w:eastAsia="宋体" w:cs="宋体"/>
                <w:color w:val="auto"/>
                <w:sz w:val="21"/>
                <w:szCs w:val="21"/>
                <w:highlight w:val="none"/>
                <w:lang w:val="en-US" w:eastAsia="zh-CN"/>
              </w:rPr>
              <w:t>提供非指定书目纸质</w:t>
            </w:r>
            <w:r>
              <w:rPr>
                <w:rFonts w:hint="eastAsia" w:ascii="宋体" w:hAnsi="宋体" w:eastAsia="宋体" w:cs="宋体"/>
                <w:color w:val="auto"/>
                <w:sz w:val="21"/>
                <w:szCs w:val="21"/>
                <w:highlight w:val="none"/>
              </w:rPr>
              <w:t>图书不少于</w:t>
            </w:r>
            <w:r>
              <w:rPr>
                <w:rFonts w:hint="eastAsia" w:ascii="宋体" w:hAnsi="宋体" w:eastAsia="宋体" w:cs="宋体"/>
                <w:color w:val="auto"/>
                <w:sz w:val="21"/>
                <w:szCs w:val="21"/>
                <w:highlight w:val="none"/>
                <w:lang w:val="en-US" w:eastAsia="zh-CN"/>
              </w:rPr>
              <w:t>30467</w:t>
            </w:r>
            <w:r>
              <w:rPr>
                <w:rFonts w:hint="eastAsia" w:ascii="宋体" w:hAnsi="宋体" w:eastAsia="宋体" w:cs="宋体"/>
                <w:color w:val="auto"/>
                <w:sz w:val="21"/>
                <w:szCs w:val="21"/>
                <w:highlight w:val="none"/>
              </w:rPr>
              <w:t>册</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同时提供指定书目4755册（1585种）</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指定书目内容见附录1：《防城港职业技术学院图书馆2026年中文图书和配套设备及信息资源服务采购项目指定采购书目》。指定书目图书到书率必须不低于95%</w:t>
            </w:r>
            <w:r>
              <w:rPr>
                <w:rFonts w:hint="eastAsia" w:ascii="宋体" w:hAnsi="宋体" w:eastAsia="宋体" w:cs="宋体"/>
                <w:color w:val="auto"/>
                <w:sz w:val="21"/>
                <w:szCs w:val="21"/>
                <w:highlight w:val="none"/>
              </w:rPr>
              <w:t>。</w:t>
            </w:r>
          </w:p>
          <w:p w14:paraId="5CCF9EE4">
            <w:pPr>
              <w:keepNext w:val="0"/>
              <w:keepLines w:val="0"/>
              <w:pageBreakBefore w:val="0"/>
              <w:kinsoku/>
              <w:wordWrap/>
              <w:overflowPunct/>
              <w:topLinePunct w:val="0"/>
              <w:bidi w:val="0"/>
              <w:snapToGrid/>
              <w:spacing w:line="240" w:lineRule="auto"/>
              <w:ind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、供应商提供的</w:t>
            </w:r>
            <w:r>
              <w:rPr>
                <w:rFonts w:hint="eastAsia" w:ascii="宋体" w:hAnsi="宋体" w:eastAsia="宋体" w:cs="宋体"/>
                <w:color w:val="auto"/>
                <w:sz w:val="21"/>
                <w:szCs w:val="21"/>
                <w:highlight w:val="none"/>
                <w:lang w:val="en-US" w:eastAsia="zh-CN"/>
              </w:rPr>
              <w:t>非指定书目纸质图书</w:t>
            </w:r>
            <w:r>
              <w:rPr>
                <w:rFonts w:hint="eastAsia" w:ascii="宋体" w:hAnsi="宋体" w:eastAsia="宋体" w:cs="宋体"/>
                <w:color w:val="auto"/>
                <w:sz w:val="21"/>
                <w:szCs w:val="21"/>
                <w:highlight w:val="none"/>
              </w:rPr>
              <w:t>必须为</w:t>
            </w:r>
            <w:r>
              <w:rPr>
                <w:rFonts w:hint="eastAsia" w:ascii="宋体" w:hAnsi="宋体" w:eastAsia="宋体" w:cs="宋体"/>
                <w:color w:val="auto"/>
                <w:sz w:val="21"/>
                <w:szCs w:val="21"/>
                <w:highlight w:val="none"/>
                <w:lang w:val="en-US" w:eastAsia="zh-CN"/>
              </w:rPr>
              <w:t>2023-2026</w:t>
            </w:r>
            <w:r>
              <w:rPr>
                <w:rFonts w:hint="eastAsia" w:ascii="宋体" w:hAnsi="宋体" w:eastAsia="宋体" w:cs="宋体"/>
                <w:color w:val="auto"/>
                <w:sz w:val="21"/>
                <w:szCs w:val="21"/>
                <w:highlight w:val="none"/>
              </w:rPr>
              <w:t>年正规出版社出版的</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且智能制造与信息工程学院</w:t>
            </w:r>
            <w:r>
              <w:rPr>
                <w:rFonts w:hint="eastAsia" w:ascii="宋体" w:hAnsi="宋体" w:eastAsia="宋体" w:cs="宋体"/>
                <w:color w:val="auto"/>
                <w:sz w:val="21"/>
                <w:szCs w:val="21"/>
                <w:highlight w:val="none"/>
              </w:rPr>
              <w:t>相关专业</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含机电一体化、物联网应用技术、计算机应用技术、工业机器人技术、软件技术、电气自动化技术等专业</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等理工科</w:t>
            </w:r>
            <w:r>
              <w:rPr>
                <w:rFonts w:hint="eastAsia" w:ascii="宋体" w:hAnsi="宋体" w:eastAsia="宋体" w:cs="宋体"/>
                <w:color w:val="auto"/>
                <w:sz w:val="21"/>
                <w:szCs w:val="21"/>
                <w:highlight w:val="none"/>
              </w:rPr>
              <w:t>图书</w:t>
            </w:r>
            <w:r>
              <w:rPr>
                <w:rFonts w:hint="eastAsia" w:ascii="宋体" w:hAnsi="宋体" w:eastAsia="宋体" w:cs="宋体"/>
                <w:color w:val="auto"/>
                <w:sz w:val="21"/>
                <w:szCs w:val="21"/>
                <w:highlight w:val="none"/>
                <w:lang w:val="en-US" w:eastAsia="zh-CN"/>
              </w:rPr>
              <w:t>册数占非指定书目总数比例</w:t>
            </w:r>
            <w:r>
              <w:rPr>
                <w:rFonts w:hint="eastAsia" w:ascii="宋体" w:hAnsi="宋体" w:eastAsia="宋体" w:cs="宋体"/>
                <w:color w:val="auto"/>
                <w:sz w:val="21"/>
                <w:szCs w:val="21"/>
                <w:highlight w:val="none"/>
              </w:rPr>
              <w:t>不少于</w:t>
            </w:r>
            <w:r>
              <w:rPr>
                <w:rFonts w:hint="eastAsia" w:ascii="宋体" w:hAnsi="宋体" w:eastAsia="宋体" w:cs="宋体"/>
                <w:color w:val="auto"/>
                <w:sz w:val="21"/>
                <w:szCs w:val="21"/>
                <w:highlight w:val="none"/>
                <w:lang w:val="en-US" w:eastAsia="zh-CN"/>
              </w:rPr>
              <w:t>60</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其他类</w:t>
            </w:r>
            <w:r>
              <w:rPr>
                <w:rFonts w:hint="eastAsia" w:ascii="宋体" w:hAnsi="宋体" w:eastAsia="宋体" w:cs="宋体"/>
                <w:color w:val="auto"/>
                <w:sz w:val="21"/>
                <w:szCs w:val="21"/>
                <w:highlight w:val="none"/>
                <w:lang w:val="en-US" w:eastAsia="zh-CN"/>
              </w:rPr>
              <w:t>别图书册数占非指定书目总数比例</w:t>
            </w:r>
            <w:r>
              <w:rPr>
                <w:rFonts w:hint="eastAsia" w:ascii="宋体" w:hAnsi="宋体" w:eastAsia="宋体" w:cs="宋体"/>
                <w:color w:val="auto"/>
                <w:sz w:val="21"/>
                <w:szCs w:val="21"/>
                <w:highlight w:val="none"/>
              </w:rPr>
              <w:t>不超过</w:t>
            </w:r>
            <w:r>
              <w:rPr>
                <w:rFonts w:hint="eastAsia" w:ascii="宋体" w:hAnsi="宋体" w:eastAsia="宋体" w:cs="宋体"/>
                <w:color w:val="auto"/>
                <w:sz w:val="21"/>
                <w:szCs w:val="21"/>
                <w:highlight w:val="none"/>
                <w:lang w:val="en-US" w:eastAsia="zh-CN"/>
              </w:rPr>
              <w:t>40</w:t>
            </w:r>
            <w:r>
              <w:rPr>
                <w:rFonts w:hint="eastAsia" w:ascii="宋体" w:hAnsi="宋体" w:eastAsia="宋体" w:cs="宋体"/>
                <w:color w:val="auto"/>
                <w:sz w:val="21"/>
                <w:szCs w:val="21"/>
                <w:highlight w:val="none"/>
              </w:rPr>
              <w:t>%，并在供货后给出各品种的占比。图书必须符合</w:t>
            </w:r>
            <w:r>
              <w:rPr>
                <w:rFonts w:hint="eastAsia" w:ascii="宋体" w:hAnsi="宋体" w:eastAsia="宋体" w:cs="宋体"/>
                <w:color w:val="auto"/>
                <w:sz w:val="21"/>
                <w:szCs w:val="21"/>
                <w:highlight w:val="none"/>
                <w:lang w:val="en-US" w:eastAsia="zh-CN"/>
              </w:rPr>
              <w:t>本校</w:t>
            </w:r>
            <w:r>
              <w:rPr>
                <w:rFonts w:hint="eastAsia" w:ascii="宋体" w:hAnsi="宋体" w:eastAsia="宋体" w:cs="宋体"/>
                <w:color w:val="auto"/>
                <w:sz w:val="21"/>
                <w:szCs w:val="21"/>
                <w:highlight w:val="none"/>
              </w:rPr>
              <w:t>专业及学科设置，在层次类别上以专科教学为主，兼顾一般性读物。每种图书的复本量</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册。</w:t>
            </w:r>
          </w:p>
          <w:p w14:paraId="4F52C1DC">
            <w:pPr>
              <w:keepNext w:val="0"/>
              <w:keepLines w:val="0"/>
              <w:pageBreakBefore w:val="0"/>
              <w:kinsoku/>
              <w:wordWrap/>
              <w:overflowPunct/>
              <w:topLinePunct w:val="0"/>
              <w:bidi w:val="0"/>
              <w:snapToGrid/>
              <w:spacing w:line="240" w:lineRule="auto"/>
              <w:ind w:leftChars="0" w:firstLine="422" w:firstLineChars="200"/>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▲二、版权与责任：</w:t>
            </w:r>
          </w:p>
          <w:p w14:paraId="77497011">
            <w:pPr>
              <w:keepNext w:val="0"/>
              <w:keepLines w:val="0"/>
              <w:pageBreakBefore w:val="0"/>
              <w:kinsoku/>
              <w:wordWrap/>
              <w:overflowPunct/>
              <w:topLinePunct w:val="0"/>
              <w:bidi w:val="0"/>
              <w:snapToGrid/>
              <w:spacing w:line="240" w:lineRule="auto"/>
              <w:ind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应严格执行图书行业国家标准和行业标准，提供的图书必须是国家正式出版物，有可查询的书号。</w:t>
            </w:r>
          </w:p>
          <w:p w14:paraId="76AB7D04">
            <w:pPr>
              <w:keepNext w:val="0"/>
              <w:keepLines w:val="0"/>
              <w:pageBreakBefore w:val="0"/>
              <w:kinsoku/>
              <w:wordWrap/>
              <w:overflowPunct/>
              <w:topLinePunct w:val="0"/>
              <w:bidi w:val="0"/>
              <w:snapToGrid/>
              <w:spacing w:line="240" w:lineRule="auto"/>
              <w:ind w:leftChars="0" w:firstLine="422" w:firstLineChars="200"/>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▲三、</w:t>
            </w:r>
            <w:r>
              <w:rPr>
                <w:rFonts w:hint="eastAsia" w:ascii="宋体" w:hAnsi="宋体" w:eastAsia="宋体" w:cs="宋体"/>
                <w:b/>
                <w:color w:val="auto"/>
                <w:sz w:val="21"/>
                <w:szCs w:val="21"/>
                <w:highlight w:val="none"/>
                <w:lang w:eastAsia="zh-CN"/>
              </w:rPr>
              <w:t>供应商</w:t>
            </w:r>
            <w:r>
              <w:rPr>
                <w:rFonts w:hint="eastAsia" w:ascii="宋体" w:hAnsi="宋体" w:eastAsia="宋体" w:cs="宋体"/>
                <w:b/>
                <w:color w:val="auto"/>
                <w:sz w:val="21"/>
                <w:szCs w:val="21"/>
                <w:highlight w:val="none"/>
              </w:rPr>
              <w:t>供应的纸质图书（包括服务期间甲方举办阅读推广活动时供应商提供支持的图书）须符合国家法律法规相关政策、社会主义核心价值观等要求，不得含有下列内容：</w:t>
            </w:r>
          </w:p>
          <w:p w14:paraId="0E0B9407">
            <w:pPr>
              <w:keepNext w:val="0"/>
              <w:keepLines w:val="0"/>
              <w:pageBreakBefore w:val="0"/>
              <w:kinsoku/>
              <w:wordWrap/>
              <w:overflowPunct/>
              <w:topLinePunct w:val="0"/>
              <w:bidi w:val="0"/>
              <w:snapToGrid/>
              <w:spacing w:line="240" w:lineRule="auto"/>
              <w:ind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1.反对宪法确定的基本原则的；</w:t>
            </w:r>
          </w:p>
          <w:p w14:paraId="7596D47F">
            <w:pPr>
              <w:keepNext w:val="0"/>
              <w:keepLines w:val="0"/>
              <w:pageBreakBefore w:val="0"/>
              <w:kinsoku/>
              <w:wordWrap/>
              <w:overflowPunct/>
              <w:topLinePunct w:val="0"/>
              <w:bidi w:val="0"/>
              <w:snapToGrid/>
              <w:spacing w:line="240" w:lineRule="auto"/>
              <w:ind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2.违背党的路线方针政策，污蔑、丑化党和国家领导人、英雄人物，戏说党史、国史、军史的；</w:t>
            </w:r>
          </w:p>
          <w:p w14:paraId="7F697C9A">
            <w:pPr>
              <w:keepNext w:val="0"/>
              <w:keepLines w:val="0"/>
              <w:pageBreakBefore w:val="0"/>
              <w:kinsoku/>
              <w:wordWrap/>
              <w:overflowPunct/>
              <w:topLinePunct w:val="0"/>
              <w:bidi w:val="0"/>
              <w:snapToGrid/>
              <w:spacing w:line="240" w:lineRule="auto"/>
              <w:ind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3.危害国家统一、主权和领土完整的；</w:t>
            </w:r>
          </w:p>
          <w:p w14:paraId="77C1D18C">
            <w:pPr>
              <w:keepNext w:val="0"/>
              <w:keepLines w:val="0"/>
              <w:pageBreakBefore w:val="0"/>
              <w:kinsoku/>
              <w:wordWrap/>
              <w:overflowPunct/>
              <w:topLinePunct w:val="0"/>
              <w:bidi w:val="0"/>
              <w:snapToGrid/>
              <w:spacing w:line="240" w:lineRule="auto"/>
              <w:ind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4.泄露国家秘密、危害国家安全或者损害国家荣誉和利益的，有反华、辱华、丑华内容的；</w:t>
            </w:r>
          </w:p>
          <w:p w14:paraId="64751BF2">
            <w:pPr>
              <w:keepNext w:val="0"/>
              <w:keepLines w:val="0"/>
              <w:pageBreakBefore w:val="0"/>
              <w:kinsoku/>
              <w:wordWrap/>
              <w:overflowPunct/>
              <w:topLinePunct w:val="0"/>
              <w:bidi w:val="0"/>
              <w:snapToGrid/>
              <w:spacing w:line="240" w:lineRule="auto"/>
              <w:ind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5.存在违反民族政策的内容，煽动民族仇恨、民族歧视，破坏民族团结，或者侵害、不尊重民族风俗、习惯的；</w:t>
            </w:r>
          </w:p>
          <w:p w14:paraId="5F626BF4">
            <w:pPr>
              <w:keepNext w:val="0"/>
              <w:keepLines w:val="0"/>
              <w:pageBreakBefore w:val="0"/>
              <w:kinsoku/>
              <w:wordWrap/>
              <w:overflowPunct/>
              <w:topLinePunct w:val="0"/>
              <w:bidi w:val="0"/>
              <w:snapToGrid/>
              <w:spacing w:line="240" w:lineRule="auto"/>
              <w:ind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6.存在违反宗教政策的内容，宣扬宗教教理、教义、教规、邪教、迷信的；</w:t>
            </w:r>
          </w:p>
          <w:p w14:paraId="5ABE5026">
            <w:pPr>
              <w:keepNext w:val="0"/>
              <w:keepLines w:val="0"/>
              <w:pageBreakBefore w:val="0"/>
              <w:kinsoku/>
              <w:wordWrap/>
              <w:overflowPunct/>
              <w:topLinePunct w:val="0"/>
              <w:bidi w:val="0"/>
              <w:snapToGrid/>
              <w:spacing w:line="240" w:lineRule="auto"/>
              <w:ind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7.宣扬个人主义、新自由主义、历史虚无主义等错误观点，存在崇洋媚外思想倾向的；</w:t>
            </w:r>
          </w:p>
          <w:p w14:paraId="7A22292A">
            <w:pPr>
              <w:keepNext w:val="0"/>
              <w:keepLines w:val="0"/>
              <w:pageBreakBefore w:val="0"/>
              <w:kinsoku/>
              <w:wordWrap/>
              <w:overflowPunct/>
              <w:topLinePunct w:val="0"/>
              <w:bidi w:val="0"/>
              <w:snapToGrid/>
              <w:spacing w:line="240" w:lineRule="auto"/>
              <w:ind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8.存在科学性错误的；</w:t>
            </w:r>
          </w:p>
          <w:p w14:paraId="4AE0B647">
            <w:pPr>
              <w:keepNext w:val="0"/>
              <w:keepLines w:val="0"/>
              <w:pageBreakBefore w:val="0"/>
              <w:kinsoku/>
              <w:wordWrap/>
              <w:overflowPunct/>
              <w:topLinePunct w:val="0"/>
              <w:bidi w:val="0"/>
              <w:snapToGrid/>
              <w:spacing w:line="240" w:lineRule="auto"/>
              <w:ind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9.扰乱社会秩序，破坏社会稳定的；</w:t>
            </w:r>
          </w:p>
          <w:p w14:paraId="059DECCF">
            <w:pPr>
              <w:keepNext w:val="0"/>
              <w:keepLines w:val="0"/>
              <w:pageBreakBefore w:val="0"/>
              <w:kinsoku/>
              <w:wordWrap/>
              <w:overflowPunct/>
              <w:topLinePunct w:val="0"/>
              <w:bidi w:val="0"/>
              <w:snapToGrid/>
              <w:spacing w:line="240" w:lineRule="auto"/>
              <w:ind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10.存在低俗、媚俗、庸俗等不良倾向，格调低下、思想不健康，宣扬超自然力、神秘主义和鬼神迷信，存在淫秽、色情、暴力、邪教、赌博、毒品、引诱自杀、教唆犯罪等价值导向问题的；</w:t>
            </w:r>
          </w:p>
          <w:p w14:paraId="50CBE08D">
            <w:pPr>
              <w:keepNext w:val="0"/>
              <w:keepLines w:val="0"/>
              <w:pageBreakBefore w:val="0"/>
              <w:kinsoku/>
              <w:wordWrap/>
              <w:overflowPunct/>
              <w:topLinePunct w:val="0"/>
              <w:bidi w:val="0"/>
              <w:snapToGrid/>
              <w:spacing w:line="240" w:lineRule="auto"/>
              <w:ind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11.存在违规植入商业广告或变相商业广告及不当链接的；</w:t>
            </w:r>
          </w:p>
          <w:p w14:paraId="3BDFB3C9">
            <w:pPr>
              <w:keepNext w:val="0"/>
              <w:keepLines w:val="0"/>
              <w:pageBreakBefore w:val="0"/>
              <w:kinsoku/>
              <w:wordWrap/>
              <w:overflowPunct/>
              <w:topLinePunct w:val="0"/>
              <w:bidi w:val="0"/>
              <w:snapToGrid/>
              <w:spacing w:line="240" w:lineRule="auto"/>
              <w:ind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12.侮辱或者诽谤他人，侵害他人合法权益的；</w:t>
            </w:r>
          </w:p>
          <w:p w14:paraId="338481A7">
            <w:pPr>
              <w:keepNext w:val="0"/>
              <w:keepLines w:val="0"/>
              <w:pageBreakBefore w:val="0"/>
              <w:kinsoku/>
              <w:wordWrap/>
              <w:overflowPunct/>
              <w:topLinePunct w:val="0"/>
              <w:bidi w:val="0"/>
              <w:snapToGrid/>
              <w:spacing w:line="240" w:lineRule="auto"/>
              <w:ind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13.其他有违公序良俗、道德标准等，危害社会公德或者民族优秀文化传统的，造成社会不良影响的；</w:t>
            </w:r>
          </w:p>
          <w:p w14:paraId="0AD7EDC3">
            <w:pPr>
              <w:keepNext w:val="0"/>
              <w:keepLines w:val="0"/>
              <w:pageBreakBefore w:val="0"/>
              <w:kinsoku/>
              <w:wordWrap/>
              <w:overflowPunct/>
              <w:topLinePunct w:val="0"/>
              <w:bidi w:val="0"/>
              <w:snapToGrid/>
              <w:spacing w:line="240" w:lineRule="auto"/>
              <w:ind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14.有法律、行政法规和国家规定禁止的其他内容的。</w:t>
            </w:r>
          </w:p>
          <w:p w14:paraId="3A347AD9">
            <w:pPr>
              <w:keepNext w:val="0"/>
              <w:keepLines w:val="0"/>
              <w:pageBreakBefore w:val="0"/>
              <w:kinsoku/>
              <w:wordWrap/>
              <w:overflowPunct/>
              <w:topLinePunct w:val="0"/>
              <w:bidi w:val="0"/>
              <w:snapToGrid/>
              <w:spacing w:line="240" w:lineRule="auto"/>
              <w:ind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须是采购人订购或现采的图书。</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后，发现有不符合要求的图书，采购人有权要求供应商进行整改，整改后仍不合格的，或情节严重的，采购人有权要求立即解除合同，并由</w:t>
            </w:r>
            <w:r>
              <w:rPr>
                <w:rFonts w:hint="eastAsia" w:ascii="宋体" w:hAnsi="宋体" w:eastAsia="宋体" w:cs="宋体"/>
                <w:color w:val="auto"/>
                <w:sz w:val="21"/>
                <w:szCs w:val="21"/>
                <w:highlight w:val="none"/>
                <w:lang w:eastAsia="zh-CN"/>
              </w:rPr>
              <w:t>成交供应商</w:t>
            </w:r>
            <w:r>
              <w:rPr>
                <w:rFonts w:hint="eastAsia" w:ascii="宋体" w:hAnsi="宋体" w:eastAsia="宋体" w:cs="宋体"/>
                <w:color w:val="auto"/>
                <w:sz w:val="21"/>
                <w:szCs w:val="21"/>
                <w:highlight w:val="none"/>
              </w:rPr>
              <w:t>承担相应法律责任。</w:t>
            </w:r>
          </w:p>
          <w:p w14:paraId="45F7E67C">
            <w:pPr>
              <w:keepNext w:val="0"/>
              <w:keepLines w:val="0"/>
              <w:pageBreakBefore w:val="0"/>
              <w:kinsoku/>
              <w:wordWrap/>
              <w:overflowPunct/>
              <w:topLinePunct w:val="0"/>
              <w:bidi w:val="0"/>
              <w:snapToGrid/>
              <w:spacing w:line="240" w:lineRule="auto"/>
              <w:ind w:leftChars="0" w:firstLine="420" w:firstLineChars="200"/>
              <w:jc w:val="lef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b/>
                <w:color w:val="auto"/>
                <w:sz w:val="21"/>
                <w:szCs w:val="21"/>
                <w:highlight w:val="none"/>
              </w:rPr>
              <w:t>四、质量标准：</w:t>
            </w:r>
          </w:p>
          <w:p w14:paraId="7E5E60A3">
            <w:pPr>
              <w:keepNext w:val="0"/>
              <w:keepLines w:val="0"/>
              <w:pageBreakBefore w:val="0"/>
              <w:kinsoku/>
              <w:wordWrap/>
              <w:overflowPunct/>
              <w:topLinePunct w:val="0"/>
              <w:bidi w:val="0"/>
              <w:snapToGrid/>
              <w:spacing w:line="240" w:lineRule="auto"/>
              <w:ind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图书的印刷质量执行中华人民共和国国标GB/T 34053.3-2017等标准。送交采购人的纸质图书不能有质量问题，若采购人验收时发现有图书污损、图文不清、缺页、倒页、缺附件等质量不合格的图书，以及与订单不符的图书，一律予以退回，由此造成的损失及费用全部由供应商承担。</w:t>
            </w:r>
          </w:p>
          <w:p w14:paraId="23A4A075">
            <w:pPr>
              <w:keepNext w:val="0"/>
              <w:keepLines w:val="0"/>
              <w:pageBreakBefore w:val="0"/>
              <w:kinsoku/>
              <w:wordWrap/>
              <w:overflowPunct/>
              <w:topLinePunct w:val="0"/>
              <w:bidi w:val="0"/>
              <w:snapToGrid/>
              <w:spacing w:line="240" w:lineRule="auto"/>
              <w:ind w:leftChars="0" w:firstLine="422" w:firstLineChars="200"/>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五、出版物要求</w:t>
            </w:r>
          </w:p>
          <w:p w14:paraId="420D2CCE">
            <w:pPr>
              <w:keepNext w:val="0"/>
              <w:keepLines w:val="0"/>
              <w:pageBreakBefore w:val="0"/>
              <w:widowControl/>
              <w:kinsoku/>
              <w:wordWrap/>
              <w:overflowPunct/>
              <w:topLinePunct w:val="0"/>
              <w:bidi w:val="0"/>
              <w:adjustRightInd w:val="0"/>
              <w:snapToGrid/>
              <w:spacing w:line="240" w:lineRule="auto"/>
              <w:ind w:leftChars="0"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有从事图书经销和具有编目员证书的专业人员。</w:t>
            </w:r>
          </w:p>
          <w:p w14:paraId="0F1A6B82">
            <w:pPr>
              <w:keepNext w:val="0"/>
              <w:keepLines w:val="0"/>
              <w:pageBreakBefore w:val="0"/>
              <w:kinsoku/>
              <w:wordWrap/>
              <w:overflowPunct/>
              <w:topLinePunct w:val="0"/>
              <w:bidi w:val="0"/>
              <w:snapToGrid/>
              <w:spacing w:line="240" w:lineRule="auto"/>
              <w:ind w:leftChars="0" w:firstLine="420" w:firstLineChars="200"/>
              <w:jc w:val="left"/>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应与国内核心图书出版单位有</w:t>
            </w:r>
            <w:r>
              <w:rPr>
                <w:rFonts w:hint="eastAsia" w:ascii="宋体" w:hAnsi="宋体" w:eastAsia="宋体" w:cs="宋体"/>
                <w:color w:val="auto"/>
                <w:sz w:val="21"/>
                <w:szCs w:val="21"/>
                <w:highlight w:val="none"/>
                <w:lang w:val="en-US" w:eastAsia="zh-CN"/>
              </w:rPr>
              <w:t>广泛的</w:t>
            </w:r>
            <w:r>
              <w:rPr>
                <w:rFonts w:hint="eastAsia" w:ascii="宋体" w:hAnsi="宋体" w:eastAsia="宋体" w:cs="宋体"/>
                <w:color w:val="auto"/>
                <w:sz w:val="21"/>
                <w:szCs w:val="21"/>
                <w:highlight w:val="none"/>
              </w:rPr>
              <w:t>合作供货关系，</w:t>
            </w:r>
            <w:r>
              <w:rPr>
                <w:rFonts w:hint="eastAsia" w:ascii="宋体" w:hAnsi="宋体" w:eastAsia="宋体" w:cs="宋体"/>
                <w:color w:val="auto"/>
                <w:sz w:val="21"/>
                <w:szCs w:val="21"/>
                <w:highlight w:val="none"/>
                <w:lang w:val="en-US" w:eastAsia="zh-CN"/>
              </w:rPr>
              <w:t>具备全品种图书供货能力</w:t>
            </w:r>
            <w:r>
              <w:rPr>
                <w:rFonts w:hint="eastAsia" w:ascii="宋体" w:hAnsi="宋体" w:eastAsia="宋体" w:cs="宋体"/>
                <w:color w:val="auto"/>
                <w:sz w:val="21"/>
                <w:szCs w:val="21"/>
                <w:highlight w:val="none"/>
              </w:rPr>
              <w:t>，应能覆盖</w:t>
            </w:r>
            <w:r>
              <w:rPr>
                <w:rFonts w:hint="eastAsia" w:ascii="宋体" w:hAnsi="宋体" w:eastAsia="宋体" w:cs="宋体"/>
                <w:color w:val="auto"/>
                <w:sz w:val="21"/>
                <w:szCs w:val="21"/>
                <w:highlight w:val="none"/>
                <w:lang w:val="en-US" w:eastAsia="zh-CN"/>
              </w:rPr>
              <w:t>学校</w:t>
            </w:r>
            <w:r>
              <w:rPr>
                <w:rFonts w:hint="eastAsia" w:ascii="宋体" w:hAnsi="宋体" w:eastAsia="宋体" w:cs="宋体"/>
                <w:color w:val="auto"/>
                <w:sz w:val="21"/>
                <w:szCs w:val="21"/>
                <w:highlight w:val="none"/>
              </w:rPr>
              <w:t>所有学科，与国内主要的社科类、智能制造、信息工程、医药与康养、海洋与渔业、经济管理类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航空航天类</w:t>
            </w:r>
            <w:r>
              <w:rPr>
                <w:rFonts w:hint="eastAsia" w:ascii="宋体" w:hAnsi="宋体" w:eastAsia="宋体" w:cs="宋体"/>
                <w:color w:val="auto"/>
                <w:sz w:val="21"/>
                <w:szCs w:val="21"/>
                <w:highlight w:val="none"/>
              </w:rPr>
              <w:t>出版社和高校出版社有合作关系，有较强的图书供应能力</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并确保提供采购人采购的图书为正版图书。</w:t>
            </w:r>
            <w:r>
              <w:rPr>
                <w:rFonts w:hint="eastAsia" w:ascii="宋体" w:hAnsi="宋体" w:eastAsia="宋体" w:cs="宋体"/>
                <w:color w:val="auto"/>
                <w:sz w:val="21"/>
                <w:szCs w:val="21"/>
                <w:highlight w:val="none"/>
                <w:lang w:eastAsia="zh-CN"/>
              </w:rPr>
              <w:t>下列出版社（</w:t>
            </w:r>
            <w:r>
              <w:rPr>
                <w:rFonts w:hint="eastAsia" w:ascii="宋体" w:hAnsi="宋体" w:eastAsia="宋体" w:cs="宋体"/>
                <w:color w:val="auto"/>
                <w:sz w:val="21"/>
                <w:szCs w:val="21"/>
                <w:highlight w:val="none"/>
                <w:lang w:val="en-US" w:eastAsia="zh-CN"/>
              </w:rPr>
              <w:t>详见</w:t>
            </w:r>
            <w:r>
              <w:rPr>
                <w:rFonts w:hint="eastAsia" w:ascii="宋体" w:hAnsi="宋体" w:eastAsia="宋体" w:cs="宋体"/>
                <w:color w:val="auto"/>
                <w:sz w:val="21"/>
                <w:szCs w:val="21"/>
                <w:highlight w:val="none"/>
                <w:lang w:eastAsia="zh-CN"/>
              </w:rPr>
              <w:t>附录</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）所列出版社为采购人核心采购出版社。</w:t>
            </w:r>
            <w:r>
              <w:rPr>
                <w:rFonts w:hint="eastAsia" w:ascii="宋体" w:hAnsi="宋体" w:eastAsia="宋体" w:cs="宋体"/>
                <w:color w:val="auto"/>
                <w:sz w:val="21"/>
                <w:szCs w:val="21"/>
                <w:highlight w:val="none"/>
                <w:lang w:val="en-US" w:eastAsia="zh-CN"/>
              </w:rPr>
              <w:t>如采购人要求订购其中某出版社的图书，</w:t>
            </w:r>
            <w:r>
              <w:rPr>
                <w:rFonts w:hint="eastAsia" w:ascii="宋体" w:hAnsi="宋体" w:eastAsia="宋体" w:cs="宋体"/>
                <w:color w:val="auto"/>
                <w:sz w:val="21"/>
                <w:szCs w:val="21"/>
                <w:highlight w:val="none"/>
                <w:lang w:eastAsia="zh-CN"/>
              </w:rPr>
              <w:t>供应商应当完整报送该出版社可订购图书信息，不得隐瞒出版社公开在售图书数据；因图书绝版、断货、延期出版等客观情形无法供货的，须及时书面告知采购</w:t>
            </w:r>
            <w:r>
              <w:rPr>
                <w:rFonts w:hint="eastAsia" w:ascii="宋体" w:hAnsi="宋体" w:eastAsia="宋体" w:cs="宋体"/>
                <w:color w:val="auto"/>
                <w:sz w:val="21"/>
                <w:szCs w:val="21"/>
                <w:highlight w:val="none"/>
                <w:lang w:val="en-US" w:eastAsia="zh-CN"/>
              </w:rPr>
              <w:t>人。</w:t>
            </w:r>
          </w:p>
          <w:p w14:paraId="28390779">
            <w:pPr>
              <w:keepNext w:val="0"/>
              <w:keepLines w:val="0"/>
              <w:pageBreakBefore w:val="0"/>
              <w:kinsoku/>
              <w:wordWrap/>
              <w:overflowPunct/>
              <w:topLinePunct w:val="0"/>
              <w:bidi w:val="0"/>
              <w:snapToGrid/>
              <w:spacing w:line="240" w:lineRule="auto"/>
              <w:ind w:leftChars="0" w:firstLine="420" w:firstLineChars="200"/>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lang w:val="en-US" w:eastAsia="zh-CN"/>
              </w:rPr>
              <w:t>六</w:t>
            </w:r>
            <w:r>
              <w:rPr>
                <w:rFonts w:hint="eastAsia" w:ascii="宋体" w:hAnsi="宋体" w:eastAsia="宋体" w:cs="宋体"/>
                <w:color w:val="auto"/>
                <w:sz w:val="21"/>
                <w:szCs w:val="21"/>
                <w:highlight w:val="none"/>
              </w:rPr>
              <w:t>、</w:t>
            </w:r>
            <w:r>
              <w:rPr>
                <w:rFonts w:hint="eastAsia" w:ascii="宋体" w:hAnsi="宋体" w:eastAsia="宋体" w:cs="宋体"/>
                <w:b/>
                <w:bCs/>
                <w:color w:val="auto"/>
                <w:sz w:val="21"/>
                <w:szCs w:val="21"/>
                <w:highlight w:val="none"/>
              </w:rPr>
              <w:t>技术及</w:t>
            </w:r>
            <w:r>
              <w:rPr>
                <w:rFonts w:hint="eastAsia" w:ascii="宋体" w:hAnsi="宋体" w:eastAsia="宋体" w:cs="宋体"/>
                <w:b/>
                <w:bCs/>
                <w:color w:val="auto"/>
                <w:sz w:val="21"/>
                <w:szCs w:val="21"/>
                <w:highlight w:val="none"/>
                <w:lang w:val="en-US" w:eastAsia="zh-CN"/>
              </w:rPr>
              <w:t>服务</w:t>
            </w:r>
            <w:r>
              <w:rPr>
                <w:rFonts w:hint="eastAsia" w:ascii="宋体" w:hAnsi="宋体" w:eastAsia="宋体" w:cs="宋体"/>
                <w:b/>
                <w:bCs/>
                <w:color w:val="auto"/>
                <w:sz w:val="21"/>
                <w:szCs w:val="21"/>
                <w:highlight w:val="none"/>
              </w:rPr>
              <w:t>要求</w:t>
            </w:r>
          </w:p>
          <w:p w14:paraId="09DF4592">
            <w:pPr>
              <w:keepNext w:val="0"/>
              <w:keepLines w:val="0"/>
              <w:pageBreakBefore w:val="0"/>
              <w:kinsoku/>
              <w:wordWrap/>
              <w:overflowPunct/>
              <w:topLinePunct w:val="0"/>
              <w:bidi w:val="0"/>
              <w:snapToGrid/>
              <w:spacing w:line="240" w:lineRule="auto"/>
              <w:ind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图书必须保证正版，若发现盗版、盗印等情况，一切社会、法律责任均由供应商承担，不接受盗版、盗印图书（含“二渠道”图书），发现有盗版、盗印现象，采购人有权终止合同执行，并要求供应商承担由此造成的经济损失和法律责任。</w:t>
            </w:r>
          </w:p>
          <w:p w14:paraId="5345FF81">
            <w:pPr>
              <w:keepNext w:val="0"/>
              <w:keepLines w:val="0"/>
              <w:pageBreakBefore w:val="0"/>
              <w:kinsoku/>
              <w:wordWrap/>
              <w:overflowPunct/>
              <w:topLinePunct w:val="0"/>
              <w:bidi w:val="0"/>
              <w:snapToGrid/>
              <w:spacing w:line="240" w:lineRule="auto"/>
              <w:ind w:leftChars="0"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供应商须为采购人现有存量4700册非本次采购图书提供全套标准化图书加工服务，加工标准、工艺流程、配套耗材（含RFID标签、书标、条码、防盗耗材、馆藏盖章等）须与本次新采购图书完全一致。本部分人工、耗材、现场实施、售后等全部费用均包含在本次项目综合报价内，采购人无需另行支付任何费用。</w:t>
            </w:r>
          </w:p>
          <w:p w14:paraId="49B5BB45">
            <w:pPr>
              <w:keepNext w:val="0"/>
              <w:keepLines w:val="0"/>
              <w:pageBreakBefore w:val="0"/>
              <w:kinsoku/>
              <w:wordWrap/>
              <w:overflowPunct/>
              <w:topLinePunct w:val="0"/>
              <w:bidi w:val="0"/>
              <w:snapToGrid/>
              <w:spacing w:line="240" w:lineRule="auto"/>
              <w:ind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供应商能提供符合国家财税法规定制度要求的售书发票。所有图书经采购人验收无误后按人民币实洋价结算。</w:t>
            </w:r>
          </w:p>
          <w:p w14:paraId="3B62A5C6">
            <w:pPr>
              <w:keepNext w:val="0"/>
              <w:keepLines w:val="0"/>
              <w:pageBreakBefore w:val="0"/>
              <w:kinsoku/>
              <w:wordWrap/>
              <w:overflowPunct/>
              <w:topLinePunct w:val="0"/>
              <w:bidi w:val="0"/>
              <w:snapToGrid/>
              <w:spacing w:line="240" w:lineRule="auto"/>
              <w:ind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供应商不得以任何形式和理由转包项目。</w:t>
            </w:r>
          </w:p>
          <w:p w14:paraId="52A4B97A">
            <w:pPr>
              <w:keepNext w:val="0"/>
              <w:keepLines w:val="0"/>
              <w:pageBreakBefore w:val="0"/>
              <w:widowControl/>
              <w:kinsoku/>
              <w:wordWrap/>
              <w:overflowPunct/>
              <w:topLinePunct w:val="0"/>
              <w:bidi w:val="0"/>
              <w:adjustRightInd w:val="0"/>
              <w:snapToGrid/>
              <w:spacing w:line="240" w:lineRule="auto"/>
              <w:ind w:leftChars="0"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供应商须拥有功能较完善、性能稳定的专业化馆配选书网站，方便快捷地了解掌握出版可供信息，便于供需双方高效开展业务工作，能开通面向采购单位师生的书目查询和网上推荐订购、新书、可供书目、出版社专架等功能供采购单位选书。</w:t>
            </w:r>
          </w:p>
          <w:p w14:paraId="21FF2A10">
            <w:pPr>
              <w:keepNext w:val="0"/>
              <w:keepLines w:val="0"/>
              <w:pageBreakBefore w:val="0"/>
              <w:kinsoku/>
              <w:wordWrap/>
              <w:overflowPunct/>
              <w:topLinePunct w:val="0"/>
              <w:autoSpaceDE w:val="0"/>
              <w:autoSpaceDN w:val="0"/>
              <w:bidi w:val="0"/>
              <w:adjustRightInd w:val="0"/>
              <w:snapToGrid/>
              <w:spacing w:line="240" w:lineRule="auto"/>
              <w:ind w:leftChars="0"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订单处理方式。收到用户订单（包括发文、征订单、电子邮件、电话、传真等均视为订购合同）后的2个工作日内应反馈给用户确认订单收到，并告知订单所处的状态：上报出版社、配货、加工、发货及该订单的发货率等。</w:t>
            </w:r>
          </w:p>
          <w:p w14:paraId="02CBA7C5">
            <w:pPr>
              <w:keepNext w:val="0"/>
              <w:keepLines w:val="0"/>
              <w:pageBreakBefore w:val="0"/>
              <w:widowControl/>
              <w:kinsoku/>
              <w:wordWrap/>
              <w:overflowPunct/>
              <w:topLinePunct w:val="0"/>
              <w:bidi w:val="0"/>
              <w:snapToGrid/>
              <w:spacing w:line="240" w:lineRule="auto"/>
              <w:ind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订单查重：投标人应进行订单查重</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本批订单与采购人最新馆藏数据查重</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本批订单与历史订单查重；本批订单互相查重。</w:t>
            </w:r>
            <w:r>
              <w:rPr>
                <w:rFonts w:hint="eastAsia" w:ascii="宋体" w:hAnsi="宋体" w:eastAsia="宋体" w:cs="宋体"/>
                <w:bCs/>
                <w:color w:val="auto"/>
                <w:sz w:val="21"/>
                <w:szCs w:val="21"/>
                <w:highlight w:val="none"/>
              </w:rPr>
              <w:t>先做ISBN号查重，再做书名查重。</w:t>
            </w:r>
            <w:r>
              <w:rPr>
                <w:rFonts w:hint="eastAsia" w:ascii="宋体" w:hAnsi="宋体" w:eastAsia="宋体" w:cs="宋体"/>
                <w:color w:val="auto"/>
                <w:sz w:val="21"/>
                <w:szCs w:val="21"/>
                <w:highlight w:val="none"/>
              </w:rPr>
              <w:t>如发现有重，或订单中的复本量异常超过通常量的（一般图书复本1-</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册，辞典、字典、年鉴、手册、标准、统计报告、调查报告、百科全书等工具书复本1册）、采购人一般不订购的图书（注：①码洋≥300元的图书；②挂图、活页书、线装书、袋装书、散页书、盒装书、经折装；③开本小于32K、大于8K的；④载体形式为磁带、VCD、DVD或其它非纸本的图书；⑤语种不属于中文、</w:t>
            </w:r>
            <w:r>
              <w:rPr>
                <w:rFonts w:hint="eastAsia" w:ascii="宋体" w:hAnsi="宋体" w:eastAsia="宋体" w:cs="宋体"/>
                <w:color w:val="auto"/>
                <w:sz w:val="21"/>
                <w:szCs w:val="21"/>
                <w:highlight w:val="none"/>
                <w:lang w:eastAsia="zh-CN"/>
              </w:rPr>
              <w:t>英语等常用语种的）时</w:t>
            </w:r>
            <w:r>
              <w:rPr>
                <w:rFonts w:hint="eastAsia" w:ascii="宋体" w:hAnsi="宋体" w:eastAsia="宋体" w:cs="宋体"/>
                <w:color w:val="auto"/>
                <w:sz w:val="21"/>
                <w:szCs w:val="21"/>
                <w:highlight w:val="none"/>
              </w:rPr>
              <w:t>应告知采购人，予以确认或更改。</w:t>
            </w:r>
          </w:p>
          <w:p w14:paraId="692D8176">
            <w:pPr>
              <w:keepNext w:val="0"/>
              <w:keepLines w:val="0"/>
              <w:pageBreakBefore w:val="0"/>
              <w:kinsoku/>
              <w:wordWrap/>
              <w:overflowPunct/>
              <w:topLinePunct w:val="0"/>
              <w:bidi w:val="0"/>
              <w:snapToGrid/>
              <w:spacing w:line="240" w:lineRule="auto"/>
              <w:ind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供应商应配有专人协助采购人高效、优质地完成图书采购任务，并能提供书目查重软件或查重系统供图书馆使用。</w:t>
            </w:r>
          </w:p>
          <w:p w14:paraId="694A6EB1">
            <w:pPr>
              <w:keepNext w:val="0"/>
              <w:keepLines w:val="0"/>
              <w:pageBreakBefore w:val="0"/>
              <w:kinsoku/>
              <w:wordWrap/>
              <w:overflowPunct/>
              <w:topLinePunct w:val="0"/>
              <w:autoSpaceDE w:val="0"/>
              <w:autoSpaceDN w:val="0"/>
              <w:bidi w:val="0"/>
              <w:adjustRightInd w:val="0"/>
              <w:snapToGrid/>
              <w:spacing w:line="240" w:lineRule="auto"/>
              <w:ind w:leftChars="0"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8.①</w:t>
            </w:r>
            <w:r>
              <w:rPr>
                <w:rFonts w:hint="eastAsia" w:ascii="宋体" w:hAnsi="宋体" w:eastAsia="宋体" w:cs="宋体"/>
                <w:color w:val="auto"/>
                <w:sz w:val="21"/>
                <w:szCs w:val="21"/>
                <w:highlight w:val="none"/>
              </w:rPr>
              <w:t>供应商必须保证按采购人订购的图书品种、数量及时供货，自合同签订之日起</w:t>
            </w:r>
            <w:r>
              <w:rPr>
                <w:rFonts w:hint="eastAsia" w:ascii="宋体" w:hAnsi="宋体" w:eastAsia="宋体" w:cs="宋体"/>
                <w:color w:val="auto"/>
                <w:sz w:val="21"/>
                <w:szCs w:val="21"/>
                <w:highlight w:val="none"/>
                <w:lang w:val="en-US" w:eastAsia="zh-CN"/>
              </w:rPr>
              <w:t>45个自然日</w:t>
            </w:r>
            <w:r>
              <w:rPr>
                <w:rFonts w:hint="eastAsia" w:ascii="宋体" w:hAnsi="宋体" w:eastAsia="宋体" w:cs="宋体"/>
                <w:color w:val="auto"/>
                <w:sz w:val="21"/>
                <w:szCs w:val="21"/>
                <w:highlight w:val="none"/>
              </w:rPr>
              <w:t>内必须交货完毕。供应商在售后服务承诺中应提供保证到书率的措施，如不能履约的，采购人有权依法按采购合同中相关规定进行处理。采购人有权依法采取相应的补救措施（如直接向出版商邮购或向其他供货商补订），由此给采购人造成的各项损失或增加的各项费用（如折扣损失、邮费、数据费、加工费）等均由违约的供应商承担。</w:t>
            </w:r>
          </w:p>
          <w:p w14:paraId="719A6278">
            <w:pPr>
              <w:keepNext w:val="0"/>
              <w:keepLines w:val="0"/>
              <w:pageBreakBefore w:val="0"/>
              <w:kinsoku/>
              <w:wordWrap/>
              <w:overflowPunct/>
              <w:topLinePunct w:val="0"/>
              <w:autoSpaceDE w:val="0"/>
              <w:autoSpaceDN w:val="0"/>
              <w:bidi w:val="0"/>
              <w:adjustRightInd w:val="0"/>
              <w:snapToGrid/>
              <w:spacing w:line="240" w:lineRule="auto"/>
              <w:ind w:leftChars="0" w:firstLine="420"/>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②对于指定书目部分，</w:t>
            </w:r>
            <w:r>
              <w:rPr>
                <w:rFonts w:hint="eastAsia" w:ascii="宋体" w:hAnsi="宋体" w:eastAsia="宋体" w:cs="宋体"/>
                <w:color w:val="auto"/>
                <w:sz w:val="21"/>
                <w:szCs w:val="21"/>
                <w:highlight w:val="none"/>
              </w:rPr>
              <w:t>供应商必须保证按采购人订购的图书品种、数量及时供货。供应商在售后服务承诺中应提供保证到书率</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到书率不低于95%</w:t>
            </w:r>
            <w:r>
              <w:rPr>
                <w:rFonts w:hint="eastAsia" w:ascii="宋体" w:hAnsi="宋体" w:eastAsia="宋体" w:cs="宋体"/>
                <w:b/>
                <w:bCs/>
                <w:color w:val="auto"/>
                <w:sz w:val="21"/>
                <w:szCs w:val="21"/>
                <w:highlight w:val="none"/>
                <w:lang w:eastAsia="zh-CN"/>
              </w:rPr>
              <w:t>）</w:t>
            </w:r>
            <w:r>
              <w:rPr>
                <w:rFonts w:hint="eastAsia" w:ascii="宋体" w:hAnsi="宋体" w:eastAsia="宋体" w:cs="宋体"/>
                <w:color w:val="auto"/>
                <w:sz w:val="21"/>
                <w:szCs w:val="21"/>
                <w:highlight w:val="none"/>
              </w:rPr>
              <w:t>的措施，如不能履约的，采购人有权依法按采购合同中相关规定进行处理。采购人有权依法采取相应的补救措施（</w:t>
            </w:r>
            <w:r>
              <w:rPr>
                <w:rFonts w:hint="eastAsia" w:ascii="宋体" w:hAnsi="宋体" w:eastAsia="宋体" w:cs="宋体"/>
                <w:color w:val="auto"/>
                <w:sz w:val="21"/>
                <w:szCs w:val="21"/>
                <w:highlight w:val="none"/>
                <w:lang w:val="en-US" w:eastAsia="zh-CN"/>
              </w:rPr>
              <w:t>包括但不限于</w:t>
            </w:r>
            <w:r>
              <w:rPr>
                <w:rFonts w:hint="eastAsia" w:ascii="宋体" w:hAnsi="宋体" w:eastAsia="宋体" w:cs="宋体"/>
                <w:color w:val="auto"/>
                <w:sz w:val="21"/>
                <w:szCs w:val="21"/>
                <w:highlight w:val="none"/>
              </w:rPr>
              <w:t>直接向出版商邮购或向其他供货商补订</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通过正规网络平台网购</w:t>
            </w:r>
            <w:r>
              <w:rPr>
                <w:rFonts w:hint="eastAsia" w:ascii="宋体" w:hAnsi="宋体" w:eastAsia="宋体" w:cs="宋体"/>
                <w:color w:val="auto"/>
                <w:sz w:val="21"/>
                <w:szCs w:val="21"/>
                <w:highlight w:val="none"/>
              </w:rPr>
              <w:t>），由此给采购人造成的各项损失或增加的各项费用（如折扣损失、邮费、数据费、加工费）等均由违约的供应商承担。</w:t>
            </w:r>
            <w:r>
              <w:rPr>
                <w:rFonts w:hint="eastAsia" w:ascii="宋体" w:hAnsi="宋体" w:eastAsia="宋体" w:cs="宋体"/>
                <w:color w:val="auto"/>
                <w:sz w:val="21"/>
                <w:szCs w:val="21"/>
                <w:highlight w:val="none"/>
                <w:lang w:val="en-US" w:eastAsia="zh-CN"/>
              </w:rPr>
              <w:t>因其他原因导致的不高于5%的无法配货部分图书，可根据采购人需求进行更换调整配书，更换的图书数量及实洋不低于原计划的数量及实洋。</w:t>
            </w:r>
          </w:p>
          <w:p w14:paraId="6CC0EE36">
            <w:pPr>
              <w:keepNext w:val="0"/>
              <w:keepLines w:val="0"/>
              <w:pageBreakBefore w:val="0"/>
              <w:kinsoku/>
              <w:wordWrap/>
              <w:overflowPunct/>
              <w:topLinePunct w:val="0"/>
              <w:autoSpaceDE w:val="0"/>
              <w:autoSpaceDN w:val="0"/>
              <w:bidi w:val="0"/>
              <w:adjustRightInd w:val="0"/>
              <w:snapToGrid/>
              <w:spacing w:line="240" w:lineRule="auto"/>
              <w:ind w:leftChars="0"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实际到书与订单信息有变化的，如ISBN号、书名、价格等变更，应列表通知采购人，修改有关订单数据，重新确认订购需求。供应商主动定期向采购人提供准确的未到图书清单及未到图书说明。</w:t>
            </w:r>
          </w:p>
          <w:p w14:paraId="19BFD4A0">
            <w:pPr>
              <w:keepNext w:val="0"/>
              <w:keepLines w:val="0"/>
              <w:pageBreakBefore w:val="0"/>
              <w:kinsoku/>
              <w:wordWrap/>
              <w:overflowPunct/>
              <w:topLinePunct w:val="0"/>
              <w:bidi w:val="0"/>
              <w:snapToGrid/>
              <w:spacing w:line="240" w:lineRule="auto"/>
              <w:ind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预订书中如有不满足选订原则的图书（散页、挂图、活页本、配磁带书、小于或等于64开书、少于40页以下的书、少儿、中小学、中专、文学类以图画为主、学生教材的非特指定选购书等），供应商在加工前先选择淘汰，并将淘汰图书目录发给采购人确认。对不符合采购内容及装帧要求的图书，即使进行了加工，采购人也有权退货，由此造成的损失由供应商自行承担。</w:t>
            </w:r>
          </w:p>
          <w:p w14:paraId="10C62D5F">
            <w:pPr>
              <w:keepNext w:val="0"/>
              <w:keepLines w:val="0"/>
              <w:pageBreakBefore w:val="0"/>
              <w:kinsoku/>
              <w:wordWrap/>
              <w:overflowPunct/>
              <w:topLinePunct w:val="0"/>
              <w:autoSpaceDE w:val="0"/>
              <w:autoSpaceDN w:val="0"/>
              <w:bidi w:val="0"/>
              <w:adjustRightInd w:val="0"/>
              <w:snapToGrid/>
              <w:spacing w:line="240" w:lineRule="auto"/>
              <w:ind w:leftChars="0"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rPr>
              <w:t>所有图书订购的品种、复本均由采购人决定，供应商不得自行搭配。如验收时发现与订单不符，采购人将视为不合格图书予以退货，由此造成的损失及费用全部由供应商承担。</w:t>
            </w:r>
          </w:p>
          <w:p w14:paraId="282A5B18">
            <w:pPr>
              <w:keepNext w:val="0"/>
              <w:keepLines w:val="0"/>
              <w:pageBreakBefore w:val="0"/>
              <w:kinsoku/>
              <w:wordWrap/>
              <w:overflowPunct/>
              <w:topLinePunct w:val="0"/>
              <w:bidi w:val="0"/>
              <w:snapToGrid/>
              <w:spacing w:line="240" w:lineRule="auto"/>
              <w:ind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12.</w:t>
            </w:r>
            <w:r>
              <w:rPr>
                <w:rFonts w:hint="eastAsia" w:ascii="宋体" w:hAnsi="宋体" w:eastAsia="宋体" w:cs="宋体"/>
                <w:color w:val="auto"/>
                <w:sz w:val="21"/>
                <w:szCs w:val="21"/>
                <w:highlight w:val="none"/>
              </w:rPr>
              <w:t>供应商应在图书发运前，对图书进行运输距离、防潮、防霉、防破损装卸要求以及按采购人要求的分类包装，以保证图书安全快捷送达采购人指定场所。供应商派专人按采购人的要求将货物放置到指定地点，按顺序排列，在采购人监督下开包整理图书，并按采购人工作要求，配合进行图书验收。并按照图书馆的要求提供发货打印式总清单、分包清单，一式四份，非订单的图书、盗版图书、存在内容质量问题（包括重书）、印刷质量问题（如倒装、缺页、污损、图文不清、缺附件等）的图书，以及与订书单不符(包括重发)的，均无条件退货，由此造成的损失及产生的费用，由供应商承担。</w:t>
            </w:r>
          </w:p>
          <w:p w14:paraId="0791E614">
            <w:pPr>
              <w:keepNext w:val="0"/>
              <w:keepLines w:val="0"/>
              <w:pageBreakBefore w:val="0"/>
              <w:kinsoku/>
              <w:wordWrap/>
              <w:overflowPunct/>
              <w:topLinePunct w:val="0"/>
              <w:autoSpaceDE w:val="0"/>
              <w:autoSpaceDN w:val="0"/>
              <w:bidi w:val="0"/>
              <w:adjustRightInd w:val="0"/>
              <w:snapToGrid/>
              <w:spacing w:line="240" w:lineRule="auto"/>
              <w:ind w:left="40" w:leftChars="0"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13.为提高采编质量，</w:t>
            </w: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lang w:val="en-US" w:eastAsia="zh-CN"/>
              </w:rPr>
              <w:t>应具备现采或</w:t>
            </w:r>
            <w:r>
              <w:rPr>
                <w:rFonts w:hint="eastAsia" w:ascii="宋体" w:hAnsi="宋体" w:eastAsia="宋体" w:cs="宋体"/>
                <w:color w:val="auto"/>
                <w:sz w:val="21"/>
                <w:szCs w:val="21"/>
                <w:highlight w:val="none"/>
              </w:rPr>
              <w:t>书展</w:t>
            </w:r>
            <w:r>
              <w:rPr>
                <w:rFonts w:hint="eastAsia" w:ascii="宋体" w:hAnsi="宋体" w:eastAsia="宋体" w:cs="宋体"/>
                <w:color w:val="auto"/>
                <w:sz w:val="21"/>
                <w:szCs w:val="21"/>
                <w:highlight w:val="none"/>
                <w:lang w:val="en-US" w:eastAsia="zh-CN"/>
              </w:rPr>
              <w:t>的能力，提供1-2次、每次1-3人的现采机会。优先参与大型书展/书市。图书现采或</w:t>
            </w:r>
            <w:r>
              <w:rPr>
                <w:rFonts w:hint="eastAsia" w:ascii="宋体" w:hAnsi="宋体" w:eastAsia="宋体" w:cs="宋体"/>
                <w:color w:val="auto"/>
                <w:sz w:val="21"/>
                <w:szCs w:val="21"/>
                <w:highlight w:val="none"/>
              </w:rPr>
              <w:t>供应图书过程中所产生的各种差旅费、资料费、运费、人工费、设备费、加工材料费等有形或无形及可预计或不可预计的费用由供应商负责。</w:t>
            </w:r>
          </w:p>
          <w:p w14:paraId="3C5EFCB8">
            <w:pPr>
              <w:keepNext w:val="0"/>
              <w:keepLines w:val="0"/>
              <w:pageBreakBefore w:val="0"/>
              <w:kinsoku/>
              <w:wordWrap/>
              <w:overflowPunct/>
              <w:topLinePunct w:val="0"/>
              <w:bidi w:val="0"/>
              <w:snapToGrid/>
              <w:spacing w:line="240" w:lineRule="auto"/>
              <w:ind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14.</w:t>
            </w:r>
            <w:r>
              <w:rPr>
                <w:rFonts w:hint="eastAsia" w:ascii="宋体" w:hAnsi="宋体" w:eastAsia="宋体" w:cs="宋体"/>
                <w:color w:val="auto"/>
                <w:sz w:val="21"/>
                <w:szCs w:val="21"/>
                <w:highlight w:val="none"/>
              </w:rPr>
              <w:t>供应商应根据采购人的要求完成图书加工任务。供应商应根据采购人的实际工作运行程序，提供高效、优质的服务保障。</w:t>
            </w:r>
          </w:p>
          <w:p w14:paraId="78907647">
            <w:pPr>
              <w:keepNext w:val="0"/>
              <w:keepLines w:val="0"/>
              <w:pageBreakBefore w:val="0"/>
              <w:kinsoku/>
              <w:wordWrap/>
              <w:overflowPunct/>
              <w:topLinePunct w:val="0"/>
              <w:autoSpaceDE w:val="0"/>
              <w:autoSpaceDN w:val="0"/>
              <w:bidi w:val="0"/>
              <w:adjustRightInd w:val="0"/>
              <w:snapToGrid/>
              <w:spacing w:line="240" w:lineRule="auto"/>
              <w:ind w:leftChars="0"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15.</w:t>
            </w:r>
            <w:r>
              <w:rPr>
                <w:rFonts w:hint="eastAsia" w:ascii="宋体" w:hAnsi="宋体" w:eastAsia="宋体" w:cs="宋体"/>
                <w:color w:val="auto"/>
                <w:sz w:val="21"/>
                <w:szCs w:val="21"/>
                <w:highlight w:val="none"/>
              </w:rPr>
              <w:t>对采购人加急购买图书以及学科建设需要采购特定的专业图书，只要当当、京东网站有售，均可以网购并及时配送给采购人。</w:t>
            </w:r>
          </w:p>
          <w:p w14:paraId="65577E5E">
            <w:pPr>
              <w:keepNext w:val="0"/>
              <w:keepLines w:val="0"/>
              <w:pageBreakBefore w:val="0"/>
              <w:kinsoku/>
              <w:wordWrap/>
              <w:overflowPunct/>
              <w:topLinePunct w:val="0"/>
              <w:autoSpaceDE w:val="0"/>
              <w:autoSpaceDN w:val="0"/>
              <w:bidi w:val="0"/>
              <w:adjustRightInd w:val="0"/>
              <w:snapToGrid/>
              <w:spacing w:line="240" w:lineRule="auto"/>
              <w:ind w:left="40" w:leftChars="0"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16.</w:t>
            </w:r>
            <w:r>
              <w:rPr>
                <w:rFonts w:hint="eastAsia" w:ascii="宋体" w:hAnsi="宋体" w:eastAsia="宋体" w:cs="宋体"/>
                <w:color w:val="auto"/>
                <w:sz w:val="21"/>
                <w:szCs w:val="21"/>
                <w:highlight w:val="none"/>
              </w:rPr>
              <w:t>供应商须无条件配送图书编目数据，提供的编目数据必须在内容附注项著录完整的反映图书内容的《目录》（即书名页后正文前的目录）明细。有电子书的随书配送电子书数据，必须是国家图书馆数据或CALIS数据，配送率达100%，与图书同时配送到馆。</w:t>
            </w:r>
          </w:p>
          <w:p w14:paraId="3348C8CB">
            <w:pPr>
              <w:keepNext w:val="0"/>
              <w:keepLines w:val="0"/>
              <w:pageBreakBefore w:val="0"/>
              <w:kinsoku/>
              <w:wordWrap/>
              <w:overflowPunct/>
              <w:topLinePunct w:val="0"/>
              <w:autoSpaceDE w:val="0"/>
              <w:autoSpaceDN w:val="0"/>
              <w:bidi w:val="0"/>
              <w:adjustRightInd w:val="0"/>
              <w:snapToGrid/>
              <w:spacing w:line="240" w:lineRule="auto"/>
              <w:ind w:leftChars="0"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17.</w:t>
            </w:r>
            <w:r>
              <w:rPr>
                <w:rFonts w:hint="eastAsia" w:ascii="宋体" w:hAnsi="宋体" w:eastAsia="宋体" w:cs="宋体"/>
                <w:color w:val="auto"/>
                <w:sz w:val="21"/>
                <w:szCs w:val="21"/>
                <w:highlight w:val="none"/>
              </w:rPr>
              <w:t>经验收发现书款与发货单不相符的，采购人及时通知投标人派员到验收地核算。供应商接到通知之日起2个工作日内核对，如不能按时确认核算的，以</w:t>
            </w: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z w:val="21"/>
                <w:szCs w:val="21"/>
                <w:highlight w:val="none"/>
              </w:rPr>
              <w:t>验收的实际数额计算书款金额。</w:t>
            </w:r>
          </w:p>
          <w:p w14:paraId="665ECB11">
            <w:pPr>
              <w:keepNext w:val="0"/>
              <w:keepLines w:val="0"/>
              <w:pageBreakBefore w:val="0"/>
              <w:kinsoku/>
              <w:wordWrap/>
              <w:overflowPunct/>
              <w:topLinePunct w:val="0"/>
              <w:bidi w:val="0"/>
              <w:snapToGrid/>
              <w:spacing w:line="240" w:lineRule="auto"/>
              <w:ind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18.</w:t>
            </w:r>
            <w:r>
              <w:rPr>
                <w:rFonts w:hint="eastAsia" w:ascii="宋体" w:hAnsi="宋体" w:eastAsia="宋体" w:cs="宋体"/>
                <w:color w:val="auto"/>
                <w:sz w:val="21"/>
                <w:szCs w:val="21"/>
                <w:highlight w:val="none"/>
              </w:rPr>
              <w:t>供应商负责安排固定</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名以上（含）编目人员</w:t>
            </w:r>
            <w:r>
              <w:rPr>
                <w:rFonts w:hint="eastAsia" w:ascii="宋体" w:hAnsi="宋体" w:eastAsia="宋体" w:cs="宋体"/>
                <w:color w:val="auto"/>
                <w:sz w:val="21"/>
                <w:szCs w:val="21"/>
                <w:highlight w:val="none"/>
              </w:rPr>
              <w:t>录入图书机读编目数据，要求编目数据准确无误，具体加工时间由采购人指定。图书加工</w:t>
            </w:r>
            <w:r>
              <w:rPr>
                <w:rFonts w:hint="eastAsia" w:ascii="宋体" w:hAnsi="宋体" w:eastAsia="宋体" w:cs="宋体"/>
                <w:color w:val="auto"/>
                <w:sz w:val="21"/>
                <w:szCs w:val="21"/>
                <w:highlight w:val="none"/>
                <w:lang w:val="en-US" w:eastAsia="zh-CN"/>
              </w:rPr>
              <w:t>全过程所需要用到的</w:t>
            </w:r>
            <w:r>
              <w:rPr>
                <w:rFonts w:hint="eastAsia" w:ascii="宋体" w:hAnsi="宋体" w:eastAsia="宋体" w:cs="宋体"/>
                <w:color w:val="auto"/>
                <w:sz w:val="21"/>
                <w:szCs w:val="21"/>
                <w:highlight w:val="none"/>
              </w:rPr>
              <w:t>计算机、打印机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馆员工作站</w:t>
            </w:r>
            <w:r>
              <w:rPr>
                <w:rFonts w:hint="eastAsia" w:ascii="宋体" w:hAnsi="宋体" w:eastAsia="宋体" w:cs="宋体"/>
                <w:color w:val="auto"/>
                <w:sz w:val="21"/>
                <w:szCs w:val="21"/>
                <w:highlight w:val="none"/>
              </w:rPr>
              <w:t>等</w:t>
            </w:r>
            <w:r>
              <w:rPr>
                <w:rFonts w:hint="eastAsia" w:ascii="宋体" w:hAnsi="宋体" w:eastAsia="宋体" w:cs="宋体"/>
                <w:color w:val="auto"/>
                <w:sz w:val="21"/>
                <w:szCs w:val="21"/>
                <w:highlight w:val="none"/>
                <w:lang w:val="en-US" w:eastAsia="zh-CN"/>
              </w:rPr>
              <w:t>必要设备</w:t>
            </w:r>
            <w:r>
              <w:rPr>
                <w:rFonts w:hint="eastAsia" w:ascii="宋体" w:hAnsi="宋体" w:eastAsia="宋体" w:cs="宋体"/>
                <w:color w:val="auto"/>
                <w:sz w:val="21"/>
                <w:szCs w:val="21"/>
                <w:highlight w:val="none"/>
              </w:rPr>
              <w:t>由供应商自带。所有售前售后服务均由供应商负责提供，即所需各项费用或材料、工具等均由供应商负责承担（特别注明由采购人负责承担的例外）。</w:t>
            </w:r>
          </w:p>
          <w:p w14:paraId="270BDCE1">
            <w:pPr>
              <w:keepNext w:val="0"/>
              <w:keepLines w:val="0"/>
              <w:pageBreakBefore w:val="0"/>
              <w:kinsoku/>
              <w:wordWrap/>
              <w:overflowPunct/>
              <w:topLinePunct w:val="0"/>
              <w:bidi w:val="0"/>
              <w:snapToGrid/>
              <w:spacing w:line="240" w:lineRule="auto"/>
              <w:ind w:leftChars="0" w:firstLine="422" w:firstLineChars="200"/>
              <w:rPr>
                <w:rFonts w:hint="eastAsia" w:ascii="宋体" w:hAnsi="宋体" w:eastAsia="宋体" w:cs="宋体"/>
                <w:color w:val="auto"/>
                <w:sz w:val="21"/>
                <w:szCs w:val="21"/>
                <w:highlight w:val="none"/>
                <w:lang w:eastAsia="zh-CN"/>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lang w:val="en-US" w:eastAsia="zh-CN"/>
              </w:rPr>
              <w:t>19.</w:t>
            </w:r>
            <w:r>
              <w:rPr>
                <w:rFonts w:hint="eastAsia" w:ascii="宋体" w:hAnsi="宋体" w:eastAsia="宋体" w:cs="宋体"/>
                <w:color w:val="auto"/>
                <w:sz w:val="21"/>
                <w:szCs w:val="21"/>
                <w:highlight w:val="none"/>
              </w:rPr>
              <w:t>合同履约阶段，供应商未能兑现响应文件及合同约定的服务标准、服务能力、供货质量等承诺事项的，采购人有权向供应商发出书面整改通知；逾期整改仍无法达到约定要求的，视为供应商不具备履约能力。采购人可依据合同约定追究违约责任，并将相关履约情况如实上报采购监管部门。如经查实供应商投标阶段存在故意虚构能力、作出不实承诺谋取中标的，按虚假承诺相关规定处置。</w:t>
            </w:r>
          </w:p>
          <w:p w14:paraId="11AC2F89">
            <w:pPr>
              <w:keepNext w:val="0"/>
              <w:keepLines w:val="0"/>
              <w:pageBreakBefore w:val="0"/>
              <w:kinsoku/>
              <w:wordWrap/>
              <w:overflowPunct/>
              <w:topLinePunct w:val="0"/>
              <w:bidi w:val="0"/>
              <w:snapToGrid/>
              <w:spacing w:line="240" w:lineRule="auto"/>
              <w:ind w:leftChars="0"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20.分类编目</w:t>
            </w:r>
            <w:r>
              <w:rPr>
                <w:rFonts w:hint="eastAsia" w:ascii="宋体" w:hAnsi="宋体" w:eastAsia="宋体" w:cs="宋体"/>
                <w:b/>
                <w:bCs/>
                <w:color w:val="auto"/>
                <w:sz w:val="21"/>
                <w:szCs w:val="21"/>
                <w:highlight w:val="none"/>
              </w:rPr>
              <w:t>要求：</w:t>
            </w:r>
          </w:p>
          <w:p w14:paraId="01B7CD0E">
            <w:pPr>
              <w:keepNext w:val="0"/>
              <w:keepLines w:val="0"/>
              <w:pageBreakBefore w:val="0"/>
              <w:kinsoku/>
              <w:wordWrap/>
              <w:overflowPunct/>
              <w:topLinePunct w:val="0"/>
              <w:bidi w:val="0"/>
              <w:snapToGrid/>
              <w:spacing w:line="240" w:lineRule="auto"/>
              <w:ind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①</w:t>
            </w:r>
            <w:r>
              <w:rPr>
                <w:rFonts w:hint="eastAsia" w:ascii="宋体" w:hAnsi="宋体" w:eastAsia="宋体" w:cs="宋体"/>
                <w:color w:val="auto"/>
                <w:sz w:val="21"/>
                <w:szCs w:val="21"/>
                <w:highlight w:val="none"/>
              </w:rPr>
              <w:t>以《中国图书馆分类法》（简称《中图法》）（第五版）为图书分类依据，按《中图法》的体系结构、使用规则，并参考《中国图书馆分类法使用手册》进行分类。分类应尽量分到最末级类目。标引的同时要给索书号，索书号由分类号和书次号组成，书次号为分类号的顺序号。</w:t>
            </w:r>
          </w:p>
          <w:p w14:paraId="7A8C1ACF">
            <w:pPr>
              <w:keepNext w:val="0"/>
              <w:keepLines w:val="0"/>
              <w:pageBreakBefore w:val="0"/>
              <w:kinsoku/>
              <w:wordWrap/>
              <w:overflowPunct/>
              <w:topLinePunct w:val="0"/>
              <w:bidi w:val="0"/>
              <w:snapToGrid/>
              <w:spacing w:line="240" w:lineRule="auto"/>
              <w:ind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②</w:t>
            </w:r>
            <w:r>
              <w:rPr>
                <w:rFonts w:hint="eastAsia" w:ascii="宋体" w:hAnsi="宋体" w:eastAsia="宋体" w:cs="宋体"/>
                <w:color w:val="auto"/>
                <w:sz w:val="21"/>
                <w:szCs w:val="21"/>
                <w:highlight w:val="none"/>
              </w:rPr>
              <w:t>图书按《中华人民共和国行业标准机读目录格式》著录。MARC数据要求依据《中国分类主题词表》和《汉语主题词表》（增订本）做主题标引。</w:t>
            </w:r>
          </w:p>
          <w:p w14:paraId="26F82641">
            <w:pPr>
              <w:keepNext w:val="0"/>
              <w:keepLines w:val="0"/>
              <w:pageBreakBefore w:val="0"/>
              <w:kinsoku/>
              <w:wordWrap/>
              <w:overflowPunct/>
              <w:topLinePunct w:val="0"/>
              <w:bidi w:val="0"/>
              <w:snapToGrid/>
              <w:spacing w:line="240" w:lineRule="auto"/>
              <w:ind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③随书配套的光盘、磁盘和磁带需加工、装盒，并在盒的右上角粘贴不干胶书标一枚。分编细则必须与图书一样。加工费和材料费由供应商承担。</w:t>
            </w:r>
          </w:p>
          <w:p w14:paraId="71A27AC0">
            <w:pPr>
              <w:keepNext w:val="0"/>
              <w:keepLines w:val="0"/>
              <w:pageBreakBefore w:val="0"/>
              <w:kinsoku/>
              <w:wordWrap/>
              <w:overflowPunct/>
              <w:topLinePunct w:val="0"/>
              <w:bidi w:val="0"/>
              <w:snapToGrid/>
              <w:spacing w:line="240" w:lineRule="auto"/>
              <w:ind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④</w:t>
            </w:r>
            <w:r>
              <w:rPr>
                <w:rFonts w:hint="eastAsia" w:ascii="宋体" w:hAnsi="宋体" w:eastAsia="宋体" w:cs="宋体"/>
                <w:color w:val="auto"/>
                <w:sz w:val="21"/>
                <w:szCs w:val="21"/>
                <w:highlight w:val="none"/>
              </w:rPr>
              <w:t>其他细节参照采购单位图书分类、编目工作细则。</w:t>
            </w:r>
          </w:p>
          <w:p w14:paraId="01145E7F">
            <w:pPr>
              <w:keepNext w:val="0"/>
              <w:keepLines w:val="0"/>
              <w:pageBreakBefore w:val="0"/>
              <w:kinsoku/>
              <w:wordWrap/>
              <w:overflowPunct/>
              <w:topLinePunct w:val="0"/>
              <w:bidi w:val="0"/>
              <w:snapToGrid/>
              <w:spacing w:line="240" w:lineRule="auto"/>
              <w:ind w:leftChars="0" w:firstLine="420" w:firstLineChars="20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lang w:val="en-US" w:eastAsia="zh-CN"/>
              </w:rPr>
              <w:t>⑤</w:t>
            </w:r>
            <w:r>
              <w:rPr>
                <w:rFonts w:hint="eastAsia" w:ascii="宋体" w:hAnsi="宋体" w:eastAsia="宋体" w:cs="宋体"/>
                <w:color w:val="auto"/>
                <w:sz w:val="21"/>
                <w:szCs w:val="21"/>
                <w:highlight w:val="none"/>
              </w:rPr>
              <w:t>供应商负责到采购人指定场地加工图书，并将加工、分编、好的图书打包、运送到指定位置定位、上架，全部费用由供应商承担。采购人保留合同期内调整加工场地权利。</w:t>
            </w:r>
          </w:p>
          <w:p w14:paraId="14F587DF">
            <w:pPr>
              <w:keepNext w:val="0"/>
              <w:keepLines w:val="0"/>
              <w:pageBreakBefore w:val="0"/>
              <w:kinsoku/>
              <w:wordWrap/>
              <w:overflowPunct/>
              <w:topLinePunct w:val="0"/>
              <w:bidi w:val="0"/>
              <w:snapToGrid/>
              <w:spacing w:line="240" w:lineRule="auto"/>
              <w:ind w:leftChars="0" w:firstLine="211" w:firstLineChars="1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21.</w:t>
            </w:r>
            <w:r>
              <w:rPr>
                <w:rFonts w:hint="eastAsia" w:ascii="宋体" w:hAnsi="宋体" w:eastAsia="宋体" w:cs="宋体"/>
                <w:b/>
                <w:bCs/>
                <w:color w:val="auto"/>
                <w:sz w:val="21"/>
                <w:szCs w:val="21"/>
                <w:highlight w:val="none"/>
              </w:rPr>
              <w:t>加工要求：</w:t>
            </w:r>
          </w:p>
          <w:p w14:paraId="731B1465">
            <w:pPr>
              <w:keepNext w:val="0"/>
              <w:keepLines w:val="0"/>
              <w:pageBreakBefore w:val="0"/>
              <w:kinsoku/>
              <w:wordWrap/>
              <w:overflowPunct/>
              <w:topLinePunct w:val="0"/>
              <w:bidi w:val="0"/>
              <w:snapToGrid/>
              <w:spacing w:line="240" w:lineRule="auto"/>
              <w:ind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①每册书须粘贴用激光打印机打印的不干胶书标1枚（尺寸规格见样本</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参照现有书标</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，要求书标耐磨、粘性好、不掉墨），具体粘贴位置为：书标下端距离书脊最下方往上2厘米处，书标加贴透明胶保护。</w:t>
            </w:r>
          </w:p>
          <w:p w14:paraId="7B8CA615">
            <w:pPr>
              <w:keepNext w:val="0"/>
              <w:keepLines w:val="0"/>
              <w:pageBreakBefore w:val="0"/>
              <w:kinsoku/>
              <w:wordWrap/>
              <w:overflowPunct/>
              <w:topLinePunct w:val="0"/>
              <w:bidi w:val="0"/>
              <w:snapToGrid/>
              <w:spacing w:line="240" w:lineRule="auto"/>
              <w:ind w:leftChars="0" w:firstLine="420" w:firstLineChars="200"/>
              <w:jc w:val="left"/>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rPr>
              <w:t>②每册书须粘贴用激光打印机打印的馆藏流水号不干胶条形码两枚（尺寸规格见样本，要求条形码耐磨、粘性好、不掉墨）：具体起止号由采购人提供，贴在书名页的书名下方空白处和最后一页空白处；</w:t>
            </w:r>
            <w:r>
              <w:rPr>
                <w:rFonts w:hint="eastAsia" w:ascii="宋体" w:hAnsi="宋体" w:eastAsia="宋体" w:cs="宋体"/>
                <w:color w:val="auto"/>
                <w:sz w:val="21"/>
                <w:szCs w:val="21"/>
                <w:highlight w:val="none"/>
                <w:lang w:val="en-US" w:eastAsia="zh-CN"/>
              </w:rPr>
              <w:t>分别</w:t>
            </w:r>
            <w:r>
              <w:rPr>
                <w:rFonts w:hint="eastAsia" w:ascii="宋体" w:hAnsi="宋体" w:eastAsia="宋体" w:cs="宋体"/>
                <w:color w:val="auto"/>
                <w:sz w:val="21"/>
                <w:szCs w:val="21"/>
                <w:highlight w:val="none"/>
              </w:rPr>
              <w:t>粘贴在书名页正下方及最后一页（非封底页）正</w:t>
            </w:r>
            <w:r>
              <w:rPr>
                <w:rFonts w:hint="eastAsia" w:ascii="宋体" w:hAnsi="宋体" w:eastAsia="宋体" w:cs="宋体"/>
                <w:color w:val="auto"/>
                <w:sz w:val="21"/>
                <w:szCs w:val="21"/>
                <w:highlight w:val="none"/>
                <w:lang w:val="en-US" w:eastAsia="zh-CN"/>
              </w:rPr>
              <w:t>上</w:t>
            </w:r>
            <w:r>
              <w:rPr>
                <w:rFonts w:hint="eastAsia" w:ascii="宋体" w:hAnsi="宋体" w:eastAsia="宋体" w:cs="宋体"/>
                <w:color w:val="auto"/>
                <w:sz w:val="21"/>
                <w:szCs w:val="21"/>
                <w:highlight w:val="none"/>
              </w:rPr>
              <w:t>方。一种书有复本时，条形码号须连续，如有随书附件，亦同样配条形码，号码由采购人提供。</w:t>
            </w:r>
            <w:r>
              <w:rPr>
                <w:rFonts w:hint="eastAsia" w:ascii="宋体" w:hAnsi="宋体" w:eastAsia="宋体" w:cs="宋体"/>
                <w:color w:val="auto"/>
                <w:sz w:val="21"/>
                <w:szCs w:val="21"/>
                <w:highlight w:val="none"/>
                <w:lang w:val="en-US" w:eastAsia="zh-CN"/>
              </w:rPr>
              <w:t>如书有外护封，分2种情况处理：1）若去掉外护封后，书的封面为空白无信息，则需要保留外护封，同时需用透明胶将外护封分别与面封跟底封的内面粘牢。2）若外护封跟书的封面内容完全一样，则无需保留外护封。</w:t>
            </w:r>
          </w:p>
          <w:p w14:paraId="491DB478">
            <w:pPr>
              <w:keepNext w:val="0"/>
              <w:keepLines w:val="0"/>
              <w:pageBreakBefore w:val="0"/>
              <w:kinsoku/>
              <w:wordWrap/>
              <w:overflowPunct/>
              <w:topLinePunct w:val="0"/>
              <w:bidi w:val="0"/>
              <w:snapToGrid/>
              <w:spacing w:line="240" w:lineRule="auto"/>
              <w:ind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③每册书须加盖采购方馆藏章两个：盖章位置须分别为书名页</w:t>
            </w:r>
            <w:r>
              <w:rPr>
                <w:rFonts w:hint="eastAsia" w:ascii="宋体" w:hAnsi="宋体" w:eastAsia="宋体" w:cs="宋体"/>
                <w:color w:val="auto"/>
                <w:sz w:val="21"/>
                <w:szCs w:val="21"/>
                <w:highlight w:val="none"/>
                <w:lang w:val="en-US" w:eastAsia="zh-CN"/>
              </w:rPr>
              <w:t>内中线位置（根据书名页设计选择具体盖章位置，不遮盖文字）</w:t>
            </w:r>
            <w:r>
              <w:rPr>
                <w:rFonts w:hint="eastAsia" w:ascii="宋体" w:hAnsi="宋体" w:eastAsia="宋体" w:cs="宋体"/>
                <w:color w:val="auto"/>
                <w:sz w:val="21"/>
                <w:szCs w:val="21"/>
                <w:highlight w:val="none"/>
              </w:rPr>
              <w:t>和书口中上方(字体朝上)。</w:t>
            </w:r>
            <w:r>
              <w:rPr>
                <w:rFonts w:hint="eastAsia" w:ascii="宋体" w:hAnsi="宋体" w:eastAsia="宋体" w:cs="宋体"/>
                <w:color w:val="auto"/>
                <w:sz w:val="21"/>
                <w:szCs w:val="21"/>
                <w:highlight w:val="none"/>
                <w:lang w:eastAsia="zh-CN"/>
              </w:rPr>
              <w:t>馆藏章由供应商按照采购人</w:t>
            </w:r>
            <w:r>
              <w:rPr>
                <w:rFonts w:hint="eastAsia" w:ascii="宋体" w:hAnsi="宋体" w:eastAsia="宋体" w:cs="宋体"/>
                <w:color w:val="auto"/>
                <w:sz w:val="21"/>
                <w:szCs w:val="21"/>
                <w:highlight w:val="none"/>
              </w:rPr>
              <w:t>要求自行准备。</w:t>
            </w:r>
          </w:p>
          <w:p w14:paraId="1D324CC1">
            <w:pPr>
              <w:keepNext w:val="0"/>
              <w:keepLines w:val="0"/>
              <w:pageBreakBefore w:val="0"/>
              <w:kinsoku/>
              <w:wordWrap/>
              <w:overflowPunct/>
              <w:topLinePunct w:val="0"/>
              <w:bidi w:val="0"/>
              <w:snapToGrid/>
              <w:spacing w:line="240" w:lineRule="auto"/>
              <w:ind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④每本书贴必须符合图书馆RFID设备使用的RFID超高频图书标签一片</w:t>
            </w:r>
            <w:r>
              <w:rPr>
                <w:rFonts w:hint="eastAsia" w:ascii="宋体" w:hAnsi="宋体" w:eastAsia="宋体" w:cs="宋体"/>
                <w:bCs/>
                <w:color w:val="auto"/>
                <w:sz w:val="21"/>
                <w:szCs w:val="21"/>
                <w:highlight w:val="none"/>
              </w:rPr>
              <w:t>。</w:t>
            </w:r>
            <w:r>
              <w:rPr>
                <w:rFonts w:hint="eastAsia" w:ascii="宋体" w:hAnsi="宋体" w:eastAsia="宋体" w:cs="宋体"/>
                <w:color w:val="auto"/>
                <w:sz w:val="21"/>
                <w:szCs w:val="21"/>
                <w:highlight w:val="none"/>
              </w:rPr>
              <w:t>RFID标签的具体要求（见</w:t>
            </w:r>
            <w:r>
              <w:rPr>
                <w:rFonts w:hint="eastAsia" w:ascii="宋体" w:hAnsi="宋体" w:eastAsia="宋体" w:cs="宋体"/>
                <w:color w:val="auto"/>
                <w:sz w:val="21"/>
                <w:szCs w:val="21"/>
                <w:highlight w:val="none"/>
                <w:lang w:val="en-US" w:eastAsia="zh-CN"/>
              </w:rPr>
              <w:t>附录3</w:t>
            </w:r>
            <w:r>
              <w:rPr>
                <w:rFonts w:hint="eastAsia" w:ascii="宋体" w:hAnsi="宋体" w:eastAsia="宋体" w:cs="宋体"/>
                <w:color w:val="auto"/>
                <w:sz w:val="21"/>
                <w:szCs w:val="21"/>
                <w:highlight w:val="none"/>
              </w:rPr>
              <w:t>）。供应商须无条件更换在服务期内因质量问题不能正常使用的RFID标签。加工费和材料费由供应商承担。</w:t>
            </w:r>
          </w:p>
          <w:p w14:paraId="78870A98">
            <w:pPr>
              <w:keepNext w:val="0"/>
              <w:keepLines w:val="0"/>
              <w:pageBreakBefore w:val="0"/>
              <w:kinsoku/>
              <w:wordWrap/>
              <w:overflowPunct/>
              <w:topLinePunct w:val="0"/>
              <w:bidi w:val="0"/>
              <w:snapToGrid/>
              <w:spacing w:line="240" w:lineRule="auto"/>
              <w:ind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⑤</w:t>
            </w:r>
            <w:r>
              <w:rPr>
                <w:rFonts w:hint="eastAsia" w:ascii="宋体" w:hAnsi="宋体" w:eastAsia="宋体" w:cs="宋体"/>
                <w:color w:val="auto"/>
                <w:sz w:val="21"/>
                <w:szCs w:val="21"/>
                <w:highlight w:val="none"/>
              </w:rPr>
              <w:t>供应商负责对到馆图书进行消毒工作，所有图书均需提供细分类上架或打包入库服务；分类录入馆藏数据库，具体加工细节供应商与采购人共同协商，加工过程供应商须充分满足采购人提出的加工服务要求。</w:t>
            </w:r>
          </w:p>
          <w:p w14:paraId="0078C763">
            <w:pPr>
              <w:keepNext w:val="0"/>
              <w:keepLines w:val="0"/>
              <w:pageBreakBefore w:val="0"/>
              <w:kinsoku/>
              <w:wordWrap/>
              <w:overflowPunct/>
              <w:topLinePunct w:val="0"/>
              <w:bidi w:val="0"/>
              <w:snapToGrid/>
              <w:spacing w:line="240" w:lineRule="auto"/>
              <w:ind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⑥</w:t>
            </w:r>
            <w:r>
              <w:rPr>
                <w:rFonts w:hint="eastAsia" w:ascii="宋体" w:hAnsi="宋体" w:eastAsia="宋体" w:cs="宋体"/>
                <w:color w:val="auto"/>
                <w:sz w:val="21"/>
                <w:szCs w:val="21"/>
                <w:highlight w:val="none"/>
              </w:rPr>
              <w:t>中文图书编目MARC字段要求</w:t>
            </w:r>
          </w:p>
          <w:tbl>
            <w:tblPr>
              <w:tblStyle w:val="5"/>
              <w:tblW w:w="57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50"/>
              <w:gridCol w:w="2409"/>
              <w:gridCol w:w="1545"/>
            </w:tblGrid>
            <w:tr w14:paraId="7EC9B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atLeast"/>
                <w:jc w:val="center"/>
              </w:trPr>
              <w:tc>
                <w:tcPr>
                  <w:tcW w:w="1750" w:type="dxa"/>
                  <w:noWrap w:val="0"/>
                  <w:tcMar>
                    <w:top w:w="15" w:type="dxa"/>
                    <w:left w:w="15" w:type="dxa"/>
                    <w:right w:w="15" w:type="dxa"/>
                  </w:tcMar>
                  <w:vAlign w:val="center"/>
                </w:tcPr>
                <w:p w14:paraId="7C5B433E">
                  <w:pPr>
                    <w:keepNext w:val="0"/>
                    <w:keepLines w:val="0"/>
                    <w:pageBreakBefore w:val="0"/>
                    <w:widowControl/>
                    <w:kinsoku/>
                    <w:wordWrap/>
                    <w:overflowPunct/>
                    <w:topLinePunct w:val="0"/>
                    <w:bidi w:val="0"/>
                    <w:snapToGrid/>
                    <w:spacing w:line="240" w:lineRule="auto"/>
                    <w:ind w:left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001：记录标识号</w:t>
                  </w:r>
                </w:p>
              </w:tc>
              <w:tc>
                <w:tcPr>
                  <w:tcW w:w="2409" w:type="dxa"/>
                  <w:noWrap w:val="0"/>
                  <w:tcMar>
                    <w:top w:w="15" w:type="dxa"/>
                    <w:left w:w="15" w:type="dxa"/>
                    <w:right w:w="15" w:type="dxa"/>
                  </w:tcMar>
                  <w:vAlign w:val="center"/>
                </w:tcPr>
                <w:p w14:paraId="1266F867">
                  <w:pPr>
                    <w:keepNext w:val="0"/>
                    <w:keepLines w:val="0"/>
                    <w:pageBreakBefore w:val="0"/>
                    <w:widowControl/>
                    <w:kinsoku/>
                    <w:wordWrap/>
                    <w:overflowPunct/>
                    <w:topLinePunct w:val="0"/>
                    <w:bidi w:val="0"/>
                    <w:snapToGrid/>
                    <w:spacing w:line="240" w:lineRule="auto"/>
                    <w:ind w:left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300：一般附注项</w:t>
                  </w:r>
                </w:p>
              </w:tc>
              <w:tc>
                <w:tcPr>
                  <w:tcW w:w="1545" w:type="dxa"/>
                  <w:noWrap w:val="0"/>
                  <w:tcMar>
                    <w:top w:w="15" w:type="dxa"/>
                    <w:left w:w="15" w:type="dxa"/>
                    <w:right w:w="15" w:type="dxa"/>
                  </w:tcMar>
                  <w:vAlign w:val="center"/>
                </w:tcPr>
                <w:p w14:paraId="75683C8B">
                  <w:pPr>
                    <w:keepNext w:val="0"/>
                    <w:keepLines w:val="0"/>
                    <w:pageBreakBefore w:val="0"/>
                    <w:widowControl/>
                    <w:kinsoku/>
                    <w:wordWrap/>
                    <w:overflowPunct/>
                    <w:topLinePunct w:val="0"/>
                    <w:bidi w:val="0"/>
                    <w:snapToGrid/>
                    <w:spacing w:line="240" w:lineRule="auto"/>
                    <w:ind w:left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516：书脊题名</w:t>
                  </w:r>
                </w:p>
              </w:tc>
            </w:tr>
            <w:tr w14:paraId="38A78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1" w:hRule="atLeast"/>
                <w:jc w:val="center"/>
              </w:trPr>
              <w:tc>
                <w:tcPr>
                  <w:tcW w:w="1750" w:type="dxa"/>
                  <w:noWrap w:val="0"/>
                  <w:tcMar>
                    <w:top w:w="15" w:type="dxa"/>
                    <w:left w:w="15" w:type="dxa"/>
                    <w:right w:w="15" w:type="dxa"/>
                  </w:tcMar>
                  <w:vAlign w:val="center"/>
                </w:tcPr>
                <w:p w14:paraId="3C7526F4">
                  <w:pPr>
                    <w:keepNext w:val="0"/>
                    <w:keepLines w:val="0"/>
                    <w:pageBreakBefore w:val="0"/>
                    <w:widowControl/>
                    <w:kinsoku/>
                    <w:wordWrap/>
                    <w:overflowPunct/>
                    <w:topLinePunct w:val="0"/>
                    <w:bidi w:val="0"/>
                    <w:snapToGrid/>
                    <w:spacing w:line="240" w:lineRule="auto"/>
                    <w:ind w:left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005：记录处理时间标识</w:t>
                  </w:r>
                </w:p>
              </w:tc>
              <w:tc>
                <w:tcPr>
                  <w:tcW w:w="2409" w:type="dxa"/>
                  <w:noWrap w:val="0"/>
                  <w:tcMar>
                    <w:top w:w="15" w:type="dxa"/>
                    <w:left w:w="15" w:type="dxa"/>
                    <w:right w:w="15" w:type="dxa"/>
                  </w:tcMar>
                  <w:vAlign w:val="center"/>
                </w:tcPr>
                <w:p w14:paraId="0A47DD4A">
                  <w:pPr>
                    <w:keepNext w:val="0"/>
                    <w:keepLines w:val="0"/>
                    <w:pageBreakBefore w:val="0"/>
                    <w:widowControl/>
                    <w:kinsoku/>
                    <w:wordWrap/>
                    <w:overflowPunct/>
                    <w:topLinePunct w:val="0"/>
                    <w:bidi w:val="0"/>
                    <w:snapToGrid/>
                    <w:spacing w:line="240" w:lineRule="auto"/>
                    <w:ind w:left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303：著录信息的一般性附注</w:t>
                  </w:r>
                </w:p>
              </w:tc>
              <w:tc>
                <w:tcPr>
                  <w:tcW w:w="1545" w:type="dxa"/>
                  <w:noWrap w:val="0"/>
                  <w:tcMar>
                    <w:top w:w="15" w:type="dxa"/>
                    <w:left w:w="15" w:type="dxa"/>
                    <w:right w:w="15" w:type="dxa"/>
                  </w:tcMar>
                  <w:vAlign w:val="center"/>
                </w:tcPr>
                <w:p w14:paraId="652ED425">
                  <w:pPr>
                    <w:keepNext w:val="0"/>
                    <w:keepLines w:val="0"/>
                    <w:pageBreakBefore w:val="0"/>
                    <w:widowControl/>
                    <w:kinsoku/>
                    <w:wordWrap/>
                    <w:overflowPunct/>
                    <w:topLinePunct w:val="0"/>
                    <w:bidi w:val="0"/>
                    <w:snapToGrid/>
                    <w:spacing w:line="240" w:lineRule="auto"/>
                    <w:ind w:left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517：其它题名</w:t>
                  </w:r>
                </w:p>
              </w:tc>
            </w:tr>
            <w:tr w14:paraId="7B3D4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1" w:hRule="atLeast"/>
                <w:jc w:val="center"/>
              </w:trPr>
              <w:tc>
                <w:tcPr>
                  <w:tcW w:w="1750" w:type="dxa"/>
                  <w:noWrap w:val="0"/>
                  <w:tcMar>
                    <w:top w:w="15" w:type="dxa"/>
                    <w:left w:w="15" w:type="dxa"/>
                    <w:right w:w="15" w:type="dxa"/>
                  </w:tcMar>
                  <w:vAlign w:val="center"/>
                </w:tcPr>
                <w:p w14:paraId="6981E482">
                  <w:pPr>
                    <w:keepNext w:val="0"/>
                    <w:keepLines w:val="0"/>
                    <w:pageBreakBefore w:val="0"/>
                    <w:widowControl/>
                    <w:kinsoku/>
                    <w:wordWrap/>
                    <w:overflowPunct/>
                    <w:topLinePunct w:val="0"/>
                    <w:bidi w:val="0"/>
                    <w:snapToGrid/>
                    <w:spacing w:line="240" w:lineRule="auto"/>
                    <w:ind w:left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010：ISBN号</w:t>
                  </w:r>
                </w:p>
              </w:tc>
              <w:tc>
                <w:tcPr>
                  <w:tcW w:w="2409" w:type="dxa"/>
                  <w:noWrap w:val="0"/>
                  <w:tcMar>
                    <w:top w:w="15" w:type="dxa"/>
                    <w:left w:w="15" w:type="dxa"/>
                    <w:right w:w="15" w:type="dxa"/>
                  </w:tcMar>
                  <w:vAlign w:val="center"/>
                </w:tcPr>
                <w:p w14:paraId="71F5DF4D">
                  <w:pPr>
                    <w:keepNext w:val="0"/>
                    <w:keepLines w:val="0"/>
                    <w:pageBreakBefore w:val="0"/>
                    <w:widowControl/>
                    <w:kinsoku/>
                    <w:wordWrap/>
                    <w:overflowPunct/>
                    <w:topLinePunct w:val="0"/>
                    <w:bidi w:val="0"/>
                    <w:snapToGrid/>
                    <w:spacing w:line="240" w:lineRule="auto"/>
                    <w:ind w:left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305：版本与书目沿革附注</w:t>
                  </w:r>
                </w:p>
              </w:tc>
              <w:tc>
                <w:tcPr>
                  <w:tcW w:w="1545" w:type="dxa"/>
                  <w:noWrap w:val="0"/>
                  <w:tcMar>
                    <w:top w:w="15" w:type="dxa"/>
                    <w:left w:w="15" w:type="dxa"/>
                    <w:right w:w="15" w:type="dxa"/>
                  </w:tcMar>
                  <w:vAlign w:val="center"/>
                </w:tcPr>
                <w:p w14:paraId="4510802E">
                  <w:pPr>
                    <w:keepNext w:val="0"/>
                    <w:keepLines w:val="0"/>
                    <w:pageBreakBefore w:val="0"/>
                    <w:widowControl/>
                    <w:kinsoku/>
                    <w:wordWrap/>
                    <w:overflowPunct/>
                    <w:topLinePunct w:val="0"/>
                    <w:bidi w:val="0"/>
                    <w:snapToGrid/>
                    <w:spacing w:line="240" w:lineRule="auto"/>
                    <w:ind w:left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600：个人名称主题</w:t>
                  </w:r>
                </w:p>
              </w:tc>
            </w:tr>
            <w:tr w14:paraId="32D5B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1" w:hRule="atLeast"/>
                <w:jc w:val="center"/>
              </w:trPr>
              <w:tc>
                <w:tcPr>
                  <w:tcW w:w="1750" w:type="dxa"/>
                  <w:noWrap w:val="0"/>
                  <w:tcMar>
                    <w:top w:w="15" w:type="dxa"/>
                    <w:left w:w="15" w:type="dxa"/>
                    <w:right w:w="15" w:type="dxa"/>
                  </w:tcMar>
                  <w:vAlign w:val="center"/>
                </w:tcPr>
                <w:p w14:paraId="4B57B006">
                  <w:pPr>
                    <w:keepNext w:val="0"/>
                    <w:keepLines w:val="0"/>
                    <w:pageBreakBefore w:val="0"/>
                    <w:widowControl/>
                    <w:kinsoku/>
                    <w:wordWrap/>
                    <w:overflowPunct/>
                    <w:topLinePunct w:val="0"/>
                    <w:bidi w:val="0"/>
                    <w:snapToGrid/>
                    <w:spacing w:line="240" w:lineRule="auto"/>
                    <w:ind w:left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100：一般处理数据</w:t>
                  </w:r>
                </w:p>
              </w:tc>
              <w:tc>
                <w:tcPr>
                  <w:tcW w:w="2409" w:type="dxa"/>
                  <w:noWrap w:val="0"/>
                  <w:tcMar>
                    <w:top w:w="15" w:type="dxa"/>
                    <w:left w:w="15" w:type="dxa"/>
                    <w:right w:w="15" w:type="dxa"/>
                  </w:tcMar>
                  <w:vAlign w:val="center"/>
                </w:tcPr>
                <w:p w14:paraId="4C826395">
                  <w:pPr>
                    <w:keepNext w:val="0"/>
                    <w:keepLines w:val="0"/>
                    <w:pageBreakBefore w:val="0"/>
                    <w:widowControl/>
                    <w:kinsoku/>
                    <w:wordWrap/>
                    <w:overflowPunct/>
                    <w:topLinePunct w:val="0"/>
                    <w:bidi w:val="0"/>
                    <w:snapToGrid/>
                    <w:spacing w:line="240" w:lineRule="auto"/>
                    <w:ind w:left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306：出版发行附注</w:t>
                  </w:r>
                </w:p>
              </w:tc>
              <w:tc>
                <w:tcPr>
                  <w:tcW w:w="1545" w:type="dxa"/>
                  <w:noWrap w:val="0"/>
                  <w:tcMar>
                    <w:top w:w="15" w:type="dxa"/>
                    <w:left w:w="15" w:type="dxa"/>
                    <w:right w:w="15" w:type="dxa"/>
                  </w:tcMar>
                  <w:vAlign w:val="center"/>
                </w:tcPr>
                <w:p w14:paraId="4351A71C">
                  <w:pPr>
                    <w:keepNext w:val="0"/>
                    <w:keepLines w:val="0"/>
                    <w:pageBreakBefore w:val="0"/>
                    <w:widowControl/>
                    <w:kinsoku/>
                    <w:wordWrap/>
                    <w:overflowPunct/>
                    <w:topLinePunct w:val="0"/>
                    <w:bidi w:val="0"/>
                    <w:snapToGrid/>
                    <w:spacing w:line="240" w:lineRule="auto"/>
                    <w:ind w:left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601：团体名称主题</w:t>
                  </w:r>
                </w:p>
              </w:tc>
            </w:tr>
            <w:tr w14:paraId="5BA7A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atLeast"/>
                <w:jc w:val="center"/>
              </w:trPr>
              <w:tc>
                <w:tcPr>
                  <w:tcW w:w="1750" w:type="dxa"/>
                  <w:noWrap w:val="0"/>
                  <w:tcMar>
                    <w:top w:w="15" w:type="dxa"/>
                    <w:left w:w="15" w:type="dxa"/>
                    <w:right w:w="15" w:type="dxa"/>
                  </w:tcMar>
                  <w:vAlign w:val="center"/>
                </w:tcPr>
                <w:p w14:paraId="317B3F02">
                  <w:pPr>
                    <w:keepNext w:val="0"/>
                    <w:keepLines w:val="0"/>
                    <w:pageBreakBefore w:val="0"/>
                    <w:widowControl/>
                    <w:kinsoku/>
                    <w:wordWrap/>
                    <w:overflowPunct/>
                    <w:topLinePunct w:val="0"/>
                    <w:bidi w:val="0"/>
                    <w:snapToGrid/>
                    <w:spacing w:line="240" w:lineRule="auto"/>
                    <w:ind w:left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101：语种代码</w:t>
                  </w:r>
                </w:p>
              </w:tc>
              <w:tc>
                <w:tcPr>
                  <w:tcW w:w="2409" w:type="dxa"/>
                  <w:noWrap w:val="0"/>
                  <w:tcMar>
                    <w:top w:w="15" w:type="dxa"/>
                    <w:left w:w="15" w:type="dxa"/>
                    <w:right w:w="15" w:type="dxa"/>
                  </w:tcMar>
                  <w:vAlign w:val="center"/>
                </w:tcPr>
                <w:p w14:paraId="0C491A95">
                  <w:pPr>
                    <w:keepNext w:val="0"/>
                    <w:keepLines w:val="0"/>
                    <w:pageBreakBefore w:val="0"/>
                    <w:widowControl/>
                    <w:kinsoku/>
                    <w:wordWrap/>
                    <w:overflowPunct/>
                    <w:topLinePunct w:val="0"/>
                    <w:bidi w:val="0"/>
                    <w:snapToGrid/>
                    <w:spacing w:line="240" w:lineRule="auto"/>
                    <w:ind w:left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307：载体形态附注</w:t>
                  </w:r>
                </w:p>
              </w:tc>
              <w:tc>
                <w:tcPr>
                  <w:tcW w:w="1545" w:type="dxa"/>
                  <w:noWrap w:val="0"/>
                  <w:tcMar>
                    <w:top w:w="15" w:type="dxa"/>
                    <w:left w:w="15" w:type="dxa"/>
                    <w:right w:w="15" w:type="dxa"/>
                  </w:tcMar>
                  <w:vAlign w:val="center"/>
                </w:tcPr>
                <w:p w14:paraId="109F2580">
                  <w:pPr>
                    <w:keepNext w:val="0"/>
                    <w:keepLines w:val="0"/>
                    <w:pageBreakBefore w:val="0"/>
                    <w:widowControl/>
                    <w:kinsoku/>
                    <w:wordWrap/>
                    <w:overflowPunct/>
                    <w:topLinePunct w:val="0"/>
                    <w:bidi w:val="0"/>
                    <w:snapToGrid/>
                    <w:spacing w:line="240" w:lineRule="auto"/>
                    <w:ind w:left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605：题名主题</w:t>
                  </w:r>
                </w:p>
              </w:tc>
            </w:tr>
            <w:tr w14:paraId="12663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atLeast"/>
                <w:jc w:val="center"/>
              </w:trPr>
              <w:tc>
                <w:tcPr>
                  <w:tcW w:w="1750" w:type="dxa"/>
                  <w:noWrap w:val="0"/>
                  <w:tcMar>
                    <w:top w:w="15" w:type="dxa"/>
                    <w:left w:w="15" w:type="dxa"/>
                    <w:right w:w="15" w:type="dxa"/>
                  </w:tcMar>
                  <w:vAlign w:val="center"/>
                </w:tcPr>
                <w:p w14:paraId="2ED77655">
                  <w:pPr>
                    <w:keepNext w:val="0"/>
                    <w:keepLines w:val="0"/>
                    <w:pageBreakBefore w:val="0"/>
                    <w:widowControl/>
                    <w:kinsoku/>
                    <w:wordWrap/>
                    <w:overflowPunct/>
                    <w:topLinePunct w:val="0"/>
                    <w:bidi w:val="0"/>
                    <w:snapToGrid/>
                    <w:spacing w:line="240" w:lineRule="auto"/>
                    <w:ind w:left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102：出版/制作国别代码</w:t>
                  </w:r>
                </w:p>
              </w:tc>
              <w:tc>
                <w:tcPr>
                  <w:tcW w:w="2409" w:type="dxa"/>
                  <w:noWrap w:val="0"/>
                  <w:tcMar>
                    <w:top w:w="15" w:type="dxa"/>
                    <w:left w:w="15" w:type="dxa"/>
                    <w:right w:w="15" w:type="dxa"/>
                  </w:tcMar>
                  <w:vAlign w:val="center"/>
                </w:tcPr>
                <w:p w14:paraId="278F970E">
                  <w:pPr>
                    <w:keepNext w:val="0"/>
                    <w:keepLines w:val="0"/>
                    <w:pageBreakBefore w:val="0"/>
                    <w:widowControl/>
                    <w:kinsoku/>
                    <w:wordWrap/>
                    <w:overflowPunct/>
                    <w:topLinePunct w:val="0"/>
                    <w:bidi w:val="0"/>
                    <w:snapToGrid/>
                    <w:spacing w:line="240" w:lineRule="auto"/>
                    <w:ind w:left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320：书目/索引附注</w:t>
                  </w:r>
                </w:p>
              </w:tc>
              <w:tc>
                <w:tcPr>
                  <w:tcW w:w="1545" w:type="dxa"/>
                  <w:noWrap w:val="0"/>
                  <w:tcMar>
                    <w:top w:w="15" w:type="dxa"/>
                    <w:left w:w="15" w:type="dxa"/>
                    <w:right w:w="15" w:type="dxa"/>
                  </w:tcMar>
                  <w:vAlign w:val="center"/>
                </w:tcPr>
                <w:p w14:paraId="4D5A6E3A">
                  <w:pPr>
                    <w:keepNext w:val="0"/>
                    <w:keepLines w:val="0"/>
                    <w:pageBreakBefore w:val="0"/>
                    <w:widowControl/>
                    <w:kinsoku/>
                    <w:wordWrap/>
                    <w:overflowPunct/>
                    <w:topLinePunct w:val="0"/>
                    <w:bidi w:val="0"/>
                    <w:snapToGrid/>
                    <w:spacing w:line="240" w:lineRule="auto"/>
                    <w:ind w:left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606：普通主题</w:t>
                  </w:r>
                </w:p>
              </w:tc>
            </w:tr>
            <w:tr w14:paraId="011EF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1" w:hRule="atLeast"/>
                <w:jc w:val="center"/>
              </w:trPr>
              <w:tc>
                <w:tcPr>
                  <w:tcW w:w="1750" w:type="dxa"/>
                  <w:noWrap w:val="0"/>
                  <w:tcMar>
                    <w:top w:w="15" w:type="dxa"/>
                    <w:left w:w="15" w:type="dxa"/>
                    <w:right w:w="15" w:type="dxa"/>
                  </w:tcMar>
                  <w:vAlign w:val="center"/>
                </w:tcPr>
                <w:p w14:paraId="67262C6B">
                  <w:pPr>
                    <w:keepNext w:val="0"/>
                    <w:keepLines w:val="0"/>
                    <w:pageBreakBefore w:val="0"/>
                    <w:widowControl/>
                    <w:kinsoku/>
                    <w:wordWrap/>
                    <w:overflowPunct/>
                    <w:topLinePunct w:val="0"/>
                    <w:bidi w:val="0"/>
                    <w:snapToGrid/>
                    <w:spacing w:line="240" w:lineRule="auto"/>
                    <w:ind w:left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105：图书编码数据</w:t>
                  </w:r>
                </w:p>
              </w:tc>
              <w:tc>
                <w:tcPr>
                  <w:tcW w:w="2409" w:type="dxa"/>
                  <w:noWrap w:val="0"/>
                  <w:tcMar>
                    <w:top w:w="15" w:type="dxa"/>
                    <w:left w:w="15" w:type="dxa"/>
                    <w:right w:w="15" w:type="dxa"/>
                  </w:tcMar>
                  <w:vAlign w:val="center"/>
                </w:tcPr>
                <w:p w14:paraId="6C39A9F0">
                  <w:pPr>
                    <w:keepNext w:val="0"/>
                    <w:keepLines w:val="0"/>
                    <w:pageBreakBefore w:val="0"/>
                    <w:widowControl/>
                    <w:kinsoku/>
                    <w:wordWrap/>
                    <w:overflowPunct/>
                    <w:topLinePunct w:val="0"/>
                    <w:bidi w:val="0"/>
                    <w:snapToGrid/>
                    <w:spacing w:line="240" w:lineRule="auto"/>
                    <w:ind w:left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327：内容附注</w:t>
                  </w:r>
                </w:p>
              </w:tc>
              <w:tc>
                <w:tcPr>
                  <w:tcW w:w="1545" w:type="dxa"/>
                  <w:noWrap w:val="0"/>
                  <w:tcMar>
                    <w:top w:w="15" w:type="dxa"/>
                    <w:left w:w="15" w:type="dxa"/>
                    <w:right w:w="15" w:type="dxa"/>
                  </w:tcMar>
                  <w:vAlign w:val="center"/>
                </w:tcPr>
                <w:p w14:paraId="41826078">
                  <w:pPr>
                    <w:keepNext w:val="0"/>
                    <w:keepLines w:val="0"/>
                    <w:pageBreakBefore w:val="0"/>
                    <w:widowControl/>
                    <w:kinsoku/>
                    <w:wordWrap/>
                    <w:overflowPunct/>
                    <w:topLinePunct w:val="0"/>
                    <w:bidi w:val="0"/>
                    <w:snapToGrid/>
                    <w:spacing w:line="240" w:lineRule="auto"/>
                    <w:ind w:left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610：非控主题词</w:t>
                  </w:r>
                </w:p>
              </w:tc>
            </w:tr>
            <w:tr w14:paraId="490B7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atLeast"/>
                <w:jc w:val="center"/>
              </w:trPr>
              <w:tc>
                <w:tcPr>
                  <w:tcW w:w="1750" w:type="dxa"/>
                  <w:noWrap w:val="0"/>
                  <w:tcMar>
                    <w:top w:w="15" w:type="dxa"/>
                    <w:left w:w="15" w:type="dxa"/>
                    <w:right w:w="15" w:type="dxa"/>
                  </w:tcMar>
                  <w:vAlign w:val="center"/>
                </w:tcPr>
                <w:p w14:paraId="3EC14854">
                  <w:pPr>
                    <w:keepNext w:val="0"/>
                    <w:keepLines w:val="0"/>
                    <w:pageBreakBefore w:val="0"/>
                    <w:widowControl/>
                    <w:kinsoku/>
                    <w:wordWrap/>
                    <w:overflowPunct/>
                    <w:topLinePunct w:val="0"/>
                    <w:bidi w:val="0"/>
                    <w:snapToGrid/>
                    <w:spacing w:line="240" w:lineRule="auto"/>
                    <w:ind w:left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106：形态特征编码</w:t>
                  </w:r>
                </w:p>
              </w:tc>
              <w:tc>
                <w:tcPr>
                  <w:tcW w:w="2409" w:type="dxa"/>
                  <w:noWrap w:val="0"/>
                  <w:tcMar>
                    <w:top w:w="15" w:type="dxa"/>
                    <w:left w:w="15" w:type="dxa"/>
                    <w:right w:w="15" w:type="dxa"/>
                  </w:tcMar>
                  <w:vAlign w:val="center"/>
                </w:tcPr>
                <w:p w14:paraId="1D0F0335">
                  <w:pPr>
                    <w:keepNext w:val="0"/>
                    <w:keepLines w:val="0"/>
                    <w:pageBreakBefore w:val="0"/>
                    <w:widowControl/>
                    <w:kinsoku/>
                    <w:wordWrap/>
                    <w:overflowPunct/>
                    <w:topLinePunct w:val="0"/>
                    <w:bidi w:val="0"/>
                    <w:snapToGrid/>
                    <w:spacing w:line="240" w:lineRule="auto"/>
                    <w:ind w:left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330：提要附注</w:t>
                  </w:r>
                </w:p>
              </w:tc>
              <w:tc>
                <w:tcPr>
                  <w:tcW w:w="1545" w:type="dxa"/>
                  <w:noWrap w:val="0"/>
                  <w:tcMar>
                    <w:top w:w="15" w:type="dxa"/>
                    <w:left w:w="15" w:type="dxa"/>
                    <w:right w:w="15" w:type="dxa"/>
                  </w:tcMar>
                  <w:vAlign w:val="center"/>
                </w:tcPr>
                <w:p w14:paraId="2BAE8005">
                  <w:pPr>
                    <w:keepNext w:val="0"/>
                    <w:keepLines w:val="0"/>
                    <w:pageBreakBefore w:val="0"/>
                    <w:widowControl/>
                    <w:kinsoku/>
                    <w:wordWrap/>
                    <w:overflowPunct/>
                    <w:topLinePunct w:val="0"/>
                    <w:bidi w:val="0"/>
                    <w:snapToGrid/>
                    <w:spacing w:line="240" w:lineRule="auto"/>
                    <w:ind w:left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690：中图号</w:t>
                  </w:r>
                </w:p>
              </w:tc>
            </w:tr>
            <w:tr w14:paraId="60C1D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1" w:hRule="atLeast"/>
                <w:jc w:val="center"/>
              </w:trPr>
              <w:tc>
                <w:tcPr>
                  <w:tcW w:w="1750" w:type="dxa"/>
                  <w:noWrap w:val="0"/>
                  <w:tcMar>
                    <w:top w:w="15" w:type="dxa"/>
                    <w:left w:w="15" w:type="dxa"/>
                    <w:right w:w="15" w:type="dxa"/>
                  </w:tcMar>
                  <w:vAlign w:val="center"/>
                </w:tcPr>
                <w:p w14:paraId="6B78E12B">
                  <w:pPr>
                    <w:keepNext w:val="0"/>
                    <w:keepLines w:val="0"/>
                    <w:pageBreakBefore w:val="0"/>
                    <w:widowControl/>
                    <w:kinsoku/>
                    <w:wordWrap/>
                    <w:overflowPunct/>
                    <w:topLinePunct w:val="0"/>
                    <w:bidi w:val="0"/>
                    <w:snapToGrid/>
                    <w:spacing w:line="240" w:lineRule="auto"/>
                    <w:ind w:left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200：题名与责任者信息</w:t>
                  </w:r>
                </w:p>
              </w:tc>
              <w:tc>
                <w:tcPr>
                  <w:tcW w:w="2409" w:type="dxa"/>
                  <w:noWrap w:val="0"/>
                  <w:tcMar>
                    <w:top w:w="15" w:type="dxa"/>
                    <w:left w:w="15" w:type="dxa"/>
                    <w:right w:w="15" w:type="dxa"/>
                  </w:tcMar>
                  <w:vAlign w:val="center"/>
                </w:tcPr>
                <w:p w14:paraId="5B2916CC">
                  <w:pPr>
                    <w:keepNext w:val="0"/>
                    <w:keepLines w:val="0"/>
                    <w:pageBreakBefore w:val="0"/>
                    <w:widowControl/>
                    <w:kinsoku/>
                    <w:wordWrap/>
                    <w:overflowPunct/>
                    <w:topLinePunct w:val="0"/>
                    <w:bidi w:val="0"/>
                    <w:snapToGrid/>
                    <w:spacing w:line="240" w:lineRule="auto"/>
                    <w:ind w:left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333：使用对象附注</w:t>
                  </w:r>
                </w:p>
              </w:tc>
              <w:tc>
                <w:tcPr>
                  <w:tcW w:w="1545" w:type="dxa"/>
                  <w:noWrap w:val="0"/>
                  <w:tcMar>
                    <w:top w:w="15" w:type="dxa"/>
                    <w:left w:w="15" w:type="dxa"/>
                    <w:right w:w="15" w:type="dxa"/>
                  </w:tcMar>
                  <w:vAlign w:val="center"/>
                </w:tcPr>
                <w:p w14:paraId="6888D7F0">
                  <w:pPr>
                    <w:keepNext w:val="0"/>
                    <w:keepLines w:val="0"/>
                    <w:pageBreakBefore w:val="0"/>
                    <w:widowControl/>
                    <w:kinsoku/>
                    <w:wordWrap/>
                    <w:overflowPunct/>
                    <w:topLinePunct w:val="0"/>
                    <w:bidi w:val="0"/>
                    <w:snapToGrid/>
                    <w:spacing w:line="240" w:lineRule="auto"/>
                    <w:ind w:left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701：个人主要责任者</w:t>
                  </w:r>
                </w:p>
              </w:tc>
            </w:tr>
            <w:tr w14:paraId="5AFFC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atLeast"/>
                <w:jc w:val="center"/>
              </w:trPr>
              <w:tc>
                <w:tcPr>
                  <w:tcW w:w="1750" w:type="dxa"/>
                  <w:noWrap w:val="0"/>
                  <w:tcMar>
                    <w:top w:w="15" w:type="dxa"/>
                    <w:left w:w="15" w:type="dxa"/>
                    <w:right w:w="15" w:type="dxa"/>
                  </w:tcMar>
                  <w:vAlign w:val="center"/>
                </w:tcPr>
                <w:p w14:paraId="4FE9EEF3">
                  <w:pPr>
                    <w:keepNext w:val="0"/>
                    <w:keepLines w:val="0"/>
                    <w:pageBreakBefore w:val="0"/>
                    <w:widowControl/>
                    <w:kinsoku/>
                    <w:wordWrap/>
                    <w:overflowPunct/>
                    <w:topLinePunct w:val="0"/>
                    <w:bidi w:val="0"/>
                    <w:snapToGrid/>
                    <w:spacing w:line="240" w:lineRule="auto"/>
                    <w:ind w:left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205：版本说明</w:t>
                  </w:r>
                </w:p>
              </w:tc>
              <w:tc>
                <w:tcPr>
                  <w:tcW w:w="2409" w:type="dxa"/>
                  <w:noWrap w:val="0"/>
                  <w:tcMar>
                    <w:top w:w="15" w:type="dxa"/>
                    <w:left w:w="15" w:type="dxa"/>
                    <w:right w:w="15" w:type="dxa"/>
                  </w:tcMar>
                  <w:vAlign w:val="center"/>
                </w:tcPr>
                <w:p w14:paraId="65F1230E">
                  <w:pPr>
                    <w:keepNext w:val="0"/>
                    <w:keepLines w:val="0"/>
                    <w:pageBreakBefore w:val="0"/>
                    <w:widowControl/>
                    <w:kinsoku/>
                    <w:wordWrap/>
                    <w:overflowPunct/>
                    <w:topLinePunct w:val="0"/>
                    <w:bidi w:val="0"/>
                    <w:snapToGrid/>
                    <w:spacing w:line="240" w:lineRule="auto"/>
                    <w:ind w:left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410：丛编连接项</w:t>
                  </w:r>
                </w:p>
              </w:tc>
              <w:tc>
                <w:tcPr>
                  <w:tcW w:w="1545" w:type="dxa"/>
                  <w:noWrap w:val="0"/>
                  <w:tcMar>
                    <w:top w:w="15" w:type="dxa"/>
                    <w:left w:w="15" w:type="dxa"/>
                    <w:right w:w="15" w:type="dxa"/>
                  </w:tcMar>
                  <w:vAlign w:val="center"/>
                </w:tcPr>
                <w:p w14:paraId="1F2F90F9">
                  <w:pPr>
                    <w:keepNext w:val="0"/>
                    <w:keepLines w:val="0"/>
                    <w:pageBreakBefore w:val="0"/>
                    <w:widowControl/>
                    <w:kinsoku/>
                    <w:wordWrap/>
                    <w:overflowPunct/>
                    <w:topLinePunct w:val="0"/>
                    <w:bidi w:val="0"/>
                    <w:snapToGrid/>
                    <w:spacing w:line="240" w:lineRule="auto"/>
                    <w:ind w:left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702：个人次要责任者</w:t>
                  </w:r>
                </w:p>
              </w:tc>
            </w:tr>
            <w:tr w14:paraId="0CCAA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1" w:hRule="atLeast"/>
                <w:jc w:val="center"/>
              </w:trPr>
              <w:tc>
                <w:tcPr>
                  <w:tcW w:w="1750" w:type="dxa"/>
                  <w:noWrap w:val="0"/>
                  <w:tcMar>
                    <w:top w:w="15" w:type="dxa"/>
                    <w:left w:w="15" w:type="dxa"/>
                    <w:right w:w="15" w:type="dxa"/>
                  </w:tcMar>
                  <w:vAlign w:val="center"/>
                </w:tcPr>
                <w:p w14:paraId="2F8F5753">
                  <w:pPr>
                    <w:keepNext w:val="0"/>
                    <w:keepLines w:val="0"/>
                    <w:pageBreakBefore w:val="0"/>
                    <w:widowControl/>
                    <w:kinsoku/>
                    <w:wordWrap/>
                    <w:overflowPunct/>
                    <w:topLinePunct w:val="0"/>
                    <w:bidi w:val="0"/>
                    <w:snapToGrid/>
                    <w:spacing w:line="240" w:lineRule="auto"/>
                    <w:ind w:left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210：出版发行项</w:t>
                  </w:r>
                </w:p>
              </w:tc>
              <w:tc>
                <w:tcPr>
                  <w:tcW w:w="2409" w:type="dxa"/>
                  <w:noWrap w:val="0"/>
                  <w:tcMar>
                    <w:top w:w="15" w:type="dxa"/>
                    <w:left w:w="15" w:type="dxa"/>
                    <w:right w:w="15" w:type="dxa"/>
                  </w:tcMar>
                  <w:vAlign w:val="center"/>
                </w:tcPr>
                <w:p w14:paraId="35D21ECF">
                  <w:pPr>
                    <w:keepNext w:val="0"/>
                    <w:keepLines w:val="0"/>
                    <w:pageBreakBefore w:val="0"/>
                    <w:widowControl/>
                    <w:kinsoku/>
                    <w:wordWrap/>
                    <w:overflowPunct/>
                    <w:topLinePunct w:val="0"/>
                    <w:bidi w:val="0"/>
                    <w:snapToGrid/>
                    <w:spacing w:line="240" w:lineRule="auto"/>
                    <w:ind w:left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423：合订题名</w:t>
                  </w:r>
                </w:p>
              </w:tc>
              <w:tc>
                <w:tcPr>
                  <w:tcW w:w="1545" w:type="dxa"/>
                  <w:noWrap w:val="0"/>
                  <w:tcMar>
                    <w:top w:w="15" w:type="dxa"/>
                    <w:left w:w="15" w:type="dxa"/>
                    <w:right w:w="15" w:type="dxa"/>
                  </w:tcMar>
                  <w:vAlign w:val="center"/>
                </w:tcPr>
                <w:p w14:paraId="0447A455">
                  <w:pPr>
                    <w:keepNext w:val="0"/>
                    <w:keepLines w:val="0"/>
                    <w:pageBreakBefore w:val="0"/>
                    <w:widowControl/>
                    <w:kinsoku/>
                    <w:wordWrap/>
                    <w:overflowPunct/>
                    <w:topLinePunct w:val="0"/>
                    <w:bidi w:val="0"/>
                    <w:snapToGrid/>
                    <w:spacing w:line="240" w:lineRule="auto"/>
                    <w:ind w:left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711：团体主要责任者</w:t>
                  </w:r>
                </w:p>
              </w:tc>
            </w:tr>
            <w:tr w14:paraId="4A6A2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atLeast"/>
                <w:jc w:val="center"/>
              </w:trPr>
              <w:tc>
                <w:tcPr>
                  <w:tcW w:w="1750" w:type="dxa"/>
                  <w:noWrap w:val="0"/>
                  <w:tcMar>
                    <w:top w:w="15" w:type="dxa"/>
                    <w:left w:w="15" w:type="dxa"/>
                    <w:right w:w="15" w:type="dxa"/>
                  </w:tcMar>
                  <w:vAlign w:val="center"/>
                </w:tcPr>
                <w:p w14:paraId="72DB5B65">
                  <w:pPr>
                    <w:keepNext w:val="0"/>
                    <w:keepLines w:val="0"/>
                    <w:pageBreakBefore w:val="0"/>
                    <w:widowControl/>
                    <w:kinsoku/>
                    <w:wordWrap/>
                    <w:overflowPunct/>
                    <w:topLinePunct w:val="0"/>
                    <w:bidi w:val="0"/>
                    <w:snapToGrid/>
                    <w:spacing w:line="240" w:lineRule="auto"/>
                    <w:ind w:left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215：载体形态项</w:t>
                  </w:r>
                </w:p>
              </w:tc>
              <w:tc>
                <w:tcPr>
                  <w:tcW w:w="2409" w:type="dxa"/>
                  <w:noWrap w:val="0"/>
                  <w:tcMar>
                    <w:top w:w="15" w:type="dxa"/>
                    <w:left w:w="15" w:type="dxa"/>
                    <w:right w:w="15" w:type="dxa"/>
                  </w:tcMar>
                  <w:vAlign w:val="center"/>
                </w:tcPr>
                <w:p w14:paraId="097136F1">
                  <w:pPr>
                    <w:keepNext w:val="0"/>
                    <w:keepLines w:val="0"/>
                    <w:pageBreakBefore w:val="0"/>
                    <w:widowControl/>
                    <w:kinsoku/>
                    <w:wordWrap/>
                    <w:overflowPunct/>
                    <w:topLinePunct w:val="0"/>
                    <w:bidi w:val="0"/>
                    <w:snapToGrid/>
                    <w:spacing w:line="240" w:lineRule="auto"/>
                    <w:ind w:left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500：统一题名</w:t>
                  </w:r>
                </w:p>
              </w:tc>
              <w:tc>
                <w:tcPr>
                  <w:tcW w:w="1545" w:type="dxa"/>
                  <w:noWrap w:val="0"/>
                  <w:tcMar>
                    <w:top w:w="15" w:type="dxa"/>
                    <w:left w:w="15" w:type="dxa"/>
                    <w:right w:w="15" w:type="dxa"/>
                  </w:tcMar>
                  <w:vAlign w:val="center"/>
                </w:tcPr>
                <w:p w14:paraId="6CE44ADE">
                  <w:pPr>
                    <w:keepNext w:val="0"/>
                    <w:keepLines w:val="0"/>
                    <w:pageBreakBefore w:val="0"/>
                    <w:widowControl/>
                    <w:kinsoku/>
                    <w:wordWrap/>
                    <w:overflowPunct/>
                    <w:topLinePunct w:val="0"/>
                    <w:bidi w:val="0"/>
                    <w:snapToGrid/>
                    <w:spacing w:line="240" w:lineRule="auto"/>
                    <w:ind w:left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712：团体次要责任者</w:t>
                  </w:r>
                </w:p>
              </w:tc>
            </w:tr>
            <w:tr w14:paraId="17F35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1" w:hRule="atLeast"/>
                <w:jc w:val="center"/>
              </w:trPr>
              <w:tc>
                <w:tcPr>
                  <w:tcW w:w="1750" w:type="dxa"/>
                  <w:noWrap w:val="0"/>
                  <w:tcMar>
                    <w:top w:w="15" w:type="dxa"/>
                    <w:left w:w="15" w:type="dxa"/>
                    <w:right w:w="15" w:type="dxa"/>
                  </w:tcMar>
                  <w:vAlign w:val="center"/>
                </w:tcPr>
                <w:p w14:paraId="483C320C">
                  <w:pPr>
                    <w:keepNext w:val="0"/>
                    <w:keepLines w:val="0"/>
                    <w:pageBreakBefore w:val="0"/>
                    <w:widowControl/>
                    <w:kinsoku/>
                    <w:wordWrap/>
                    <w:overflowPunct/>
                    <w:topLinePunct w:val="0"/>
                    <w:bidi w:val="0"/>
                    <w:snapToGrid/>
                    <w:spacing w:line="240" w:lineRule="auto"/>
                    <w:ind w:left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225：丛编项</w:t>
                  </w:r>
                </w:p>
              </w:tc>
              <w:tc>
                <w:tcPr>
                  <w:tcW w:w="2409" w:type="dxa"/>
                  <w:noWrap w:val="0"/>
                  <w:tcMar>
                    <w:top w:w="15" w:type="dxa"/>
                    <w:left w:w="15" w:type="dxa"/>
                    <w:right w:w="15" w:type="dxa"/>
                  </w:tcMar>
                  <w:vAlign w:val="center"/>
                </w:tcPr>
                <w:p w14:paraId="269E393F">
                  <w:pPr>
                    <w:keepNext w:val="0"/>
                    <w:keepLines w:val="0"/>
                    <w:pageBreakBefore w:val="0"/>
                    <w:widowControl/>
                    <w:kinsoku/>
                    <w:wordWrap/>
                    <w:overflowPunct/>
                    <w:topLinePunct w:val="0"/>
                    <w:bidi w:val="0"/>
                    <w:snapToGrid/>
                    <w:spacing w:line="240" w:lineRule="auto"/>
                    <w:ind w:left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510：并列正题名</w:t>
                  </w:r>
                </w:p>
              </w:tc>
              <w:tc>
                <w:tcPr>
                  <w:tcW w:w="1545" w:type="dxa"/>
                  <w:noWrap w:val="0"/>
                  <w:tcMar>
                    <w:top w:w="15" w:type="dxa"/>
                    <w:left w:w="15" w:type="dxa"/>
                    <w:right w:w="15" w:type="dxa"/>
                  </w:tcMar>
                  <w:vAlign w:val="center"/>
                </w:tcPr>
                <w:p w14:paraId="1275B914">
                  <w:pPr>
                    <w:keepNext w:val="0"/>
                    <w:keepLines w:val="0"/>
                    <w:pageBreakBefore w:val="0"/>
                    <w:widowControl/>
                    <w:kinsoku/>
                    <w:wordWrap/>
                    <w:overflowPunct/>
                    <w:topLinePunct w:val="0"/>
                    <w:bidi w:val="0"/>
                    <w:snapToGrid/>
                    <w:spacing w:line="240" w:lineRule="auto"/>
                    <w:ind w:left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801：记录来源</w:t>
                  </w:r>
                </w:p>
              </w:tc>
            </w:tr>
            <w:tr w14:paraId="7E659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1" w:hRule="atLeast"/>
                <w:jc w:val="center"/>
              </w:trPr>
              <w:tc>
                <w:tcPr>
                  <w:tcW w:w="1750" w:type="dxa"/>
                  <w:noWrap w:val="0"/>
                  <w:tcMar>
                    <w:top w:w="15" w:type="dxa"/>
                    <w:left w:w="15" w:type="dxa"/>
                    <w:right w:w="15" w:type="dxa"/>
                  </w:tcMar>
                  <w:vAlign w:val="center"/>
                </w:tcPr>
                <w:p w14:paraId="52BE460E">
                  <w:pPr>
                    <w:keepNext w:val="0"/>
                    <w:keepLines w:val="0"/>
                    <w:pageBreakBefore w:val="0"/>
                    <w:widowControl/>
                    <w:kinsoku/>
                    <w:wordWrap/>
                    <w:overflowPunct/>
                    <w:topLinePunct w:val="0"/>
                    <w:bidi w:val="0"/>
                    <w:snapToGrid/>
                    <w:spacing w:line="240" w:lineRule="auto"/>
                    <w:ind w:left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230：资料特定细节项：电子资源特征</w:t>
                  </w:r>
                </w:p>
              </w:tc>
              <w:tc>
                <w:tcPr>
                  <w:tcW w:w="2409" w:type="dxa"/>
                  <w:noWrap w:val="0"/>
                  <w:tcMar>
                    <w:top w:w="15" w:type="dxa"/>
                    <w:left w:w="15" w:type="dxa"/>
                    <w:right w:w="15" w:type="dxa"/>
                  </w:tcMar>
                  <w:vAlign w:val="center"/>
                </w:tcPr>
                <w:p w14:paraId="1C773BAD">
                  <w:pPr>
                    <w:keepNext w:val="0"/>
                    <w:keepLines w:val="0"/>
                    <w:pageBreakBefore w:val="0"/>
                    <w:widowControl/>
                    <w:kinsoku/>
                    <w:wordWrap/>
                    <w:overflowPunct/>
                    <w:topLinePunct w:val="0"/>
                    <w:bidi w:val="0"/>
                    <w:snapToGrid/>
                    <w:spacing w:line="240" w:lineRule="auto"/>
                    <w:ind w:left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512：封面题名</w:t>
                  </w:r>
                </w:p>
              </w:tc>
              <w:tc>
                <w:tcPr>
                  <w:tcW w:w="1545" w:type="dxa"/>
                  <w:noWrap w:val="0"/>
                  <w:tcMar>
                    <w:top w:w="15" w:type="dxa"/>
                    <w:left w:w="15" w:type="dxa"/>
                    <w:right w:w="15" w:type="dxa"/>
                  </w:tcMar>
                  <w:vAlign w:val="center"/>
                </w:tcPr>
                <w:p w14:paraId="12ABE5EE">
                  <w:pPr>
                    <w:keepNext w:val="0"/>
                    <w:keepLines w:val="0"/>
                    <w:pageBreakBefore w:val="0"/>
                    <w:widowControl/>
                    <w:kinsoku/>
                    <w:wordWrap/>
                    <w:overflowPunct/>
                    <w:topLinePunct w:val="0"/>
                    <w:bidi w:val="0"/>
                    <w:snapToGrid/>
                    <w:spacing w:line="240" w:lineRule="auto"/>
                    <w:ind w:left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905：馆藏信息</w:t>
                  </w:r>
                </w:p>
              </w:tc>
            </w:tr>
          </w:tbl>
          <w:p w14:paraId="074E939A">
            <w:pPr>
              <w:keepNext w:val="0"/>
              <w:keepLines w:val="0"/>
              <w:pageBreakBefore w:val="0"/>
              <w:kinsoku/>
              <w:wordWrap/>
              <w:overflowPunct/>
              <w:topLinePunct w:val="0"/>
              <w:bidi w:val="0"/>
              <w:snapToGrid/>
              <w:spacing w:line="240" w:lineRule="auto"/>
              <w:ind w:leftChars="0" w:firstLine="422" w:firstLineChars="20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22.</w:t>
            </w:r>
            <w:r>
              <w:rPr>
                <w:rFonts w:hint="eastAsia" w:ascii="宋体" w:hAnsi="宋体" w:eastAsia="宋体" w:cs="宋体"/>
                <w:b/>
                <w:bCs/>
                <w:color w:val="auto"/>
                <w:sz w:val="21"/>
                <w:szCs w:val="21"/>
                <w:highlight w:val="none"/>
              </w:rPr>
              <w:t>图书上架要求：</w:t>
            </w:r>
            <w:r>
              <w:rPr>
                <w:rFonts w:hint="eastAsia" w:ascii="宋体" w:hAnsi="宋体" w:eastAsia="宋体" w:cs="宋体"/>
                <w:color w:val="auto"/>
                <w:sz w:val="21"/>
                <w:szCs w:val="21"/>
                <w:highlight w:val="none"/>
              </w:rPr>
              <w:t>必须按《中国图书馆图书分类法》分大类打包。并在每一包书的外包装上注明包内是哪一类图书。录入数据完毕经检查确认没有问题后，负责将新书送至书库排架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具体上架的时间和地点由采购人指定</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以及将图书与书架、层架标进行相关数据信息定位绑定。并配合采购人将相关图书定位信息上传导入至采购人现行图书馆管理系统，最终应实现在图书馆管理系统内可查询到该次采购的任意书目的相关馆藏信息及其定位信息。数据转换及定位等加工过程所需的相关设备由供应商自备。验收及后续使用过程中发现有图书定位错误的，由供应商负责纠正，由此产生的相关费用由供应商承担。</w:t>
            </w:r>
          </w:p>
          <w:p w14:paraId="5F65C96D">
            <w:pPr>
              <w:keepNext w:val="0"/>
              <w:keepLines w:val="0"/>
              <w:pageBreakBefore w:val="0"/>
              <w:kinsoku/>
              <w:wordWrap/>
              <w:overflowPunct/>
              <w:topLinePunct w:val="0"/>
              <w:bidi w:val="0"/>
              <w:snapToGrid/>
              <w:spacing w:line="240" w:lineRule="auto"/>
              <w:ind w:leftChars="0"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23.</w:t>
            </w:r>
            <w:r>
              <w:rPr>
                <w:rFonts w:hint="eastAsia" w:ascii="宋体" w:hAnsi="宋体" w:eastAsia="宋体" w:cs="宋体"/>
                <w:b/>
                <w:bCs/>
                <w:color w:val="auto"/>
                <w:sz w:val="21"/>
                <w:szCs w:val="21"/>
                <w:highlight w:val="none"/>
              </w:rPr>
              <w:t>书目数据要求：</w:t>
            </w:r>
            <w:r>
              <w:rPr>
                <w:rFonts w:hint="eastAsia" w:ascii="宋体" w:hAnsi="宋体" w:eastAsia="宋体" w:cs="宋体"/>
                <w:color w:val="auto"/>
                <w:sz w:val="21"/>
                <w:szCs w:val="21"/>
                <w:highlight w:val="none"/>
              </w:rPr>
              <w:t>图书书目数据加工完成，对完成初步加工的图书进行图书著录、分类及数据的导入，以所供的图书能在采购人</w:t>
            </w:r>
            <w:r>
              <w:rPr>
                <w:rFonts w:hint="eastAsia" w:ascii="宋体" w:hAnsi="宋体" w:eastAsia="宋体" w:cs="宋体"/>
                <w:color w:val="auto"/>
                <w:sz w:val="21"/>
                <w:szCs w:val="21"/>
                <w:highlight w:val="none"/>
                <w:lang w:val="en-US" w:eastAsia="zh-CN"/>
              </w:rPr>
              <w:t>的</w:t>
            </w:r>
            <w:r>
              <w:rPr>
                <w:rFonts w:hint="eastAsia" w:ascii="宋体" w:hAnsi="宋体" w:eastAsia="宋体" w:cs="宋体"/>
                <w:color w:val="auto"/>
                <w:sz w:val="21"/>
                <w:szCs w:val="21"/>
                <w:highlight w:val="none"/>
              </w:rPr>
              <w:t>管理系统内供读者借、还使用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且数据完全符合该系统的格式及运行要求为准。如数据不能正常使用，有数据转换套录问题和采购查重问题等，由供应商负责解决。</w:t>
            </w:r>
            <w:r>
              <w:rPr>
                <w:rFonts w:hint="eastAsia" w:ascii="宋体" w:hAnsi="宋体" w:eastAsia="宋体" w:cs="宋体"/>
                <w:color w:val="auto"/>
                <w:sz w:val="21"/>
                <w:szCs w:val="21"/>
                <w:highlight w:val="none"/>
                <w:lang w:val="en-US" w:eastAsia="zh-CN"/>
              </w:rPr>
              <w:t>完成所有加工流程之后，供应商应将完整的：植入芯片数据号（或唯一识别码）-条码号-ISBN编号-书名一一对应表（电子版）发给采购人存档。</w:t>
            </w:r>
            <w:r>
              <w:rPr>
                <w:rFonts w:hint="eastAsia" w:ascii="宋体" w:hAnsi="宋体" w:eastAsia="宋体" w:cs="宋体"/>
                <w:color w:val="auto"/>
                <w:sz w:val="21"/>
                <w:szCs w:val="21"/>
                <w:highlight w:val="none"/>
              </w:rPr>
              <w:t>采购人图书馆现有使用的集成管理系统为：超微新一代图书馆管理系统，图书数据加工费由供应商承担。</w:t>
            </w:r>
          </w:p>
          <w:p w14:paraId="3961D664">
            <w:pPr>
              <w:pStyle w:val="3"/>
              <w:keepNext w:val="0"/>
              <w:keepLines w:val="0"/>
              <w:pageBreakBefore w:val="0"/>
              <w:kinsoku/>
              <w:wordWrap/>
              <w:overflowPunct/>
              <w:topLinePunct w:val="0"/>
              <w:bidi w:val="0"/>
              <w:snapToGrid/>
              <w:spacing w:line="240" w:lineRule="auto"/>
              <w:ind w:lef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24.</w:t>
            </w:r>
            <w:r>
              <w:rPr>
                <w:rFonts w:hint="eastAsia" w:ascii="宋体" w:hAnsi="宋体" w:eastAsia="宋体" w:cs="宋体"/>
                <w:color w:val="auto"/>
                <w:sz w:val="21"/>
                <w:szCs w:val="21"/>
                <w:highlight w:val="none"/>
                <w:lang w:eastAsia="zh-CN"/>
              </w:rPr>
              <w:t>合同履行期内</w:t>
            </w:r>
            <w:r>
              <w:rPr>
                <w:rFonts w:hint="eastAsia" w:ascii="宋体" w:hAnsi="宋体" w:eastAsia="宋体" w:cs="宋体"/>
                <w:color w:val="auto"/>
                <w:sz w:val="21"/>
                <w:szCs w:val="21"/>
                <w:highlight w:val="none"/>
              </w:rPr>
              <w:t>，供应商提供并配合采购人举办阅读推广</w:t>
            </w:r>
            <w:r>
              <w:rPr>
                <w:rFonts w:hint="eastAsia" w:ascii="宋体" w:hAnsi="宋体" w:eastAsia="宋体" w:cs="宋体"/>
                <w:color w:val="auto"/>
                <w:sz w:val="21"/>
                <w:szCs w:val="21"/>
                <w:highlight w:val="none"/>
                <w:lang w:val="en-US" w:eastAsia="zh-CN"/>
              </w:rPr>
              <w:t>活动或</w:t>
            </w:r>
            <w:r>
              <w:rPr>
                <w:rFonts w:hint="eastAsia" w:ascii="宋体" w:hAnsi="宋体" w:eastAsia="宋体" w:cs="宋体"/>
                <w:b w:val="0"/>
                <w:bCs w:val="0"/>
                <w:color w:val="auto"/>
                <w:sz w:val="21"/>
                <w:szCs w:val="21"/>
                <w:highlight w:val="none"/>
                <w:lang w:val="en-US" w:eastAsia="zh-CN"/>
              </w:rPr>
              <w:t>书香校园</w:t>
            </w:r>
            <w:r>
              <w:rPr>
                <w:rFonts w:hint="eastAsia" w:ascii="宋体" w:hAnsi="宋体" w:eastAsia="宋体" w:cs="宋体"/>
                <w:b w:val="0"/>
                <w:bCs w:val="0"/>
                <w:color w:val="auto"/>
                <w:sz w:val="21"/>
                <w:szCs w:val="21"/>
                <w:highlight w:val="none"/>
              </w:rPr>
              <w:t>建设等服务</w:t>
            </w: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次</w:t>
            </w:r>
            <w:r>
              <w:rPr>
                <w:rFonts w:hint="eastAsia" w:ascii="宋体" w:hAnsi="宋体" w:eastAsia="宋体" w:cs="宋体"/>
                <w:color w:val="auto"/>
                <w:sz w:val="21"/>
                <w:szCs w:val="21"/>
                <w:highlight w:val="none"/>
              </w:rPr>
              <w:t>。相关费用应包含在本次报价中，采购人不再另行支付。</w:t>
            </w:r>
          </w:p>
          <w:p w14:paraId="361811E9">
            <w:pPr>
              <w:pStyle w:val="3"/>
              <w:keepNext w:val="0"/>
              <w:keepLines w:val="0"/>
              <w:pageBreakBefore w:val="0"/>
              <w:kinsoku/>
              <w:wordWrap/>
              <w:overflowPunct/>
              <w:topLinePunct w:val="0"/>
              <w:bidi w:val="0"/>
              <w:snapToGrid/>
              <w:spacing w:line="240" w:lineRule="auto"/>
              <w:ind w:left="0" w:leftChars="0" w:firstLine="0" w:firstLineChars="0"/>
              <w:rPr>
                <w:rFonts w:hint="eastAsia" w:ascii="宋体" w:hAnsi="宋体" w:eastAsia="宋体" w:cs="宋体"/>
                <w:b/>
                <w:bCs/>
                <w:color w:val="auto"/>
                <w:kern w:val="2"/>
                <w:sz w:val="21"/>
                <w:szCs w:val="21"/>
                <w:highlight w:val="none"/>
                <w:lang w:val="en-US" w:eastAsia="zh-CN" w:bidi="ar-SA"/>
              </w:rPr>
            </w:pPr>
          </w:p>
          <w:p w14:paraId="447D3891">
            <w:pPr>
              <w:pStyle w:val="3"/>
              <w:keepNext w:val="0"/>
              <w:keepLines w:val="0"/>
              <w:pageBreakBefore w:val="0"/>
              <w:kinsoku/>
              <w:wordWrap/>
              <w:overflowPunct/>
              <w:topLinePunct w:val="0"/>
              <w:bidi w:val="0"/>
              <w:snapToGrid/>
              <w:spacing w:line="240" w:lineRule="auto"/>
              <w:ind w:left="0" w:leftChars="0" w:firstLine="0" w:firstLineChars="0"/>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附录1：《防城港职业技术学院2026年中文图书和配套设备及信息资源服务采购项目指定采购书目》（另附）</w:t>
            </w:r>
          </w:p>
          <w:p w14:paraId="6470652A">
            <w:pPr>
              <w:pStyle w:val="3"/>
              <w:keepNext w:val="0"/>
              <w:keepLines w:val="0"/>
              <w:pageBreakBefore w:val="0"/>
              <w:kinsoku/>
              <w:wordWrap/>
              <w:overflowPunct/>
              <w:topLinePunct w:val="0"/>
              <w:bidi w:val="0"/>
              <w:snapToGrid/>
              <w:spacing w:line="240" w:lineRule="auto"/>
              <w:ind w:left="0" w:leftChars="0" w:firstLine="0" w:firstLineChars="0"/>
              <w:rPr>
                <w:rFonts w:hint="eastAsia" w:ascii="宋体" w:hAnsi="宋体" w:eastAsia="宋体" w:cs="宋体"/>
                <w:b/>
                <w:bCs/>
                <w:color w:val="auto"/>
                <w:kern w:val="2"/>
                <w:sz w:val="21"/>
                <w:szCs w:val="21"/>
                <w:highlight w:val="none"/>
                <w:lang w:val="en-US" w:eastAsia="zh-CN" w:bidi="ar-SA"/>
              </w:rPr>
            </w:pPr>
          </w:p>
          <w:p w14:paraId="644DB1DB">
            <w:pPr>
              <w:keepNext w:val="0"/>
              <w:keepLines w:val="0"/>
              <w:pageBreakBefore w:val="0"/>
              <w:kinsoku/>
              <w:wordWrap/>
              <w:overflowPunct/>
              <w:topLinePunct w:val="0"/>
              <w:bidi w:val="0"/>
              <w:snapToGrid/>
              <w:spacing w:line="240" w:lineRule="auto"/>
              <w:ind w:leftChars="0"/>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rPr>
              <w:t>附录</w:t>
            </w:r>
            <w:r>
              <w:rPr>
                <w:rFonts w:hint="eastAsia" w:ascii="宋体" w:hAnsi="宋体" w:eastAsia="宋体" w:cs="宋体"/>
                <w:b/>
                <w:bCs/>
                <w:color w:val="auto"/>
                <w:sz w:val="21"/>
                <w:szCs w:val="21"/>
                <w:highlight w:val="none"/>
                <w:lang w:val="en-US" w:eastAsia="zh-CN"/>
              </w:rPr>
              <w:t>2</w:t>
            </w:r>
            <w:r>
              <w:rPr>
                <w:rFonts w:hint="eastAsia" w:ascii="宋体" w:hAnsi="宋体" w:eastAsia="宋体" w:cs="宋体"/>
                <w:b/>
                <w:bCs/>
                <w:color w:val="auto"/>
                <w:sz w:val="21"/>
                <w:szCs w:val="21"/>
                <w:highlight w:val="none"/>
              </w:rPr>
              <w:t>：核心出版社一览表</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另附）</w:t>
            </w:r>
          </w:p>
          <w:p w14:paraId="395E1D10">
            <w:pPr>
              <w:pStyle w:val="3"/>
              <w:keepNext w:val="0"/>
              <w:keepLines w:val="0"/>
              <w:pageBreakBefore w:val="0"/>
              <w:kinsoku/>
              <w:wordWrap/>
              <w:overflowPunct/>
              <w:topLinePunct w:val="0"/>
              <w:bidi w:val="0"/>
              <w:snapToGrid/>
              <w:spacing w:line="240" w:lineRule="auto"/>
              <w:ind w:left="0" w:leftChars="0" w:firstLine="0" w:firstLineChars="0"/>
              <w:rPr>
                <w:rFonts w:hint="eastAsia" w:ascii="宋体" w:hAnsi="宋体" w:eastAsia="宋体" w:cs="宋体"/>
                <w:color w:val="auto"/>
                <w:sz w:val="21"/>
                <w:szCs w:val="21"/>
                <w:highlight w:val="none"/>
              </w:rPr>
            </w:pPr>
          </w:p>
          <w:p w14:paraId="14985DF1">
            <w:pPr>
              <w:keepNext w:val="0"/>
              <w:keepLines w:val="0"/>
              <w:pageBreakBefore w:val="0"/>
              <w:kinsoku/>
              <w:wordWrap/>
              <w:overflowPunct/>
              <w:topLinePunct w:val="0"/>
              <w:bidi w:val="0"/>
              <w:snapToGrid/>
              <w:spacing w:line="240" w:lineRule="auto"/>
              <w:ind w:left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附录3</w:t>
            </w:r>
            <w:r>
              <w:rPr>
                <w:rFonts w:hint="eastAsia" w:ascii="宋体"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rPr>
              <w:t>RFID超高频图书标签要求</w:t>
            </w:r>
          </w:p>
          <w:p w14:paraId="351C0C1A">
            <w:pPr>
              <w:keepNext w:val="0"/>
              <w:keepLines w:val="0"/>
              <w:pageBreakBefore w:val="0"/>
              <w:numPr>
                <w:ilvl w:val="0"/>
                <w:numId w:val="0"/>
              </w:numPr>
              <w:kinsoku/>
              <w:wordWrap/>
              <w:overflowPunct/>
              <w:topLinePunct w:val="0"/>
              <w:bidi w:val="0"/>
              <w:snapToGrid/>
              <w:spacing w:line="240" w:lineRule="auto"/>
              <w:ind w:left="0" w:leftChars="0" w:firstLine="400" w:firstLineChars="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①　</w:t>
            </w:r>
            <w:r>
              <w:rPr>
                <w:rFonts w:hint="eastAsia" w:ascii="宋体" w:hAnsi="宋体" w:eastAsia="宋体" w:cs="宋体"/>
                <w:color w:val="auto"/>
                <w:sz w:val="21"/>
                <w:szCs w:val="21"/>
                <w:highlight w:val="none"/>
              </w:rPr>
              <w:t>符合标准：IS018000-6C和EPCglobalC1G2。</w:t>
            </w:r>
          </w:p>
          <w:p w14:paraId="6FCAF394">
            <w:pPr>
              <w:keepNext w:val="0"/>
              <w:keepLines w:val="0"/>
              <w:pageBreakBefore w:val="0"/>
              <w:numPr>
                <w:ilvl w:val="0"/>
                <w:numId w:val="0"/>
              </w:numPr>
              <w:kinsoku/>
              <w:wordWrap/>
              <w:overflowPunct/>
              <w:topLinePunct w:val="0"/>
              <w:bidi w:val="0"/>
              <w:snapToGrid/>
              <w:spacing w:line="240" w:lineRule="auto"/>
              <w:ind w:left="0" w:leftChars="0" w:firstLine="400" w:firstLineChars="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②　</w:t>
            </w:r>
            <w:r>
              <w:rPr>
                <w:rFonts w:hint="eastAsia" w:ascii="宋体" w:hAnsi="宋体" w:eastAsia="宋体" w:cs="宋体"/>
                <w:color w:val="auto"/>
                <w:sz w:val="21"/>
                <w:szCs w:val="21"/>
                <w:highlight w:val="none"/>
              </w:rPr>
              <w:t>工作频率：920～925MHz。</w:t>
            </w:r>
          </w:p>
          <w:p w14:paraId="6F0C20ED">
            <w:pPr>
              <w:keepNext w:val="0"/>
              <w:keepLines w:val="0"/>
              <w:pageBreakBefore w:val="0"/>
              <w:numPr>
                <w:ilvl w:val="0"/>
                <w:numId w:val="0"/>
              </w:numPr>
              <w:kinsoku/>
              <w:wordWrap/>
              <w:overflowPunct/>
              <w:topLinePunct w:val="0"/>
              <w:bidi w:val="0"/>
              <w:snapToGrid/>
              <w:spacing w:line="240" w:lineRule="auto"/>
              <w:ind w:left="0" w:leftChars="0" w:firstLine="400" w:firstLineChars="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③　</w:t>
            </w:r>
            <w:r>
              <w:rPr>
                <w:rFonts w:hint="eastAsia" w:ascii="宋体" w:hAnsi="宋体" w:eastAsia="宋体" w:cs="宋体"/>
                <w:color w:val="auto"/>
                <w:sz w:val="21"/>
                <w:szCs w:val="21"/>
                <w:highlight w:val="none"/>
              </w:rPr>
              <w:t>有效使用寿命:≥10年,有效擦写次数:≥10万次。</w:t>
            </w:r>
          </w:p>
          <w:p w14:paraId="509F0C5E">
            <w:pPr>
              <w:keepNext w:val="0"/>
              <w:keepLines w:val="0"/>
              <w:pageBreakBefore w:val="0"/>
              <w:numPr>
                <w:ilvl w:val="0"/>
                <w:numId w:val="0"/>
              </w:numPr>
              <w:kinsoku/>
              <w:wordWrap/>
              <w:overflowPunct/>
              <w:topLinePunct w:val="0"/>
              <w:bidi w:val="0"/>
              <w:snapToGrid/>
              <w:spacing w:line="240" w:lineRule="auto"/>
              <w:ind w:left="0" w:leftChars="0" w:firstLine="400" w:firstLineChars="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④　</w:t>
            </w:r>
            <w:r>
              <w:rPr>
                <w:rFonts w:hint="eastAsia" w:ascii="宋体" w:hAnsi="宋体" w:eastAsia="宋体" w:cs="宋体"/>
                <w:color w:val="auto"/>
                <w:sz w:val="21"/>
                <w:szCs w:val="21"/>
                <w:highlight w:val="none"/>
              </w:rPr>
              <w:t>产品尺寸：长≤125</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mm，宽≤7.0mm。</w:t>
            </w:r>
          </w:p>
          <w:p w14:paraId="7D005293">
            <w:pPr>
              <w:keepNext w:val="0"/>
              <w:keepLines w:val="0"/>
              <w:pageBreakBefore w:val="0"/>
              <w:numPr>
                <w:ilvl w:val="0"/>
                <w:numId w:val="0"/>
              </w:numPr>
              <w:kinsoku/>
              <w:wordWrap/>
              <w:overflowPunct/>
              <w:topLinePunct w:val="0"/>
              <w:bidi w:val="0"/>
              <w:snapToGrid/>
              <w:spacing w:line="240" w:lineRule="auto"/>
              <w:ind w:left="0" w:leftChars="0" w:firstLine="400" w:firstLineChars="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⑤　</w:t>
            </w:r>
            <w:r>
              <w:rPr>
                <w:rFonts w:hint="eastAsia" w:ascii="宋体" w:hAnsi="宋体" w:eastAsia="宋体" w:cs="宋体"/>
                <w:color w:val="auto"/>
                <w:sz w:val="21"/>
                <w:szCs w:val="21"/>
                <w:highlight w:val="none"/>
              </w:rPr>
              <w:t>安装时要求能减少防盗磁条对图书标签性能的影响，避免标签与磁条互干扰的情况。</w:t>
            </w:r>
          </w:p>
          <w:p w14:paraId="73F63B82">
            <w:pPr>
              <w:keepNext w:val="0"/>
              <w:keepLines w:val="0"/>
              <w:pageBreakBefore w:val="0"/>
              <w:numPr>
                <w:ilvl w:val="0"/>
                <w:numId w:val="0"/>
              </w:numPr>
              <w:kinsoku/>
              <w:wordWrap/>
              <w:overflowPunct/>
              <w:topLinePunct w:val="0"/>
              <w:bidi w:val="0"/>
              <w:snapToGrid/>
              <w:spacing w:line="240" w:lineRule="auto"/>
              <w:ind w:left="0" w:leftChars="0" w:firstLine="400" w:firstLineChars="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⑥　</w:t>
            </w:r>
            <w:r>
              <w:rPr>
                <w:rFonts w:hint="eastAsia" w:ascii="宋体" w:hAnsi="宋体" w:eastAsia="宋体" w:cs="宋体"/>
                <w:color w:val="auto"/>
                <w:sz w:val="21"/>
                <w:szCs w:val="21"/>
                <w:highlight w:val="none"/>
              </w:rPr>
              <w:t>要求在图书书脊内处隐藏安装，不易</w:t>
            </w:r>
            <w:r>
              <w:rPr>
                <w:rFonts w:hint="eastAsia" w:ascii="宋体" w:hAnsi="宋体" w:eastAsia="宋体" w:cs="宋体"/>
                <w:color w:val="auto"/>
                <w:sz w:val="21"/>
                <w:szCs w:val="21"/>
                <w:highlight w:val="none"/>
                <w:lang w:val="en-US" w:eastAsia="zh-CN"/>
              </w:rPr>
              <w:t>被</w:t>
            </w:r>
            <w:r>
              <w:rPr>
                <w:rFonts w:hint="eastAsia" w:ascii="宋体" w:hAnsi="宋体" w:eastAsia="宋体" w:cs="宋体"/>
                <w:color w:val="auto"/>
                <w:sz w:val="21"/>
                <w:szCs w:val="21"/>
                <w:highlight w:val="none"/>
              </w:rPr>
              <w:t>发现。</w:t>
            </w:r>
          </w:p>
          <w:p w14:paraId="5F43B99D">
            <w:pPr>
              <w:keepNext w:val="0"/>
              <w:keepLines w:val="0"/>
              <w:pageBreakBefore w:val="0"/>
              <w:numPr>
                <w:ilvl w:val="0"/>
                <w:numId w:val="0"/>
              </w:numPr>
              <w:kinsoku/>
              <w:wordWrap/>
              <w:overflowPunct/>
              <w:topLinePunct w:val="0"/>
              <w:bidi w:val="0"/>
              <w:snapToGrid/>
              <w:spacing w:line="240" w:lineRule="auto"/>
              <w:ind w:left="0" w:leftChars="0" w:firstLine="400" w:firstLineChars="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⑦　</w:t>
            </w:r>
            <w:r>
              <w:rPr>
                <w:rFonts w:hint="eastAsia" w:ascii="宋体" w:hAnsi="宋体" w:eastAsia="宋体" w:cs="宋体"/>
                <w:color w:val="auto"/>
                <w:sz w:val="21"/>
                <w:szCs w:val="21"/>
                <w:highlight w:val="none"/>
              </w:rPr>
              <w:t>数据规范要求遵循高校图书馆RFID技术应用联盟的相关数据模型规范。标签中有存储器，存储在其中的资料可重复读、写；</w:t>
            </w:r>
          </w:p>
          <w:p w14:paraId="25601C31">
            <w:pPr>
              <w:keepNext w:val="0"/>
              <w:keepLines w:val="0"/>
              <w:pageBreakBefore w:val="0"/>
              <w:numPr>
                <w:ilvl w:val="0"/>
                <w:numId w:val="0"/>
              </w:numPr>
              <w:kinsoku/>
              <w:wordWrap/>
              <w:overflowPunct/>
              <w:topLinePunct w:val="0"/>
              <w:bidi w:val="0"/>
              <w:snapToGrid/>
              <w:spacing w:line="240" w:lineRule="auto"/>
              <w:ind w:left="0" w:leftChars="0" w:firstLine="400" w:firstLineChars="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⑧　</w:t>
            </w:r>
            <w:r>
              <w:rPr>
                <w:rFonts w:hint="eastAsia" w:ascii="宋体" w:hAnsi="宋体" w:eastAsia="宋体" w:cs="宋体"/>
                <w:color w:val="auto"/>
                <w:sz w:val="21"/>
                <w:szCs w:val="21"/>
                <w:highlight w:val="none"/>
              </w:rPr>
              <w:t>标签可以非接触式地读取和写入，加快文献流通的处理速度；</w:t>
            </w:r>
          </w:p>
          <w:p w14:paraId="2F03239B">
            <w:pPr>
              <w:keepNext w:val="0"/>
              <w:keepLines w:val="0"/>
              <w:pageBreakBefore w:val="0"/>
              <w:numPr>
                <w:ilvl w:val="0"/>
                <w:numId w:val="0"/>
              </w:numPr>
              <w:kinsoku/>
              <w:wordWrap/>
              <w:overflowPunct/>
              <w:topLinePunct w:val="0"/>
              <w:bidi w:val="0"/>
              <w:snapToGrid/>
              <w:spacing w:line="240" w:lineRule="auto"/>
              <w:ind w:left="0" w:leftChars="0" w:firstLine="400" w:firstLineChars="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⑨　</w:t>
            </w:r>
            <w:r>
              <w:rPr>
                <w:rFonts w:hint="eastAsia" w:ascii="宋体" w:hAnsi="宋体" w:eastAsia="宋体" w:cs="宋体"/>
                <w:color w:val="auto"/>
                <w:sz w:val="21"/>
                <w:szCs w:val="21"/>
                <w:highlight w:val="none"/>
              </w:rPr>
              <w:t>标签具有一定的抗冲突性，能保证多个标签地同时可靠识别；</w:t>
            </w:r>
          </w:p>
          <w:p w14:paraId="7C2DAA8C">
            <w:pPr>
              <w:keepNext w:val="0"/>
              <w:keepLines w:val="0"/>
              <w:pageBreakBefore w:val="0"/>
              <w:numPr>
                <w:ilvl w:val="0"/>
                <w:numId w:val="0"/>
              </w:numPr>
              <w:kinsoku/>
              <w:wordWrap/>
              <w:overflowPunct/>
              <w:topLinePunct w:val="0"/>
              <w:bidi w:val="0"/>
              <w:snapToGrid/>
              <w:spacing w:line="240" w:lineRule="auto"/>
              <w:ind w:left="0" w:leftChars="0" w:firstLine="400" w:firstLineChars="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⑩　</w:t>
            </w:r>
            <w:r>
              <w:rPr>
                <w:rFonts w:hint="eastAsia" w:ascii="宋体" w:hAnsi="宋体" w:eastAsia="宋体" w:cs="宋体"/>
                <w:color w:val="auto"/>
                <w:sz w:val="21"/>
                <w:szCs w:val="21"/>
                <w:highlight w:val="none"/>
              </w:rPr>
              <w:t>标签具有较高的安全性，能防止存储在其中的信息被随意读取或改写；</w:t>
            </w:r>
          </w:p>
          <w:p w14:paraId="05677FAA">
            <w:pPr>
              <w:keepNext w:val="0"/>
              <w:keepLines w:val="0"/>
              <w:pageBreakBefore w:val="0"/>
              <w:numPr>
                <w:ilvl w:val="0"/>
                <w:numId w:val="0"/>
              </w:numPr>
              <w:kinsoku/>
              <w:wordWrap/>
              <w:overflowPunct/>
              <w:topLinePunct w:val="0"/>
              <w:bidi w:val="0"/>
              <w:snapToGrid/>
              <w:spacing w:line="240" w:lineRule="auto"/>
              <w:ind w:left="0" w:leftChars="0" w:firstLine="400" w:firstLineChars="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⑪　</w:t>
            </w:r>
            <w:r>
              <w:rPr>
                <w:rFonts w:hint="eastAsia" w:ascii="宋体" w:hAnsi="宋体" w:eastAsia="宋体" w:cs="宋体"/>
                <w:color w:val="auto"/>
                <w:sz w:val="21"/>
                <w:szCs w:val="21"/>
                <w:highlight w:val="none"/>
              </w:rPr>
              <w:t>标签为无源标签，具有不可改写的唯一序列号（TID)；</w:t>
            </w:r>
          </w:p>
          <w:p w14:paraId="5D920DBE">
            <w:pPr>
              <w:keepNext w:val="0"/>
              <w:keepLines w:val="0"/>
              <w:pageBreakBefore w:val="0"/>
              <w:numPr>
                <w:ilvl w:val="0"/>
                <w:numId w:val="0"/>
              </w:numPr>
              <w:kinsoku/>
              <w:wordWrap/>
              <w:overflowPunct/>
              <w:topLinePunct w:val="0"/>
              <w:bidi w:val="0"/>
              <w:snapToGrid/>
              <w:spacing w:line="240" w:lineRule="auto"/>
              <w:ind w:left="0" w:leftChars="0" w:firstLine="400" w:firstLineChars="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⑫　</w:t>
            </w:r>
            <w:r>
              <w:rPr>
                <w:rFonts w:hint="eastAsia" w:ascii="宋体" w:hAnsi="宋体" w:eastAsia="宋体" w:cs="宋体"/>
                <w:color w:val="auto"/>
                <w:sz w:val="21"/>
                <w:szCs w:val="21"/>
                <w:highlight w:val="none"/>
              </w:rPr>
              <w:t>用户可自定义数据格式和内容，具有良好的扩展性；</w:t>
            </w:r>
          </w:p>
          <w:p w14:paraId="4C0BEB20">
            <w:pPr>
              <w:keepNext w:val="0"/>
              <w:keepLines w:val="0"/>
              <w:pageBreakBefore w:val="0"/>
              <w:numPr>
                <w:ilvl w:val="0"/>
                <w:numId w:val="0"/>
              </w:numPr>
              <w:kinsoku/>
              <w:wordWrap/>
              <w:overflowPunct/>
              <w:topLinePunct w:val="0"/>
              <w:bidi w:val="0"/>
              <w:snapToGrid/>
              <w:spacing w:line="240" w:lineRule="auto"/>
              <w:ind w:left="0" w:leftChars="0" w:firstLine="400" w:firstLineChars="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⑬　</w:t>
            </w:r>
            <w:r>
              <w:rPr>
                <w:rFonts w:hint="eastAsia" w:ascii="宋体" w:hAnsi="宋体" w:eastAsia="宋体" w:cs="宋体"/>
                <w:color w:val="auto"/>
                <w:sz w:val="21"/>
                <w:szCs w:val="21"/>
                <w:highlight w:val="none"/>
              </w:rPr>
              <w:t>标签的天线为铝或铜质天线，采用蚀刻法工艺制造。</w:t>
            </w:r>
          </w:p>
          <w:p w14:paraId="1413E15B">
            <w:pPr>
              <w:keepNext w:val="0"/>
              <w:keepLines w:val="0"/>
              <w:pageBreakBefore w:val="0"/>
              <w:numPr>
                <w:ilvl w:val="0"/>
                <w:numId w:val="0"/>
              </w:numPr>
              <w:kinsoku/>
              <w:wordWrap/>
              <w:overflowPunct/>
              <w:topLinePunct w:val="0"/>
              <w:bidi w:val="0"/>
              <w:snapToGrid/>
              <w:spacing w:line="240" w:lineRule="auto"/>
              <w:ind w:left="0" w:leftChars="0" w:firstLine="400" w:firstLineChars="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⑭　</w:t>
            </w:r>
            <w:r>
              <w:rPr>
                <w:rFonts w:hint="eastAsia" w:ascii="宋体" w:hAnsi="宋体" w:eastAsia="宋体" w:cs="宋体"/>
                <w:color w:val="auto"/>
                <w:sz w:val="21"/>
                <w:szCs w:val="21"/>
                <w:highlight w:val="none"/>
              </w:rPr>
              <w:t>标签固有频率误差频率达到ISO标准的要求。</w:t>
            </w:r>
          </w:p>
          <w:p w14:paraId="70A86EB6">
            <w:pPr>
              <w:keepNext w:val="0"/>
              <w:keepLines w:val="0"/>
              <w:pageBreakBefore w:val="0"/>
              <w:numPr>
                <w:ilvl w:val="0"/>
                <w:numId w:val="0"/>
              </w:numPr>
              <w:kinsoku/>
              <w:wordWrap/>
              <w:overflowPunct/>
              <w:topLinePunct w:val="0"/>
              <w:bidi w:val="0"/>
              <w:snapToGrid/>
              <w:spacing w:line="240" w:lineRule="auto"/>
              <w:ind w:left="0" w:leftChars="0" w:firstLine="400" w:firstLineChars="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⑮　</w:t>
            </w:r>
            <w:r>
              <w:rPr>
                <w:rFonts w:hint="eastAsia" w:ascii="宋体" w:hAnsi="宋体" w:eastAsia="宋体" w:cs="宋体"/>
                <w:color w:val="auto"/>
                <w:sz w:val="21"/>
                <w:szCs w:val="21"/>
                <w:highlight w:val="none"/>
              </w:rPr>
              <w:t>标签为带不干胶的、单片的标签，粘贴到书籍时不需要再刷胶或者配粘纸，粘贴后不易撕毁、脱落，芯片数据保存时间不少于10年，同时应保证采用的中性粘胶对图书无损害。中性粘胶PH值为6～8之间。</w:t>
            </w:r>
          </w:p>
          <w:p w14:paraId="67D1D6C0">
            <w:pPr>
              <w:keepNext w:val="0"/>
              <w:keepLines w:val="0"/>
              <w:pageBreakBefore w:val="0"/>
              <w:numPr>
                <w:ilvl w:val="0"/>
                <w:numId w:val="0"/>
              </w:numPr>
              <w:kinsoku/>
              <w:wordWrap/>
              <w:overflowPunct/>
              <w:topLinePunct w:val="0"/>
              <w:bidi w:val="0"/>
              <w:snapToGrid/>
              <w:spacing w:line="240" w:lineRule="auto"/>
              <w:ind w:left="0" w:leftChars="0" w:firstLine="400" w:firstLineChars="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⑯　</w:t>
            </w:r>
            <w:r>
              <w:rPr>
                <w:rFonts w:hint="eastAsia" w:ascii="宋体" w:hAnsi="宋体" w:eastAsia="宋体" w:cs="宋体"/>
                <w:color w:val="auto"/>
                <w:sz w:val="21"/>
                <w:szCs w:val="21"/>
                <w:highlight w:val="none"/>
              </w:rPr>
              <w:t>内存容量：≥</w:t>
            </w:r>
            <w:r>
              <w:rPr>
                <w:rFonts w:hint="eastAsia" w:ascii="宋体" w:hAnsi="宋体" w:eastAsia="宋体" w:cs="宋体"/>
                <w:color w:val="auto"/>
                <w:sz w:val="21"/>
                <w:szCs w:val="21"/>
                <w:highlight w:val="none"/>
                <w:lang w:val="en-US" w:eastAsia="zh-CN"/>
              </w:rPr>
              <w:t>512</w:t>
            </w:r>
            <w:r>
              <w:rPr>
                <w:rFonts w:hint="eastAsia" w:ascii="宋体" w:hAnsi="宋体" w:eastAsia="宋体" w:cs="宋体"/>
                <w:color w:val="auto"/>
                <w:sz w:val="21"/>
                <w:szCs w:val="21"/>
                <w:highlight w:val="none"/>
              </w:rPr>
              <w:t>bits</w:t>
            </w:r>
          </w:p>
          <w:p w14:paraId="34B4DDC2">
            <w:pPr>
              <w:keepNext w:val="0"/>
              <w:keepLines w:val="0"/>
              <w:pageBreakBefore w:val="0"/>
              <w:numPr>
                <w:ilvl w:val="0"/>
                <w:numId w:val="0"/>
              </w:numPr>
              <w:kinsoku/>
              <w:wordWrap/>
              <w:overflowPunct/>
              <w:topLinePunct w:val="0"/>
              <w:bidi w:val="0"/>
              <w:snapToGrid/>
              <w:spacing w:line="240" w:lineRule="auto"/>
              <w:ind w:left="0" w:leftChars="0" w:firstLine="400" w:firstLineChars="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⑰　</w:t>
            </w:r>
            <w:r>
              <w:rPr>
                <w:rFonts w:hint="eastAsia" w:ascii="宋体" w:hAnsi="宋体" w:eastAsia="宋体" w:cs="宋体"/>
                <w:color w:val="auto"/>
                <w:sz w:val="21"/>
                <w:szCs w:val="21"/>
                <w:highlight w:val="none"/>
              </w:rPr>
              <w:t>标签中可存储借书时间、还书时间、借阅证件ID、图书条码号、图书书名等基本信息。</w:t>
            </w:r>
          </w:p>
          <w:p w14:paraId="5F633E94">
            <w:pPr>
              <w:keepNext w:val="0"/>
              <w:keepLines w:val="0"/>
              <w:pageBreakBefore w:val="0"/>
              <w:numPr>
                <w:ilvl w:val="0"/>
                <w:numId w:val="0"/>
              </w:numPr>
              <w:kinsoku/>
              <w:wordWrap/>
              <w:overflowPunct/>
              <w:topLinePunct w:val="0"/>
              <w:bidi w:val="0"/>
              <w:snapToGrid/>
              <w:spacing w:line="240" w:lineRule="auto"/>
              <w:ind w:left="0" w:leftChars="0" w:firstLine="400" w:firstLineChars="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⑱　</w:t>
            </w:r>
            <w:r>
              <w:rPr>
                <w:rFonts w:hint="eastAsia" w:ascii="宋体" w:hAnsi="宋体" w:eastAsia="宋体" w:cs="宋体"/>
                <w:color w:val="auto"/>
                <w:sz w:val="21"/>
                <w:szCs w:val="21"/>
                <w:highlight w:val="none"/>
              </w:rPr>
              <w:t>标签须具备监测控制功能，用于监控标签的状态。当标签被阅读或识别时，可判断图书资料是否允许被带出馆外。</w:t>
            </w:r>
          </w:p>
        </w:tc>
        <w:tc>
          <w:tcPr>
            <w:tcW w:w="946" w:type="dxa"/>
            <w:noWrap w:val="0"/>
            <w:vAlign w:val="center"/>
          </w:tcPr>
          <w:p w14:paraId="5F0BA959">
            <w:pPr>
              <w:spacing w:line="360" w:lineRule="auto"/>
              <w:ind w:left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批发业</w:t>
            </w:r>
          </w:p>
        </w:tc>
      </w:tr>
      <w:tr w14:paraId="01B69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9682" w:type="dxa"/>
            <w:gridSpan w:val="5"/>
            <w:noWrap w:val="0"/>
            <w:vAlign w:val="center"/>
          </w:tcPr>
          <w:p w14:paraId="1982ECFE">
            <w:pPr>
              <w:spacing w:line="360" w:lineRule="auto"/>
              <w:ind w:left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b/>
                <w:bCs/>
                <w:color w:val="auto"/>
                <w:sz w:val="21"/>
                <w:szCs w:val="21"/>
                <w:highlight w:val="none"/>
              </w:rPr>
              <w:t>二、商务条款</w:t>
            </w:r>
          </w:p>
        </w:tc>
      </w:tr>
      <w:tr w14:paraId="4C842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572" w:type="dxa"/>
            <w:gridSpan w:val="2"/>
            <w:noWrap w:val="0"/>
            <w:vAlign w:val="center"/>
          </w:tcPr>
          <w:p w14:paraId="7D263EC2">
            <w:pPr>
              <w:keepNext w:val="0"/>
              <w:keepLines w:val="0"/>
              <w:pageBreakBefore w:val="0"/>
              <w:tabs>
                <w:tab w:val="left" w:pos="180"/>
                <w:tab w:val="left" w:pos="1620"/>
              </w:tabs>
              <w:kinsoku/>
              <w:wordWrap/>
              <w:overflowPunct/>
              <w:topLinePunct w:val="0"/>
              <w:autoSpaceDE/>
              <w:autoSpaceDN/>
              <w:bidi w:val="0"/>
              <w:snapToGrid/>
              <w:spacing w:line="240" w:lineRule="auto"/>
              <w:ind w:lef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合同签订</w:t>
            </w:r>
          </w:p>
        </w:tc>
        <w:tc>
          <w:tcPr>
            <w:tcW w:w="8110" w:type="dxa"/>
            <w:gridSpan w:val="3"/>
            <w:noWrap w:val="0"/>
            <w:vAlign w:val="center"/>
          </w:tcPr>
          <w:p w14:paraId="5F99A3DC">
            <w:pPr>
              <w:keepNext w:val="0"/>
              <w:keepLines w:val="0"/>
              <w:pageBreakBefore w:val="0"/>
              <w:kinsoku/>
              <w:wordWrap/>
              <w:overflowPunct/>
              <w:topLinePunct w:val="0"/>
              <w:autoSpaceDE/>
              <w:autoSpaceDN/>
              <w:bidi w:val="0"/>
              <w:snapToGrid/>
              <w:spacing w:line="240" w:lineRule="auto"/>
              <w:ind w:leftChars="0"/>
              <w:jc w:val="left"/>
              <w:rPr>
                <w:rFonts w:hint="eastAsia" w:ascii="宋体" w:hAnsi="宋体" w:eastAsia="宋体" w:cs="宋体"/>
                <w:color w:val="auto"/>
                <w:sz w:val="21"/>
                <w:szCs w:val="21"/>
                <w:highlight w:val="none"/>
              </w:rPr>
            </w:pPr>
            <w:r>
              <w:rPr>
                <w:rFonts w:hint="eastAsia" w:ascii="宋体" w:hAnsi="宋体" w:eastAsia="宋体" w:cs="Arial"/>
                <w:bCs/>
                <w:iCs/>
                <w:color w:val="auto"/>
                <w:sz w:val="21"/>
                <w:szCs w:val="21"/>
                <w:highlight w:val="none"/>
              </w:rPr>
              <w:t>自成交通知书发出之日起</w:t>
            </w:r>
            <w:r>
              <w:rPr>
                <w:rFonts w:hint="eastAsia" w:ascii="宋体" w:hAnsi="宋体" w:eastAsia="宋体" w:cs="Arial"/>
                <w:bCs/>
                <w:iCs/>
                <w:color w:val="auto"/>
                <w:sz w:val="21"/>
                <w:szCs w:val="21"/>
                <w:highlight w:val="none"/>
                <w:lang w:val="en-US" w:eastAsia="zh-CN"/>
              </w:rPr>
              <w:t>25</w:t>
            </w:r>
            <w:r>
              <w:rPr>
                <w:rFonts w:hint="eastAsia" w:ascii="宋体" w:hAnsi="宋体" w:eastAsia="宋体" w:cs="Arial"/>
                <w:bCs/>
                <w:iCs/>
                <w:color w:val="auto"/>
                <w:sz w:val="21"/>
                <w:szCs w:val="21"/>
                <w:highlight w:val="none"/>
              </w:rPr>
              <w:t>日历天内。</w:t>
            </w:r>
          </w:p>
        </w:tc>
      </w:tr>
      <w:tr w14:paraId="69855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72" w:type="dxa"/>
            <w:gridSpan w:val="2"/>
            <w:noWrap w:val="0"/>
            <w:vAlign w:val="center"/>
          </w:tcPr>
          <w:p w14:paraId="6A2F7D57">
            <w:pPr>
              <w:keepNext w:val="0"/>
              <w:keepLines w:val="0"/>
              <w:pageBreakBefore w:val="0"/>
              <w:tabs>
                <w:tab w:val="left" w:pos="180"/>
                <w:tab w:val="left" w:pos="1620"/>
              </w:tabs>
              <w:kinsoku/>
              <w:wordWrap/>
              <w:overflowPunct/>
              <w:topLinePunct w:val="0"/>
              <w:autoSpaceDE/>
              <w:autoSpaceDN/>
              <w:bidi w:val="0"/>
              <w:snapToGrid/>
              <w:spacing w:line="240" w:lineRule="auto"/>
              <w:ind w:leftChars="0"/>
              <w:jc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lang w:eastAsia="zh-CN"/>
              </w:rPr>
              <w:t>交付时间</w:t>
            </w:r>
            <w:r>
              <w:rPr>
                <w:rFonts w:hint="eastAsia" w:ascii="宋体" w:hAnsi="宋体" w:eastAsia="宋体" w:cs="宋体"/>
                <w:bCs/>
                <w:color w:val="auto"/>
                <w:sz w:val="21"/>
                <w:szCs w:val="21"/>
                <w:highlight w:val="none"/>
              </w:rPr>
              <w:t>及地点</w:t>
            </w:r>
          </w:p>
        </w:tc>
        <w:tc>
          <w:tcPr>
            <w:tcW w:w="8110" w:type="dxa"/>
            <w:gridSpan w:val="3"/>
            <w:noWrap w:val="0"/>
            <w:vAlign w:val="center"/>
          </w:tcPr>
          <w:p w14:paraId="2E4457BE">
            <w:pPr>
              <w:keepNext w:val="0"/>
              <w:keepLines w:val="0"/>
              <w:pageBreakBefore w:val="0"/>
              <w:widowControl/>
              <w:kinsoku/>
              <w:wordWrap/>
              <w:overflowPunct/>
              <w:topLinePunct w:val="0"/>
              <w:autoSpaceDE/>
              <w:autoSpaceDN/>
              <w:bidi w:val="0"/>
              <w:adjustRightInd w:val="0"/>
              <w:snapToGrid/>
              <w:spacing w:line="240" w:lineRule="auto"/>
              <w:ind w:leftChars="0"/>
              <w:jc w:val="left"/>
              <w:textAlignment w:val="center"/>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1.</w:t>
            </w:r>
            <w:r>
              <w:rPr>
                <w:rFonts w:hint="eastAsia" w:ascii="Times New Roman" w:hAnsi="Times New Roman" w:eastAsia="宋体" w:cs="Times New Roman"/>
                <w:color w:val="auto"/>
                <w:sz w:val="21"/>
                <w:highlight w:val="none"/>
                <w:lang w:eastAsia="zh-CN"/>
              </w:rPr>
              <w:t>交付时间</w:t>
            </w:r>
            <w:r>
              <w:rPr>
                <w:rFonts w:hint="eastAsia" w:ascii="Times New Roman" w:hAnsi="Times New Roman" w:eastAsia="宋体" w:cs="Times New Roman"/>
                <w:color w:val="auto"/>
                <w:sz w:val="21"/>
                <w:highlight w:val="none"/>
              </w:rPr>
              <w:t>：</w:t>
            </w:r>
            <w:r>
              <w:rPr>
                <w:rFonts w:hint="eastAsia" w:ascii="宋体" w:hAnsi="宋体" w:eastAsia="宋体" w:cs="宋体"/>
                <w:color w:val="auto"/>
                <w:sz w:val="21"/>
                <w:highlight w:val="none"/>
                <w:lang w:val="en-US" w:eastAsia="zh-CN"/>
              </w:rPr>
              <w:t>自合同签订之日起45个自然日内，完成全部图书送货到场、编目、上架、定位及图书管理系统数据对接调试等所有工作。</w:t>
            </w:r>
          </w:p>
          <w:p w14:paraId="12F4A1A4">
            <w:pPr>
              <w:keepNext w:val="0"/>
              <w:keepLines w:val="0"/>
              <w:pageBreakBefore w:val="0"/>
              <w:widowControl/>
              <w:kinsoku/>
              <w:wordWrap/>
              <w:overflowPunct/>
              <w:topLinePunct w:val="0"/>
              <w:autoSpaceDE/>
              <w:autoSpaceDN/>
              <w:bidi w:val="0"/>
              <w:adjustRightInd w:val="0"/>
              <w:snapToGrid/>
              <w:spacing w:line="240" w:lineRule="auto"/>
              <w:ind w:leftChars="0"/>
              <w:jc w:val="left"/>
              <w:textAlignment w:val="center"/>
              <w:rPr>
                <w:rFonts w:hint="eastAsia" w:ascii="宋体" w:hAnsi="宋体" w:eastAsia="宋体" w:cs="宋体"/>
                <w:color w:val="auto"/>
                <w:sz w:val="21"/>
                <w:szCs w:val="21"/>
                <w:highlight w:val="none"/>
                <w:lang w:val="en-US" w:eastAsia="zh-CN"/>
              </w:rPr>
            </w:pPr>
            <w:r>
              <w:rPr>
                <w:rFonts w:hint="eastAsia" w:ascii="Times New Roman" w:hAnsi="Times New Roman" w:eastAsia="宋体" w:cs="Times New Roman"/>
                <w:color w:val="auto"/>
                <w:sz w:val="21"/>
                <w:highlight w:val="none"/>
              </w:rPr>
              <w:t>2.</w:t>
            </w:r>
            <w:r>
              <w:rPr>
                <w:rFonts w:hint="eastAsia" w:ascii="Times New Roman" w:hAnsi="Times New Roman" w:eastAsia="宋体" w:cs="Times New Roman"/>
                <w:color w:val="auto"/>
                <w:sz w:val="21"/>
                <w:highlight w:val="none"/>
                <w:lang w:eastAsia="zh-CN"/>
              </w:rPr>
              <w:t>交付地点</w:t>
            </w:r>
            <w:r>
              <w:rPr>
                <w:rFonts w:hint="eastAsia" w:ascii="Times New Roman" w:hAnsi="Times New Roman" w:eastAsia="宋体" w:cs="Times New Roman"/>
                <w:color w:val="auto"/>
                <w:sz w:val="21"/>
                <w:highlight w:val="none"/>
              </w:rPr>
              <w:t>：防城港职业技术学院指定地点。</w:t>
            </w:r>
          </w:p>
        </w:tc>
      </w:tr>
      <w:tr w14:paraId="7E3BE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72" w:type="dxa"/>
            <w:gridSpan w:val="2"/>
            <w:noWrap w:val="0"/>
            <w:vAlign w:val="center"/>
          </w:tcPr>
          <w:p w14:paraId="65DA49A4">
            <w:pPr>
              <w:keepNext w:val="0"/>
              <w:keepLines w:val="0"/>
              <w:pageBreakBefore w:val="0"/>
              <w:tabs>
                <w:tab w:val="left" w:pos="180"/>
                <w:tab w:val="left" w:pos="1620"/>
              </w:tabs>
              <w:kinsoku/>
              <w:wordWrap/>
              <w:overflowPunct/>
              <w:topLinePunct w:val="0"/>
              <w:autoSpaceDE/>
              <w:autoSpaceDN/>
              <w:bidi w:val="0"/>
              <w:snapToGrid/>
              <w:spacing w:line="240" w:lineRule="auto"/>
              <w:ind w:lef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竞标报价</w:t>
            </w:r>
          </w:p>
        </w:tc>
        <w:tc>
          <w:tcPr>
            <w:tcW w:w="8110" w:type="dxa"/>
            <w:gridSpan w:val="3"/>
            <w:noWrap w:val="0"/>
            <w:vAlign w:val="center"/>
          </w:tcPr>
          <w:p w14:paraId="1AF8B871">
            <w:pPr>
              <w:keepNext w:val="0"/>
              <w:keepLines w:val="0"/>
              <w:pageBreakBefore w:val="0"/>
              <w:widowControl/>
              <w:kinsoku/>
              <w:wordWrap/>
              <w:overflowPunct/>
              <w:topLinePunct w:val="0"/>
              <w:autoSpaceDE/>
              <w:autoSpaceDN/>
              <w:bidi w:val="0"/>
              <w:adjustRightInd w:val="0"/>
              <w:snapToGrid/>
              <w:spacing w:line="240" w:lineRule="auto"/>
              <w:ind w:leftChars="0"/>
              <w:jc w:val="left"/>
              <w:textAlignment w:val="center"/>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1、供应商根据自身竞标总成本（指图书成本、图书加工上架、运抵指定</w:t>
            </w:r>
            <w:r>
              <w:rPr>
                <w:rFonts w:hint="eastAsia" w:ascii="Times New Roman" w:hAnsi="Times New Roman" w:eastAsia="宋体" w:cs="Times New Roman"/>
                <w:color w:val="auto"/>
                <w:sz w:val="21"/>
                <w:highlight w:val="none"/>
                <w:lang w:eastAsia="zh-CN"/>
              </w:rPr>
              <w:t>交付地点</w:t>
            </w:r>
            <w:r>
              <w:rPr>
                <w:rFonts w:hint="eastAsia" w:ascii="Times New Roman" w:hAnsi="Times New Roman" w:eastAsia="宋体" w:cs="Times New Roman"/>
                <w:color w:val="auto"/>
                <w:sz w:val="21"/>
                <w:highlight w:val="none"/>
              </w:rPr>
              <w:t>的各种费用、售后服务、税金及其他所有成本费用的总和）的情况，报出本项目图书的价格折扣系数，所有图书采购均按实洋价付款。图书出版的标价为码洋价，实洋价合计值＝码洋价合计值×价格折扣系数。</w:t>
            </w:r>
          </w:p>
          <w:p w14:paraId="3903910D">
            <w:pPr>
              <w:keepNext w:val="0"/>
              <w:keepLines w:val="0"/>
              <w:pageBreakBefore w:val="0"/>
              <w:widowControl/>
              <w:kinsoku/>
              <w:wordWrap/>
              <w:overflowPunct/>
              <w:topLinePunct w:val="0"/>
              <w:autoSpaceDE/>
              <w:autoSpaceDN/>
              <w:bidi w:val="0"/>
              <w:adjustRightInd w:val="0"/>
              <w:snapToGrid/>
              <w:spacing w:line="240" w:lineRule="auto"/>
              <w:ind w:leftChars="0"/>
              <w:jc w:val="left"/>
              <w:textAlignment w:val="center"/>
              <w:rPr>
                <w:rFonts w:hint="eastAsia" w:ascii="宋体" w:hAnsi="宋体" w:eastAsia="宋体" w:cs="宋体"/>
                <w:color w:val="auto"/>
                <w:sz w:val="21"/>
                <w:szCs w:val="21"/>
                <w:highlight w:val="none"/>
              </w:rPr>
            </w:pPr>
            <w:r>
              <w:rPr>
                <w:rFonts w:hint="eastAsia" w:ascii="Times New Roman" w:hAnsi="Times New Roman" w:eastAsia="宋体" w:cs="Times New Roman"/>
                <w:color w:val="auto"/>
                <w:sz w:val="21"/>
                <w:szCs w:val="21"/>
                <w:highlight w:val="none"/>
              </w:rPr>
              <w:t>2、注：本标</w:t>
            </w:r>
            <w:r>
              <w:rPr>
                <w:rFonts w:hint="eastAsia" w:ascii="Times New Roman" w:hAnsi="Times New Roman" w:eastAsia="宋体" w:cs="Times New Roman"/>
                <w:color w:val="auto"/>
                <w:sz w:val="21"/>
                <w:szCs w:val="21"/>
                <w:highlight w:val="none"/>
                <w:lang w:val="en-US" w:eastAsia="zh-CN"/>
              </w:rPr>
              <w:t>图书部分</w:t>
            </w:r>
            <w:r>
              <w:rPr>
                <w:rFonts w:hint="eastAsia" w:ascii="Times New Roman" w:hAnsi="Times New Roman" w:eastAsia="宋体" w:cs="Times New Roman"/>
                <w:color w:val="auto"/>
                <w:sz w:val="21"/>
                <w:szCs w:val="21"/>
                <w:highlight w:val="none"/>
              </w:rPr>
              <w:t>必须按折扣系数报价，且折扣系数范围：折扣系数≤100%,报价超出上述折扣系数的，按无效投标处理</w:t>
            </w:r>
            <w:r>
              <w:rPr>
                <w:rFonts w:hint="eastAsia" w:ascii="宋体" w:hAnsi="宋体" w:eastAsia="宋体" w:cs="Times New Roman"/>
                <w:bCs/>
                <w:color w:val="auto"/>
                <w:sz w:val="21"/>
                <w:szCs w:val="21"/>
                <w:highlight w:val="none"/>
              </w:rPr>
              <w:t>。</w:t>
            </w:r>
          </w:p>
        </w:tc>
      </w:tr>
      <w:tr w14:paraId="649C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72" w:type="dxa"/>
            <w:gridSpan w:val="2"/>
            <w:noWrap w:val="0"/>
            <w:vAlign w:val="center"/>
          </w:tcPr>
          <w:p w14:paraId="2CD08A47">
            <w:pPr>
              <w:keepNext w:val="0"/>
              <w:keepLines w:val="0"/>
              <w:pageBreakBefore w:val="0"/>
              <w:tabs>
                <w:tab w:val="left" w:pos="180"/>
                <w:tab w:val="left" w:pos="1620"/>
              </w:tabs>
              <w:kinsoku/>
              <w:wordWrap/>
              <w:overflowPunct/>
              <w:topLinePunct w:val="0"/>
              <w:autoSpaceDE/>
              <w:autoSpaceDN/>
              <w:bidi w:val="0"/>
              <w:snapToGrid/>
              <w:spacing w:line="240" w:lineRule="auto"/>
              <w:ind w:leftChars="0"/>
              <w:jc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质保期</w:t>
            </w:r>
          </w:p>
        </w:tc>
        <w:tc>
          <w:tcPr>
            <w:tcW w:w="8110" w:type="dxa"/>
            <w:gridSpan w:val="3"/>
            <w:noWrap w:val="0"/>
            <w:vAlign w:val="center"/>
          </w:tcPr>
          <w:p w14:paraId="2A4A0B60">
            <w:pPr>
              <w:keepNext w:val="0"/>
              <w:keepLines w:val="0"/>
              <w:pageBreakBefore w:val="0"/>
              <w:widowControl/>
              <w:kinsoku/>
              <w:wordWrap/>
              <w:overflowPunct/>
              <w:topLinePunct w:val="0"/>
              <w:autoSpaceDE/>
              <w:autoSpaceDN/>
              <w:bidi w:val="0"/>
              <w:adjustRightInd w:val="0"/>
              <w:snapToGrid/>
              <w:spacing w:line="240" w:lineRule="auto"/>
              <w:ind w:leftChars="0"/>
              <w:jc w:val="left"/>
              <w:textAlignment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按国家有关产品“三包”规定执行“三包”，图书质保期1年，从图书交货验收合格之日起计算。质保期内，发现图书或图书标签的质量与合同要求不符，有漏页、缺页、破页，印刷字迹不清等不符合要求的情况（人为因素除外），</w:t>
            </w:r>
            <w:r>
              <w:rPr>
                <w:rFonts w:hint="eastAsia" w:ascii="宋体" w:hAnsi="宋体" w:eastAsia="宋体" w:cs="宋体"/>
                <w:bCs/>
                <w:color w:val="auto"/>
                <w:sz w:val="21"/>
                <w:szCs w:val="21"/>
                <w:highlight w:val="none"/>
                <w:lang w:val="en-US" w:eastAsia="zh-CN"/>
              </w:rPr>
              <w:t>成交</w:t>
            </w:r>
            <w:r>
              <w:rPr>
                <w:rFonts w:hint="eastAsia" w:ascii="宋体" w:hAnsi="宋体" w:eastAsia="宋体" w:cs="宋体"/>
                <w:bCs/>
                <w:color w:val="auto"/>
                <w:sz w:val="21"/>
                <w:szCs w:val="21"/>
                <w:highlight w:val="none"/>
              </w:rPr>
              <w:t>人应负责更换。成交人在接到用户通知后24小时内予以答复，</w:t>
            </w:r>
            <w:r>
              <w:rPr>
                <w:rFonts w:hint="eastAsia" w:ascii="宋体" w:hAnsi="宋体" w:eastAsia="宋体" w:cs="宋体"/>
                <w:bCs/>
                <w:color w:val="auto"/>
                <w:sz w:val="21"/>
                <w:szCs w:val="21"/>
                <w:highlight w:val="none"/>
                <w:lang w:val="en-US" w:eastAsia="zh-CN"/>
              </w:rPr>
              <w:t>7天</w:t>
            </w:r>
            <w:r>
              <w:rPr>
                <w:rFonts w:hint="eastAsia" w:ascii="宋体" w:hAnsi="宋体" w:eastAsia="宋体" w:cs="宋体"/>
                <w:bCs/>
                <w:color w:val="auto"/>
                <w:sz w:val="21"/>
                <w:szCs w:val="21"/>
                <w:highlight w:val="none"/>
              </w:rPr>
              <w:t>内更换有缺陷的图书或图书标签。如果成交人在接到通知后</w:t>
            </w:r>
            <w:r>
              <w:rPr>
                <w:rFonts w:hint="eastAsia" w:ascii="宋体" w:hAnsi="宋体" w:eastAsia="宋体" w:cs="宋体"/>
                <w:bCs/>
                <w:color w:val="auto"/>
                <w:sz w:val="21"/>
                <w:szCs w:val="21"/>
                <w:highlight w:val="none"/>
                <w:lang w:val="en-US" w:eastAsia="zh-CN"/>
              </w:rPr>
              <w:t>7天</w:t>
            </w:r>
            <w:r>
              <w:rPr>
                <w:rFonts w:hint="eastAsia" w:ascii="宋体" w:hAnsi="宋体" w:eastAsia="宋体" w:cs="宋体"/>
                <w:bCs/>
                <w:color w:val="auto"/>
                <w:sz w:val="21"/>
                <w:szCs w:val="21"/>
                <w:highlight w:val="none"/>
              </w:rPr>
              <w:t>内内没有更换有缺陷的图书或图书标签，成交人将承担相应的违约责任。图书标签在质保期内如有质量问题，成交人</w:t>
            </w:r>
            <w:r>
              <w:rPr>
                <w:rFonts w:hint="eastAsia" w:ascii="宋体" w:hAnsi="宋体" w:eastAsia="宋体" w:cs="宋体"/>
                <w:bCs/>
                <w:color w:val="auto"/>
                <w:sz w:val="21"/>
                <w:szCs w:val="21"/>
                <w:highlight w:val="none"/>
                <w:lang w:val="en-US" w:eastAsia="zh-CN"/>
              </w:rPr>
              <w:t>负责</w:t>
            </w:r>
            <w:r>
              <w:rPr>
                <w:rFonts w:hint="eastAsia" w:ascii="宋体" w:hAnsi="宋体" w:eastAsia="宋体" w:cs="宋体"/>
                <w:bCs/>
                <w:color w:val="auto"/>
                <w:sz w:val="21"/>
                <w:szCs w:val="21"/>
                <w:highlight w:val="none"/>
              </w:rPr>
              <w:t>更换。</w:t>
            </w:r>
          </w:p>
        </w:tc>
      </w:tr>
      <w:tr w14:paraId="7BD17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72" w:type="dxa"/>
            <w:gridSpan w:val="2"/>
            <w:noWrap w:val="0"/>
            <w:vAlign w:val="center"/>
          </w:tcPr>
          <w:p w14:paraId="5F213371">
            <w:pPr>
              <w:keepNext w:val="0"/>
              <w:keepLines w:val="0"/>
              <w:pageBreakBefore w:val="0"/>
              <w:kinsoku/>
              <w:wordWrap/>
              <w:overflowPunct/>
              <w:topLinePunct w:val="0"/>
              <w:autoSpaceDE/>
              <w:autoSpaceDN/>
              <w:bidi w:val="0"/>
              <w:snapToGrid/>
              <w:spacing w:line="240" w:lineRule="auto"/>
              <w:ind w:leftChars="0"/>
              <w:jc w:val="center"/>
              <w:rPr>
                <w:rFonts w:hint="eastAsia" w:ascii="宋体" w:hAnsi="宋体" w:eastAsia="宋体" w:cs="宋体"/>
                <w:color w:val="auto"/>
                <w:sz w:val="21"/>
                <w:szCs w:val="21"/>
                <w:highlight w:val="none"/>
              </w:rPr>
            </w:pPr>
            <w:r>
              <w:rPr>
                <w:rFonts w:hint="eastAsia" w:ascii="宋体" w:hAnsi="宋体" w:eastAsia="宋体" w:cs="Times New Roman"/>
                <w:color w:val="auto"/>
                <w:sz w:val="21"/>
                <w:szCs w:val="21"/>
                <w:highlight w:val="none"/>
                <w:lang w:val="en-US" w:eastAsia="zh-CN"/>
              </w:rPr>
              <w:t>其他</w:t>
            </w:r>
            <w:r>
              <w:rPr>
                <w:rFonts w:hint="eastAsia" w:ascii="宋体" w:hAnsi="宋体" w:eastAsia="宋体" w:cs="Times New Roman"/>
                <w:color w:val="auto"/>
                <w:sz w:val="21"/>
                <w:szCs w:val="21"/>
                <w:highlight w:val="none"/>
              </w:rPr>
              <w:t>服务要求</w:t>
            </w:r>
          </w:p>
        </w:tc>
        <w:tc>
          <w:tcPr>
            <w:tcW w:w="8110" w:type="dxa"/>
            <w:gridSpan w:val="3"/>
            <w:noWrap w:val="0"/>
            <w:vAlign w:val="center"/>
          </w:tcPr>
          <w:p w14:paraId="6B90E67C">
            <w:pPr>
              <w:keepNext w:val="0"/>
              <w:keepLines w:val="0"/>
              <w:pageBreakBefore w:val="0"/>
              <w:kinsoku/>
              <w:wordWrap/>
              <w:overflowPunct/>
              <w:topLinePunct w:val="0"/>
              <w:autoSpaceDE/>
              <w:autoSpaceDN/>
              <w:bidi w:val="0"/>
              <w:snapToGrid/>
              <w:spacing w:line="240" w:lineRule="auto"/>
              <w:ind w:leftChars="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1、服从采购人管理，及时整改采购人提出的工作中存在的各种问题。</w:t>
            </w:r>
          </w:p>
          <w:p w14:paraId="0E95636B">
            <w:pPr>
              <w:keepNext w:val="0"/>
              <w:keepLines w:val="0"/>
              <w:pageBreakBefore w:val="0"/>
              <w:kinsoku/>
              <w:wordWrap/>
              <w:overflowPunct/>
              <w:topLinePunct w:val="0"/>
              <w:autoSpaceDE/>
              <w:autoSpaceDN/>
              <w:bidi w:val="0"/>
              <w:snapToGrid/>
              <w:spacing w:line="240" w:lineRule="auto"/>
              <w:ind w:leftChars="0"/>
              <w:rPr>
                <w:rFonts w:hint="eastAsia" w:ascii="宋体" w:hAnsi="宋体" w:eastAsia="宋体" w:cs="宋体"/>
                <w:color w:val="auto"/>
                <w:sz w:val="21"/>
                <w:szCs w:val="21"/>
                <w:highlight w:val="none"/>
                <w:lang w:val="en-US" w:eastAsia="zh-CN"/>
              </w:rPr>
            </w:pPr>
            <w:r>
              <w:rPr>
                <w:rFonts w:hint="eastAsia" w:ascii="宋体" w:hAnsi="宋体" w:eastAsia="宋体" w:cs="Times New Roman"/>
                <w:color w:val="auto"/>
                <w:sz w:val="21"/>
                <w:szCs w:val="21"/>
                <w:highlight w:val="none"/>
              </w:rPr>
              <w:t>2、其他未尽事宜将在双方签订合同时议定。</w:t>
            </w:r>
          </w:p>
        </w:tc>
      </w:tr>
      <w:tr w14:paraId="28247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72" w:type="dxa"/>
            <w:gridSpan w:val="2"/>
            <w:noWrap w:val="0"/>
            <w:vAlign w:val="center"/>
          </w:tcPr>
          <w:p w14:paraId="4FBCCBA0">
            <w:pPr>
              <w:keepNext w:val="0"/>
              <w:keepLines w:val="0"/>
              <w:pageBreakBefore w:val="0"/>
              <w:tabs>
                <w:tab w:val="left" w:pos="180"/>
                <w:tab w:val="left" w:pos="1620"/>
              </w:tabs>
              <w:kinsoku/>
              <w:wordWrap/>
              <w:overflowPunct/>
              <w:topLinePunct w:val="0"/>
              <w:autoSpaceDE/>
              <w:autoSpaceDN/>
              <w:bidi w:val="0"/>
              <w:snapToGrid/>
              <w:spacing w:line="240" w:lineRule="auto"/>
              <w:ind w:leftChars="0"/>
              <w:jc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付款条件</w:t>
            </w:r>
          </w:p>
        </w:tc>
        <w:tc>
          <w:tcPr>
            <w:tcW w:w="8110" w:type="dxa"/>
            <w:gridSpan w:val="3"/>
            <w:noWrap w:val="0"/>
            <w:vAlign w:val="center"/>
          </w:tcPr>
          <w:p w14:paraId="7C7A58D5">
            <w:pPr>
              <w:keepNext w:val="0"/>
              <w:keepLines w:val="0"/>
              <w:pageBreakBefore w:val="0"/>
              <w:widowControl/>
              <w:kinsoku/>
              <w:wordWrap/>
              <w:overflowPunct/>
              <w:topLinePunct w:val="0"/>
              <w:autoSpaceDE/>
              <w:autoSpaceDN/>
              <w:bidi w:val="0"/>
              <w:adjustRightInd w:val="0"/>
              <w:snapToGrid/>
              <w:spacing w:line="240" w:lineRule="auto"/>
              <w:ind w:leftChars="0"/>
              <w:jc w:val="left"/>
              <w:textAlignment w:val="center"/>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1、</w:t>
            </w:r>
            <w:r>
              <w:rPr>
                <w:rFonts w:hint="eastAsia" w:ascii="Times New Roman" w:hAnsi="Times New Roman" w:eastAsia="宋体" w:cs="Times New Roman"/>
                <w:color w:val="auto"/>
                <w:sz w:val="21"/>
                <w:highlight w:val="none"/>
                <w:lang w:val="en-US" w:eastAsia="zh-CN"/>
              </w:rPr>
              <w:t>项目实施完成</w:t>
            </w:r>
            <w:r>
              <w:rPr>
                <w:rFonts w:hint="eastAsia" w:ascii="Times New Roman" w:hAnsi="Times New Roman" w:eastAsia="宋体" w:cs="Times New Roman"/>
                <w:color w:val="auto"/>
                <w:sz w:val="21"/>
                <w:highlight w:val="none"/>
              </w:rPr>
              <w:t>验收合格，采购人收到发票后1个月内按实际验收合格图书的实洋价合计值付清</w:t>
            </w:r>
            <w:r>
              <w:rPr>
                <w:rFonts w:hint="eastAsia" w:ascii="Times New Roman" w:hAnsi="Times New Roman" w:eastAsia="宋体" w:cs="Times New Roman"/>
                <w:color w:val="auto"/>
                <w:sz w:val="21"/>
                <w:highlight w:val="none"/>
                <w:lang w:val="en-US" w:eastAsia="zh-CN"/>
              </w:rPr>
              <w:t>项目</w:t>
            </w:r>
            <w:r>
              <w:rPr>
                <w:rFonts w:hint="eastAsia" w:ascii="Times New Roman" w:hAnsi="Times New Roman" w:eastAsia="宋体" w:cs="Times New Roman"/>
                <w:color w:val="auto"/>
                <w:sz w:val="21"/>
                <w:highlight w:val="none"/>
              </w:rPr>
              <w:t>款。</w:t>
            </w:r>
          </w:p>
          <w:p w14:paraId="683E91E6">
            <w:pPr>
              <w:keepNext w:val="0"/>
              <w:keepLines w:val="0"/>
              <w:pageBreakBefore w:val="0"/>
              <w:widowControl/>
              <w:kinsoku/>
              <w:wordWrap/>
              <w:overflowPunct/>
              <w:topLinePunct w:val="0"/>
              <w:autoSpaceDE/>
              <w:autoSpaceDN/>
              <w:bidi w:val="0"/>
              <w:adjustRightInd w:val="0"/>
              <w:snapToGrid/>
              <w:spacing w:line="240" w:lineRule="auto"/>
              <w:ind w:leftChars="0"/>
              <w:jc w:val="left"/>
              <w:textAlignment w:val="center"/>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2、实洋价合计值=码洋价合计值×价格折扣系数。</w:t>
            </w:r>
          </w:p>
          <w:p w14:paraId="22B0E218">
            <w:pPr>
              <w:keepNext w:val="0"/>
              <w:keepLines w:val="0"/>
              <w:pageBreakBefore w:val="0"/>
              <w:widowControl/>
              <w:kinsoku/>
              <w:wordWrap/>
              <w:overflowPunct/>
              <w:topLinePunct w:val="0"/>
              <w:autoSpaceDE/>
              <w:autoSpaceDN/>
              <w:bidi w:val="0"/>
              <w:adjustRightInd w:val="0"/>
              <w:snapToGrid/>
              <w:spacing w:line="240" w:lineRule="auto"/>
              <w:ind w:leftChars="0"/>
              <w:jc w:val="left"/>
              <w:textAlignment w:val="center"/>
              <w:rPr>
                <w:rFonts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3、结算方式：</w:t>
            </w:r>
            <w:r>
              <w:rPr>
                <w:rFonts w:hint="eastAsia" w:ascii="Times New Roman" w:hAnsi="Times New Roman" w:eastAsia="宋体" w:cs="Times New Roman"/>
                <w:color w:val="auto"/>
                <w:sz w:val="21"/>
                <w:highlight w:val="none"/>
                <w:u w:val="single"/>
              </w:rPr>
              <w:t>转账</w:t>
            </w:r>
            <w:r>
              <w:rPr>
                <w:rFonts w:hint="eastAsia" w:ascii="Times New Roman" w:hAnsi="Times New Roman" w:eastAsia="宋体" w:cs="Times New Roman"/>
                <w:color w:val="auto"/>
                <w:sz w:val="21"/>
                <w:highlight w:val="none"/>
              </w:rPr>
              <w:t>。</w:t>
            </w:r>
          </w:p>
          <w:p w14:paraId="56E8C3F0">
            <w:pPr>
              <w:keepNext w:val="0"/>
              <w:keepLines w:val="0"/>
              <w:pageBreakBefore w:val="0"/>
              <w:widowControl/>
              <w:kinsoku/>
              <w:wordWrap/>
              <w:overflowPunct/>
              <w:topLinePunct w:val="0"/>
              <w:autoSpaceDE/>
              <w:autoSpaceDN/>
              <w:bidi w:val="0"/>
              <w:adjustRightInd w:val="0"/>
              <w:snapToGrid/>
              <w:spacing w:line="240" w:lineRule="auto"/>
              <w:ind w:leftChars="0"/>
              <w:jc w:val="left"/>
              <w:textAlignment w:val="center"/>
              <w:rPr>
                <w:rFonts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4、</w:t>
            </w:r>
            <w:r>
              <w:rPr>
                <w:rFonts w:hint="eastAsia" w:ascii="宋体" w:hAnsi="宋体" w:eastAsia="宋体" w:cs="宋体"/>
                <w:color w:val="auto"/>
                <w:sz w:val="21"/>
                <w:szCs w:val="21"/>
                <w:highlight w:val="none"/>
              </w:rPr>
              <w:t>本</w:t>
            </w:r>
            <w:r>
              <w:rPr>
                <w:rFonts w:hint="eastAsia" w:ascii="宋体" w:hAnsi="宋体" w:eastAsia="宋体" w:cs="宋体"/>
                <w:color w:val="auto"/>
                <w:sz w:val="21"/>
                <w:szCs w:val="21"/>
                <w:highlight w:val="none"/>
                <w:lang w:val="en-US" w:eastAsia="zh-CN"/>
              </w:rPr>
              <w:t>项目</w:t>
            </w:r>
            <w:r>
              <w:rPr>
                <w:rFonts w:hint="eastAsia" w:ascii="宋体" w:hAnsi="宋体" w:eastAsia="宋体" w:cs="宋体"/>
                <w:color w:val="auto"/>
                <w:sz w:val="21"/>
                <w:szCs w:val="21"/>
                <w:highlight w:val="none"/>
              </w:rPr>
              <w:t>实洋</w:t>
            </w:r>
            <w:r>
              <w:rPr>
                <w:rFonts w:hint="eastAsia" w:ascii="Times New Roman" w:hAnsi="宋体" w:eastAsia="宋体" w:cs="宋体"/>
                <w:color w:val="auto"/>
                <w:sz w:val="21"/>
                <w:szCs w:val="21"/>
                <w:highlight w:val="none"/>
              </w:rPr>
              <w:t>价</w:t>
            </w:r>
            <w:r>
              <w:rPr>
                <w:rFonts w:hint="eastAsia" w:ascii="宋体" w:hAnsi="宋体" w:eastAsia="宋体" w:cs="宋体"/>
                <w:color w:val="auto"/>
                <w:sz w:val="21"/>
                <w:szCs w:val="21"/>
                <w:highlight w:val="none"/>
              </w:rPr>
              <w:t>合计值即本</w:t>
            </w:r>
            <w:r>
              <w:rPr>
                <w:rFonts w:hint="eastAsia" w:ascii="宋体" w:hAnsi="宋体" w:eastAsia="宋体" w:cs="宋体"/>
                <w:color w:val="auto"/>
                <w:sz w:val="21"/>
                <w:szCs w:val="21"/>
                <w:highlight w:val="none"/>
                <w:lang w:val="en-US" w:eastAsia="zh-CN"/>
              </w:rPr>
              <w:t>项目</w:t>
            </w:r>
            <w:r>
              <w:rPr>
                <w:rFonts w:hint="eastAsia" w:ascii="宋体" w:hAnsi="宋体" w:eastAsia="宋体" w:cs="宋体"/>
                <w:color w:val="auto"/>
                <w:sz w:val="21"/>
                <w:szCs w:val="21"/>
                <w:highlight w:val="none"/>
              </w:rPr>
              <w:t>合同签订金额。</w:t>
            </w:r>
          </w:p>
          <w:p w14:paraId="0CAB583F">
            <w:pPr>
              <w:keepNext w:val="0"/>
              <w:keepLines w:val="0"/>
              <w:pageBreakBefore w:val="0"/>
              <w:widowControl/>
              <w:kinsoku/>
              <w:wordWrap/>
              <w:overflowPunct/>
              <w:topLinePunct w:val="0"/>
              <w:autoSpaceDE/>
              <w:autoSpaceDN/>
              <w:bidi w:val="0"/>
              <w:adjustRightInd w:val="0"/>
              <w:snapToGrid/>
              <w:spacing w:line="240" w:lineRule="auto"/>
              <w:ind w:leftChars="0"/>
              <w:jc w:val="left"/>
              <w:textAlignment w:val="center"/>
              <w:rPr>
                <w:rFonts w:hint="default" w:ascii="宋体" w:hAnsi="宋体" w:eastAsia="宋体" w:cs="宋体"/>
                <w:color w:val="auto"/>
                <w:sz w:val="21"/>
                <w:szCs w:val="21"/>
                <w:highlight w:val="none"/>
                <w:lang w:val="en-US" w:eastAsia="zh-CN"/>
              </w:rPr>
            </w:pPr>
            <w:r>
              <w:rPr>
                <w:rFonts w:hint="eastAsia" w:ascii="Times New Roman" w:hAnsi="Times New Roman" w:eastAsia="宋体" w:cs="Times New Roman"/>
                <w:color w:val="auto"/>
                <w:sz w:val="21"/>
                <w:highlight w:val="none"/>
                <w:lang w:val="en-US" w:eastAsia="zh-CN"/>
              </w:rPr>
              <w:t>5、本项目最终结算实洋价合计值不得超过本合同约定的采购预算总金额158.5万元。</w:t>
            </w:r>
          </w:p>
        </w:tc>
      </w:tr>
      <w:tr w14:paraId="1C300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72" w:type="dxa"/>
            <w:gridSpan w:val="2"/>
            <w:noWrap w:val="0"/>
            <w:vAlign w:val="center"/>
          </w:tcPr>
          <w:p w14:paraId="53288F89">
            <w:pPr>
              <w:keepNext w:val="0"/>
              <w:keepLines w:val="0"/>
              <w:pageBreakBefore w:val="0"/>
              <w:tabs>
                <w:tab w:val="left" w:pos="180"/>
                <w:tab w:val="left" w:pos="1620"/>
              </w:tabs>
              <w:kinsoku/>
              <w:wordWrap/>
              <w:overflowPunct/>
              <w:topLinePunct w:val="0"/>
              <w:autoSpaceDE/>
              <w:autoSpaceDN/>
              <w:bidi w:val="0"/>
              <w:snapToGrid/>
              <w:spacing w:line="240" w:lineRule="auto"/>
              <w:ind w:leftChars="0"/>
              <w:jc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售后服务</w:t>
            </w:r>
          </w:p>
        </w:tc>
        <w:tc>
          <w:tcPr>
            <w:tcW w:w="8110" w:type="dxa"/>
            <w:gridSpan w:val="3"/>
            <w:noWrap w:val="0"/>
            <w:vAlign w:val="center"/>
          </w:tcPr>
          <w:p w14:paraId="5943650A">
            <w:pPr>
              <w:keepNext w:val="0"/>
              <w:keepLines w:val="0"/>
              <w:pageBreakBefore w:val="0"/>
              <w:widowControl/>
              <w:kinsoku/>
              <w:wordWrap/>
              <w:overflowPunct/>
              <w:topLinePunct w:val="0"/>
              <w:autoSpaceDE/>
              <w:autoSpaceDN/>
              <w:bidi w:val="0"/>
              <w:adjustRightInd w:val="0"/>
              <w:snapToGrid/>
              <w:spacing w:line="240" w:lineRule="auto"/>
              <w:ind w:leftChars="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1、售后服务要求：</w:t>
            </w:r>
          </w:p>
          <w:p w14:paraId="67075802">
            <w:pPr>
              <w:keepNext w:val="0"/>
              <w:keepLines w:val="0"/>
              <w:pageBreakBefore w:val="0"/>
              <w:widowControl/>
              <w:kinsoku/>
              <w:wordWrap/>
              <w:overflowPunct/>
              <w:topLinePunct w:val="0"/>
              <w:autoSpaceDE/>
              <w:autoSpaceDN/>
              <w:bidi w:val="0"/>
              <w:adjustRightInd w:val="0"/>
              <w:snapToGrid/>
              <w:spacing w:line="240" w:lineRule="auto"/>
              <w:ind w:leftChars="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（1）按国家有关规定实行产品“三包”；</w:t>
            </w:r>
          </w:p>
          <w:p w14:paraId="37319990">
            <w:pPr>
              <w:keepNext w:val="0"/>
              <w:keepLines w:val="0"/>
              <w:pageBreakBefore w:val="0"/>
              <w:widowControl/>
              <w:kinsoku/>
              <w:wordWrap/>
              <w:overflowPunct/>
              <w:topLinePunct w:val="0"/>
              <w:autoSpaceDE/>
              <w:autoSpaceDN/>
              <w:bidi w:val="0"/>
              <w:adjustRightInd w:val="0"/>
              <w:snapToGrid/>
              <w:spacing w:line="240" w:lineRule="auto"/>
              <w:ind w:leftChars="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（2）送货上门；</w:t>
            </w:r>
          </w:p>
          <w:p w14:paraId="4E2E5236">
            <w:pPr>
              <w:keepNext w:val="0"/>
              <w:keepLines w:val="0"/>
              <w:pageBreakBefore w:val="0"/>
              <w:widowControl/>
              <w:kinsoku/>
              <w:wordWrap/>
              <w:overflowPunct/>
              <w:topLinePunct w:val="0"/>
              <w:autoSpaceDE/>
              <w:autoSpaceDN/>
              <w:bidi w:val="0"/>
              <w:adjustRightInd w:val="0"/>
              <w:snapToGrid/>
              <w:spacing w:line="240" w:lineRule="auto"/>
              <w:ind w:leftChars="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（3）问题响应时间:成交人接到采购人的通知后，在≤1小时响应，在≤8小时到达采购人指定现场</w:t>
            </w:r>
            <w:r>
              <w:rPr>
                <w:rFonts w:hint="eastAsia" w:ascii="宋体" w:hAnsi="宋体" w:eastAsia="宋体" w:cs="宋体"/>
                <w:color w:val="auto"/>
                <w:kern w:val="1"/>
                <w:sz w:val="21"/>
                <w:szCs w:val="21"/>
                <w:highlight w:val="none"/>
              </w:rPr>
              <w:t>，按国家及行业标准及其售后服务承诺（如有不一致，以标准高者为准，下同）进行维修，一般问题应</w:t>
            </w:r>
            <w:r>
              <w:rPr>
                <w:rFonts w:hint="eastAsia" w:ascii="宋体" w:hAnsi="宋体" w:eastAsia="宋体" w:cs="宋体"/>
                <w:color w:val="auto"/>
                <w:sz w:val="21"/>
                <w:szCs w:val="21"/>
                <w:highlight w:val="none"/>
              </w:rPr>
              <w:t>在≤24小时处理完毕，</w:t>
            </w:r>
            <w:r>
              <w:rPr>
                <w:rFonts w:hint="eastAsia" w:ascii="宋体" w:hAnsi="宋体" w:eastAsia="宋体" w:cs="宋体"/>
                <w:color w:val="auto"/>
                <w:kern w:val="1"/>
                <w:sz w:val="21"/>
                <w:szCs w:val="21"/>
                <w:highlight w:val="none"/>
              </w:rPr>
              <w:t>重大问题或其它无法迅速解决的问题应</w:t>
            </w:r>
            <w:r>
              <w:rPr>
                <w:rFonts w:hint="eastAsia" w:ascii="宋体" w:hAnsi="宋体" w:eastAsia="宋体" w:cs="宋体"/>
                <w:color w:val="auto"/>
                <w:sz w:val="21"/>
                <w:szCs w:val="21"/>
                <w:highlight w:val="none"/>
              </w:rPr>
              <w:t>在≤48小时解决，48小时未能解决问题须在48小时内提供备品备件，备品备件必须保证是同型号或相近型号、性能不低于原型号的全新、未使用过的备品备件，保证采购人正常使用。</w:t>
            </w:r>
          </w:p>
          <w:p w14:paraId="5EB62A62">
            <w:pPr>
              <w:keepNext w:val="0"/>
              <w:keepLines w:val="0"/>
              <w:pageBreakBefore w:val="0"/>
              <w:widowControl/>
              <w:kinsoku/>
              <w:wordWrap/>
              <w:overflowPunct/>
              <w:topLinePunct w:val="0"/>
              <w:autoSpaceDE/>
              <w:autoSpaceDN/>
              <w:bidi w:val="0"/>
              <w:adjustRightInd w:val="0"/>
              <w:snapToGrid/>
              <w:spacing w:line="240" w:lineRule="auto"/>
              <w:ind w:leftChars="0"/>
              <w:jc w:val="left"/>
              <w:textAlignment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2、图书若出现装订、印刷、损坏和物理加工不合格等问题，出现画面丑陋要及时更换，无条件退换，现购图书若与本馆原有藏书重复应包退。</w:t>
            </w:r>
          </w:p>
          <w:p w14:paraId="040B17AE">
            <w:pPr>
              <w:keepNext w:val="0"/>
              <w:keepLines w:val="0"/>
              <w:pageBreakBefore w:val="0"/>
              <w:widowControl/>
              <w:kinsoku/>
              <w:wordWrap/>
              <w:overflowPunct/>
              <w:topLinePunct w:val="0"/>
              <w:autoSpaceDE/>
              <w:autoSpaceDN/>
              <w:bidi w:val="0"/>
              <w:adjustRightInd w:val="0"/>
              <w:snapToGrid/>
              <w:spacing w:line="240" w:lineRule="auto"/>
              <w:ind w:leftChars="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3、成交人应严格依照采购方订单及订数配送图书，如出现违法、质量、内容（包括重书）、盗版问题及不符合采购方订单要求的图书应予无条件退换；收到更换通知之日起七天内更换有缺陷的图书。</w:t>
            </w:r>
          </w:p>
          <w:p w14:paraId="50E3CE81">
            <w:pPr>
              <w:keepNext w:val="0"/>
              <w:keepLines w:val="0"/>
              <w:pageBreakBefore w:val="0"/>
              <w:widowControl/>
              <w:kinsoku/>
              <w:wordWrap/>
              <w:overflowPunct/>
              <w:topLinePunct w:val="0"/>
              <w:autoSpaceDE/>
              <w:autoSpaceDN/>
              <w:bidi w:val="0"/>
              <w:adjustRightInd w:val="0"/>
              <w:snapToGrid/>
              <w:spacing w:line="240" w:lineRule="auto"/>
              <w:ind w:leftChars="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4、订单查重：成交人具有协助查重能力，提供订单查重（本批订单与历史订单查重；本批订单互相查重）服务，避免重复配送。如发现有重，应及时告知采购人。</w:t>
            </w:r>
          </w:p>
          <w:p w14:paraId="72A17C1F">
            <w:pPr>
              <w:keepNext w:val="0"/>
              <w:keepLines w:val="0"/>
              <w:pageBreakBefore w:val="0"/>
              <w:widowControl/>
              <w:kinsoku/>
              <w:wordWrap/>
              <w:overflowPunct/>
              <w:topLinePunct w:val="0"/>
              <w:autoSpaceDE/>
              <w:autoSpaceDN/>
              <w:bidi w:val="0"/>
              <w:adjustRightInd w:val="0"/>
              <w:snapToGrid/>
              <w:spacing w:line="240" w:lineRule="auto"/>
              <w:ind w:leftChars="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5.成交人在接到订单后应尽快将所购图书的落实情况反馈给采购人。若订单中有订不到的图书，接订单之日起七天内须告知采购人。如订单中有复本量超过订数的，应告知采购人，予以更改。</w:t>
            </w:r>
          </w:p>
        </w:tc>
      </w:tr>
      <w:tr w14:paraId="09F54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72" w:type="dxa"/>
            <w:gridSpan w:val="2"/>
            <w:noWrap w:val="0"/>
            <w:vAlign w:val="center"/>
          </w:tcPr>
          <w:p w14:paraId="5196EA4D">
            <w:pPr>
              <w:keepNext w:val="0"/>
              <w:keepLines w:val="0"/>
              <w:pageBreakBefore w:val="0"/>
              <w:tabs>
                <w:tab w:val="left" w:pos="180"/>
                <w:tab w:val="left" w:pos="1620"/>
              </w:tabs>
              <w:kinsoku/>
              <w:wordWrap/>
              <w:overflowPunct/>
              <w:topLinePunct w:val="0"/>
              <w:autoSpaceDE/>
              <w:autoSpaceDN/>
              <w:bidi w:val="0"/>
              <w:snapToGrid/>
              <w:spacing w:line="240" w:lineRule="auto"/>
              <w:ind w:leftChars="0"/>
              <w:jc w:val="center"/>
              <w:rPr>
                <w:rFonts w:hint="eastAsia" w:ascii="宋体" w:hAnsi="宋体" w:eastAsia="宋体" w:cs="宋体"/>
                <w:color w:val="auto"/>
                <w:sz w:val="21"/>
                <w:szCs w:val="21"/>
                <w:highlight w:val="none"/>
              </w:rPr>
            </w:pPr>
            <w:r>
              <w:rPr>
                <w:rFonts w:hint="eastAsia" w:ascii="宋体" w:hAnsi="宋体" w:eastAsia="宋体" w:cs="Times New Roman"/>
                <w:color w:val="auto"/>
                <w:sz w:val="21"/>
                <w:szCs w:val="21"/>
                <w:highlight w:val="none"/>
              </w:rPr>
              <w:t>验收标准</w:t>
            </w:r>
          </w:p>
        </w:tc>
        <w:tc>
          <w:tcPr>
            <w:tcW w:w="8110" w:type="dxa"/>
            <w:gridSpan w:val="3"/>
            <w:noWrap w:val="0"/>
            <w:vAlign w:val="center"/>
          </w:tcPr>
          <w:p w14:paraId="09D818C4">
            <w:pPr>
              <w:keepNext w:val="0"/>
              <w:keepLines w:val="0"/>
              <w:pageBreakBefore w:val="0"/>
              <w:widowControl/>
              <w:kinsoku/>
              <w:wordWrap/>
              <w:overflowPunct/>
              <w:topLinePunct w:val="0"/>
              <w:autoSpaceDE/>
              <w:autoSpaceDN/>
              <w:bidi w:val="0"/>
              <w:adjustRightInd w:val="0"/>
              <w:snapToGrid/>
              <w:spacing w:line="240" w:lineRule="auto"/>
              <w:ind w:leftChars="0"/>
              <w:jc w:val="left"/>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交付的</w:t>
            </w:r>
            <w:r>
              <w:rPr>
                <w:rFonts w:hint="eastAsia" w:ascii="宋体" w:hAnsi="宋体" w:eastAsia="宋体" w:cs="宋体"/>
                <w:color w:val="auto"/>
                <w:sz w:val="21"/>
                <w:szCs w:val="21"/>
                <w:highlight w:val="none"/>
              </w:rPr>
              <w:t>货物必须是为原厂全新、完整、未使用过的产品，货物送达现场后，成交人和采购人应在现场进行清点；清点过程中如果发现因包装或运输不当引起的货物外观或内部的损坏，成交人应负责更换；若发现错发、漏发情况，成交人应负责更换和补发。成交人所提供的产品、资料等要满足中华人民共和国的相应国家、地方、行业标准，本项目所供货物质量技术参数要求及</w:t>
            </w:r>
            <w:r>
              <w:rPr>
                <w:rFonts w:hint="eastAsia" w:ascii="宋体" w:hAnsi="宋体" w:eastAsia="宋体" w:cs="宋体"/>
                <w:color w:val="auto"/>
                <w:sz w:val="21"/>
                <w:szCs w:val="21"/>
                <w:highlight w:val="none"/>
                <w:lang w:val="en-US" w:eastAsia="zh-CN"/>
              </w:rPr>
              <w:t>成交人</w:t>
            </w:r>
            <w:r>
              <w:rPr>
                <w:rFonts w:hint="eastAsia" w:ascii="宋体" w:hAnsi="宋体" w:eastAsia="宋体" w:cs="宋体"/>
                <w:color w:val="auto"/>
                <w:sz w:val="21"/>
                <w:szCs w:val="21"/>
                <w:highlight w:val="none"/>
              </w:rPr>
              <w:t>承诺的货物质量标准（如有不一致，以标准高者为准），交货验收必须由采购人和成交人共同进行，采购人如认为有需要的，可委托相关检验部门对产品进行抽检，自检或检验部门抽检不合格的不给予验收，影响采购人使用货物的采购人将追究成交人的相关责任，抽检所产生的费用全部由成交人负责</w:t>
            </w:r>
            <w:r>
              <w:rPr>
                <w:rFonts w:hint="eastAsia" w:ascii="宋体" w:hAnsi="宋体" w:eastAsia="宋体" w:cs="宋体"/>
                <w:color w:val="auto"/>
                <w:sz w:val="21"/>
                <w:szCs w:val="21"/>
                <w:highlight w:val="none"/>
                <w:lang w:eastAsia="zh-CN"/>
              </w:rPr>
              <w:t>。</w:t>
            </w:r>
          </w:p>
          <w:p w14:paraId="0A142113">
            <w:pPr>
              <w:keepNext w:val="0"/>
              <w:keepLines w:val="0"/>
              <w:pageBreakBefore w:val="0"/>
              <w:widowControl/>
              <w:kinsoku/>
              <w:wordWrap/>
              <w:overflowPunct/>
              <w:topLinePunct w:val="0"/>
              <w:autoSpaceDE/>
              <w:autoSpaceDN/>
              <w:bidi w:val="0"/>
              <w:adjustRightInd w:val="0"/>
              <w:snapToGrid/>
              <w:spacing w:line="240" w:lineRule="auto"/>
              <w:ind w:leftChars="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2、验收条件及标准：①验收标准应符合中国有关的国家、地方、行业标准</w:t>
            </w:r>
            <w:r>
              <w:rPr>
                <w:rFonts w:hint="eastAsia" w:ascii="宋体" w:hAnsi="宋体" w:eastAsia="宋体" w:cs="宋体"/>
                <w:color w:val="auto"/>
                <w:sz w:val="21"/>
                <w:szCs w:val="21"/>
                <w:highlight w:val="none"/>
                <w:lang w:val="en-US" w:eastAsia="zh-CN"/>
              </w:rPr>
              <w:t>和采购人的分编、加工、上架等采购服务要求</w:t>
            </w:r>
            <w:r>
              <w:rPr>
                <w:rFonts w:hint="eastAsia" w:ascii="宋体" w:hAnsi="宋体" w:eastAsia="宋体" w:cs="宋体"/>
                <w:color w:val="auto"/>
                <w:sz w:val="21"/>
                <w:szCs w:val="21"/>
                <w:highlight w:val="none"/>
              </w:rPr>
              <w:t>；②依据中华人民共和国国标GB/T18359图书印制质量标准、印刷行业CY/T2-1999标准进行验收。</w:t>
            </w:r>
          </w:p>
        </w:tc>
      </w:tr>
      <w:tr w14:paraId="593E9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72" w:type="dxa"/>
            <w:gridSpan w:val="2"/>
            <w:noWrap w:val="0"/>
            <w:vAlign w:val="center"/>
          </w:tcPr>
          <w:p w14:paraId="09758DC5">
            <w:pPr>
              <w:keepNext w:val="0"/>
              <w:keepLines w:val="0"/>
              <w:pageBreakBefore w:val="0"/>
              <w:tabs>
                <w:tab w:val="left" w:pos="180"/>
                <w:tab w:val="left" w:pos="1620"/>
              </w:tabs>
              <w:kinsoku/>
              <w:wordWrap/>
              <w:overflowPunct/>
              <w:topLinePunct w:val="0"/>
              <w:autoSpaceDE/>
              <w:autoSpaceDN/>
              <w:bidi w:val="0"/>
              <w:snapToGrid/>
              <w:spacing w:line="240" w:lineRule="auto"/>
              <w:ind w:leftChars="0"/>
              <w:jc w:val="center"/>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其他要求</w:t>
            </w:r>
          </w:p>
        </w:tc>
        <w:tc>
          <w:tcPr>
            <w:tcW w:w="8110" w:type="dxa"/>
            <w:gridSpan w:val="3"/>
            <w:noWrap w:val="0"/>
            <w:vAlign w:val="center"/>
          </w:tcPr>
          <w:p w14:paraId="76623EFF">
            <w:pPr>
              <w:keepNext w:val="0"/>
              <w:keepLines w:val="0"/>
              <w:pageBreakBefore w:val="0"/>
              <w:widowControl/>
              <w:kinsoku/>
              <w:wordWrap/>
              <w:overflowPunct/>
              <w:topLinePunct w:val="0"/>
              <w:autoSpaceDE/>
              <w:autoSpaceDN/>
              <w:bidi w:val="0"/>
              <w:adjustRightInd w:val="0"/>
              <w:snapToGrid/>
              <w:spacing w:line="240" w:lineRule="auto"/>
              <w:ind w:leftChars="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1、违约责任：</w:t>
            </w:r>
          </w:p>
          <w:p w14:paraId="5AEC6A06">
            <w:pPr>
              <w:keepNext w:val="0"/>
              <w:keepLines w:val="0"/>
              <w:pageBreakBefore w:val="0"/>
              <w:widowControl/>
              <w:kinsoku/>
              <w:wordWrap/>
              <w:overflowPunct/>
              <w:topLinePunct w:val="0"/>
              <w:autoSpaceDE/>
              <w:autoSpaceDN/>
              <w:bidi w:val="0"/>
              <w:adjustRightInd w:val="0"/>
              <w:snapToGrid/>
              <w:spacing w:line="240" w:lineRule="auto"/>
              <w:ind w:leftChars="0"/>
              <w:jc w:val="left"/>
              <w:textAlignment w:val="center"/>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（1）供应商必须承诺不得转让或转包本项目（格式自拟）；</w:t>
            </w:r>
            <w:r>
              <w:rPr>
                <w:rFonts w:hint="eastAsia" w:ascii="宋体" w:hAnsi="宋体" w:eastAsia="宋体" w:cs="宋体"/>
                <w:b/>
                <w:color w:val="auto"/>
                <w:sz w:val="21"/>
                <w:szCs w:val="21"/>
                <w:highlight w:val="none"/>
              </w:rPr>
              <w:t xml:space="preserve">[响应文件中须提供承诺函，承诺函须有法定代表人（负责人）或其委托代理人签字，并加盖供应商单位公章，否则按无效响应处理] </w:t>
            </w:r>
          </w:p>
          <w:p w14:paraId="6CA78B1B">
            <w:pPr>
              <w:keepNext w:val="0"/>
              <w:keepLines w:val="0"/>
              <w:pageBreakBefore w:val="0"/>
              <w:widowControl/>
              <w:kinsoku/>
              <w:wordWrap/>
              <w:overflowPunct/>
              <w:topLinePunct w:val="0"/>
              <w:autoSpaceDE/>
              <w:autoSpaceDN/>
              <w:bidi w:val="0"/>
              <w:adjustRightInd w:val="0"/>
              <w:snapToGrid/>
              <w:spacing w:line="240" w:lineRule="auto"/>
              <w:ind w:leftChars="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（2）违约责任要求：</w:t>
            </w:r>
          </w:p>
          <w:p w14:paraId="4A73AF13">
            <w:pPr>
              <w:keepNext w:val="0"/>
              <w:keepLines w:val="0"/>
              <w:pageBreakBefore w:val="0"/>
              <w:widowControl/>
              <w:kinsoku/>
              <w:wordWrap/>
              <w:overflowPunct/>
              <w:topLinePunct w:val="0"/>
              <w:autoSpaceDE/>
              <w:autoSpaceDN/>
              <w:bidi w:val="0"/>
              <w:adjustRightInd w:val="0"/>
              <w:snapToGrid/>
              <w:spacing w:line="240" w:lineRule="auto"/>
              <w:ind w:leftChars="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①成交人必须按本项目合同和响应文件中规定的服务承诺提供服务，如有违反响应文件服务承诺的违约行为，采购人有权依法终止合同，成交人按本项目合同合计金额</w:t>
            </w:r>
            <w:r>
              <w:rPr>
                <w:rFonts w:hint="eastAsia" w:ascii="宋体" w:hAnsi="宋体" w:eastAsia="宋体" w:cs="宋体"/>
                <w:color w:val="auto"/>
                <w:sz w:val="21"/>
                <w:szCs w:val="21"/>
                <w:highlight w:val="none"/>
                <w:lang w:eastAsia="zh-CN"/>
              </w:rPr>
              <w:t>的</w:t>
            </w:r>
            <w:r>
              <w:rPr>
                <w:rFonts w:hint="eastAsia" w:ascii="宋体" w:hAnsi="宋体" w:eastAsia="宋体" w:cs="宋体"/>
                <w:color w:val="auto"/>
                <w:sz w:val="21"/>
                <w:szCs w:val="21"/>
                <w:highlight w:val="none"/>
              </w:rPr>
              <w:t>5%向采购人支付违约金，违约金从图书结算款中扣除；</w:t>
            </w:r>
          </w:p>
          <w:p w14:paraId="21659F6E">
            <w:pPr>
              <w:keepNext w:val="0"/>
              <w:keepLines w:val="0"/>
              <w:pageBreakBefore w:val="0"/>
              <w:widowControl/>
              <w:kinsoku/>
              <w:wordWrap/>
              <w:overflowPunct/>
              <w:topLinePunct w:val="0"/>
              <w:autoSpaceDE/>
              <w:autoSpaceDN/>
              <w:bidi w:val="0"/>
              <w:adjustRightInd w:val="0"/>
              <w:snapToGrid/>
              <w:spacing w:line="240" w:lineRule="auto"/>
              <w:ind w:leftChars="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②成交人应按采购人所要求的图书品种及复本数量供书，如有违反，须无条件退货，并以成交人自行搭配和增加复本数量的图书码洋3倍金额支付违约金，违约金从图书结算款中扣除；</w:t>
            </w:r>
          </w:p>
          <w:p w14:paraId="20BC3728">
            <w:pPr>
              <w:keepNext w:val="0"/>
              <w:keepLines w:val="0"/>
              <w:pageBreakBefore w:val="0"/>
              <w:kinsoku/>
              <w:wordWrap/>
              <w:overflowPunct/>
              <w:topLinePunct w:val="0"/>
              <w:autoSpaceDE/>
              <w:autoSpaceDN/>
              <w:bidi w:val="0"/>
              <w:snapToGrid/>
              <w:spacing w:line="240" w:lineRule="auto"/>
              <w:ind w:left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▲③供应商应实现图书全品种供应，且采购人核心出版社(见附录2)图书数量占全部图书出版社数量比例超 50%；供应商须在响应文件中明确保障措施，未达标视为违约，采购人可追责。</w:t>
            </w:r>
          </w:p>
          <w:p w14:paraId="1ED4124B">
            <w:pPr>
              <w:keepNext w:val="0"/>
              <w:keepLines w:val="0"/>
              <w:pageBreakBefore w:val="0"/>
              <w:widowControl/>
              <w:kinsoku/>
              <w:wordWrap/>
              <w:overflowPunct/>
              <w:topLinePunct w:val="0"/>
              <w:autoSpaceDE/>
              <w:autoSpaceDN/>
              <w:bidi w:val="0"/>
              <w:adjustRightInd w:val="0"/>
              <w:snapToGrid/>
              <w:spacing w:line="240" w:lineRule="auto"/>
              <w:ind w:leftChars="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④</w:t>
            </w:r>
            <w:r>
              <w:rPr>
                <w:rFonts w:hint="eastAsia" w:ascii="宋体" w:hAnsi="宋体" w:eastAsia="宋体" w:cs="宋体"/>
                <w:color w:val="auto"/>
                <w:sz w:val="21"/>
                <w:szCs w:val="21"/>
                <w:highlight w:val="none"/>
              </w:rPr>
              <w:t>成交人在履行合同期间出现违约行为，采购人有权减少合同金额或终止合同。</w:t>
            </w:r>
          </w:p>
          <w:p w14:paraId="7BDAC6EF">
            <w:pPr>
              <w:keepNext w:val="0"/>
              <w:keepLines w:val="0"/>
              <w:pageBreakBefore w:val="0"/>
              <w:widowControl/>
              <w:kinsoku/>
              <w:wordWrap/>
              <w:overflowPunct/>
              <w:topLinePunct w:val="0"/>
              <w:autoSpaceDE/>
              <w:autoSpaceDN/>
              <w:bidi w:val="0"/>
              <w:adjustRightInd w:val="0"/>
              <w:snapToGrid/>
              <w:spacing w:line="240" w:lineRule="auto"/>
              <w:ind w:leftChars="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⑤</w:t>
            </w:r>
            <w:r>
              <w:rPr>
                <w:rFonts w:hint="eastAsia" w:ascii="宋体" w:hAnsi="宋体" w:eastAsia="宋体" w:cs="宋体"/>
                <w:color w:val="auto"/>
                <w:sz w:val="21"/>
                <w:szCs w:val="21"/>
                <w:highlight w:val="none"/>
              </w:rPr>
              <w:t>自合同签订之日起</w:t>
            </w:r>
            <w:r>
              <w:rPr>
                <w:rFonts w:hint="eastAsia" w:ascii="宋体" w:hAnsi="宋体" w:eastAsia="宋体" w:cs="宋体"/>
                <w:color w:val="auto"/>
                <w:sz w:val="21"/>
                <w:szCs w:val="21"/>
                <w:highlight w:val="none"/>
                <w:lang w:val="en-US" w:eastAsia="zh-CN"/>
              </w:rPr>
              <w:t>45个自然日</w:t>
            </w:r>
            <w:r>
              <w:rPr>
                <w:rFonts w:hint="eastAsia" w:ascii="宋体" w:hAnsi="宋体" w:eastAsia="宋体" w:cs="宋体"/>
                <w:color w:val="auto"/>
                <w:sz w:val="21"/>
                <w:szCs w:val="21"/>
                <w:highlight w:val="none"/>
              </w:rPr>
              <w:t>内必须交货完毕，</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纸质图书部分需完成所有订单到货、物理加工、数据录入、上架、定位等合同约定的加工工序，并配合采购方验收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，供应商须根据时间要求自行严格把握进度，确保足够的加工人员以避免项目延期。</w:t>
            </w:r>
            <w:r>
              <w:rPr>
                <w:rFonts w:hint="eastAsia" w:ascii="宋体" w:hAnsi="宋体" w:eastAsia="宋体" w:cs="宋体"/>
                <w:color w:val="auto"/>
                <w:sz w:val="21"/>
                <w:szCs w:val="21"/>
                <w:highlight w:val="none"/>
              </w:rPr>
              <w:t>如未按时交付，扣除履约保证金并承担违约责任。</w:t>
            </w:r>
          </w:p>
          <w:p w14:paraId="490B73B9">
            <w:pPr>
              <w:keepNext w:val="0"/>
              <w:keepLines w:val="0"/>
              <w:pageBreakBefore w:val="0"/>
              <w:widowControl/>
              <w:kinsoku/>
              <w:wordWrap/>
              <w:overflowPunct/>
              <w:topLinePunct w:val="0"/>
              <w:autoSpaceDE/>
              <w:autoSpaceDN/>
              <w:bidi w:val="0"/>
              <w:adjustRightInd w:val="0"/>
              <w:snapToGrid/>
              <w:spacing w:line="240" w:lineRule="auto"/>
              <w:ind w:leftChars="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乙方有下列违约情形之一的，每逾期1日，按合同总价的</w:t>
            </w:r>
            <w:r>
              <w:rPr>
                <w:rFonts w:hint="eastAsia" w:ascii="宋体" w:hAnsi="宋体" w:eastAsia="宋体" w:cs="宋体"/>
                <w:color w:val="auto"/>
                <w:sz w:val="21"/>
                <w:szCs w:val="21"/>
                <w:highlight w:val="none"/>
                <w:lang w:val="en-US" w:eastAsia="zh-CN"/>
              </w:rPr>
              <w:t>千</w:t>
            </w:r>
            <w:r>
              <w:rPr>
                <w:rFonts w:hint="eastAsia" w:ascii="宋体" w:hAnsi="宋体" w:eastAsia="宋体" w:cs="宋体"/>
                <w:color w:val="auto"/>
                <w:sz w:val="21"/>
                <w:szCs w:val="21"/>
                <w:highlight w:val="none"/>
              </w:rPr>
              <w:t>分之一（1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）的标准，向甲方支付违约金：</w:t>
            </w:r>
          </w:p>
          <w:p w14:paraId="388DC1DB">
            <w:pPr>
              <w:keepNext w:val="0"/>
              <w:keepLines w:val="0"/>
              <w:pageBreakBefore w:val="0"/>
              <w:widowControl/>
              <w:kinsoku/>
              <w:wordWrap/>
              <w:overflowPunct/>
              <w:topLinePunct w:val="0"/>
              <w:autoSpaceDE/>
              <w:autoSpaceDN/>
              <w:bidi w:val="0"/>
              <w:adjustRightInd w:val="0"/>
              <w:snapToGrid/>
              <w:spacing w:line="240" w:lineRule="auto"/>
              <w:ind w:leftChars="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rPr>
              <w:t>逾期将货物交付甲方使用的；</w:t>
            </w:r>
          </w:p>
          <w:p w14:paraId="37C1099C">
            <w:pPr>
              <w:keepNext w:val="0"/>
              <w:keepLines w:val="0"/>
              <w:pageBreakBefore w:val="0"/>
              <w:widowControl/>
              <w:kinsoku/>
              <w:wordWrap/>
              <w:overflowPunct/>
              <w:topLinePunct w:val="0"/>
              <w:autoSpaceDE/>
              <w:autoSpaceDN/>
              <w:bidi w:val="0"/>
              <w:adjustRightInd w:val="0"/>
              <w:snapToGrid/>
              <w:spacing w:line="240" w:lineRule="auto"/>
              <w:ind w:leftChars="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1.2）</w:t>
            </w:r>
            <w:r>
              <w:rPr>
                <w:rFonts w:hint="eastAsia" w:ascii="宋体" w:hAnsi="宋体" w:eastAsia="宋体" w:cs="宋体"/>
                <w:color w:val="auto"/>
                <w:sz w:val="21"/>
                <w:szCs w:val="21"/>
                <w:highlight w:val="none"/>
              </w:rPr>
              <w:t>未按合同约定向甲方交付资料的。</w:t>
            </w:r>
          </w:p>
          <w:p w14:paraId="2CE94146">
            <w:pPr>
              <w:keepNext w:val="0"/>
              <w:keepLines w:val="0"/>
              <w:pageBreakBefore w:val="0"/>
              <w:widowControl/>
              <w:kinsoku/>
              <w:wordWrap/>
              <w:overflowPunct/>
              <w:topLinePunct w:val="0"/>
              <w:autoSpaceDE/>
              <w:autoSpaceDN/>
              <w:bidi w:val="0"/>
              <w:adjustRightInd w:val="0"/>
              <w:snapToGrid/>
              <w:spacing w:line="240" w:lineRule="auto"/>
              <w:ind w:leftChars="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乙方有下列情形之一的视为其严重违约，甲方有权解除合同并要求乙方全部退货、退还全部已付款项，自合同解除通知书送达乙方之日，合同即告解除：</w:t>
            </w:r>
          </w:p>
          <w:p w14:paraId="613BA4D4">
            <w:pPr>
              <w:keepNext w:val="0"/>
              <w:keepLines w:val="0"/>
              <w:pageBreakBefore w:val="0"/>
              <w:widowControl/>
              <w:kinsoku/>
              <w:wordWrap/>
              <w:overflowPunct/>
              <w:topLinePunct w:val="0"/>
              <w:autoSpaceDE/>
              <w:autoSpaceDN/>
              <w:bidi w:val="0"/>
              <w:adjustRightInd w:val="0"/>
              <w:snapToGrid/>
              <w:spacing w:line="240" w:lineRule="auto"/>
              <w:ind w:leftChars="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2.1）</w:t>
            </w:r>
            <w:r>
              <w:rPr>
                <w:rFonts w:hint="eastAsia" w:ascii="宋体" w:hAnsi="宋体" w:eastAsia="宋体" w:cs="宋体"/>
                <w:color w:val="auto"/>
                <w:sz w:val="21"/>
                <w:szCs w:val="21"/>
                <w:highlight w:val="none"/>
              </w:rPr>
              <w:t>逾期10日仍未将合同货物全部交付甲方使用；</w:t>
            </w:r>
          </w:p>
          <w:p w14:paraId="59112ACA">
            <w:pPr>
              <w:keepNext w:val="0"/>
              <w:keepLines w:val="0"/>
              <w:pageBreakBefore w:val="0"/>
              <w:widowControl/>
              <w:kinsoku/>
              <w:wordWrap/>
              <w:overflowPunct/>
              <w:topLinePunct w:val="0"/>
              <w:autoSpaceDE/>
              <w:autoSpaceDN/>
              <w:bidi w:val="0"/>
              <w:adjustRightInd w:val="0"/>
              <w:snapToGrid/>
              <w:spacing w:line="240" w:lineRule="auto"/>
              <w:ind w:leftChars="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2.2）</w:t>
            </w:r>
            <w:r>
              <w:rPr>
                <w:rFonts w:hint="eastAsia" w:ascii="宋体" w:hAnsi="宋体" w:eastAsia="宋体" w:cs="宋体"/>
                <w:color w:val="auto"/>
                <w:sz w:val="21"/>
                <w:szCs w:val="21"/>
                <w:highlight w:val="none"/>
              </w:rPr>
              <w:t>合同货物最终验收两次仍不合格的；</w:t>
            </w:r>
          </w:p>
          <w:p w14:paraId="0F856CFE">
            <w:pPr>
              <w:keepNext w:val="0"/>
              <w:keepLines w:val="0"/>
              <w:pageBreakBefore w:val="0"/>
              <w:widowControl/>
              <w:kinsoku/>
              <w:wordWrap/>
              <w:overflowPunct/>
              <w:topLinePunct w:val="0"/>
              <w:autoSpaceDE/>
              <w:autoSpaceDN/>
              <w:bidi w:val="0"/>
              <w:adjustRightInd w:val="0"/>
              <w:snapToGrid/>
              <w:spacing w:line="240" w:lineRule="auto"/>
              <w:ind w:leftChars="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2.3）</w:t>
            </w:r>
            <w:r>
              <w:rPr>
                <w:rFonts w:hint="eastAsia" w:ascii="宋体" w:hAnsi="宋体" w:eastAsia="宋体" w:cs="宋体"/>
                <w:color w:val="auto"/>
                <w:sz w:val="21"/>
                <w:szCs w:val="21"/>
                <w:highlight w:val="none"/>
              </w:rPr>
              <w:t>未经甲方书面同意而擅自将项目以任何形式转包或分包给他人安装，或以劳务分包的名义将项目转包或分包给他人的。</w:t>
            </w:r>
          </w:p>
          <w:p w14:paraId="0092403A">
            <w:pPr>
              <w:keepNext w:val="0"/>
              <w:keepLines w:val="0"/>
              <w:pageBreakBefore w:val="0"/>
              <w:widowControl/>
              <w:kinsoku/>
              <w:wordWrap/>
              <w:overflowPunct/>
              <w:topLinePunct w:val="0"/>
              <w:autoSpaceDE/>
              <w:autoSpaceDN/>
              <w:bidi w:val="0"/>
              <w:adjustRightInd w:val="0"/>
              <w:snapToGrid/>
              <w:spacing w:line="240" w:lineRule="auto"/>
              <w:ind w:leftChars="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货物存在侵犯他人权利情形，乙方无法解决而影响甲方正常使用的。</w:t>
            </w:r>
          </w:p>
          <w:p w14:paraId="0A563716">
            <w:pPr>
              <w:keepNext w:val="0"/>
              <w:keepLines w:val="0"/>
              <w:pageBreakBefore w:val="0"/>
              <w:widowControl/>
              <w:kinsoku/>
              <w:wordWrap/>
              <w:overflowPunct/>
              <w:topLinePunct w:val="0"/>
              <w:autoSpaceDE/>
              <w:autoSpaceDN/>
              <w:bidi w:val="0"/>
              <w:adjustRightInd w:val="0"/>
              <w:snapToGrid/>
              <w:spacing w:line="240" w:lineRule="auto"/>
              <w:ind w:leftChars="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货物出现无法正常使用经乙方修复或更换后仍无法正常使用达3次的。</w:t>
            </w:r>
          </w:p>
          <w:p w14:paraId="67509E0C">
            <w:pPr>
              <w:keepNext w:val="0"/>
              <w:keepLines w:val="0"/>
              <w:pageBreakBefore w:val="0"/>
              <w:widowControl/>
              <w:kinsoku/>
              <w:wordWrap/>
              <w:overflowPunct/>
              <w:topLinePunct w:val="0"/>
              <w:autoSpaceDE/>
              <w:autoSpaceDN/>
              <w:bidi w:val="0"/>
              <w:adjustRightInd w:val="0"/>
              <w:snapToGrid/>
              <w:spacing w:line="240" w:lineRule="auto"/>
              <w:ind w:leftChars="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经甲方两次合理催告，拒不履行合同约定义务的。</w:t>
            </w:r>
          </w:p>
          <w:p w14:paraId="5A8DC2AA">
            <w:pPr>
              <w:keepNext w:val="0"/>
              <w:keepLines w:val="0"/>
              <w:pageBreakBefore w:val="0"/>
              <w:widowControl/>
              <w:kinsoku/>
              <w:wordWrap/>
              <w:overflowPunct/>
              <w:topLinePunct w:val="0"/>
              <w:autoSpaceDE/>
              <w:autoSpaceDN/>
              <w:bidi w:val="0"/>
              <w:adjustRightInd w:val="0"/>
              <w:snapToGrid/>
              <w:spacing w:line="240" w:lineRule="auto"/>
              <w:ind w:leftChars="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乙方无故解除合同或因其违约而被甲方解除合同的，应按合同总价的百分之二十（20％）向甲方支付违约金；并在2天内将其人员撤出安装现场，每逾期一天应向甲方支付2000元人民币的违约金；在合同解除后，甲方仅按乙方已完成合格货物造价的80%和所提供合格货物价款的80%向乙方支付项目款，该部分货物所有权归甲方所有，但乙方应向甲方出具已完成项目量合格和货物合格的证明材料。</w:t>
            </w:r>
          </w:p>
          <w:p w14:paraId="65A95FC6">
            <w:pPr>
              <w:keepNext w:val="0"/>
              <w:keepLines w:val="0"/>
              <w:pageBreakBefore w:val="0"/>
              <w:widowControl/>
              <w:tabs>
                <w:tab w:val="left" w:pos="420"/>
              </w:tabs>
              <w:kinsoku/>
              <w:wordWrap/>
              <w:overflowPunct/>
              <w:topLinePunct w:val="0"/>
              <w:autoSpaceDE/>
              <w:autoSpaceDN/>
              <w:bidi w:val="0"/>
              <w:adjustRightInd w:val="0"/>
              <w:snapToGrid/>
              <w:spacing w:line="240" w:lineRule="auto"/>
              <w:ind w:leftChars="0"/>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⑥本项目收取履约保证金，履约保证金金额：按项目成交金额的2%。成交人在签订本项目合同前，须向采购人足额交纳履约保证金，以保证项目正常运行，如成交人违反相关法律法规，不履行所订立的合同，采购人有权取消成交人成交资格，协议自动终止。履约保证金不予返还，所造成的损失超过履约保证金数额的，还应对超出部分予以赔偿。</w:t>
            </w:r>
          </w:p>
          <w:p w14:paraId="531D5485">
            <w:pPr>
              <w:keepNext w:val="0"/>
              <w:keepLines w:val="0"/>
              <w:pageBreakBefore w:val="0"/>
              <w:widowControl/>
              <w:tabs>
                <w:tab w:val="left" w:pos="420"/>
              </w:tabs>
              <w:kinsoku/>
              <w:wordWrap/>
              <w:overflowPunct/>
              <w:topLinePunct w:val="0"/>
              <w:autoSpaceDE/>
              <w:autoSpaceDN/>
              <w:bidi w:val="0"/>
              <w:adjustRightInd w:val="0"/>
              <w:snapToGrid/>
              <w:spacing w:line="240" w:lineRule="auto"/>
              <w:ind w:leftChars="0"/>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履约保证金递交方式：银行转账、电汇或网上支付、支票、汇票、本票或者银行、保险机构出具的保函等非现金方式。</w:t>
            </w:r>
          </w:p>
          <w:p w14:paraId="469AFB3B">
            <w:pPr>
              <w:keepNext w:val="0"/>
              <w:keepLines w:val="0"/>
              <w:pageBreakBefore w:val="0"/>
              <w:widowControl/>
              <w:tabs>
                <w:tab w:val="left" w:pos="420"/>
              </w:tabs>
              <w:kinsoku/>
              <w:wordWrap/>
              <w:overflowPunct/>
              <w:topLinePunct w:val="0"/>
              <w:autoSpaceDE/>
              <w:autoSpaceDN/>
              <w:bidi w:val="0"/>
              <w:adjustRightInd w:val="0"/>
              <w:snapToGrid/>
              <w:spacing w:line="240" w:lineRule="auto"/>
              <w:ind w:leftChars="0"/>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履约保证金退付方式、时间及条件：自所有货物验收合格及质保期过后起5个工作日，由成交供应商向履约保证金收取单位提供《广西壮族自治区政府采购项目合同验收书》（详见桂财采〔2015〕22号），成交供应商向采购人提出办理退还履约保证金，保证金收取单位在收到合格材料后办理退还手续（不计利息）。</w:t>
            </w:r>
          </w:p>
          <w:p w14:paraId="444DB806">
            <w:pPr>
              <w:keepNext w:val="0"/>
              <w:keepLines w:val="0"/>
              <w:pageBreakBefore w:val="0"/>
              <w:widowControl/>
              <w:tabs>
                <w:tab w:val="left" w:pos="420"/>
              </w:tabs>
              <w:kinsoku/>
              <w:wordWrap/>
              <w:overflowPunct/>
              <w:topLinePunct w:val="0"/>
              <w:autoSpaceDE/>
              <w:autoSpaceDN/>
              <w:bidi w:val="0"/>
              <w:adjustRightInd w:val="0"/>
              <w:snapToGrid/>
              <w:spacing w:line="240" w:lineRule="auto"/>
              <w:ind w:leftChars="0"/>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履约保证金收取单位指定账户：45001659587050702958；户名:防城港职业技术学院；开户行:中国建设银行防城港经济技术开发区支行。</w:t>
            </w:r>
          </w:p>
          <w:p w14:paraId="6F5759DF">
            <w:pPr>
              <w:keepNext w:val="0"/>
              <w:keepLines w:val="0"/>
              <w:pageBreakBefore w:val="0"/>
              <w:kinsoku/>
              <w:wordWrap/>
              <w:overflowPunct/>
              <w:topLinePunct w:val="0"/>
              <w:autoSpaceDE/>
              <w:autoSpaceDN/>
              <w:bidi w:val="0"/>
              <w:snapToGrid/>
              <w:spacing w:line="240" w:lineRule="auto"/>
              <w:ind w:leftChars="0"/>
              <w:jc w:val="left"/>
              <w:rPr>
                <w:rFonts w:hint="eastAsia" w:ascii="宋体" w:hAnsi="宋体" w:eastAsia="宋体" w:cs="宋体"/>
                <w:color w:val="auto"/>
                <w:sz w:val="21"/>
                <w:szCs w:val="21"/>
                <w:highlight w:val="none"/>
              </w:rPr>
            </w:pPr>
            <w:r>
              <w:rPr>
                <w:rFonts w:hint="eastAsia" w:ascii="宋体" w:hAnsi="宋体" w:eastAsia="宋体" w:cs="Arial"/>
                <w:bCs/>
                <w:iCs/>
                <w:color w:val="auto"/>
                <w:sz w:val="21"/>
                <w:szCs w:val="21"/>
                <w:highlight w:val="none"/>
                <w:lang w:val="en-US" w:eastAsia="zh-CN"/>
              </w:rPr>
              <w:t>2</w:t>
            </w:r>
            <w:r>
              <w:rPr>
                <w:rFonts w:hint="eastAsia" w:ascii="宋体" w:hAnsi="宋体" w:eastAsia="宋体" w:cs="Arial"/>
                <w:bCs/>
                <w:iCs/>
                <w:color w:val="auto"/>
                <w:sz w:val="21"/>
                <w:szCs w:val="21"/>
                <w:highlight w:val="none"/>
              </w:rPr>
              <w:t>、以上服务要求及商务均不允许负偏离，如有一项则按无效响应处理。</w:t>
            </w:r>
          </w:p>
        </w:tc>
      </w:tr>
    </w:tbl>
    <w:p w14:paraId="38947132">
      <w:pPr>
        <w:keepNext w:val="0"/>
        <w:keepLines w:val="0"/>
        <w:pageBreakBefore w:val="0"/>
        <w:kinsoku/>
        <w:wordWrap/>
        <w:overflowPunct/>
        <w:topLinePunct w:val="0"/>
        <w:autoSpaceDE/>
        <w:autoSpaceDN/>
        <w:bidi w:val="0"/>
        <w:adjustRightInd/>
        <w:snapToGrid/>
        <w:spacing w:line="240" w:lineRule="auto"/>
        <w:ind w:left="119" w:leftChars="0"/>
        <w:textAlignment w:val="auto"/>
        <w:rPr>
          <w:rFonts w:hint="eastAsia" w:ascii="Arial Unicode MS" w:hAnsi="Arial Unicode MS" w:eastAsia="Arial Unicode MS" w:cs="Arial Unicode MS"/>
          <w:color w:val="auto"/>
          <w:sz w:val="32"/>
          <w:szCs w:val="32"/>
          <w:highlight w:val="none"/>
        </w:rPr>
      </w:pPr>
    </w:p>
    <w:p w14:paraId="24A8FEA6"/>
    <w:sectPr>
      <w:pgSz w:w="11906" w:h="16838"/>
      <w:pgMar w:top="1134" w:right="1134" w:bottom="1134"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left="240"/>
      </w:pPr>
      <w:r>
        <w:separator/>
      </w:r>
    </w:p>
  </w:endnote>
  <w:endnote w:type="continuationSeparator" w:id="1">
    <w:p>
      <w:pPr>
        <w:ind w:left="2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6D443671-4622-4CA7-A4B1-4CDA098C383A}"/>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roman"/>
    <w:pitch w:val="default"/>
    <w:sig w:usb0="F7FFAEFF" w:usb1="F9DFFFFF" w:usb2="0000007F" w:usb3="00000000" w:csb0="203F01FF" w:csb1="DFFF0000"/>
    <w:embedRegular r:id="rId2" w:fontKey="{307DBE97-5E84-4387-BC0F-29828E11F737}"/>
  </w:font>
  <w:font w:name="MS PGothic">
    <w:panose1 w:val="020B0600070205080204"/>
    <w:charset w:val="80"/>
    <w:family w:val="auto"/>
    <w:pitch w:val="default"/>
    <w:sig w:usb0="E00002FF" w:usb1="6AC7FDFB" w:usb2="08000012" w:usb3="00000000" w:csb0="4002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left="240"/>
      </w:pPr>
      <w:r>
        <w:separator/>
      </w:r>
    </w:p>
  </w:footnote>
  <w:footnote w:type="continuationSeparator" w:id="1">
    <w:p>
      <w:pPr>
        <w:ind w:left="2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B97831"/>
    <w:rsid w:val="1C4C6724"/>
    <w:rsid w:val="1CA06606"/>
    <w:rsid w:val="21607C3C"/>
    <w:rsid w:val="288C1EC7"/>
    <w:rsid w:val="383D0C57"/>
    <w:rsid w:val="67296979"/>
    <w:rsid w:val="69686B2D"/>
    <w:rsid w:val="6CFF7C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leftChars="100"/>
      <w:jc w:val="both"/>
    </w:pPr>
    <w:rPr>
      <w:rFonts w:ascii="Times New Roman" w:hAnsi="Times New Roman" w:eastAsia="仿宋" w:cs="Times New Roman"/>
      <w:kern w:val="2"/>
      <w:sz w:val="24"/>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240" w:lineRule="auto"/>
      <w:outlineLvl w:val="0"/>
    </w:pPr>
    <w:rPr>
      <w:rFonts w:ascii="Times New Roman" w:hAnsi="Times New Roman" w:eastAsia="仿宋" w:cs="Times New Roman"/>
      <w:b/>
      <w:kern w:val="44"/>
      <w:sz w:val="32"/>
    </w:rPr>
  </w:style>
  <w:style w:type="character" w:default="1" w:styleId="7">
    <w:name w:val="Default Paragraph Font"/>
    <w:autoRedefine/>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Normal Indent"/>
    <w:uiPriority w:val="0"/>
    <w:pPr>
      <w:widowControl w:val="0"/>
      <w:ind w:firstLine="420"/>
      <w:jc w:val="both"/>
    </w:pPr>
    <w:rPr>
      <w:rFonts w:ascii="Times New Roman" w:hAnsi="Times New Roman" w:eastAsia="宋体" w:cs="Times New Roman"/>
      <w:kern w:val="2"/>
      <w:sz w:val="21"/>
      <w:szCs w:val="20"/>
      <w:lang w:val="en-US" w:eastAsia="zh-CN" w:bidi="ar-SA"/>
    </w:rPr>
  </w:style>
  <w:style w:type="paragraph" w:styleId="4">
    <w:name w:val="annotation text"/>
    <w:uiPriority w:val="0"/>
    <w:pPr>
      <w:widowControl w:val="0"/>
      <w:jc w:val="left"/>
    </w:pPr>
    <w:rPr>
      <w:rFonts w:ascii="Times New Roman" w:hAnsi="Times New Roman" w:eastAsia="宋体" w:cs="Times New Roman"/>
      <w:kern w:val="2"/>
      <w:sz w:val="21"/>
      <w:szCs w:val="24"/>
      <w:lang w:val="en-US" w:eastAsia="zh-CN" w:bidi="ar-SA"/>
    </w:rPr>
  </w:style>
  <w:style w:type="table" w:styleId="6">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8">
    <w:name w:val="Hyperlink"/>
    <w:unhideWhenUsed/>
    <w:uiPriority w:val="99"/>
    <w:rPr>
      <w:color w:val="0000FF"/>
      <w:u w:val="single"/>
    </w:rPr>
  </w:style>
  <w:style w:type="paragraph" w:customStyle="1" w:styleId="9">
    <w:name w:val="投标正文"/>
    <w:basedOn w:val="1"/>
    <w:qFormat/>
    <w:uiPriority w:val="0"/>
    <w:pPr>
      <w:spacing w:line="360" w:lineRule="auto"/>
      <w:ind w:firstLine="480" w:firstLineChars="200"/>
      <w:contextualSpacing/>
    </w:pPr>
    <w:rPr>
      <w:rFonts w:hint="eastAsia" w:ascii="宋体" w:hAnsi="宋体" w:eastAsia="仿宋"/>
      <w:color w:val="auto"/>
      <w:sz w:val="24"/>
    </w:rPr>
  </w:style>
  <w:style w:type="paragraph" w:styleId="10">
    <w:name w:val="List Paragraph"/>
    <w:qFormat/>
    <w:uiPriority w:val="34"/>
    <w:pPr>
      <w:widowControl w:val="0"/>
      <w:ind w:firstLine="420" w:firstLineChars="20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4077</Words>
  <Characters>4527</Characters>
  <Lines>0</Lines>
  <Paragraphs>0</Paragraphs>
  <TotalTime>0</TotalTime>
  <ScaleCrop>false</ScaleCrop>
  <LinksUpToDate>false</LinksUpToDate>
  <CharactersWithSpaces>4586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2024-04-16T08:15:00Z</dcterms:created>
  <dc:creator>Administrator</dc:creator>
  <cp:lastModifiedBy>科联招标韦毅锋</cp:lastModifiedBy>
  <dcterms:modified xsi:type="dcterms:W3CDTF">2026-08-05T02:06:26Z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52464D54D0134E728D979A153ECEBD23_12</vt:lpwstr>
  </property>
  <property fmtid="{D5CDD505-2E9C-101B-9397-08002B2CF9AE}" pid="4" name="KSOTemplateDocerSaveRecord">
    <vt:lpwstr>eyJoZGlkIjoiNjIxYjVlZjBiYTRlN2Y3YTNhNzAyNGNjMTRjNWNhZWYiLCJ1c2VySWQiOiIxNTkyMzIxODc0In0=</vt:lpwstr>
  </property>
</Properties>
</file>