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6E00A">
      <w:pPr>
        <w:spacing w:line="360" w:lineRule="auto"/>
        <w:jc w:val="center"/>
        <w:rPr>
          <w:rFonts w:ascii="宋体" w:hAnsi="宋体" w:cs="仿宋"/>
          <w:color w:val="auto"/>
          <w:highlight w:val="none"/>
        </w:rPr>
      </w:pPr>
    </w:p>
    <w:p w14:paraId="2402E2C6">
      <w:pPr>
        <w:spacing w:line="360" w:lineRule="auto"/>
        <w:jc w:val="center"/>
        <w:rPr>
          <w:rFonts w:ascii="宋体" w:hAnsi="宋体" w:cs="仿宋"/>
          <w:color w:val="auto"/>
          <w:highlight w:val="none"/>
        </w:rPr>
      </w:pPr>
    </w:p>
    <w:p w14:paraId="7D63B81F">
      <w:pPr>
        <w:spacing w:line="360" w:lineRule="auto"/>
        <w:jc w:val="center"/>
        <w:rPr>
          <w:rFonts w:ascii="宋体" w:hAnsi="宋体"/>
          <w:color w:val="auto"/>
          <w:sz w:val="52"/>
          <w:szCs w:val="52"/>
          <w:highlight w:val="none"/>
        </w:rPr>
      </w:pPr>
      <w:r>
        <w:rPr>
          <w:rFonts w:hint="eastAsia" w:ascii="宋体" w:hAnsi="宋体" w:cs="仿宋"/>
          <w:color w:val="auto"/>
          <w:highlight w:val="none"/>
        </w:rPr>
        <w:drawing>
          <wp:inline distT="0" distB="0" distL="114300" distR="114300">
            <wp:extent cx="885825" cy="934720"/>
            <wp:effectExtent l="0" t="0" r="9525" b="17780"/>
            <wp:docPr id="2" name="图片 3" descr="科文名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科文名片"/>
                    <pic:cNvPicPr>
                      <a:picLocks noChangeAspect="1"/>
                    </pic:cNvPicPr>
                  </pic:nvPicPr>
                  <pic:blipFill>
                    <a:blip r:embed="rId15" cstate="print"/>
                    <a:stretch>
                      <a:fillRect/>
                    </a:stretch>
                  </pic:blipFill>
                  <pic:spPr>
                    <a:xfrm>
                      <a:off x="0" y="0"/>
                      <a:ext cx="885825" cy="934720"/>
                    </a:xfrm>
                    <a:prstGeom prst="rect">
                      <a:avLst/>
                    </a:prstGeom>
                    <a:noFill/>
                    <a:ln>
                      <a:noFill/>
                    </a:ln>
                  </pic:spPr>
                </pic:pic>
              </a:graphicData>
            </a:graphic>
          </wp:inline>
        </w:drawing>
      </w:r>
    </w:p>
    <w:p w14:paraId="16AFA7B4">
      <w:pPr>
        <w:pStyle w:val="25"/>
        <w:jc w:val="center"/>
        <w:rPr>
          <w:rFonts w:hAnsi="宋体"/>
          <w:color w:val="auto"/>
          <w:spacing w:val="30"/>
          <w:kern w:val="52"/>
          <w:sz w:val="64"/>
          <w:szCs w:val="64"/>
          <w:highlight w:val="none"/>
        </w:rPr>
      </w:pPr>
      <w:r>
        <w:rPr>
          <w:rFonts w:hAnsi="宋体"/>
          <w:color w:val="auto"/>
          <w:spacing w:val="30"/>
          <w:kern w:val="52"/>
          <w:sz w:val="64"/>
          <w:szCs w:val="64"/>
          <w:highlight w:val="none"/>
        </w:rPr>
        <w:t>广西科文招标有限公司</w:t>
      </w:r>
    </w:p>
    <w:p w14:paraId="61C58C6A">
      <w:pPr>
        <w:pStyle w:val="25"/>
        <w:jc w:val="center"/>
        <w:rPr>
          <w:rFonts w:hAnsi="宋体"/>
          <w:color w:val="auto"/>
          <w:spacing w:val="28"/>
          <w:sz w:val="64"/>
          <w:szCs w:val="64"/>
          <w:highlight w:val="none"/>
        </w:rPr>
      </w:pPr>
      <w:r>
        <w:rPr>
          <w:rFonts w:hAnsi="宋体"/>
          <w:b/>
          <w:color w:val="auto"/>
          <w:spacing w:val="-18"/>
          <w:sz w:val="64"/>
          <w:szCs w:val="64"/>
          <w:highlight w:val="none"/>
        </w:rPr>
        <w:pict>
          <v:line id="Line 2" o:spid="_x0000_s1026" o:spt="20" style="position:absolute;left:0pt;margin-left:27pt;margin-top:7.75pt;height:0pt;width:432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">
            <v:path arrowok="t"/>
            <v:fill focussize="0,0"/>
            <v:stroke weight="1pt"/>
            <v:imagedata o:title=""/>
            <o:lock v:ext="edit"/>
          </v:line>
        </w:pict>
      </w:r>
    </w:p>
    <w:p w14:paraId="17B255BC">
      <w:pPr>
        <w:snapToGrid w:val="0"/>
        <w:spacing w:beforeLines="50" w:line="360" w:lineRule="auto"/>
        <w:jc w:val="center"/>
        <w:rPr>
          <w:rFonts w:ascii="宋体" w:hAnsi="宋体"/>
          <w:color w:val="auto"/>
          <w:sz w:val="96"/>
          <w:szCs w:val="96"/>
          <w:highlight w:val="none"/>
        </w:rPr>
      </w:pPr>
      <w:r>
        <w:rPr>
          <w:rFonts w:hint="eastAsia" w:ascii="宋体" w:hAnsi="宋体"/>
          <w:color w:val="auto"/>
          <w:sz w:val="96"/>
          <w:szCs w:val="96"/>
          <w:highlight w:val="none"/>
        </w:rPr>
        <w:t>公开招标文件</w:t>
      </w:r>
    </w:p>
    <w:p w14:paraId="51B4D755">
      <w:pPr>
        <w:pStyle w:val="25"/>
        <w:snapToGrid w:val="0"/>
        <w:spacing w:line="360" w:lineRule="auto"/>
        <w:ind w:left="2262" w:leftChars="941" w:hanging="286" w:hangingChars="100"/>
        <w:rPr>
          <w:rFonts w:hAnsi="宋体"/>
          <w:b/>
          <w:bCs/>
          <w:color w:val="auto"/>
          <w:w w:val="95"/>
          <w:sz w:val="30"/>
          <w:szCs w:val="30"/>
          <w:highlight w:val="none"/>
        </w:rPr>
      </w:pPr>
    </w:p>
    <w:p w14:paraId="49CFA868">
      <w:pPr>
        <w:pStyle w:val="25"/>
        <w:snapToGrid w:val="0"/>
        <w:spacing w:line="360" w:lineRule="auto"/>
        <w:ind w:left="2262" w:leftChars="941" w:hanging="286" w:hangingChars="100"/>
        <w:rPr>
          <w:rFonts w:hAnsi="宋体"/>
          <w:b/>
          <w:bCs/>
          <w:color w:val="auto"/>
          <w:w w:val="95"/>
          <w:sz w:val="30"/>
          <w:szCs w:val="30"/>
          <w:highlight w:val="none"/>
        </w:rPr>
      </w:pPr>
    </w:p>
    <w:p w14:paraId="2628F306">
      <w:pPr>
        <w:pStyle w:val="25"/>
        <w:snapToGrid w:val="0"/>
        <w:spacing w:line="360" w:lineRule="auto"/>
        <w:ind w:left="3407" w:leftChars="941" w:hanging="1431" w:hangingChars="500"/>
        <w:rPr>
          <w:rFonts w:hint="eastAsia" w:hAnsi="宋体" w:eastAsia="宋体"/>
          <w:b/>
          <w:bCs/>
          <w:color w:val="auto"/>
          <w:w w:val="95"/>
          <w:sz w:val="30"/>
          <w:szCs w:val="30"/>
          <w:highlight w:val="none"/>
          <w:lang w:eastAsia="zh-CN"/>
        </w:rPr>
      </w:pPr>
      <w:r>
        <w:rPr>
          <w:rFonts w:hint="eastAsia" w:hAnsi="宋体"/>
          <w:b/>
          <w:bCs/>
          <w:color w:val="auto"/>
          <w:w w:val="95"/>
          <w:sz w:val="30"/>
          <w:szCs w:val="30"/>
          <w:highlight w:val="none"/>
        </w:rPr>
        <w:t>项目名称：</w:t>
      </w:r>
      <w:r>
        <w:rPr>
          <w:rFonts w:hint="eastAsia" w:hAnsi="宋体"/>
          <w:b/>
          <w:bCs/>
          <w:color w:val="auto"/>
          <w:w w:val="95"/>
          <w:sz w:val="30"/>
          <w:szCs w:val="30"/>
          <w:highlight w:val="none"/>
          <w:lang w:eastAsia="zh-CN"/>
        </w:rPr>
        <w:t>联网收费系统运维服务</w:t>
      </w:r>
    </w:p>
    <w:p w14:paraId="73B29A11">
      <w:pPr>
        <w:pStyle w:val="25"/>
        <w:snapToGrid w:val="0"/>
        <w:spacing w:line="360" w:lineRule="auto"/>
        <w:ind w:firstLine="1977" w:firstLineChars="691"/>
        <w:rPr>
          <w:rFonts w:hint="eastAsia" w:hAnsi="宋体" w:eastAsia="宋体"/>
          <w:b/>
          <w:bCs/>
          <w:color w:val="auto"/>
          <w:w w:val="95"/>
          <w:sz w:val="30"/>
          <w:szCs w:val="30"/>
          <w:highlight w:val="none"/>
          <w:lang w:eastAsia="zh-CN"/>
        </w:rPr>
      </w:pPr>
      <w:r>
        <w:rPr>
          <w:rFonts w:hint="eastAsia" w:hAnsi="宋体"/>
          <w:b/>
          <w:bCs/>
          <w:color w:val="auto"/>
          <w:w w:val="95"/>
          <w:sz w:val="30"/>
          <w:szCs w:val="30"/>
          <w:highlight w:val="none"/>
        </w:rPr>
        <w:t>项目编号：</w:t>
      </w:r>
      <w:r>
        <w:rPr>
          <w:rFonts w:hint="eastAsia" w:hAnsi="宋体"/>
          <w:b/>
          <w:bCs/>
          <w:color w:val="auto"/>
          <w:w w:val="95"/>
          <w:sz w:val="30"/>
          <w:szCs w:val="30"/>
          <w:highlight w:val="none"/>
          <w:lang w:eastAsia="zh-CN"/>
        </w:rPr>
        <w:t>GXZC2026-G3-001318-KWZB</w:t>
      </w:r>
    </w:p>
    <w:p w14:paraId="1085254C">
      <w:pPr>
        <w:pStyle w:val="25"/>
        <w:snapToGrid w:val="0"/>
        <w:spacing w:line="360" w:lineRule="auto"/>
        <w:ind w:firstLine="1977" w:firstLineChars="691"/>
        <w:rPr>
          <w:rFonts w:hAnsi="宋体"/>
          <w:b/>
          <w:bCs/>
          <w:color w:val="auto"/>
          <w:w w:val="95"/>
          <w:sz w:val="30"/>
          <w:szCs w:val="30"/>
          <w:highlight w:val="none"/>
        </w:rPr>
      </w:pPr>
    </w:p>
    <w:p w14:paraId="4640DE07">
      <w:pPr>
        <w:pStyle w:val="25"/>
        <w:snapToGrid w:val="0"/>
        <w:spacing w:line="360" w:lineRule="auto"/>
        <w:ind w:firstLine="1977" w:firstLineChars="691"/>
        <w:rPr>
          <w:rFonts w:hAnsi="宋体"/>
          <w:b/>
          <w:bCs/>
          <w:color w:val="auto"/>
          <w:w w:val="95"/>
          <w:sz w:val="30"/>
          <w:szCs w:val="30"/>
          <w:highlight w:val="none"/>
        </w:rPr>
      </w:pPr>
    </w:p>
    <w:p w14:paraId="426FD09C">
      <w:pPr>
        <w:pStyle w:val="25"/>
        <w:snapToGrid w:val="0"/>
        <w:spacing w:line="360" w:lineRule="auto"/>
        <w:ind w:firstLine="1977" w:firstLineChars="691"/>
        <w:rPr>
          <w:rFonts w:hAnsi="宋体"/>
          <w:b/>
          <w:bCs/>
          <w:color w:val="auto"/>
          <w:w w:val="95"/>
          <w:sz w:val="30"/>
          <w:szCs w:val="30"/>
          <w:highlight w:val="none"/>
        </w:rPr>
      </w:pPr>
    </w:p>
    <w:p w14:paraId="4501B502">
      <w:pPr>
        <w:pStyle w:val="25"/>
        <w:snapToGrid w:val="0"/>
        <w:spacing w:line="360" w:lineRule="auto"/>
        <w:ind w:firstLine="1977" w:firstLineChars="691"/>
        <w:rPr>
          <w:rFonts w:hAnsi="宋体"/>
          <w:b/>
          <w:bCs/>
          <w:color w:val="auto"/>
          <w:w w:val="95"/>
          <w:sz w:val="30"/>
          <w:szCs w:val="30"/>
          <w:highlight w:val="none"/>
        </w:rPr>
      </w:pPr>
    </w:p>
    <w:p w14:paraId="6C95D249">
      <w:pPr>
        <w:pStyle w:val="25"/>
        <w:snapToGrid w:val="0"/>
        <w:spacing w:line="360" w:lineRule="auto"/>
        <w:jc w:val="center"/>
        <w:rPr>
          <w:rFonts w:hAnsi="宋体"/>
          <w:b/>
          <w:bCs/>
          <w:color w:val="auto"/>
          <w:w w:val="95"/>
          <w:sz w:val="30"/>
          <w:szCs w:val="30"/>
          <w:highlight w:val="none"/>
        </w:rPr>
      </w:pPr>
      <w:r>
        <w:rPr>
          <w:rFonts w:hint="eastAsia" w:hAnsi="宋体"/>
          <w:b/>
          <w:bCs/>
          <w:color w:val="auto"/>
          <w:w w:val="95"/>
          <w:sz w:val="30"/>
          <w:szCs w:val="30"/>
          <w:highlight w:val="none"/>
        </w:rPr>
        <w:t>采 购 人：广西壮族自治区收费公路联网收费清分结算中心</w:t>
      </w:r>
    </w:p>
    <w:p w14:paraId="4AF5B05B">
      <w:pPr>
        <w:pStyle w:val="25"/>
        <w:snapToGrid w:val="0"/>
        <w:spacing w:line="360" w:lineRule="auto"/>
        <w:ind w:firstLine="1977" w:firstLineChars="691"/>
        <w:rPr>
          <w:rFonts w:hAnsi="宋体"/>
          <w:b/>
          <w:bCs/>
          <w:color w:val="auto"/>
          <w:w w:val="95"/>
          <w:sz w:val="30"/>
          <w:szCs w:val="30"/>
          <w:highlight w:val="none"/>
        </w:rPr>
      </w:pPr>
      <w:r>
        <w:rPr>
          <w:rFonts w:hint="eastAsia" w:hAnsi="宋体"/>
          <w:b/>
          <w:bCs/>
          <w:color w:val="auto"/>
          <w:w w:val="95"/>
          <w:sz w:val="30"/>
          <w:szCs w:val="30"/>
          <w:highlight w:val="none"/>
        </w:rPr>
        <w:t>采购代理机构：广西科文招标有限公司</w:t>
      </w:r>
    </w:p>
    <w:p w14:paraId="19DB6F58">
      <w:pPr>
        <w:pStyle w:val="25"/>
        <w:snapToGrid w:val="0"/>
        <w:spacing w:line="360" w:lineRule="auto"/>
        <w:ind w:firstLine="1125" w:firstLineChars="393"/>
        <w:rPr>
          <w:rFonts w:hAnsi="宋体"/>
          <w:b/>
          <w:bCs/>
          <w:color w:val="auto"/>
          <w:w w:val="95"/>
          <w:sz w:val="30"/>
          <w:szCs w:val="30"/>
          <w:highlight w:val="none"/>
        </w:rPr>
      </w:pPr>
    </w:p>
    <w:p w14:paraId="072A49DC">
      <w:pPr>
        <w:pStyle w:val="25"/>
        <w:snapToGrid w:val="0"/>
        <w:spacing w:line="360" w:lineRule="auto"/>
        <w:jc w:val="center"/>
        <w:rPr>
          <w:rFonts w:hAnsi="宋体"/>
          <w:color w:val="auto"/>
          <w:szCs w:val="20"/>
          <w:highlight w:val="none"/>
        </w:rPr>
      </w:pPr>
      <w:r>
        <w:rPr>
          <w:rFonts w:hint="eastAsia" w:hAnsi="宋体"/>
          <w:b/>
          <w:bCs/>
          <w:color w:val="auto"/>
          <w:w w:val="95"/>
          <w:sz w:val="30"/>
          <w:szCs w:val="30"/>
          <w:highlight w:val="none"/>
        </w:rPr>
        <w:t>202</w:t>
      </w:r>
      <w:r>
        <w:rPr>
          <w:rFonts w:hint="eastAsia" w:hAnsi="宋体"/>
          <w:b/>
          <w:bCs/>
          <w:color w:val="auto"/>
          <w:w w:val="95"/>
          <w:sz w:val="30"/>
          <w:szCs w:val="30"/>
          <w:highlight w:val="none"/>
          <w:lang w:val="en-US" w:eastAsia="zh-CN"/>
        </w:rPr>
        <w:t>6</w:t>
      </w:r>
      <w:r>
        <w:rPr>
          <w:rFonts w:hint="eastAsia" w:hAnsi="宋体"/>
          <w:b/>
          <w:bCs/>
          <w:color w:val="auto"/>
          <w:w w:val="95"/>
          <w:sz w:val="30"/>
          <w:szCs w:val="30"/>
          <w:highlight w:val="none"/>
        </w:rPr>
        <w:t>年</w:t>
      </w:r>
      <w:r>
        <w:rPr>
          <w:rFonts w:hint="eastAsia" w:hAnsi="宋体"/>
          <w:b/>
          <w:bCs/>
          <w:color w:val="auto"/>
          <w:w w:val="95"/>
          <w:sz w:val="30"/>
          <w:szCs w:val="30"/>
          <w:highlight w:val="none"/>
          <w:lang w:val="en-US" w:eastAsia="zh-CN"/>
        </w:rPr>
        <w:t>5</w:t>
      </w:r>
      <w:r>
        <w:rPr>
          <w:rFonts w:hint="eastAsia" w:hAnsi="宋体"/>
          <w:b/>
          <w:bCs/>
          <w:color w:val="auto"/>
          <w:w w:val="95"/>
          <w:sz w:val="30"/>
          <w:szCs w:val="30"/>
          <w:highlight w:val="none"/>
        </w:rPr>
        <w:t>月</w:t>
      </w:r>
      <w:r>
        <w:rPr>
          <w:rFonts w:hint="eastAsia" w:hAnsi="宋体"/>
          <w:b/>
          <w:bCs/>
          <w:color w:val="auto"/>
          <w:w w:val="95"/>
          <w:sz w:val="30"/>
          <w:szCs w:val="30"/>
          <w:highlight w:val="none"/>
          <w:lang w:val="en-US" w:eastAsia="zh-CN"/>
        </w:rPr>
        <w:t>19</w:t>
      </w:r>
      <w:r>
        <w:rPr>
          <w:rFonts w:hint="eastAsia" w:hAnsi="宋体"/>
          <w:b/>
          <w:bCs/>
          <w:color w:val="auto"/>
          <w:w w:val="95"/>
          <w:sz w:val="30"/>
          <w:szCs w:val="30"/>
          <w:highlight w:val="none"/>
        </w:rPr>
        <w:t>日</w:t>
      </w:r>
    </w:p>
    <w:p w14:paraId="43182AAD">
      <w:pPr>
        <w:pStyle w:val="19"/>
        <w:kinsoku w:val="0"/>
        <w:overflowPunct w:val="0"/>
        <w:rPr>
          <w:rFonts w:ascii="宋体" w:hAnsi="宋体"/>
          <w:color w:val="auto"/>
          <w:sz w:val="40"/>
          <w:highlight w:val="none"/>
        </w:rPr>
      </w:pPr>
    </w:p>
    <w:p w14:paraId="730B86BB">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目  录</w:t>
      </w:r>
    </w:p>
    <w:p w14:paraId="00D63AA5">
      <w:pPr>
        <w:pStyle w:val="33"/>
        <w:tabs>
          <w:tab w:val="right" w:leader="dot" w:pos="8306"/>
          <w:tab w:val="clear" w:pos="8398"/>
        </w:tabs>
        <w:rPr>
          <w:color w:val="auto"/>
          <w:highlight w:val="none"/>
        </w:rPr>
      </w:pPr>
      <w:r>
        <w:rPr>
          <w:b w:val="0"/>
          <w:color w:val="auto"/>
          <w:highlight w:val="none"/>
        </w:rPr>
        <w:fldChar w:fldCharType="begin"/>
      </w:r>
      <w:r>
        <w:rPr>
          <w:rFonts w:hint="eastAsia"/>
          <w:b w:val="0"/>
          <w:color w:val="auto"/>
          <w:highlight w:val="none"/>
        </w:rPr>
        <w:instrText xml:space="preserve">TOC \o "1-2" \h \z \u</w:instrText>
      </w:r>
      <w:r>
        <w:rPr>
          <w:b w:val="0"/>
          <w:color w:val="auto"/>
          <w:highlight w:val="none"/>
        </w:rPr>
        <w:fldChar w:fldCharType="separate"/>
      </w:r>
      <w:r>
        <w:rPr>
          <w:color w:val="auto"/>
          <w:highlight w:val="none"/>
        </w:rPr>
        <w:fldChar w:fldCharType="begin"/>
      </w:r>
      <w:r>
        <w:rPr>
          <w:color w:val="auto"/>
          <w:highlight w:val="none"/>
        </w:rPr>
        <w:instrText xml:space="preserve"> HYPERLINK \l _Toc22822 </w:instrText>
      </w:r>
      <w:r>
        <w:rPr>
          <w:color w:val="auto"/>
          <w:highlight w:val="none"/>
        </w:rPr>
        <w:fldChar w:fldCharType="separate"/>
      </w:r>
      <w:r>
        <w:rPr>
          <w:rFonts w:hint="eastAsia" w:ascii="宋体" w:hAnsi="宋体" w:eastAsia="宋体"/>
          <w:color w:val="auto"/>
          <w:szCs w:val="32"/>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_Toc22822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28BA0887">
      <w:pPr>
        <w:pStyle w:val="33"/>
        <w:tabs>
          <w:tab w:val="right" w:leader="dot" w:pos="8306"/>
          <w:tab w:val="clear" w:pos="8398"/>
        </w:tabs>
        <w:rPr>
          <w:color w:val="auto"/>
          <w:highlight w:val="none"/>
        </w:rPr>
      </w:pPr>
      <w:r>
        <w:rPr>
          <w:rFonts w:ascii="宋体" w:hAnsi="宋体"/>
          <w:color w:val="auto"/>
          <w:highlight w:val="none"/>
        </w:rPr>
        <w:fldChar w:fldCharType="begin"/>
      </w:r>
      <w:r>
        <w:rPr>
          <w:rFonts w:ascii="宋体" w:hAnsi="宋体"/>
          <w:color w:val="auto"/>
          <w:highlight w:val="none"/>
        </w:rPr>
        <w:instrText xml:space="preserve"> HYPERLINK \l _Toc21822 </w:instrText>
      </w:r>
      <w:r>
        <w:rPr>
          <w:rFonts w:ascii="宋体" w:hAnsi="宋体"/>
          <w:color w:val="auto"/>
          <w:highlight w:val="none"/>
        </w:rPr>
        <w:fldChar w:fldCharType="separate"/>
      </w:r>
      <w:r>
        <w:rPr>
          <w:rFonts w:hint="eastAsia" w:ascii="宋体" w:hAnsi="宋体" w:eastAsia="宋体"/>
          <w:color w:val="auto"/>
          <w:highlight w:val="none"/>
        </w:rPr>
        <w:t>第二章  采购需求</w:t>
      </w:r>
      <w:bookmarkStart w:id="161" w:name="_GoBack"/>
      <w:bookmarkEnd w:id="161"/>
      <w:r>
        <w:rPr>
          <w:color w:val="auto"/>
          <w:highlight w:val="none"/>
        </w:rPr>
        <w:tab/>
      </w:r>
      <w:r>
        <w:rPr>
          <w:color w:val="auto"/>
          <w:highlight w:val="none"/>
        </w:rPr>
        <w:fldChar w:fldCharType="begin"/>
      </w:r>
      <w:r>
        <w:rPr>
          <w:color w:val="auto"/>
          <w:highlight w:val="none"/>
        </w:rPr>
        <w:instrText xml:space="preserve"> PAGEREF _Toc21822 \h </w:instrText>
      </w:r>
      <w:r>
        <w:rPr>
          <w:color w:val="auto"/>
          <w:highlight w:val="none"/>
        </w:rPr>
        <w:fldChar w:fldCharType="separate"/>
      </w:r>
      <w:r>
        <w:rPr>
          <w:color w:val="auto"/>
          <w:highlight w:val="none"/>
        </w:rPr>
        <w:t>6</w:t>
      </w:r>
      <w:r>
        <w:rPr>
          <w:color w:val="auto"/>
          <w:highlight w:val="none"/>
        </w:rPr>
        <w:fldChar w:fldCharType="end"/>
      </w:r>
      <w:r>
        <w:rPr>
          <w:rFonts w:ascii="宋体" w:hAnsi="宋体"/>
          <w:color w:val="auto"/>
          <w:highlight w:val="none"/>
        </w:rPr>
        <w:fldChar w:fldCharType="end"/>
      </w:r>
    </w:p>
    <w:p w14:paraId="39691919">
      <w:pPr>
        <w:pStyle w:val="33"/>
        <w:tabs>
          <w:tab w:val="right" w:leader="dot" w:pos="8306"/>
          <w:tab w:val="clear" w:pos="8398"/>
        </w:tabs>
        <w:rPr>
          <w:color w:val="auto"/>
          <w:highlight w:val="none"/>
        </w:rPr>
      </w:pPr>
      <w:r>
        <w:rPr>
          <w:rFonts w:ascii="宋体" w:hAnsi="宋体"/>
          <w:color w:val="auto"/>
          <w:highlight w:val="none"/>
        </w:rPr>
        <w:fldChar w:fldCharType="begin"/>
      </w:r>
      <w:r>
        <w:rPr>
          <w:rFonts w:ascii="宋体" w:hAnsi="宋体"/>
          <w:color w:val="auto"/>
          <w:highlight w:val="none"/>
        </w:rPr>
        <w:instrText xml:space="preserve"> HYPERLINK \l _Toc3534 </w:instrText>
      </w:r>
      <w:r>
        <w:rPr>
          <w:rFonts w:ascii="宋体" w:hAnsi="宋体"/>
          <w:color w:val="auto"/>
          <w:highlight w:val="none"/>
        </w:rPr>
        <w:fldChar w:fldCharType="separate"/>
      </w:r>
      <w:r>
        <w:rPr>
          <w:rFonts w:hint="eastAsia" w:ascii="宋体" w:hAnsi="宋体" w:eastAsia="宋体"/>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_Toc3534 \h </w:instrText>
      </w:r>
      <w:r>
        <w:rPr>
          <w:color w:val="auto"/>
          <w:highlight w:val="none"/>
        </w:rPr>
        <w:fldChar w:fldCharType="separate"/>
      </w:r>
      <w:r>
        <w:rPr>
          <w:color w:val="auto"/>
          <w:highlight w:val="none"/>
        </w:rPr>
        <w:t>21</w:t>
      </w:r>
      <w:r>
        <w:rPr>
          <w:color w:val="auto"/>
          <w:highlight w:val="none"/>
        </w:rPr>
        <w:fldChar w:fldCharType="end"/>
      </w:r>
      <w:r>
        <w:rPr>
          <w:rFonts w:ascii="宋体" w:hAnsi="宋体"/>
          <w:color w:val="auto"/>
          <w:highlight w:val="none"/>
        </w:rPr>
        <w:fldChar w:fldCharType="end"/>
      </w:r>
    </w:p>
    <w:p w14:paraId="6BFD070A">
      <w:pPr>
        <w:pStyle w:val="33"/>
        <w:tabs>
          <w:tab w:val="right" w:leader="dot" w:pos="8306"/>
          <w:tab w:val="clear" w:pos="8398"/>
        </w:tabs>
        <w:rPr>
          <w:color w:val="auto"/>
          <w:highlight w:val="none"/>
        </w:rPr>
      </w:pPr>
      <w:r>
        <w:rPr>
          <w:rFonts w:ascii="宋体" w:hAnsi="宋体"/>
          <w:color w:val="auto"/>
          <w:highlight w:val="none"/>
        </w:rPr>
        <w:fldChar w:fldCharType="begin"/>
      </w:r>
      <w:r>
        <w:rPr>
          <w:rFonts w:ascii="宋体" w:hAnsi="宋体"/>
          <w:color w:val="auto"/>
          <w:highlight w:val="none"/>
        </w:rPr>
        <w:instrText xml:space="preserve"> HYPERLINK \l _Toc17795 </w:instrText>
      </w:r>
      <w:r>
        <w:rPr>
          <w:rFonts w:ascii="宋体" w:hAnsi="宋体"/>
          <w:color w:val="auto"/>
          <w:highlight w:val="none"/>
        </w:rPr>
        <w:fldChar w:fldCharType="separate"/>
      </w:r>
      <w:r>
        <w:rPr>
          <w:rFonts w:hint="eastAsia" w:ascii="宋体" w:hAnsi="宋体" w:eastAsia="宋体"/>
          <w:color w:val="auto"/>
          <w:highlight w:val="none"/>
        </w:rPr>
        <w:t>第四章  评标方法及评标标准</w:t>
      </w:r>
      <w:r>
        <w:rPr>
          <w:color w:val="auto"/>
          <w:highlight w:val="none"/>
        </w:rPr>
        <w:tab/>
      </w:r>
      <w:r>
        <w:rPr>
          <w:color w:val="auto"/>
          <w:highlight w:val="none"/>
        </w:rPr>
        <w:fldChar w:fldCharType="begin"/>
      </w:r>
      <w:r>
        <w:rPr>
          <w:color w:val="auto"/>
          <w:highlight w:val="none"/>
        </w:rPr>
        <w:instrText xml:space="preserve"> PAGEREF _Toc17795 \h </w:instrText>
      </w:r>
      <w:r>
        <w:rPr>
          <w:color w:val="auto"/>
          <w:highlight w:val="none"/>
        </w:rPr>
        <w:fldChar w:fldCharType="separate"/>
      </w:r>
      <w:r>
        <w:rPr>
          <w:color w:val="auto"/>
          <w:highlight w:val="none"/>
        </w:rPr>
        <w:t>39</w:t>
      </w:r>
      <w:r>
        <w:rPr>
          <w:color w:val="auto"/>
          <w:highlight w:val="none"/>
        </w:rPr>
        <w:fldChar w:fldCharType="end"/>
      </w:r>
      <w:r>
        <w:rPr>
          <w:rFonts w:ascii="宋体" w:hAnsi="宋体"/>
          <w:color w:val="auto"/>
          <w:highlight w:val="none"/>
        </w:rPr>
        <w:fldChar w:fldCharType="end"/>
      </w:r>
    </w:p>
    <w:p w14:paraId="54831BCF">
      <w:pPr>
        <w:pStyle w:val="33"/>
        <w:tabs>
          <w:tab w:val="right" w:leader="dot" w:pos="8306"/>
          <w:tab w:val="clear" w:pos="8398"/>
        </w:tabs>
        <w:rPr>
          <w:color w:val="auto"/>
          <w:highlight w:val="none"/>
        </w:rPr>
      </w:pPr>
      <w:r>
        <w:rPr>
          <w:rFonts w:ascii="宋体" w:hAnsi="宋体"/>
          <w:color w:val="auto"/>
          <w:highlight w:val="none"/>
        </w:rPr>
        <w:fldChar w:fldCharType="begin"/>
      </w:r>
      <w:r>
        <w:rPr>
          <w:rFonts w:ascii="宋体" w:hAnsi="宋体"/>
          <w:color w:val="auto"/>
          <w:highlight w:val="none"/>
        </w:rPr>
        <w:instrText xml:space="preserve"> HYPERLINK \l _Toc614 </w:instrText>
      </w:r>
      <w:r>
        <w:rPr>
          <w:rFonts w:ascii="宋体" w:hAnsi="宋体"/>
          <w:color w:val="auto"/>
          <w:highlight w:val="none"/>
        </w:rPr>
        <w:fldChar w:fldCharType="separate"/>
      </w:r>
      <w:r>
        <w:rPr>
          <w:rFonts w:hint="eastAsia" w:ascii="宋体" w:hAnsi="宋体" w:eastAsia="宋体"/>
          <w:color w:val="auto"/>
          <w:highlight w:val="none"/>
        </w:rPr>
        <w:t>第五章  拟签订的合同文本</w:t>
      </w:r>
      <w:r>
        <w:rPr>
          <w:color w:val="auto"/>
          <w:highlight w:val="none"/>
        </w:rPr>
        <w:tab/>
      </w:r>
      <w:r>
        <w:rPr>
          <w:color w:val="auto"/>
          <w:highlight w:val="none"/>
        </w:rPr>
        <w:fldChar w:fldCharType="begin"/>
      </w:r>
      <w:r>
        <w:rPr>
          <w:color w:val="auto"/>
          <w:highlight w:val="none"/>
        </w:rPr>
        <w:instrText xml:space="preserve"> PAGEREF _Toc614 \h </w:instrText>
      </w:r>
      <w:r>
        <w:rPr>
          <w:color w:val="auto"/>
          <w:highlight w:val="none"/>
        </w:rPr>
        <w:fldChar w:fldCharType="separate"/>
      </w:r>
      <w:r>
        <w:rPr>
          <w:color w:val="auto"/>
          <w:highlight w:val="none"/>
        </w:rPr>
        <w:t>47</w:t>
      </w:r>
      <w:r>
        <w:rPr>
          <w:color w:val="auto"/>
          <w:highlight w:val="none"/>
        </w:rPr>
        <w:fldChar w:fldCharType="end"/>
      </w:r>
      <w:r>
        <w:rPr>
          <w:rFonts w:ascii="宋体" w:hAnsi="宋体"/>
          <w:color w:val="auto"/>
          <w:highlight w:val="none"/>
        </w:rPr>
        <w:fldChar w:fldCharType="end"/>
      </w:r>
    </w:p>
    <w:p w14:paraId="6FE9300D">
      <w:pPr>
        <w:pStyle w:val="33"/>
        <w:tabs>
          <w:tab w:val="right" w:leader="dot" w:pos="8306"/>
          <w:tab w:val="clear" w:pos="8398"/>
        </w:tabs>
        <w:rPr>
          <w:color w:val="auto"/>
          <w:highlight w:val="none"/>
        </w:rPr>
      </w:pPr>
      <w:r>
        <w:rPr>
          <w:rFonts w:ascii="宋体" w:hAnsi="宋体"/>
          <w:color w:val="auto"/>
          <w:highlight w:val="none"/>
        </w:rPr>
        <w:fldChar w:fldCharType="begin"/>
      </w:r>
      <w:r>
        <w:rPr>
          <w:rFonts w:ascii="宋体" w:hAnsi="宋体"/>
          <w:color w:val="auto"/>
          <w:highlight w:val="none"/>
        </w:rPr>
        <w:instrText xml:space="preserve"> HYPERLINK \l _Toc18213 </w:instrText>
      </w:r>
      <w:r>
        <w:rPr>
          <w:rFonts w:ascii="宋体" w:hAnsi="宋体"/>
          <w:color w:val="auto"/>
          <w:highlight w:val="none"/>
        </w:rPr>
        <w:fldChar w:fldCharType="separate"/>
      </w:r>
      <w:r>
        <w:rPr>
          <w:rFonts w:hint="eastAsia" w:ascii="宋体" w:hAnsi="宋体" w:eastAsia="宋体"/>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_Toc18213 \h </w:instrText>
      </w:r>
      <w:r>
        <w:rPr>
          <w:color w:val="auto"/>
          <w:highlight w:val="none"/>
        </w:rPr>
        <w:fldChar w:fldCharType="separate"/>
      </w:r>
      <w:r>
        <w:rPr>
          <w:color w:val="auto"/>
          <w:highlight w:val="none"/>
        </w:rPr>
        <w:t>50</w:t>
      </w:r>
      <w:r>
        <w:rPr>
          <w:color w:val="auto"/>
          <w:highlight w:val="none"/>
        </w:rPr>
        <w:fldChar w:fldCharType="end"/>
      </w:r>
      <w:r>
        <w:rPr>
          <w:rFonts w:ascii="宋体" w:hAnsi="宋体"/>
          <w:color w:val="auto"/>
          <w:highlight w:val="none"/>
        </w:rPr>
        <w:fldChar w:fldCharType="end"/>
      </w:r>
    </w:p>
    <w:p w14:paraId="1E6C8A4D">
      <w:pPr>
        <w:spacing w:beforeLines="50" w:line="480" w:lineRule="exact"/>
        <w:rPr>
          <w:rFonts w:ascii="宋体" w:hAnsi="宋体"/>
          <w:color w:val="auto"/>
          <w:sz w:val="24"/>
          <w:highlight w:val="none"/>
        </w:rPr>
      </w:pPr>
      <w:r>
        <w:rPr>
          <w:rFonts w:ascii="宋体" w:hAnsi="宋体"/>
          <w:color w:val="auto"/>
          <w:highlight w:val="none"/>
        </w:rPr>
        <w:fldChar w:fldCharType="end"/>
      </w:r>
    </w:p>
    <w:p w14:paraId="43E09D4E">
      <w:pPr>
        <w:spacing w:beforeLines="50" w:line="480" w:lineRule="exact"/>
        <w:rPr>
          <w:rFonts w:ascii="宋体" w:hAnsi="宋体"/>
          <w:color w:val="auto"/>
          <w:sz w:val="30"/>
          <w:highlight w:val="none"/>
        </w:rPr>
      </w:pPr>
    </w:p>
    <w:p w14:paraId="523F7952">
      <w:pPr>
        <w:rPr>
          <w:rFonts w:ascii="宋体" w:hAnsi="宋体"/>
          <w:color w:val="auto"/>
          <w:highlight w:val="none"/>
        </w:rPr>
      </w:pPr>
    </w:p>
    <w:p w14:paraId="74C5968F">
      <w:pPr>
        <w:spacing w:beforeLines="50" w:line="480" w:lineRule="exact"/>
        <w:rPr>
          <w:rFonts w:ascii="宋体" w:hAnsi="宋体"/>
          <w:color w:val="auto"/>
          <w:sz w:val="30"/>
          <w:highlight w:val="none"/>
        </w:rPr>
      </w:pPr>
    </w:p>
    <w:p w14:paraId="74F05972">
      <w:pPr>
        <w:spacing w:beforeLines="50" w:line="480" w:lineRule="exact"/>
        <w:rPr>
          <w:rFonts w:ascii="宋体" w:hAnsi="宋体"/>
          <w:color w:val="auto"/>
          <w:sz w:val="30"/>
          <w:highlight w:val="none"/>
        </w:rPr>
      </w:pPr>
    </w:p>
    <w:p w14:paraId="6D3CBE4A">
      <w:pPr>
        <w:pStyle w:val="17"/>
        <w:rPr>
          <w:rFonts w:ascii="宋体" w:hAnsi="宋体" w:cs="宋体"/>
          <w:b/>
          <w:bCs/>
          <w:color w:val="auto"/>
          <w:highlight w:val="none"/>
        </w:rPr>
      </w:pPr>
      <w:bookmarkStart w:id="0" w:name="_Toc254970489"/>
      <w:bookmarkStart w:id="1" w:name="_Toc254970630"/>
    </w:p>
    <w:p w14:paraId="233CD306">
      <w:pPr>
        <w:pStyle w:val="2"/>
        <w:keepNext w:val="0"/>
        <w:keepLines w:val="0"/>
        <w:tabs>
          <w:tab w:val="left" w:pos="0"/>
          <w:tab w:val="left" w:pos="3165"/>
          <w:tab w:val="center" w:pos="4153"/>
        </w:tabs>
        <w:autoSpaceDE w:val="0"/>
        <w:autoSpaceDN w:val="0"/>
        <w:adjustRightInd w:val="0"/>
        <w:spacing w:before="0" w:after="0"/>
        <w:jc w:val="center"/>
        <w:rPr>
          <w:rFonts w:ascii="宋体" w:hAnsi="宋体" w:eastAsia="宋体"/>
          <w:color w:val="auto"/>
          <w:sz w:val="32"/>
          <w:szCs w:val="32"/>
          <w:highlight w:val="none"/>
        </w:rPr>
      </w:pPr>
      <w:r>
        <w:rPr>
          <w:rFonts w:ascii="宋体" w:hAnsi="宋体" w:eastAsia="宋体" w:cs="宋体"/>
          <w:color w:val="auto"/>
          <w:highlight w:val="none"/>
        </w:rPr>
        <w:br w:type="page"/>
      </w:r>
      <w:bookmarkStart w:id="2" w:name="_Toc22822"/>
      <w:r>
        <w:rPr>
          <w:rFonts w:hint="eastAsia" w:ascii="宋体" w:hAnsi="宋体" w:eastAsia="宋体"/>
          <w:color w:val="auto"/>
          <w:sz w:val="32"/>
          <w:szCs w:val="32"/>
          <w:highlight w:val="none"/>
        </w:rPr>
        <w:t>第一章</w:t>
      </w:r>
      <w:bookmarkEnd w:id="0"/>
      <w:bookmarkEnd w:id="1"/>
      <w:bookmarkStart w:id="3" w:name="_Toc35393789"/>
      <w:bookmarkStart w:id="4" w:name="_Toc28359001"/>
      <w:r>
        <w:rPr>
          <w:rFonts w:hint="eastAsia" w:ascii="宋体" w:hAnsi="宋体" w:eastAsia="宋体"/>
          <w:color w:val="auto"/>
          <w:sz w:val="32"/>
          <w:szCs w:val="32"/>
          <w:highlight w:val="none"/>
        </w:rPr>
        <w:t xml:space="preserve"> 招标公告</w:t>
      </w:r>
      <w:bookmarkEnd w:id="2"/>
      <w:bookmarkEnd w:id="3"/>
      <w:bookmarkEnd w:id="4"/>
    </w:p>
    <w:p w14:paraId="5196D9D9">
      <w:pPr>
        <w:pStyle w:val="25"/>
        <w:spacing w:line="500" w:lineRule="exact"/>
        <w:jc w:val="center"/>
        <w:rPr>
          <w:rFonts w:hAnsi="宋体"/>
          <w:b/>
          <w:color w:val="auto"/>
          <w:sz w:val="30"/>
          <w:szCs w:val="30"/>
          <w:highlight w:val="none"/>
        </w:rPr>
      </w:pPr>
      <w:r>
        <w:rPr>
          <w:rFonts w:hint="eastAsia" w:hAnsi="宋体"/>
          <w:b/>
          <w:color w:val="auto"/>
          <w:sz w:val="30"/>
          <w:szCs w:val="30"/>
          <w:highlight w:val="none"/>
        </w:rPr>
        <w:t>广西科文招标有限公司</w:t>
      </w:r>
    </w:p>
    <w:p w14:paraId="07F65898">
      <w:pPr>
        <w:pStyle w:val="25"/>
        <w:spacing w:line="500" w:lineRule="exact"/>
        <w:jc w:val="center"/>
        <w:rPr>
          <w:rFonts w:hAnsi="宋体"/>
          <w:b/>
          <w:color w:val="auto"/>
          <w:sz w:val="30"/>
          <w:szCs w:val="30"/>
          <w:highlight w:val="none"/>
        </w:rPr>
      </w:pPr>
      <w:r>
        <w:rPr>
          <w:rFonts w:hint="eastAsia" w:hAnsi="宋体"/>
          <w:b/>
          <w:color w:val="auto"/>
          <w:sz w:val="30"/>
          <w:szCs w:val="30"/>
          <w:highlight w:val="none"/>
          <w:lang w:eastAsia="zh-CN"/>
        </w:rPr>
        <w:t>联网收费系统运维服务</w:t>
      </w:r>
      <w:r>
        <w:rPr>
          <w:rFonts w:hint="eastAsia" w:hAnsi="宋体"/>
          <w:b/>
          <w:color w:val="auto"/>
          <w:sz w:val="30"/>
          <w:szCs w:val="30"/>
          <w:highlight w:val="none"/>
        </w:rPr>
        <w:t>（</w:t>
      </w:r>
      <w:r>
        <w:rPr>
          <w:rFonts w:hint="eastAsia" w:hAnsi="宋体"/>
          <w:b/>
          <w:color w:val="auto"/>
          <w:sz w:val="30"/>
          <w:szCs w:val="30"/>
          <w:highlight w:val="none"/>
          <w:lang w:eastAsia="zh-CN"/>
        </w:rPr>
        <w:t>GXZC2026-G3-001318-KWZB</w:t>
      </w:r>
      <w:r>
        <w:rPr>
          <w:rFonts w:hint="eastAsia" w:hAnsi="宋体"/>
          <w:b/>
          <w:color w:val="auto"/>
          <w:sz w:val="30"/>
          <w:szCs w:val="30"/>
          <w:highlight w:val="none"/>
        </w:rPr>
        <w:t>）招标公告</w:t>
      </w:r>
      <w:bookmarkStart w:id="5" w:name="OLE_LINK2"/>
    </w:p>
    <w:p w14:paraId="5F04A3E0">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项目概况</w:t>
      </w:r>
    </w:p>
    <w:p w14:paraId="763089BA">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s="Arial"/>
          <w:bCs/>
          <w:color w:val="auto"/>
          <w:szCs w:val="21"/>
          <w:highlight w:val="none"/>
          <w:lang w:eastAsia="zh-CN"/>
        </w:rPr>
        <w:t>联网收费系统运维服务</w:t>
      </w:r>
      <w:r>
        <w:rPr>
          <w:rFonts w:hint="eastAsia" w:ascii="宋体" w:hAnsi="宋体"/>
          <w:color w:val="auto"/>
          <w:szCs w:val="21"/>
          <w:highlight w:val="none"/>
        </w:rPr>
        <w:t>的潜在投标人应在</w:t>
      </w:r>
      <w:r>
        <w:rPr>
          <w:rFonts w:hint="eastAsia" w:ascii="宋体" w:hAnsi="宋体" w:cs="宋体"/>
          <w:color w:val="auto"/>
          <w:szCs w:val="21"/>
          <w:highlight w:val="none"/>
          <w:u w:val="none"/>
        </w:rPr>
        <w:t>广西政府采购云平台（</w:t>
      </w:r>
      <w:r>
        <w:rPr>
          <w:rFonts w:ascii="宋体" w:hAnsi="宋体" w:cs="宋体"/>
          <w:color w:val="auto"/>
          <w:szCs w:val="21"/>
          <w:highlight w:val="none"/>
          <w:u w:val="none"/>
        </w:rPr>
        <w:t>https://www.gcy.zfcg.gxzf.gov.cn</w:t>
      </w:r>
      <w:r>
        <w:rPr>
          <w:rFonts w:hint="eastAsia" w:ascii="宋体" w:hAnsi="宋体" w:cs="宋体"/>
          <w:color w:val="auto"/>
          <w:szCs w:val="21"/>
          <w:highlight w:val="none"/>
          <w:u w:val="none"/>
        </w:rPr>
        <w:t>）</w:t>
      </w:r>
      <w:r>
        <w:rPr>
          <w:rFonts w:hint="eastAsia" w:ascii="宋体" w:hAnsi="宋体"/>
          <w:color w:val="auto"/>
          <w:szCs w:val="21"/>
          <w:highlight w:val="none"/>
          <w:u w:val="none"/>
        </w:rPr>
        <w:t>获取（下载）招标文件，并于</w:t>
      </w:r>
      <w:r>
        <w:rPr>
          <w:rFonts w:hint="eastAsia" w:ascii="宋体" w:hAnsi="宋体" w:cs="Arial"/>
          <w:bCs/>
          <w:color w:val="auto"/>
          <w:szCs w:val="21"/>
          <w:highlight w:val="none"/>
          <w:u w:val="none"/>
          <w:lang w:eastAsia="zh-CN"/>
        </w:rPr>
        <w:t>2026年</w:t>
      </w:r>
      <w:r>
        <w:rPr>
          <w:rFonts w:hint="eastAsia" w:ascii="宋体" w:hAnsi="宋体" w:cs="Arial"/>
          <w:bCs/>
          <w:color w:val="auto"/>
          <w:szCs w:val="21"/>
          <w:highlight w:val="none"/>
          <w:u w:val="none"/>
          <w:lang w:val="en-US" w:eastAsia="zh-CN"/>
        </w:rPr>
        <w:t>6</w:t>
      </w:r>
      <w:r>
        <w:rPr>
          <w:rFonts w:hint="eastAsia" w:ascii="宋体" w:hAnsi="宋体" w:cs="Arial"/>
          <w:bCs/>
          <w:color w:val="auto"/>
          <w:szCs w:val="21"/>
          <w:highlight w:val="none"/>
          <w:u w:val="none"/>
          <w:lang w:eastAsia="zh-CN"/>
        </w:rPr>
        <w:t>月</w:t>
      </w:r>
      <w:r>
        <w:rPr>
          <w:rFonts w:hint="eastAsia" w:ascii="宋体" w:hAnsi="宋体" w:cs="Arial"/>
          <w:bCs/>
          <w:color w:val="auto"/>
          <w:szCs w:val="21"/>
          <w:highlight w:val="none"/>
          <w:u w:val="none"/>
          <w:lang w:val="en-US" w:eastAsia="zh-CN"/>
        </w:rPr>
        <w:t>10</w:t>
      </w:r>
      <w:r>
        <w:rPr>
          <w:rFonts w:hint="eastAsia" w:ascii="宋体" w:hAnsi="宋体" w:cs="Arial"/>
          <w:bCs/>
          <w:color w:val="auto"/>
          <w:szCs w:val="21"/>
          <w:highlight w:val="none"/>
          <w:u w:val="none"/>
          <w:lang w:eastAsia="zh-CN"/>
        </w:rPr>
        <w:t>日</w:t>
      </w:r>
      <w:r>
        <w:rPr>
          <w:rFonts w:hint="eastAsia" w:ascii="宋体" w:hAnsi="宋体" w:cs="Arial"/>
          <w:bCs/>
          <w:color w:val="auto"/>
          <w:szCs w:val="21"/>
          <w:highlight w:val="none"/>
        </w:rPr>
        <w:t>9时30分（北京时间）</w:t>
      </w:r>
      <w:r>
        <w:rPr>
          <w:rFonts w:hint="eastAsia" w:ascii="宋体" w:hAnsi="宋体"/>
          <w:bCs/>
          <w:color w:val="auto"/>
          <w:szCs w:val="21"/>
          <w:highlight w:val="none"/>
        </w:rPr>
        <w:t>前递交投标</w:t>
      </w:r>
      <w:r>
        <w:rPr>
          <w:rFonts w:ascii="宋体" w:hAnsi="宋体"/>
          <w:bCs/>
          <w:color w:val="auto"/>
          <w:szCs w:val="21"/>
          <w:highlight w:val="none"/>
        </w:rPr>
        <w:t>文件</w:t>
      </w:r>
      <w:r>
        <w:rPr>
          <w:rFonts w:hint="eastAsia" w:ascii="宋体" w:hAnsi="宋体"/>
          <w:color w:val="auto"/>
          <w:szCs w:val="21"/>
          <w:highlight w:val="none"/>
        </w:rPr>
        <w:t>。</w:t>
      </w:r>
    </w:p>
    <w:p w14:paraId="6D5588F1">
      <w:pPr>
        <w:spacing w:line="400" w:lineRule="exact"/>
        <w:rPr>
          <w:rFonts w:ascii="宋体" w:hAnsi="宋体"/>
          <w:b/>
          <w:bCs/>
          <w:color w:val="auto"/>
          <w:sz w:val="24"/>
          <w:highlight w:val="none"/>
        </w:rPr>
      </w:pPr>
      <w:bookmarkStart w:id="6" w:name="_Toc35393621"/>
      <w:bookmarkStart w:id="7" w:name="_Toc28359002"/>
      <w:bookmarkStart w:id="8" w:name="_Toc35393790"/>
      <w:bookmarkStart w:id="9" w:name="_Toc28359079"/>
      <w:bookmarkStart w:id="10" w:name="_Hlk24379207"/>
      <w:r>
        <w:rPr>
          <w:rFonts w:hint="eastAsia" w:ascii="宋体" w:hAnsi="宋体"/>
          <w:b/>
          <w:bCs/>
          <w:color w:val="auto"/>
          <w:sz w:val="24"/>
          <w:highlight w:val="none"/>
        </w:rPr>
        <w:t>一、项目基本情况</w:t>
      </w:r>
      <w:bookmarkEnd w:id="6"/>
      <w:bookmarkEnd w:id="7"/>
      <w:bookmarkEnd w:id="8"/>
      <w:bookmarkEnd w:id="9"/>
    </w:p>
    <w:p w14:paraId="020AA57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lang w:eastAsia="zh-CN"/>
        </w:rPr>
        <w:t>GXZC2026-G3-001318-KWZB</w:t>
      </w:r>
      <w:r>
        <w:rPr>
          <w:rFonts w:hint="eastAsia" w:ascii="宋体" w:hAnsi="宋体"/>
          <w:color w:val="auto"/>
          <w:szCs w:val="21"/>
          <w:highlight w:val="none"/>
        </w:rPr>
        <w:t xml:space="preserve">  采购计划文号：</w:t>
      </w:r>
      <w:r>
        <w:rPr>
          <w:rFonts w:hint="eastAsia" w:ascii="宋体" w:hAnsi="宋体"/>
          <w:color w:val="auto"/>
          <w:szCs w:val="21"/>
          <w:highlight w:val="none"/>
          <w:lang w:val="en-US" w:eastAsia="zh-CN"/>
        </w:rPr>
        <w:t>广西政采[2026]5147号</w:t>
      </w:r>
      <w:r>
        <w:rPr>
          <w:rFonts w:hint="eastAsia" w:ascii="宋体" w:hAnsi="宋体"/>
          <w:color w:val="auto"/>
          <w:szCs w:val="21"/>
          <w:highlight w:val="none"/>
        </w:rPr>
        <w:t>。</w:t>
      </w:r>
    </w:p>
    <w:p w14:paraId="41B1F48B">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s="Arial"/>
          <w:bCs/>
          <w:color w:val="auto"/>
          <w:szCs w:val="21"/>
          <w:highlight w:val="none"/>
          <w:lang w:eastAsia="zh-CN"/>
        </w:rPr>
        <w:t>联网收费系统运维服务</w:t>
      </w:r>
    </w:p>
    <w:bookmarkEnd w:id="10"/>
    <w:p w14:paraId="4868EB8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预算金额：</w:t>
      </w:r>
      <w:r>
        <w:rPr>
          <w:rFonts w:hint="eastAsia" w:ascii="宋体" w:hAnsi="宋体"/>
          <w:color w:val="auto"/>
          <w:szCs w:val="21"/>
          <w:highlight w:val="none"/>
          <w:lang w:val="en-US" w:eastAsia="zh-CN"/>
        </w:rPr>
        <w:t>853.18</w:t>
      </w:r>
      <w:r>
        <w:rPr>
          <w:rFonts w:hint="eastAsia" w:ascii="宋体" w:hAnsi="宋体"/>
          <w:color w:val="auto"/>
          <w:szCs w:val="21"/>
          <w:highlight w:val="none"/>
        </w:rPr>
        <w:t>万元。</w:t>
      </w:r>
    </w:p>
    <w:p w14:paraId="302585A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最高限价（如有）：</w:t>
      </w:r>
      <w:r>
        <w:rPr>
          <w:rFonts w:hint="eastAsia" w:ascii="宋体" w:hAnsi="宋体"/>
          <w:color w:val="auto"/>
          <w:szCs w:val="21"/>
          <w:highlight w:val="none"/>
          <w:lang w:eastAsia="zh-CN"/>
        </w:rPr>
        <w:t>853.18</w:t>
      </w:r>
      <w:r>
        <w:rPr>
          <w:rFonts w:hint="eastAsia" w:ascii="宋体" w:hAnsi="宋体"/>
          <w:color w:val="auto"/>
          <w:szCs w:val="21"/>
          <w:highlight w:val="none"/>
        </w:rPr>
        <w:t>万元。</w:t>
      </w:r>
    </w:p>
    <w:p w14:paraId="659683C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采购需求：</w:t>
      </w:r>
    </w:p>
    <w:tbl>
      <w:tblPr>
        <w:tblStyle w:val="49"/>
        <w:tblW w:w="97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4"/>
        <w:gridCol w:w="1962"/>
        <w:gridCol w:w="1377"/>
        <w:gridCol w:w="5644"/>
      </w:tblGrid>
      <w:tr w14:paraId="31FE77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tcBorders>
              <w:top w:val="single" w:color="auto" w:sz="4" w:space="0"/>
              <w:left w:val="single" w:color="auto" w:sz="4" w:space="0"/>
              <w:bottom w:val="single" w:color="auto" w:sz="4" w:space="0"/>
              <w:right w:val="single" w:color="auto" w:sz="4" w:space="0"/>
            </w:tcBorders>
            <w:vAlign w:val="center"/>
          </w:tcPr>
          <w:p w14:paraId="13B19FA6">
            <w:pPr>
              <w:snapToGrid w:val="0"/>
              <w:spacing w:line="40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序号</w:t>
            </w:r>
          </w:p>
        </w:tc>
        <w:tc>
          <w:tcPr>
            <w:tcW w:w="1962" w:type="dxa"/>
            <w:tcBorders>
              <w:top w:val="single" w:color="auto" w:sz="4" w:space="0"/>
              <w:left w:val="single" w:color="auto" w:sz="4" w:space="0"/>
              <w:bottom w:val="single" w:color="auto" w:sz="4" w:space="0"/>
              <w:right w:val="single" w:color="auto" w:sz="4" w:space="0"/>
            </w:tcBorders>
            <w:vAlign w:val="center"/>
          </w:tcPr>
          <w:p w14:paraId="513C8168">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标的的名称</w:t>
            </w:r>
          </w:p>
        </w:tc>
        <w:tc>
          <w:tcPr>
            <w:tcW w:w="1377" w:type="dxa"/>
            <w:tcBorders>
              <w:top w:val="single" w:color="auto" w:sz="4" w:space="0"/>
              <w:left w:val="single" w:color="auto" w:sz="4" w:space="0"/>
              <w:bottom w:val="single" w:color="auto" w:sz="4" w:space="0"/>
              <w:right w:val="single" w:color="auto" w:sz="4" w:space="0"/>
            </w:tcBorders>
            <w:vAlign w:val="center"/>
          </w:tcPr>
          <w:p w14:paraId="29BB03A4">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数量及单位</w:t>
            </w:r>
          </w:p>
        </w:tc>
        <w:tc>
          <w:tcPr>
            <w:tcW w:w="5644" w:type="dxa"/>
            <w:tcBorders>
              <w:top w:val="single" w:color="auto" w:sz="4" w:space="0"/>
              <w:left w:val="single" w:color="auto" w:sz="4" w:space="0"/>
              <w:bottom w:val="single" w:color="auto" w:sz="4" w:space="0"/>
              <w:right w:val="single" w:color="auto" w:sz="4" w:space="0"/>
            </w:tcBorders>
            <w:vAlign w:val="center"/>
          </w:tcPr>
          <w:p w14:paraId="6AADFCA2">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简要技术需求或者服务要求</w:t>
            </w:r>
          </w:p>
        </w:tc>
      </w:tr>
      <w:tr w14:paraId="15C7CC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tcBorders>
              <w:top w:val="single" w:color="auto" w:sz="4" w:space="0"/>
              <w:left w:val="single" w:color="auto" w:sz="4" w:space="0"/>
              <w:bottom w:val="single" w:color="auto" w:sz="4" w:space="0"/>
              <w:right w:val="single" w:color="auto" w:sz="4" w:space="0"/>
            </w:tcBorders>
            <w:vAlign w:val="center"/>
          </w:tcPr>
          <w:p w14:paraId="52EACDF6">
            <w:pPr>
              <w:snapToGrid w:val="0"/>
              <w:spacing w:line="400" w:lineRule="exact"/>
              <w:jc w:val="center"/>
              <w:rPr>
                <w:rFonts w:ascii="宋体" w:hAnsi="宋体"/>
                <w:bCs/>
                <w:color w:val="auto"/>
                <w:szCs w:val="21"/>
                <w:highlight w:val="none"/>
              </w:rPr>
            </w:pPr>
            <w:r>
              <w:rPr>
                <w:rFonts w:hint="eastAsia" w:ascii="宋体" w:hAnsi="宋体"/>
                <w:bCs/>
                <w:color w:val="auto"/>
                <w:szCs w:val="21"/>
                <w:highlight w:val="none"/>
              </w:rPr>
              <w:t>01</w:t>
            </w:r>
          </w:p>
        </w:tc>
        <w:tc>
          <w:tcPr>
            <w:tcW w:w="1962" w:type="dxa"/>
            <w:tcBorders>
              <w:top w:val="single" w:color="auto" w:sz="4" w:space="0"/>
              <w:left w:val="single" w:color="auto" w:sz="4" w:space="0"/>
              <w:bottom w:val="single" w:color="auto" w:sz="4" w:space="0"/>
              <w:right w:val="single" w:color="auto" w:sz="4" w:space="0"/>
            </w:tcBorders>
            <w:vAlign w:val="center"/>
          </w:tcPr>
          <w:p w14:paraId="0C26B886">
            <w:pPr>
              <w:snapToGrid w:val="0"/>
              <w:spacing w:line="400" w:lineRule="exact"/>
              <w:jc w:val="center"/>
              <w:rPr>
                <w:rFonts w:hint="eastAsia" w:ascii="宋体" w:hAnsi="宋体" w:eastAsia="宋体"/>
                <w:bCs/>
                <w:color w:val="auto"/>
                <w:szCs w:val="21"/>
                <w:highlight w:val="none"/>
                <w:lang w:eastAsia="zh-CN"/>
              </w:rPr>
            </w:pPr>
            <w:r>
              <w:rPr>
                <w:rFonts w:hint="eastAsia" w:ascii="宋体" w:hAnsi="宋体" w:cs="宋体"/>
                <w:color w:val="auto"/>
                <w:szCs w:val="21"/>
                <w:highlight w:val="none"/>
                <w:lang w:eastAsia="zh-CN"/>
              </w:rPr>
              <w:t>联网收费系统运维服务</w:t>
            </w:r>
          </w:p>
        </w:tc>
        <w:tc>
          <w:tcPr>
            <w:tcW w:w="1377" w:type="dxa"/>
            <w:tcBorders>
              <w:top w:val="single" w:color="auto" w:sz="4" w:space="0"/>
              <w:left w:val="single" w:color="auto" w:sz="4" w:space="0"/>
              <w:bottom w:val="single" w:color="auto" w:sz="4" w:space="0"/>
              <w:right w:val="single" w:color="auto" w:sz="4" w:space="0"/>
            </w:tcBorders>
            <w:vAlign w:val="center"/>
          </w:tcPr>
          <w:p w14:paraId="7A7DEE0A">
            <w:pPr>
              <w:snapToGrid w:val="0"/>
              <w:spacing w:line="400" w:lineRule="exact"/>
              <w:jc w:val="center"/>
              <w:rPr>
                <w:rFonts w:ascii="宋体" w:hAnsi="宋体"/>
                <w:bCs/>
                <w:color w:val="auto"/>
                <w:szCs w:val="21"/>
                <w:highlight w:val="none"/>
              </w:rPr>
            </w:pPr>
            <w:r>
              <w:rPr>
                <w:rFonts w:hint="eastAsia" w:ascii="宋体" w:hAnsi="宋体"/>
                <w:bCs/>
                <w:color w:val="auto"/>
                <w:szCs w:val="21"/>
                <w:highlight w:val="none"/>
              </w:rPr>
              <w:t>1项</w:t>
            </w:r>
          </w:p>
        </w:tc>
        <w:tc>
          <w:tcPr>
            <w:tcW w:w="5644" w:type="dxa"/>
            <w:tcBorders>
              <w:top w:val="single" w:color="auto" w:sz="4" w:space="0"/>
              <w:left w:val="single" w:color="auto" w:sz="4" w:space="0"/>
              <w:bottom w:val="single" w:color="auto" w:sz="4" w:space="0"/>
              <w:right w:val="single" w:color="auto" w:sz="4" w:space="0"/>
            </w:tcBorders>
            <w:vAlign w:val="center"/>
          </w:tcPr>
          <w:p w14:paraId="7FDB35E8">
            <w:pPr>
              <w:pStyle w:val="20"/>
              <w:spacing w:line="400" w:lineRule="exact"/>
              <w:ind w:left="0" w:leftChars="0" w:firstLine="420" w:firstLineChars="200"/>
              <w:rPr>
                <w:rFonts w:ascii="宋体" w:hAnsi="宋体"/>
                <w:color w:val="auto"/>
                <w:highlight w:val="none"/>
              </w:rPr>
            </w:pPr>
            <w:r>
              <w:rPr>
                <w:rFonts w:hint="eastAsia" w:ascii="宋体" w:hAnsi="宋体"/>
                <w:color w:val="auto"/>
                <w:highlight w:val="none"/>
                <w:lang w:val="en-US" w:eastAsia="zh-CN"/>
              </w:rPr>
              <w:t>对广西联网收费系统中的省中心系统及全区高速公路收费车道系统进行日常维护与升级和专业的维保，确保系统正常运行</w:t>
            </w:r>
            <w:r>
              <w:rPr>
                <w:rFonts w:hint="eastAsia" w:ascii="宋体" w:hAnsi="宋体"/>
                <w:color w:val="auto"/>
                <w:highlight w:val="none"/>
              </w:rPr>
              <w:t>。</w:t>
            </w:r>
          </w:p>
          <w:p w14:paraId="65C96BA3">
            <w:pPr>
              <w:pStyle w:val="20"/>
              <w:spacing w:line="400" w:lineRule="exact"/>
              <w:ind w:left="0" w:leftChars="0" w:firstLine="420" w:firstLineChars="200"/>
              <w:rPr>
                <w:rFonts w:ascii="宋体" w:hAnsi="宋体"/>
                <w:color w:val="auto"/>
                <w:highlight w:val="none"/>
              </w:rPr>
            </w:pPr>
            <w:r>
              <w:rPr>
                <w:rFonts w:hint="eastAsia" w:ascii="宋体" w:hAnsi="宋体"/>
                <w:color w:val="auto"/>
                <w:highlight w:val="none"/>
              </w:rPr>
              <w:t>具体内容详见“第二章采购需求”。</w:t>
            </w:r>
          </w:p>
        </w:tc>
      </w:tr>
    </w:tbl>
    <w:p w14:paraId="0DD55DA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合同履行期限：一年，即2026年9月10日至2027年9月9日。</w:t>
      </w:r>
    </w:p>
    <w:p w14:paraId="311E2C0F">
      <w:pPr>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本项目（</w:t>
      </w:r>
      <w:r>
        <w:rPr>
          <w:rFonts w:hint="default" w:ascii="宋体" w:hAnsi="宋体"/>
          <w:b/>
          <w:color w:val="auto"/>
          <w:szCs w:val="21"/>
          <w:highlight w:val="none"/>
        </w:rPr>
        <w:t>是</w:t>
      </w:r>
      <w:r>
        <w:rPr>
          <w:rFonts w:hint="eastAsia" w:ascii="宋体" w:hAnsi="宋体"/>
          <w:b/>
          <w:color w:val="auto"/>
          <w:szCs w:val="21"/>
          <w:highlight w:val="none"/>
        </w:rPr>
        <w:t>）接受联合体投标。</w:t>
      </w:r>
    </w:p>
    <w:p w14:paraId="1FD18629">
      <w:pPr>
        <w:spacing w:line="400" w:lineRule="exact"/>
        <w:rPr>
          <w:rFonts w:ascii="宋体" w:hAnsi="宋体"/>
          <w:b/>
          <w:bCs/>
          <w:color w:val="auto"/>
          <w:sz w:val="24"/>
          <w:highlight w:val="none"/>
        </w:rPr>
      </w:pPr>
      <w:bookmarkStart w:id="11" w:name="_Toc35393791"/>
      <w:bookmarkStart w:id="12" w:name="_Toc28359080"/>
      <w:bookmarkStart w:id="13" w:name="_Toc35393622"/>
      <w:bookmarkStart w:id="14" w:name="_Toc28359003"/>
      <w:r>
        <w:rPr>
          <w:rFonts w:hint="eastAsia" w:ascii="宋体" w:hAnsi="宋体"/>
          <w:b/>
          <w:bCs/>
          <w:color w:val="auto"/>
          <w:sz w:val="24"/>
          <w:highlight w:val="none"/>
        </w:rPr>
        <w:t>二、申请人的资格要求：</w:t>
      </w:r>
      <w:bookmarkEnd w:id="11"/>
      <w:bookmarkEnd w:id="12"/>
      <w:bookmarkEnd w:id="13"/>
      <w:bookmarkEnd w:id="14"/>
    </w:p>
    <w:p w14:paraId="6B7EBC2E">
      <w:pPr>
        <w:spacing w:line="400" w:lineRule="exact"/>
        <w:ind w:firstLine="420" w:firstLineChars="200"/>
        <w:rPr>
          <w:rFonts w:hint="eastAsia" w:ascii="宋体" w:hAnsi="宋体"/>
          <w:color w:val="auto"/>
          <w:szCs w:val="21"/>
          <w:highlight w:val="none"/>
        </w:rPr>
      </w:pPr>
      <w:bookmarkStart w:id="15" w:name="_Hlk51746371"/>
      <w:bookmarkStart w:id="16" w:name="_Toc28359081"/>
      <w:bookmarkStart w:id="17" w:name="_Toc28359004"/>
      <w:r>
        <w:rPr>
          <w:rFonts w:hint="eastAsia" w:ascii="宋体" w:hAnsi="宋体"/>
          <w:color w:val="auto"/>
          <w:szCs w:val="21"/>
          <w:highlight w:val="none"/>
        </w:rPr>
        <w:t>（一）满足《中华人民共和国政府采购法》第二十二条规定，具有本项目供应和服务能力，符合履行本文件各项规定的国内法人和其他组织；</w:t>
      </w:r>
    </w:p>
    <w:p w14:paraId="469F2B3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（二）落实政府采购政策需满足的资格要求：本项目非专门面向中小企业采购；</w:t>
      </w:r>
    </w:p>
    <w:p w14:paraId="0CD2C9EA">
      <w:pPr>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（三）本项目的特定资格要求：</w:t>
      </w:r>
      <w:r>
        <w:rPr>
          <w:rFonts w:hint="eastAsia" w:ascii="宋体" w:hAnsi="宋体"/>
          <w:color w:val="auto"/>
          <w:szCs w:val="21"/>
          <w:highlight w:val="none"/>
          <w:lang w:val="en-US" w:eastAsia="zh-CN"/>
        </w:rPr>
        <w:t>无</w:t>
      </w:r>
      <w:r>
        <w:rPr>
          <w:rFonts w:hint="eastAsia" w:ascii="宋体" w:hAnsi="宋体"/>
          <w:color w:val="auto"/>
          <w:szCs w:val="21"/>
          <w:highlight w:val="none"/>
        </w:rPr>
        <w:t>。</w:t>
      </w:r>
    </w:p>
    <w:bookmarkEnd w:id="15"/>
    <w:p w14:paraId="37950846">
      <w:pPr>
        <w:spacing w:line="400" w:lineRule="exact"/>
        <w:rPr>
          <w:rFonts w:ascii="宋体" w:hAnsi="宋体"/>
          <w:b/>
          <w:bCs/>
          <w:color w:val="auto"/>
          <w:sz w:val="24"/>
          <w:highlight w:val="none"/>
        </w:rPr>
      </w:pPr>
      <w:bookmarkStart w:id="18" w:name="_Toc35393623"/>
      <w:bookmarkStart w:id="19" w:name="_Toc35393792"/>
      <w:r>
        <w:rPr>
          <w:rFonts w:hint="eastAsia" w:ascii="宋体" w:hAnsi="宋体"/>
          <w:b/>
          <w:bCs/>
          <w:color w:val="auto"/>
          <w:sz w:val="24"/>
          <w:highlight w:val="none"/>
        </w:rPr>
        <w:t>三、获取招标文件</w:t>
      </w:r>
      <w:bookmarkEnd w:id="16"/>
      <w:bookmarkEnd w:id="17"/>
      <w:bookmarkEnd w:id="18"/>
      <w:bookmarkEnd w:id="19"/>
    </w:p>
    <w:p w14:paraId="365EBB0B">
      <w:pPr>
        <w:spacing w:line="40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时间：</w:t>
      </w:r>
      <w:r>
        <w:rPr>
          <w:rFonts w:hint="eastAsia" w:ascii="宋体" w:hAnsi="宋体" w:cs="Arial"/>
          <w:color w:val="auto"/>
          <w:highlight w:val="none"/>
        </w:rPr>
        <w:t>202</w:t>
      </w:r>
      <w:r>
        <w:rPr>
          <w:rFonts w:hint="eastAsia" w:ascii="宋体" w:hAnsi="宋体" w:cs="Arial"/>
          <w:color w:val="auto"/>
          <w:highlight w:val="none"/>
          <w:lang w:val="en-US" w:eastAsia="zh-CN"/>
        </w:rPr>
        <w:t>6</w:t>
      </w:r>
      <w:r>
        <w:rPr>
          <w:rFonts w:hint="eastAsia" w:ascii="宋体" w:hAnsi="宋体" w:cs="Arial"/>
          <w:color w:val="auto"/>
          <w:highlight w:val="none"/>
        </w:rPr>
        <w:t>年</w:t>
      </w:r>
      <w:r>
        <w:rPr>
          <w:rFonts w:hint="eastAsia" w:ascii="宋体" w:hAnsi="宋体" w:cs="Arial"/>
          <w:color w:val="auto"/>
          <w:highlight w:val="none"/>
          <w:lang w:val="en-US" w:eastAsia="zh-CN"/>
        </w:rPr>
        <w:t>5</w:t>
      </w:r>
      <w:r>
        <w:rPr>
          <w:rFonts w:hint="eastAsia" w:ascii="宋体" w:hAnsi="宋体" w:cs="Arial"/>
          <w:color w:val="auto"/>
          <w:highlight w:val="none"/>
        </w:rPr>
        <w:t>月</w:t>
      </w:r>
      <w:r>
        <w:rPr>
          <w:rFonts w:hint="eastAsia" w:ascii="宋体" w:hAnsi="宋体" w:cs="Arial"/>
          <w:color w:val="auto"/>
          <w:highlight w:val="none"/>
          <w:lang w:val="en-US" w:eastAsia="zh-CN"/>
        </w:rPr>
        <w:t>19</w:t>
      </w:r>
      <w:r>
        <w:rPr>
          <w:rFonts w:hint="eastAsia" w:ascii="宋体" w:hAnsi="宋体" w:cs="Arial"/>
          <w:color w:val="auto"/>
          <w:highlight w:val="none"/>
        </w:rPr>
        <w:t>日</w:t>
      </w:r>
      <w:r>
        <w:rPr>
          <w:rFonts w:hint="eastAsia" w:ascii="宋体" w:hAnsi="宋体" w:cs="Arial"/>
          <w:color w:val="auto"/>
          <w:szCs w:val="21"/>
          <w:highlight w:val="none"/>
        </w:rPr>
        <w:t>至</w:t>
      </w:r>
      <w:r>
        <w:rPr>
          <w:rFonts w:hint="eastAsia" w:ascii="宋体" w:hAnsi="宋体" w:cs="Arial"/>
          <w:color w:val="auto"/>
          <w:highlight w:val="none"/>
        </w:rPr>
        <w:t>202</w:t>
      </w:r>
      <w:r>
        <w:rPr>
          <w:rFonts w:hint="eastAsia" w:ascii="宋体" w:hAnsi="宋体" w:cs="Arial"/>
          <w:color w:val="auto"/>
          <w:highlight w:val="none"/>
          <w:lang w:val="en-US" w:eastAsia="zh-CN"/>
        </w:rPr>
        <w:t>6</w:t>
      </w:r>
      <w:r>
        <w:rPr>
          <w:rFonts w:hint="eastAsia" w:ascii="宋体" w:hAnsi="宋体" w:cs="Arial"/>
          <w:color w:val="auto"/>
          <w:highlight w:val="none"/>
        </w:rPr>
        <w:t>年</w:t>
      </w:r>
      <w:r>
        <w:rPr>
          <w:rFonts w:hint="eastAsia" w:ascii="宋体" w:hAnsi="宋体" w:cs="Arial"/>
          <w:color w:val="auto"/>
          <w:highlight w:val="none"/>
          <w:lang w:val="en-US" w:eastAsia="zh-CN"/>
        </w:rPr>
        <w:t>5</w:t>
      </w:r>
      <w:r>
        <w:rPr>
          <w:rFonts w:hint="eastAsia" w:ascii="宋体" w:hAnsi="宋体" w:cs="Arial"/>
          <w:color w:val="auto"/>
          <w:highlight w:val="none"/>
        </w:rPr>
        <w:t>月</w:t>
      </w:r>
      <w:r>
        <w:rPr>
          <w:rFonts w:hint="eastAsia" w:ascii="宋体" w:hAnsi="宋体" w:cs="Arial"/>
          <w:color w:val="auto"/>
          <w:highlight w:val="none"/>
          <w:lang w:val="en-US" w:eastAsia="zh-CN"/>
        </w:rPr>
        <w:t>27</w:t>
      </w:r>
      <w:r>
        <w:rPr>
          <w:rFonts w:hint="eastAsia" w:ascii="宋体" w:hAnsi="宋体" w:cs="Arial"/>
          <w:color w:val="auto"/>
          <w:highlight w:val="none"/>
        </w:rPr>
        <w:t>日</w:t>
      </w:r>
      <w:r>
        <w:rPr>
          <w:rFonts w:hint="eastAsia" w:ascii="宋体" w:hAnsi="宋体" w:cs="Arial"/>
          <w:color w:val="auto"/>
          <w:szCs w:val="21"/>
          <w:highlight w:val="none"/>
        </w:rPr>
        <w:t>，每天上午00:00-12:00；下午1</w:t>
      </w:r>
      <w:r>
        <w:rPr>
          <w:rFonts w:hint="eastAsia" w:ascii="宋体" w:hAnsi="宋体" w:cs="Arial"/>
          <w:color w:val="auto"/>
          <w:highlight w:val="none"/>
        </w:rPr>
        <w:t>2</w:t>
      </w:r>
      <w:r>
        <w:rPr>
          <w:rFonts w:hint="eastAsia" w:ascii="宋体" w:hAnsi="宋体" w:cs="Arial"/>
          <w:color w:val="auto"/>
          <w:szCs w:val="21"/>
          <w:highlight w:val="none"/>
        </w:rPr>
        <w:t>:</w:t>
      </w:r>
      <w:r>
        <w:rPr>
          <w:rFonts w:hint="eastAsia" w:ascii="宋体" w:hAnsi="宋体" w:cs="Arial"/>
          <w:color w:val="auto"/>
          <w:highlight w:val="none"/>
        </w:rPr>
        <w:t>00</w:t>
      </w:r>
      <w:r>
        <w:rPr>
          <w:rFonts w:hint="eastAsia" w:ascii="宋体" w:hAnsi="宋体" w:cs="Arial"/>
          <w:color w:val="auto"/>
          <w:szCs w:val="21"/>
          <w:highlight w:val="none"/>
        </w:rPr>
        <w:t>-23:</w:t>
      </w:r>
      <w:r>
        <w:rPr>
          <w:rFonts w:hint="eastAsia" w:ascii="宋体" w:hAnsi="宋体" w:cs="Arial"/>
          <w:color w:val="auto"/>
          <w:highlight w:val="none"/>
        </w:rPr>
        <w:t>59</w:t>
      </w:r>
      <w:r>
        <w:rPr>
          <w:rFonts w:hint="eastAsia" w:ascii="宋体" w:hAnsi="宋体" w:cs="Arial"/>
          <w:color w:val="auto"/>
          <w:szCs w:val="21"/>
          <w:highlight w:val="none"/>
        </w:rPr>
        <w:t>（北京时间，</w:t>
      </w:r>
      <w:r>
        <w:rPr>
          <w:rFonts w:ascii="宋体" w:hAnsi="宋体" w:cs="Arial"/>
          <w:color w:val="auto"/>
          <w:szCs w:val="21"/>
          <w:highlight w:val="none"/>
        </w:rPr>
        <w:t>法定节假日</w:t>
      </w:r>
      <w:r>
        <w:rPr>
          <w:rFonts w:hint="eastAsia" w:ascii="宋体" w:hAnsi="宋体" w:cs="Arial"/>
          <w:color w:val="auto"/>
          <w:szCs w:val="21"/>
          <w:highlight w:val="none"/>
        </w:rPr>
        <w:t>除外）。</w:t>
      </w:r>
    </w:p>
    <w:p w14:paraId="25024177">
      <w:pPr>
        <w:spacing w:line="40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地点：</w:t>
      </w:r>
      <w:r>
        <w:rPr>
          <w:rFonts w:hint="eastAsia" w:ascii="宋体" w:hAnsi="宋体"/>
          <w:color w:val="auto"/>
          <w:szCs w:val="21"/>
          <w:highlight w:val="none"/>
        </w:rPr>
        <w:t>广西政府采购云平台（https://www.gcy.zfcg.gxzf.gov.cn）</w:t>
      </w:r>
    </w:p>
    <w:p w14:paraId="0EBAFA2D">
      <w:pPr>
        <w:spacing w:line="40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方式：网上下载。本项目不发放纸质文件，供应商应自行在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olor w:val="auto"/>
          <w:szCs w:val="21"/>
          <w:highlight w:val="none"/>
        </w:rPr>
        <w:t>广西政府采购云平台（https://www.gcy.zfcg.gxzf.gov.cn）</w:t>
      </w:r>
      <w:r>
        <w:rPr>
          <w:rFonts w:hint="eastAsia" w:ascii="宋体" w:hAnsi="宋体" w:cs="宋体"/>
          <w:bCs/>
          <w:color w:val="auto"/>
          <w:kern w:val="0"/>
          <w:szCs w:val="21"/>
          <w:highlight w:val="none"/>
        </w:rPr>
        <w:t>下载招标文件（登录广西政府采购云平台-项目采购-获取采购文件-找到本项目-点击“申请获取采购文件”），电子投标文件制作需要基于</w:t>
      </w:r>
      <w:r>
        <w:rPr>
          <w:rFonts w:hint="eastAsia" w:ascii="宋体" w:hAnsi="宋体"/>
          <w:color w:val="auto"/>
          <w:szCs w:val="21"/>
          <w:highlight w:val="none"/>
        </w:rPr>
        <w:t>广西政府采购云平台（https://www.gcy.zfcg.gxzf.gov.cn）</w:t>
      </w:r>
      <w:r>
        <w:rPr>
          <w:rFonts w:hint="eastAsia" w:ascii="宋体" w:hAnsi="宋体" w:cs="宋体"/>
          <w:bCs/>
          <w:color w:val="auto"/>
          <w:kern w:val="0"/>
          <w:szCs w:val="21"/>
          <w:highlight w:val="none"/>
        </w:rPr>
        <w:t>获取的招标文件编制。</w:t>
      </w:r>
    </w:p>
    <w:p w14:paraId="4AD31AB9">
      <w:pPr>
        <w:spacing w:line="400" w:lineRule="exact"/>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售价：0元。</w:t>
      </w:r>
    </w:p>
    <w:p w14:paraId="79E2EBC9">
      <w:pPr>
        <w:spacing w:line="400" w:lineRule="exact"/>
        <w:rPr>
          <w:rFonts w:ascii="宋体" w:hAnsi="宋体"/>
          <w:b/>
          <w:bCs/>
          <w:color w:val="auto"/>
          <w:sz w:val="24"/>
          <w:highlight w:val="none"/>
        </w:rPr>
      </w:pPr>
      <w:bookmarkStart w:id="20" w:name="_Toc28359005"/>
      <w:bookmarkStart w:id="21" w:name="_Toc28359082"/>
      <w:bookmarkStart w:id="22" w:name="_Toc35393793"/>
      <w:bookmarkStart w:id="23" w:name="_Toc35393624"/>
      <w:r>
        <w:rPr>
          <w:rFonts w:hint="eastAsia" w:ascii="宋体" w:hAnsi="宋体"/>
          <w:b/>
          <w:bCs/>
          <w:color w:val="auto"/>
          <w:sz w:val="24"/>
          <w:highlight w:val="none"/>
        </w:rPr>
        <w:t>四、提交投标文件</w:t>
      </w:r>
      <w:bookmarkEnd w:id="20"/>
      <w:bookmarkEnd w:id="21"/>
      <w:r>
        <w:rPr>
          <w:rFonts w:hint="eastAsia" w:ascii="宋体" w:hAnsi="宋体"/>
          <w:b/>
          <w:bCs/>
          <w:color w:val="auto"/>
          <w:sz w:val="24"/>
          <w:highlight w:val="none"/>
        </w:rPr>
        <w:t>截止时间、开标时间和地点</w:t>
      </w:r>
      <w:bookmarkEnd w:id="22"/>
      <w:bookmarkEnd w:id="23"/>
    </w:p>
    <w:p w14:paraId="2E3376EE">
      <w:pPr>
        <w:spacing w:line="380" w:lineRule="exact"/>
        <w:ind w:firstLine="420" w:firstLineChars="200"/>
        <w:rPr>
          <w:rFonts w:ascii="宋体" w:hAnsi="宋体"/>
          <w:color w:val="auto"/>
          <w:szCs w:val="21"/>
          <w:highlight w:val="none"/>
        </w:rPr>
      </w:pPr>
      <w:bookmarkStart w:id="24" w:name="_Toc28359084"/>
      <w:bookmarkStart w:id="25" w:name="_Toc35393625"/>
      <w:bookmarkStart w:id="26" w:name="_Toc35393794"/>
      <w:bookmarkStart w:id="27" w:name="_Toc28359007"/>
      <w:r>
        <w:rPr>
          <w:rFonts w:hint="eastAsia" w:ascii="宋体" w:hAnsi="宋体"/>
          <w:color w:val="auto"/>
          <w:szCs w:val="21"/>
          <w:highlight w:val="none"/>
        </w:rPr>
        <w:t>1、</w:t>
      </w:r>
      <w:r>
        <w:rPr>
          <w:rFonts w:hint="eastAsia" w:ascii="宋体" w:hAnsi="宋体" w:cs="宋体"/>
          <w:color w:val="auto"/>
          <w:szCs w:val="21"/>
          <w:highlight w:val="none"/>
        </w:rPr>
        <w:t>截止时间</w:t>
      </w:r>
      <w:r>
        <w:rPr>
          <w:rFonts w:hint="eastAsia" w:ascii="宋体" w:hAnsi="宋体"/>
          <w:color w:val="auto"/>
          <w:szCs w:val="21"/>
          <w:highlight w:val="none"/>
        </w:rPr>
        <w:t>：</w:t>
      </w:r>
      <w:r>
        <w:rPr>
          <w:rFonts w:hint="eastAsia" w:ascii="宋体" w:hAnsi="宋体"/>
          <w:color w:val="auto"/>
          <w:szCs w:val="21"/>
          <w:highlight w:val="none"/>
          <w:lang w:eastAsia="zh-CN"/>
        </w:rPr>
        <w:t>2026年</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 xml:space="preserve">月 </w:t>
      </w:r>
      <w:r>
        <w:rPr>
          <w:rFonts w:hint="eastAsia" w:ascii="宋体" w:hAnsi="宋体"/>
          <w:color w:val="auto"/>
          <w:szCs w:val="21"/>
          <w:highlight w:val="none"/>
          <w:lang w:val="en-US" w:eastAsia="zh-CN"/>
        </w:rPr>
        <w:t>10</w:t>
      </w:r>
      <w:r>
        <w:rPr>
          <w:rFonts w:hint="eastAsia" w:ascii="宋体" w:hAnsi="宋体"/>
          <w:color w:val="auto"/>
          <w:szCs w:val="21"/>
          <w:highlight w:val="none"/>
          <w:lang w:eastAsia="zh-CN"/>
        </w:rPr>
        <w:t>日</w:t>
      </w:r>
      <w:r>
        <w:rPr>
          <w:rFonts w:hint="eastAsia" w:ascii="宋体" w:hAnsi="宋体"/>
          <w:color w:val="auto"/>
          <w:szCs w:val="21"/>
          <w:highlight w:val="none"/>
        </w:rPr>
        <w:t>9时30分（北京时间）</w:t>
      </w:r>
    </w:p>
    <w:p w14:paraId="60E2F680">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2、地点：</w:t>
      </w:r>
      <w:r>
        <w:rPr>
          <w:rFonts w:hint="eastAsia" w:ascii="宋体" w:hAnsi="宋体" w:cs="宋体"/>
          <w:color w:val="auto"/>
          <w:szCs w:val="21"/>
          <w:highlight w:val="none"/>
        </w:rPr>
        <w:t>本项目将在</w:t>
      </w:r>
      <w:r>
        <w:rPr>
          <w:rFonts w:hint="eastAsia" w:ascii="宋体" w:hAnsi="宋体"/>
          <w:color w:val="auto"/>
          <w:szCs w:val="21"/>
          <w:highlight w:val="none"/>
        </w:rPr>
        <w:t>广西政府采购云平台</w:t>
      </w:r>
      <w:r>
        <w:rPr>
          <w:rFonts w:hint="eastAsia" w:ascii="宋体" w:hAnsi="宋体" w:cs="宋体"/>
          <w:color w:val="auto"/>
          <w:szCs w:val="21"/>
          <w:highlight w:val="none"/>
        </w:rPr>
        <w:t>电子开标大厅解密、开标。</w:t>
      </w:r>
    </w:p>
    <w:p w14:paraId="56B6486A">
      <w:pPr>
        <w:spacing w:line="380" w:lineRule="exact"/>
        <w:rPr>
          <w:rFonts w:ascii="宋体" w:hAnsi="宋体"/>
          <w:b/>
          <w:bCs/>
          <w:color w:val="auto"/>
          <w:sz w:val="24"/>
          <w:highlight w:val="none"/>
        </w:rPr>
      </w:pPr>
      <w:r>
        <w:rPr>
          <w:rFonts w:hint="eastAsia" w:ascii="宋体" w:hAnsi="宋体"/>
          <w:b/>
          <w:bCs/>
          <w:color w:val="auto"/>
          <w:sz w:val="24"/>
          <w:highlight w:val="none"/>
        </w:rPr>
        <w:t>五、公告期限</w:t>
      </w:r>
      <w:bookmarkEnd w:id="24"/>
      <w:bookmarkEnd w:id="25"/>
      <w:bookmarkEnd w:id="26"/>
      <w:bookmarkEnd w:id="27"/>
    </w:p>
    <w:p w14:paraId="596AFA49">
      <w:pPr>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7CB1FE90">
      <w:pPr>
        <w:spacing w:line="380" w:lineRule="exact"/>
        <w:rPr>
          <w:rFonts w:ascii="宋体" w:hAnsi="宋体"/>
          <w:b/>
          <w:bCs/>
          <w:color w:val="auto"/>
          <w:sz w:val="24"/>
          <w:highlight w:val="none"/>
        </w:rPr>
      </w:pPr>
      <w:bookmarkStart w:id="28" w:name="_Toc35393795"/>
      <w:bookmarkStart w:id="29" w:name="_Toc35393626"/>
      <w:r>
        <w:rPr>
          <w:rFonts w:hint="eastAsia" w:ascii="宋体" w:hAnsi="宋体"/>
          <w:b/>
          <w:bCs/>
          <w:color w:val="auto"/>
          <w:sz w:val="24"/>
          <w:highlight w:val="none"/>
        </w:rPr>
        <w:t>六、其他补充事宜</w:t>
      </w:r>
      <w:bookmarkEnd w:id="28"/>
      <w:bookmarkEnd w:id="29"/>
    </w:p>
    <w:p w14:paraId="0A6C0298">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宋体" w:hAnsi="宋体" w:cs="宋体"/>
          <w:color w:val="auto"/>
          <w:kern w:val="0"/>
          <w:szCs w:val="21"/>
          <w:highlight w:val="none"/>
        </w:rPr>
      </w:pPr>
      <w:bookmarkStart w:id="30" w:name="_Hlk37429674"/>
      <w:r>
        <w:rPr>
          <w:rFonts w:hint="eastAsia" w:ascii="宋体" w:hAnsi="宋体" w:cs="宋体"/>
          <w:color w:val="auto"/>
          <w:kern w:val="0"/>
          <w:szCs w:val="21"/>
          <w:highlight w:val="none"/>
        </w:rPr>
        <w:t>1、投标保证金（人民币）：</w:t>
      </w:r>
      <w:r>
        <w:rPr>
          <w:rFonts w:hint="eastAsia" w:ascii="宋体" w:hAnsi="宋体" w:cs="宋体"/>
          <w:color w:val="auto"/>
          <w:kern w:val="0"/>
          <w:szCs w:val="21"/>
          <w:highlight w:val="none"/>
          <w:lang w:val="en-US" w:eastAsia="zh-CN"/>
        </w:rPr>
        <w:t>捌万陆仟元整</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86000</w:t>
      </w:r>
      <w:r>
        <w:rPr>
          <w:rFonts w:hint="eastAsia" w:ascii="宋体" w:hAnsi="宋体" w:cs="宋体"/>
          <w:color w:val="auto"/>
          <w:kern w:val="0"/>
          <w:szCs w:val="21"/>
          <w:highlight w:val="none"/>
        </w:rPr>
        <w:t>.00）。</w:t>
      </w:r>
    </w:p>
    <w:p w14:paraId="07394ACB">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81268E0">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4FF07352">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4、网上查询地址：中国政府采购网（www.ccgp.gov.cn）、广西政府采购网（zfcg.gxzf.gov.cn）、广西公共资源交易中心网站（gxggzy.gxzf.gov.cn）。</w:t>
      </w:r>
    </w:p>
    <w:p w14:paraId="24528642">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5、本项目需要落实的政府采购政策：</w:t>
      </w:r>
    </w:p>
    <w:p w14:paraId="496A31A5">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5B984908">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44FA9880">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3C92513F">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2F259AE4">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5C248F83">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（6）扶持不发达地区和少数民族地区政策</w:t>
      </w:r>
    </w:p>
    <w:p w14:paraId="752808D0">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6、投标注意事项：</w:t>
      </w:r>
    </w:p>
    <w:p w14:paraId="1FA6FE8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投标文件提交方式：本项目为全流程电子化政府采购项目，通过广西政府采购云平台（https://www.gcy.zfcg.gxzf.gov.cn/）实行在线电子投标，供应商应先安装“广西政府采购云平台电子交易客户端”（请自行前往广西政府采购云平台进行下载），并按照本项目招标文件和广西政府采购云平台的要求编制、加密后在投标截止时间前通过网络上传至广西政府采购云平台，供应商在广西政府采购云平台提交电子版投标文件时，请填写参加远程开标活动经办人联系方式。</w:t>
      </w:r>
    </w:p>
    <w:p w14:paraId="196231A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供应商应及时熟悉掌握电子标系统操作指南（见广西政府采购云平台电子卖场首页右上角—服务中心—帮助文档—项目采购）：https://service.zcygov.cn/#/knowledges/tree?tag=AG1DtGwBFdiHxlNdhY0r；及时完成CA申领和绑定（见广西壮族自治区政府采购网—办事服务—下载专区-政采云CA证书办理操作指南）。</w:t>
      </w:r>
    </w:p>
    <w:p w14:paraId="330800E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14:paraId="769D51D9">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（4）为确保网上操作合法、有效和安全，请投标人确保在电子投标过程中能够对相关数据电文进行加密和使用电子签章，妥善保管CA数字证书并使用有效的CA数字证书参与整个采购活动。</w:t>
      </w:r>
    </w:p>
    <w:p w14:paraId="4F7A258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0F2A803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7、CA证书在线解密：供应商投标时，需携带制作投标文件时用来加密的有效数字证书（CA认证）登录广西政府采购云平台电子开标大厅现场按规定时间对加密的投标文件进行解密，否则后果自负。</w:t>
      </w:r>
    </w:p>
    <w:p w14:paraId="0FB0F64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szCs w:val="21"/>
          <w:highlight w:val="none"/>
        </w:rPr>
        <w:t>8、若对项目采购电子交易系统操作有疑问，可登录广西政府采购云平台（https://www.gcy.zfcg.gxzf.gov.cn/），点击右侧咨询小采，获取采小蜜智能服务管家帮助，或拨打广西政府采购云平台服务热线95763获取热线服务帮助。</w:t>
      </w:r>
    </w:p>
    <w:bookmarkEnd w:id="30"/>
    <w:p w14:paraId="5737A949">
      <w:pPr>
        <w:spacing w:line="400" w:lineRule="exact"/>
        <w:rPr>
          <w:rFonts w:ascii="宋体" w:hAnsi="宋体"/>
          <w:b/>
          <w:bCs/>
          <w:color w:val="auto"/>
          <w:sz w:val="24"/>
          <w:highlight w:val="none"/>
        </w:rPr>
      </w:pPr>
      <w:bookmarkStart w:id="31" w:name="_Toc28359085"/>
      <w:bookmarkStart w:id="32" w:name="_Toc28359008"/>
      <w:bookmarkStart w:id="33" w:name="_Toc35393796"/>
      <w:bookmarkStart w:id="34" w:name="_Toc35393627"/>
      <w:r>
        <w:rPr>
          <w:rFonts w:hint="eastAsia" w:ascii="宋体" w:hAnsi="宋体"/>
          <w:b/>
          <w:bCs/>
          <w:color w:val="auto"/>
          <w:sz w:val="24"/>
          <w:highlight w:val="none"/>
        </w:rPr>
        <w:t>七、对本次招标提出询问，请按</w:t>
      </w:r>
      <w:r>
        <w:rPr>
          <w:rFonts w:ascii="宋体" w:hAnsi="宋体"/>
          <w:b/>
          <w:bCs/>
          <w:color w:val="auto"/>
          <w:sz w:val="24"/>
          <w:highlight w:val="none"/>
        </w:rPr>
        <w:t>以下方式</w:t>
      </w:r>
      <w:r>
        <w:rPr>
          <w:rFonts w:hint="eastAsia" w:ascii="宋体" w:hAnsi="宋体"/>
          <w:b/>
          <w:bCs/>
          <w:color w:val="auto"/>
          <w:sz w:val="24"/>
          <w:highlight w:val="none"/>
        </w:rPr>
        <w:t>联系。</w:t>
      </w:r>
      <w:bookmarkEnd w:id="31"/>
      <w:bookmarkEnd w:id="32"/>
      <w:bookmarkEnd w:id="33"/>
      <w:bookmarkEnd w:id="34"/>
    </w:p>
    <w:p w14:paraId="3399D1E4">
      <w:pPr>
        <w:spacing w:line="400" w:lineRule="exact"/>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1.采购人信息</w:t>
      </w:r>
    </w:p>
    <w:p w14:paraId="654A5AB5">
      <w:pPr>
        <w:spacing w:line="400" w:lineRule="exact"/>
        <w:ind w:firstLine="567" w:firstLineChars="270"/>
        <w:jc w:val="left"/>
        <w:rPr>
          <w:rFonts w:ascii="宋体" w:hAnsi="宋体"/>
          <w:color w:val="auto"/>
          <w:szCs w:val="21"/>
          <w:highlight w:val="none"/>
        </w:rPr>
      </w:pPr>
      <w:r>
        <w:rPr>
          <w:rFonts w:hint="eastAsia" w:ascii="宋体" w:hAnsi="宋体"/>
          <w:color w:val="auto"/>
          <w:szCs w:val="21"/>
          <w:highlight w:val="none"/>
        </w:rPr>
        <w:t>名 称：</w:t>
      </w:r>
      <w:r>
        <w:rPr>
          <w:rFonts w:hint="eastAsia" w:ascii="宋体" w:hAnsi="宋体" w:cs="Arial"/>
          <w:color w:val="auto"/>
          <w:highlight w:val="none"/>
          <w:u w:val="single"/>
        </w:rPr>
        <w:t>广西壮族自治区收费公路联网收费清分结算中心</w:t>
      </w:r>
    </w:p>
    <w:p w14:paraId="78074964">
      <w:pPr>
        <w:spacing w:line="400" w:lineRule="exact"/>
        <w:ind w:firstLine="567" w:firstLineChars="270"/>
        <w:jc w:val="left"/>
        <w:rPr>
          <w:rFonts w:ascii="宋体" w:hAnsi="宋体"/>
          <w:color w:val="auto"/>
          <w:szCs w:val="21"/>
          <w:highlight w:val="none"/>
          <w:u w:val="single"/>
        </w:rPr>
      </w:pPr>
      <w:r>
        <w:rPr>
          <w:rFonts w:hint="eastAsia" w:ascii="宋体" w:hAnsi="宋体"/>
          <w:color w:val="auto"/>
          <w:szCs w:val="21"/>
          <w:highlight w:val="none"/>
        </w:rPr>
        <w:t>地址：</w:t>
      </w:r>
      <w:r>
        <w:rPr>
          <w:rFonts w:hint="eastAsia" w:ascii="宋体" w:hAnsi="宋体"/>
          <w:color w:val="auto"/>
          <w:szCs w:val="21"/>
          <w:highlight w:val="none"/>
          <w:u w:val="single"/>
        </w:rPr>
        <w:t>南宁市滨湖路66号公路大厦</w:t>
      </w:r>
    </w:p>
    <w:p w14:paraId="36A4A1AC">
      <w:pPr>
        <w:spacing w:line="400" w:lineRule="exact"/>
        <w:ind w:firstLine="567" w:firstLineChars="270"/>
        <w:jc w:val="left"/>
        <w:rPr>
          <w:rFonts w:ascii="宋体" w:hAnsi="宋体"/>
          <w:color w:val="auto"/>
          <w:szCs w:val="21"/>
          <w:highlight w:val="none"/>
        </w:rPr>
      </w:pPr>
      <w:bookmarkStart w:id="35" w:name="_Toc28359009"/>
      <w:bookmarkStart w:id="36" w:name="_Toc28359086"/>
      <w:r>
        <w:rPr>
          <w:rFonts w:hint="eastAsia" w:ascii="宋体" w:hAnsi="宋体"/>
          <w:color w:val="auto"/>
          <w:szCs w:val="21"/>
          <w:highlight w:val="none"/>
        </w:rPr>
        <w:t>联系人：梁宇</w:t>
      </w:r>
    </w:p>
    <w:p w14:paraId="04871C2D">
      <w:pPr>
        <w:spacing w:line="400" w:lineRule="exact"/>
        <w:ind w:firstLine="567" w:firstLineChars="270"/>
        <w:jc w:val="left"/>
        <w:rPr>
          <w:rFonts w:ascii="宋体" w:hAnsi="宋体"/>
          <w:color w:val="auto"/>
          <w:szCs w:val="21"/>
          <w:highlight w:val="none"/>
          <w:u w:val="single"/>
        </w:rPr>
      </w:pPr>
      <w:r>
        <w:rPr>
          <w:rFonts w:hint="eastAsia" w:ascii="宋体" w:hAnsi="宋体"/>
          <w:color w:val="auto"/>
          <w:szCs w:val="21"/>
          <w:highlight w:val="none"/>
        </w:rPr>
        <w:t>联系方式：0771-2115953</w:t>
      </w:r>
    </w:p>
    <w:p w14:paraId="4F8D518A">
      <w:pPr>
        <w:spacing w:line="400" w:lineRule="exact"/>
        <w:ind w:firstLine="567" w:firstLineChars="270"/>
        <w:jc w:val="left"/>
        <w:rPr>
          <w:rFonts w:ascii="宋体" w:hAnsi="宋体"/>
          <w:color w:val="auto"/>
          <w:szCs w:val="21"/>
          <w:highlight w:val="none"/>
        </w:rPr>
      </w:pPr>
      <w:r>
        <w:rPr>
          <w:rFonts w:hint="eastAsia" w:ascii="宋体" w:hAnsi="宋体" w:cs="宋体"/>
          <w:color w:val="auto"/>
          <w:szCs w:val="21"/>
          <w:highlight w:val="none"/>
        </w:rPr>
        <w:t>2.采购代理机构信息</w:t>
      </w:r>
      <w:bookmarkEnd w:id="35"/>
      <w:bookmarkEnd w:id="36"/>
    </w:p>
    <w:p w14:paraId="7B046703">
      <w:pPr>
        <w:spacing w:line="400" w:lineRule="exact"/>
        <w:ind w:firstLine="567" w:firstLineChars="270"/>
        <w:rPr>
          <w:rFonts w:ascii="宋体" w:hAnsi="宋体"/>
          <w:color w:val="auto"/>
          <w:szCs w:val="21"/>
          <w:highlight w:val="none"/>
        </w:rPr>
      </w:pPr>
      <w:r>
        <w:rPr>
          <w:rFonts w:hint="eastAsia" w:ascii="宋体" w:hAnsi="宋体"/>
          <w:color w:val="auto"/>
          <w:szCs w:val="21"/>
          <w:highlight w:val="none"/>
        </w:rPr>
        <w:t>名 称：</w:t>
      </w:r>
      <w:r>
        <w:rPr>
          <w:rFonts w:hint="eastAsia" w:ascii="宋体" w:hAnsi="宋体" w:cs="Arial"/>
          <w:color w:val="auto"/>
          <w:szCs w:val="21"/>
          <w:highlight w:val="none"/>
        </w:rPr>
        <w:t>广西科文招标有限公司</w:t>
      </w:r>
    </w:p>
    <w:p w14:paraId="2E9CC064">
      <w:pPr>
        <w:spacing w:line="400" w:lineRule="exact"/>
        <w:ind w:firstLine="567" w:firstLineChars="270"/>
        <w:rPr>
          <w:rFonts w:ascii="宋体" w:hAnsi="宋体" w:cs="Arial"/>
          <w:color w:val="auto"/>
          <w:szCs w:val="21"/>
          <w:highlight w:val="none"/>
        </w:rPr>
      </w:pPr>
      <w:r>
        <w:rPr>
          <w:rFonts w:hint="eastAsia" w:ascii="宋体" w:hAnsi="宋体"/>
          <w:color w:val="auto"/>
          <w:szCs w:val="21"/>
          <w:highlight w:val="none"/>
        </w:rPr>
        <w:t>地　址：</w:t>
      </w:r>
      <w:r>
        <w:rPr>
          <w:rFonts w:hint="eastAsia" w:ascii="宋体" w:hAnsi="宋体" w:cs="Arial"/>
          <w:color w:val="auto"/>
          <w:szCs w:val="21"/>
          <w:highlight w:val="none"/>
        </w:rPr>
        <w:t>广西南宁市民族大道141号中鼎万象东方D区</w:t>
      </w:r>
      <w:r>
        <w:rPr>
          <w:rFonts w:hint="eastAsia" w:ascii="宋体" w:hAnsi="宋体" w:cs="Arial"/>
          <w:color w:val="auto"/>
          <w:highlight w:val="none"/>
        </w:rPr>
        <w:t>五</w:t>
      </w:r>
      <w:r>
        <w:rPr>
          <w:rFonts w:hint="eastAsia" w:ascii="宋体" w:hAnsi="宋体" w:cs="Arial"/>
          <w:color w:val="auto"/>
          <w:szCs w:val="21"/>
          <w:highlight w:val="none"/>
        </w:rPr>
        <w:t>层</w:t>
      </w:r>
    </w:p>
    <w:p w14:paraId="1978F50A">
      <w:pPr>
        <w:spacing w:line="400" w:lineRule="exact"/>
        <w:ind w:firstLine="567" w:firstLineChars="270"/>
        <w:rPr>
          <w:rFonts w:ascii="宋体" w:hAnsi="宋体"/>
          <w:color w:val="auto"/>
          <w:szCs w:val="21"/>
          <w:highlight w:val="none"/>
        </w:rPr>
      </w:pPr>
      <w:r>
        <w:rPr>
          <w:rFonts w:hint="eastAsia" w:ascii="宋体" w:hAnsi="宋体"/>
          <w:color w:val="auto"/>
          <w:szCs w:val="21"/>
          <w:highlight w:val="none"/>
        </w:rPr>
        <w:t>联系方式：</w:t>
      </w:r>
      <w:bookmarkStart w:id="37" w:name="_Toc28359087"/>
      <w:bookmarkStart w:id="38" w:name="_Toc28359010"/>
      <w:r>
        <w:rPr>
          <w:rFonts w:hint="eastAsia" w:ascii="宋体" w:hAnsi="宋体"/>
          <w:color w:val="auto"/>
          <w:szCs w:val="21"/>
          <w:highlight w:val="none"/>
          <w:u w:val="single"/>
        </w:rPr>
        <w:t>0771-2023805</w:t>
      </w:r>
    </w:p>
    <w:p w14:paraId="3A621CFA">
      <w:pPr>
        <w:spacing w:line="400" w:lineRule="exact"/>
        <w:ind w:firstLine="567" w:firstLineChars="270"/>
        <w:rPr>
          <w:rFonts w:ascii="宋体" w:hAnsi="宋体"/>
          <w:color w:val="auto"/>
          <w:szCs w:val="21"/>
          <w:highlight w:val="none"/>
          <w:u w:val="single"/>
        </w:rPr>
      </w:pPr>
      <w:r>
        <w:rPr>
          <w:rFonts w:hint="eastAsia" w:ascii="宋体" w:hAnsi="宋体" w:cs="宋体"/>
          <w:color w:val="auto"/>
          <w:szCs w:val="21"/>
          <w:highlight w:val="none"/>
        </w:rPr>
        <w:t>3.项目</w:t>
      </w:r>
      <w:r>
        <w:rPr>
          <w:rFonts w:ascii="宋体" w:hAnsi="宋体" w:cs="宋体"/>
          <w:color w:val="auto"/>
          <w:szCs w:val="21"/>
          <w:highlight w:val="none"/>
        </w:rPr>
        <w:t>联系方式</w:t>
      </w:r>
      <w:bookmarkEnd w:id="37"/>
      <w:bookmarkEnd w:id="38"/>
    </w:p>
    <w:p w14:paraId="1EE06D25">
      <w:pPr>
        <w:pStyle w:val="25"/>
        <w:spacing w:line="400" w:lineRule="exact"/>
        <w:ind w:firstLine="567" w:firstLineChars="270"/>
        <w:rPr>
          <w:rFonts w:hint="eastAsia" w:hAnsi="宋体" w:eastAsia="宋体"/>
          <w:color w:val="auto"/>
          <w:sz w:val="21"/>
          <w:highlight w:val="none"/>
          <w:lang w:eastAsia="zh-CN"/>
        </w:rPr>
      </w:pPr>
      <w:r>
        <w:rPr>
          <w:rFonts w:hint="eastAsia" w:hAnsi="宋体"/>
          <w:color w:val="auto"/>
          <w:sz w:val="21"/>
          <w:highlight w:val="none"/>
        </w:rPr>
        <w:t>项目联系人：</w:t>
      </w:r>
      <w:r>
        <w:rPr>
          <w:rFonts w:hint="eastAsia" w:hAnsi="宋体"/>
          <w:color w:val="auto"/>
          <w:sz w:val="21"/>
          <w:highlight w:val="none"/>
          <w:u w:val="single"/>
        </w:rPr>
        <w:t>雷</w:t>
      </w:r>
      <w:r>
        <w:rPr>
          <w:rFonts w:hint="eastAsia" w:hAnsi="宋体"/>
          <w:color w:val="auto"/>
          <w:sz w:val="21"/>
          <w:highlight w:val="none"/>
          <w:u w:val="single"/>
          <w:lang w:val="en-US" w:eastAsia="zh-CN"/>
        </w:rPr>
        <w:t>工</w:t>
      </w:r>
    </w:p>
    <w:p w14:paraId="0D08015B">
      <w:pPr>
        <w:spacing w:line="400" w:lineRule="exact"/>
        <w:ind w:firstLine="567" w:firstLineChars="270"/>
        <w:rPr>
          <w:rFonts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olor w:val="auto"/>
          <w:szCs w:val="21"/>
          <w:highlight w:val="none"/>
          <w:u w:val="single"/>
        </w:rPr>
        <w:t>0771-</w:t>
      </w:r>
      <w:r>
        <w:rPr>
          <w:rFonts w:ascii="宋体" w:hAnsi="宋体"/>
          <w:color w:val="auto"/>
          <w:szCs w:val="21"/>
          <w:highlight w:val="none"/>
          <w:u w:val="single"/>
        </w:rPr>
        <w:t>2023805</w:t>
      </w:r>
    </w:p>
    <w:p w14:paraId="3BD398CD">
      <w:pPr>
        <w:spacing w:line="400" w:lineRule="exact"/>
        <w:jc w:val="right"/>
        <w:rPr>
          <w:rFonts w:ascii="宋体" w:hAnsi="宋体"/>
          <w:color w:val="auto"/>
          <w:szCs w:val="21"/>
          <w:highlight w:val="none"/>
        </w:rPr>
      </w:pPr>
      <w:r>
        <w:rPr>
          <w:rFonts w:hint="eastAsia" w:ascii="宋体" w:hAnsi="宋体" w:cs="Arial"/>
          <w:color w:val="auto"/>
          <w:szCs w:val="21"/>
          <w:highlight w:val="none"/>
        </w:rPr>
        <w:t>广西科文招标有限公司</w:t>
      </w:r>
    </w:p>
    <w:p w14:paraId="6E347940">
      <w:pPr>
        <w:snapToGrid w:val="0"/>
        <w:spacing w:line="400" w:lineRule="exact"/>
        <w:ind w:left="238"/>
        <w:jc w:val="right"/>
        <w:rPr>
          <w:rFonts w:ascii="宋体" w:hAnsi="宋体" w:cs="Arial"/>
          <w:color w:val="auto"/>
          <w:highlight w:val="none"/>
        </w:rPr>
      </w:pPr>
      <w:r>
        <w:rPr>
          <w:rFonts w:hint="eastAsia" w:ascii="宋体" w:hAnsi="宋体"/>
          <w:color w:val="auto"/>
          <w:highlight w:val="none"/>
        </w:rPr>
        <w:t xml:space="preserve">   202</w:t>
      </w:r>
      <w:r>
        <w:rPr>
          <w:rFonts w:hint="eastAsia" w:ascii="宋体" w:hAnsi="宋体"/>
          <w:color w:val="auto"/>
          <w:highlight w:val="none"/>
          <w:lang w:val="en-US" w:eastAsia="zh-CN"/>
        </w:rPr>
        <w:t>6</w:t>
      </w:r>
      <w:r>
        <w:rPr>
          <w:rFonts w:hint="eastAsia" w:ascii="宋体" w:hAnsi="宋体"/>
          <w:color w:val="auto"/>
          <w:highlight w:val="none"/>
        </w:rPr>
        <w:t>年</w:t>
      </w:r>
      <w:r>
        <w:rPr>
          <w:rFonts w:hint="eastAsia" w:ascii="宋体" w:hAnsi="宋体"/>
          <w:color w:val="auto"/>
          <w:highlight w:val="none"/>
          <w:lang w:val="en-US" w:eastAsia="zh-CN"/>
        </w:rPr>
        <w:t>5</w:t>
      </w:r>
      <w:r>
        <w:rPr>
          <w:rFonts w:hint="eastAsia" w:ascii="宋体" w:hAnsi="宋体"/>
          <w:color w:val="auto"/>
          <w:highlight w:val="none"/>
        </w:rPr>
        <w:t>月</w:t>
      </w:r>
      <w:r>
        <w:rPr>
          <w:rFonts w:hint="eastAsia" w:ascii="宋体" w:hAnsi="宋体"/>
          <w:color w:val="auto"/>
          <w:highlight w:val="none"/>
          <w:lang w:val="en-US" w:eastAsia="zh-CN"/>
        </w:rPr>
        <w:t>19</w:t>
      </w:r>
      <w:r>
        <w:rPr>
          <w:rFonts w:hint="eastAsia" w:ascii="宋体" w:hAnsi="宋体"/>
          <w:color w:val="auto"/>
          <w:highlight w:val="none"/>
        </w:rPr>
        <w:t>日</w:t>
      </w:r>
      <w:bookmarkEnd w:id="5"/>
    </w:p>
    <w:p w14:paraId="7BEF9C90">
      <w:pPr>
        <w:snapToGrid w:val="0"/>
        <w:rPr>
          <w:rFonts w:ascii="宋体" w:hAnsi="宋体"/>
          <w:color w:val="auto"/>
          <w:sz w:val="10"/>
          <w:szCs w:val="10"/>
          <w:highlight w:val="none"/>
        </w:rPr>
      </w:pPr>
      <w:r>
        <w:rPr>
          <w:rFonts w:ascii="宋体" w:hAnsi="宋体"/>
          <w:color w:val="auto"/>
          <w:sz w:val="24"/>
          <w:szCs w:val="20"/>
          <w:highlight w:val="none"/>
        </w:rPr>
        <w:br w:type="page"/>
      </w:r>
    </w:p>
    <w:p w14:paraId="75D1BD41">
      <w:pPr>
        <w:pStyle w:val="2"/>
        <w:spacing w:before="0" w:after="0"/>
        <w:jc w:val="center"/>
        <w:rPr>
          <w:rFonts w:ascii="宋体" w:hAnsi="宋体" w:eastAsia="宋体"/>
          <w:color w:val="auto"/>
          <w:highlight w:val="none"/>
        </w:rPr>
      </w:pPr>
      <w:bookmarkStart w:id="39" w:name="_Toc21822"/>
      <w:r>
        <w:rPr>
          <w:rFonts w:hint="eastAsia" w:ascii="宋体" w:hAnsi="宋体" w:eastAsia="宋体"/>
          <w:color w:val="auto"/>
          <w:highlight w:val="none"/>
        </w:rPr>
        <w:t>第二章  采购需求</w:t>
      </w:r>
      <w:bookmarkEnd w:id="39"/>
    </w:p>
    <w:p w14:paraId="56027323">
      <w:pPr>
        <w:spacing w:line="360" w:lineRule="auto"/>
        <w:rPr>
          <w:rFonts w:ascii="宋体" w:hAnsi="宋体" w:cs="宋体"/>
          <w:b/>
          <w:color w:val="auto"/>
          <w:szCs w:val="21"/>
          <w:highlight w:val="none"/>
        </w:rPr>
      </w:pPr>
      <w:bookmarkStart w:id="40" w:name="_Toc254970490"/>
      <w:bookmarkStart w:id="41" w:name="_Toc254970631"/>
      <w:r>
        <w:rPr>
          <w:rFonts w:hint="eastAsia" w:ascii="宋体" w:hAnsi="宋体" w:cs="宋体"/>
          <w:b/>
          <w:color w:val="auto"/>
          <w:szCs w:val="21"/>
          <w:highlight w:val="none"/>
        </w:rPr>
        <w:t>说明：</w:t>
      </w:r>
    </w:p>
    <w:p w14:paraId="408F38D6">
      <w:pPr>
        <w:spacing w:line="360" w:lineRule="exact"/>
        <w:ind w:left="-10" w:leftChars="-5" w:right="2" w:rightChars="1" w:firstLine="422" w:firstLineChars="200"/>
        <w:rPr>
          <w:rFonts w:ascii="宋体" w:hAnsi="宋体"/>
          <w:b/>
          <w:bCs/>
          <w:color w:val="auto"/>
          <w:highlight w:val="none"/>
        </w:rPr>
      </w:pPr>
      <w:r>
        <w:rPr>
          <w:rFonts w:hint="eastAsia" w:ascii="宋体" w:hAnsi="宋体"/>
          <w:b/>
          <w:bCs/>
          <w:color w:val="auto"/>
          <w:highlight w:val="none"/>
        </w:rPr>
        <w:t>1、采购需求中如出现品牌、型号或者生产厂家等均仅起参考作用，不属于指定品牌、型号或者生产厂家的情形，投标人可参照或者选用其他相当的品牌、型号或者生产供应商替代。但投标人的产品实质上应相当于或优于本需求</w:t>
      </w:r>
      <w:r>
        <w:rPr>
          <w:rFonts w:ascii="宋体" w:hAnsi="宋体"/>
          <w:b/>
          <w:bCs/>
          <w:color w:val="auto"/>
          <w:highlight w:val="none"/>
        </w:rPr>
        <w:t>中</w:t>
      </w:r>
      <w:r>
        <w:rPr>
          <w:rFonts w:hint="eastAsia" w:ascii="宋体" w:hAnsi="宋体"/>
          <w:b/>
          <w:bCs/>
          <w:color w:val="auto"/>
          <w:highlight w:val="none"/>
        </w:rPr>
        <w:t>的技术要求。</w:t>
      </w:r>
    </w:p>
    <w:p w14:paraId="51D072F7">
      <w:pPr>
        <w:spacing w:line="360" w:lineRule="exact"/>
        <w:ind w:left="-10" w:leftChars="-5" w:right="2" w:rightChars="1" w:firstLine="422" w:firstLineChars="200"/>
        <w:rPr>
          <w:rFonts w:ascii="宋体" w:hAnsi="宋体"/>
          <w:b/>
          <w:bCs/>
          <w:color w:val="auto"/>
          <w:highlight w:val="none"/>
        </w:rPr>
      </w:pPr>
      <w:r>
        <w:rPr>
          <w:rFonts w:hint="eastAsia" w:ascii="宋体" w:hAnsi="宋体"/>
          <w:b/>
          <w:bCs/>
          <w:color w:val="auto"/>
          <w:highlight w:val="none"/>
        </w:rPr>
        <w:t>2、</w:t>
      </w:r>
      <w:r>
        <w:rPr>
          <w:rFonts w:ascii="宋体" w:hAnsi="宋体"/>
          <w:b/>
          <w:bCs/>
          <w:color w:val="auto"/>
          <w:highlight w:val="none"/>
        </w:rPr>
        <w:t>根据《财政部发展改革委生态环境部市场监管总局关于调整优化节能产品、环境标志产品政府采购执行机制的通知》（财库〔2019〕9 号）和《关于印发节能产品政府采购品目清单的通知》（财库〔2019〕19 号）的规定，采购需求</w:t>
      </w:r>
      <w:r>
        <w:rPr>
          <w:rFonts w:hint="eastAsia" w:ascii="宋体" w:hAnsi="宋体"/>
          <w:b/>
          <w:bCs/>
          <w:color w:val="auto"/>
          <w:highlight w:val="none"/>
        </w:rPr>
        <w:t>中如有货物产品，且货物</w:t>
      </w:r>
      <w:r>
        <w:rPr>
          <w:rFonts w:ascii="宋体" w:hAnsi="宋体"/>
          <w:b/>
          <w:bCs/>
          <w:color w:val="auto"/>
          <w:highlight w:val="none"/>
        </w:rPr>
        <w:t>产品属于节能产品政府采购品目清单内标注“★”的（详见本章后附的节能产品政府采购品目清单），投标人的投标货物必须使用政府强制采购的节能产品，否则投标文件作无效处理。</w:t>
      </w:r>
    </w:p>
    <w:p w14:paraId="61CA1DF6">
      <w:pPr>
        <w:spacing w:line="360" w:lineRule="exact"/>
        <w:ind w:left="-10" w:leftChars="-5" w:right="2" w:rightChars="1" w:firstLine="422" w:firstLineChars="200"/>
        <w:rPr>
          <w:rFonts w:ascii="宋体" w:hAnsi="宋体"/>
          <w:b/>
          <w:bCs/>
          <w:color w:val="auto"/>
          <w:highlight w:val="none"/>
        </w:rPr>
      </w:pPr>
      <w:r>
        <w:rPr>
          <w:rFonts w:hint="eastAsia" w:ascii="宋体" w:hAnsi="宋体"/>
          <w:b/>
          <w:bCs/>
          <w:color w:val="auto"/>
          <w:highlight w:val="none"/>
        </w:rPr>
        <w:t>3、如投标人投标产品存在侵犯他人的知识产权或者专利成果行为的，由投标人自行承担相应法律责任。</w:t>
      </w:r>
    </w:p>
    <w:p w14:paraId="34E6DD87">
      <w:pPr>
        <w:spacing w:line="360" w:lineRule="exact"/>
        <w:ind w:left="-10" w:leftChars="-5" w:right="2" w:rightChars="1" w:firstLine="422" w:firstLineChars="200"/>
        <w:rPr>
          <w:rFonts w:ascii="宋体" w:hAnsi="宋体"/>
          <w:b/>
          <w:bCs/>
          <w:color w:val="auto"/>
          <w:highlight w:val="none"/>
        </w:rPr>
      </w:pPr>
      <w:r>
        <w:rPr>
          <w:rFonts w:hint="eastAsia" w:ascii="宋体" w:hAnsi="宋体"/>
          <w:b/>
          <w:bCs/>
          <w:color w:val="auto"/>
          <w:highlight w:val="none"/>
        </w:rPr>
        <w:t>4、“实质性要求”是指招标文件中已经指明不满足则投标无效的条款，或者不能负偏离的条款，或者采购需求中带“▲”的条款。</w:t>
      </w:r>
    </w:p>
    <w:p w14:paraId="6DE938E2">
      <w:pPr>
        <w:spacing w:line="360" w:lineRule="exact"/>
        <w:ind w:left="-10" w:leftChars="-5" w:right="2" w:rightChars="1" w:firstLine="422" w:firstLineChars="200"/>
        <w:rPr>
          <w:rFonts w:hint="eastAsia" w:ascii="宋体" w:hAnsi="宋体"/>
          <w:b/>
          <w:bCs/>
          <w:color w:val="auto"/>
          <w:highlight w:val="none"/>
        </w:rPr>
      </w:pPr>
      <w:bookmarkStart w:id="42" w:name="_Hlk65055179"/>
      <w:r>
        <w:rPr>
          <w:rFonts w:hint="eastAsia" w:ascii="宋体" w:hAnsi="宋体"/>
          <w:b/>
          <w:bCs/>
          <w:color w:val="auto"/>
          <w:highlight w:val="none"/>
        </w:rPr>
        <w:t>5、投标人应根据自身实际情况如实响应招标文件，不得仅将招标文件内容简单复制粘贴作为投标响应，</w:t>
      </w:r>
      <w:r>
        <w:rPr>
          <w:rFonts w:ascii="宋体" w:hAnsi="宋体"/>
          <w:b/>
          <w:bCs/>
          <w:color w:val="auto"/>
          <w:highlight w:val="none"/>
        </w:rPr>
        <w:t>否则投标文件作无效处理</w:t>
      </w:r>
      <w:r>
        <w:rPr>
          <w:rFonts w:hint="eastAsia" w:ascii="宋体" w:hAnsi="宋体"/>
          <w:b/>
          <w:bCs/>
          <w:color w:val="auto"/>
          <w:highlight w:val="none"/>
        </w:rPr>
        <w:t>（定制采购不适用本条款）。</w:t>
      </w:r>
      <w:bookmarkEnd w:id="40"/>
      <w:bookmarkEnd w:id="41"/>
      <w:bookmarkEnd w:id="42"/>
    </w:p>
    <w:p w14:paraId="31ADC245">
      <w:pPr>
        <w:spacing w:line="360" w:lineRule="exact"/>
        <w:ind w:left="-10" w:leftChars="-5" w:right="2" w:rightChars="1" w:firstLine="422" w:firstLineChars="200"/>
        <w:rPr>
          <w:rFonts w:hint="eastAsia" w:ascii="宋体" w:hAnsi="宋体"/>
          <w:b/>
          <w:bCs/>
          <w:color w:val="auto"/>
          <w:highlight w:val="none"/>
        </w:rPr>
      </w:pPr>
      <w:r>
        <w:rPr>
          <w:rFonts w:hint="eastAsia" w:ascii="宋体" w:hAnsi="宋体"/>
          <w:b/>
          <w:bCs/>
          <w:color w:val="auto"/>
          <w:highlight w:val="none"/>
        </w:rPr>
        <w:t>采购预算：</w:t>
      </w:r>
      <w:r>
        <w:rPr>
          <w:rFonts w:hint="eastAsia" w:ascii="宋体" w:hAnsi="宋体"/>
          <w:b/>
          <w:bCs/>
          <w:color w:val="auto"/>
          <w:highlight w:val="none"/>
          <w:lang w:eastAsia="zh-CN"/>
        </w:rPr>
        <w:t>853.18</w:t>
      </w:r>
      <w:r>
        <w:rPr>
          <w:rFonts w:hint="eastAsia" w:ascii="宋体" w:hAnsi="宋体"/>
          <w:b/>
          <w:bCs/>
          <w:color w:val="auto"/>
          <w:highlight w:val="none"/>
        </w:rPr>
        <w:t>万元</w:t>
      </w:r>
    </w:p>
    <w:tbl>
      <w:tblPr>
        <w:tblStyle w:val="4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84"/>
        <w:gridCol w:w="1023"/>
        <w:gridCol w:w="252"/>
        <w:gridCol w:w="944"/>
        <w:gridCol w:w="1081"/>
        <w:gridCol w:w="4638"/>
      </w:tblGrid>
      <w:tr w14:paraId="1EAD0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343" w:type="pct"/>
            <w:noWrap w:val="0"/>
            <w:vAlign w:val="center"/>
          </w:tcPr>
          <w:p w14:paraId="58902D91">
            <w:pPr>
              <w:spacing w:after="0" w:line="36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748" w:type="pct"/>
            <w:gridSpan w:val="2"/>
            <w:noWrap w:val="0"/>
            <w:vAlign w:val="center"/>
          </w:tcPr>
          <w:p w14:paraId="35A89845">
            <w:pPr>
              <w:spacing w:after="0" w:line="360" w:lineRule="exact"/>
              <w:jc w:val="center"/>
              <w:rPr>
                <w:rFonts w:hint="eastAsia" w:ascii="宋体" w:hAnsi="宋体"/>
                <w:color w:val="auto"/>
                <w:szCs w:val="21"/>
                <w:highlight w:val="none"/>
              </w:rPr>
            </w:pPr>
            <w:r>
              <w:rPr>
                <w:rFonts w:hint="eastAsia" w:ascii="宋体" w:hAnsi="宋体"/>
                <w:color w:val="auto"/>
                <w:szCs w:val="21"/>
                <w:highlight w:val="none"/>
              </w:rPr>
              <w:t>标的名称</w:t>
            </w:r>
          </w:p>
        </w:tc>
        <w:tc>
          <w:tcPr>
            <w:tcW w:w="554" w:type="pct"/>
            <w:noWrap w:val="0"/>
            <w:vAlign w:val="center"/>
          </w:tcPr>
          <w:p w14:paraId="46C39929">
            <w:pPr>
              <w:spacing w:after="0" w:line="360" w:lineRule="exact"/>
              <w:jc w:val="center"/>
              <w:rPr>
                <w:rFonts w:hint="eastAsia" w:ascii="宋体" w:hAnsi="宋体"/>
                <w:color w:val="auto"/>
                <w:szCs w:val="21"/>
                <w:highlight w:val="none"/>
              </w:rPr>
            </w:pPr>
            <w:r>
              <w:rPr>
                <w:rFonts w:hint="eastAsia" w:ascii="宋体" w:hAnsi="宋体"/>
                <w:color w:val="auto"/>
                <w:szCs w:val="21"/>
                <w:highlight w:val="none"/>
              </w:rPr>
              <w:t>数量及单位</w:t>
            </w:r>
          </w:p>
        </w:tc>
        <w:tc>
          <w:tcPr>
            <w:tcW w:w="634" w:type="pct"/>
            <w:noWrap w:val="0"/>
            <w:vAlign w:val="center"/>
          </w:tcPr>
          <w:p w14:paraId="5E958FE4">
            <w:pPr>
              <w:spacing w:after="0" w:line="360" w:lineRule="exact"/>
              <w:jc w:val="center"/>
              <w:rPr>
                <w:rFonts w:hint="eastAsia" w:ascii="宋体" w:hAnsi="宋体"/>
                <w:color w:val="auto"/>
                <w:szCs w:val="21"/>
                <w:highlight w:val="none"/>
              </w:rPr>
            </w:pPr>
            <w:r>
              <w:rPr>
                <w:rFonts w:hint="eastAsia" w:ascii="宋体" w:hAnsi="宋体"/>
                <w:color w:val="auto"/>
                <w:szCs w:val="21"/>
                <w:highlight w:val="none"/>
              </w:rPr>
              <w:t>所属行业</w:t>
            </w:r>
          </w:p>
        </w:tc>
        <w:tc>
          <w:tcPr>
            <w:tcW w:w="2721" w:type="pct"/>
            <w:noWrap w:val="0"/>
            <w:vAlign w:val="center"/>
          </w:tcPr>
          <w:p w14:paraId="101B7DD5">
            <w:pPr>
              <w:spacing w:after="0" w:line="360" w:lineRule="exact"/>
              <w:jc w:val="center"/>
              <w:rPr>
                <w:rFonts w:ascii="宋体" w:hAnsi="宋体"/>
                <w:color w:val="auto"/>
                <w:szCs w:val="21"/>
                <w:highlight w:val="none"/>
              </w:rPr>
            </w:pPr>
            <w:r>
              <w:rPr>
                <w:rFonts w:hint="eastAsia" w:ascii="宋体" w:hAnsi="宋体"/>
                <w:color w:val="auto"/>
                <w:szCs w:val="21"/>
                <w:highlight w:val="none"/>
              </w:rPr>
              <w:t>技术要求及需求</w:t>
            </w:r>
          </w:p>
        </w:tc>
      </w:tr>
      <w:tr w14:paraId="4F232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343" w:type="pct"/>
            <w:noWrap w:val="0"/>
            <w:vAlign w:val="center"/>
          </w:tcPr>
          <w:p w14:paraId="01926A86">
            <w:pPr>
              <w:spacing w:after="0" w:line="36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748" w:type="pct"/>
            <w:gridSpan w:val="2"/>
            <w:noWrap w:val="0"/>
            <w:vAlign w:val="center"/>
          </w:tcPr>
          <w:p w14:paraId="44199221">
            <w:pPr>
              <w:widowControl/>
              <w:spacing w:after="0" w:line="360" w:lineRule="exact"/>
              <w:jc w:val="center"/>
              <w:rPr>
                <w:rFonts w:hint="eastAsia" w:ascii="宋体" w:hAnsi="宋体" w:cs="宋体"/>
                <w:color w:val="auto"/>
                <w:kern w:val="0"/>
                <w:szCs w:val="21"/>
                <w:highlight w:val="none"/>
              </w:rPr>
            </w:pPr>
            <w:r>
              <w:rPr>
                <w:rFonts w:hint="eastAsia" w:ascii="宋体" w:hAnsi="宋体"/>
                <w:color w:val="auto"/>
                <w:szCs w:val="21"/>
                <w:highlight w:val="none"/>
              </w:rPr>
              <w:t>联网收费系统运维服务</w:t>
            </w:r>
          </w:p>
        </w:tc>
        <w:tc>
          <w:tcPr>
            <w:tcW w:w="554" w:type="pct"/>
            <w:noWrap w:val="0"/>
            <w:vAlign w:val="center"/>
          </w:tcPr>
          <w:p w14:paraId="51809A44">
            <w:pPr>
              <w:spacing w:after="0" w:line="360" w:lineRule="exact"/>
              <w:jc w:val="center"/>
              <w:rPr>
                <w:rFonts w:hint="eastAsia" w:ascii="宋体" w:hAnsi="宋体"/>
                <w:color w:val="auto"/>
                <w:szCs w:val="21"/>
                <w:highlight w:val="none"/>
              </w:rPr>
            </w:pPr>
            <w:r>
              <w:rPr>
                <w:rFonts w:hint="eastAsia" w:ascii="宋体" w:hAnsi="宋体"/>
                <w:color w:val="auto"/>
                <w:szCs w:val="21"/>
                <w:highlight w:val="none"/>
              </w:rPr>
              <w:t>1项</w:t>
            </w:r>
          </w:p>
        </w:tc>
        <w:tc>
          <w:tcPr>
            <w:tcW w:w="634" w:type="pct"/>
            <w:noWrap w:val="0"/>
            <w:vAlign w:val="center"/>
          </w:tcPr>
          <w:p w14:paraId="506E7885">
            <w:pPr>
              <w:spacing w:after="0" w:line="360" w:lineRule="exact"/>
              <w:jc w:val="center"/>
              <w:rPr>
                <w:rFonts w:hint="eastAsia" w:ascii="宋体" w:hAnsi="宋体"/>
                <w:color w:val="auto"/>
                <w:szCs w:val="21"/>
                <w:highlight w:val="none"/>
              </w:rPr>
            </w:pPr>
            <w:r>
              <w:rPr>
                <w:rFonts w:hint="eastAsia" w:ascii="宋体" w:hAnsi="宋体" w:cs="宋体"/>
                <w:color w:val="auto"/>
                <w:szCs w:val="21"/>
                <w:highlight w:val="none"/>
              </w:rPr>
              <w:t>软件和信息技术服务业</w:t>
            </w:r>
          </w:p>
        </w:tc>
        <w:tc>
          <w:tcPr>
            <w:tcW w:w="2721" w:type="pct"/>
            <w:noWrap w:val="0"/>
            <w:vAlign w:val="center"/>
          </w:tcPr>
          <w:p w14:paraId="4A436C36">
            <w:pPr>
              <w:spacing w:after="0" w:line="36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具体技术要求及需求见本章附件1“202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年联网收费系统运维服务详细要求”。</w:t>
            </w:r>
          </w:p>
        </w:tc>
      </w:tr>
      <w:tr w14:paraId="753629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top"/>
          </w:tcPr>
          <w:p w14:paraId="66C3091E">
            <w:pPr>
              <w:spacing w:after="0" w:line="360" w:lineRule="exact"/>
              <w:rPr>
                <w:rFonts w:hint="eastAsia" w:ascii="宋体" w:hAnsi="宋体"/>
                <w:b/>
                <w:color w:val="auto"/>
                <w:szCs w:val="21"/>
                <w:highlight w:val="none"/>
              </w:rPr>
            </w:pPr>
            <w:r>
              <w:rPr>
                <w:rFonts w:hint="eastAsia" w:ascii="宋体" w:hAnsi="宋体"/>
                <w:b/>
                <w:color w:val="auto"/>
                <w:szCs w:val="21"/>
                <w:highlight w:val="none"/>
              </w:rPr>
              <w:t>▲一、商务要求</w:t>
            </w:r>
          </w:p>
        </w:tc>
      </w:tr>
      <w:tr w14:paraId="3FF84D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43" w:type="pct"/>
            <w:gridSpan w:val="2"/>
            <w:tcBorders>
              <w:top w:val="single" w:color="auto" w:sz="4" w:space="0"/>
              <w:left w:val="single" w:color="auto" w:sz="4" w:space="0"/>
              <w:bottom w:val="single" w:color="auto" w:sz="4" w:space="0"/>
              <w:right w:val="single" w:color="auto" w:sz="4" w:space="0"/>
            </w:tcBorders>
            <w:noWrap w:val="0"/>
            <w:vAlign w:val="center"/>
          </w:tcPr>
          <w:p w14:paraId="43486F55">
            <w:pPr>
              <w:spacing w:after="0" w:line="380" w:lineRule="exact"/>
              <w:rPr>
                <w:rFonts w:ascii="宋体" w:hAnsi="宋体"/>
                <w:color w:val="auto"/>
                <w:szCs w:val="21"/>
                <w:highlight w:val="none"/>
              </w:rPr>
            </w:pPr>
            <w:r>
              <w:rPr>
                <w:rFonts w:hint="eastAsia" w:ascii="宋体" w:hAnsi="宋体"/>
                <w:color w:val="auto"/>
                <w:szCs w:val="21"/>
                <w:highlight w:val="none"/>
              </w:rPr>
              <w:t>合同签订期</w:t>
            </w:r>
          </w:p>
        </w:tc>
        <w:tc>
          <w:tcPr>
            <w:tcW w:w="4057" w:type="pct"/>
            <w:gridSpan w:val="4"/>
            <w:tcBorders>
              <w:top w:val="single" w:color="auto" w:sz="4" w:space="0"/>
              <w:left w:val="single" w:color="auto" w:sz="4" w:space="0"/>
              <w:bottom w:val="single" w:color="auto" w:sz="4" w:space="0"/>
              <w:right w:val="single" w:color="auto" w:sz="4" w:space="0"/>
            </w:tcBorders>
            <w:noWrap w:val="0"/>
            <w:vAlign w:val="center"/>
          </w:tcPr>
          <w:p w14:paraId="7441A7FA">
            <w:pPr>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自中标通知书发出之日起25个自然日内。</w:t>
            </w:r>
          </w:p>
        </w:tc>
      </w:tr>
      <w:tr w14:paraId="6FB33D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43" w:type="pct"/>
            <w:gridSpan w:val="2"/>
            <w:tcBorders>
              <w:top w:val="single" w:color="auto" w:sz="4" w:space="0"/>
              <w:left w:val="single" w:color="auto" w:sz="4" w:space="0"/>
              <w:bottom w:val="single" w:color="auto" w:sz="4" w:space="0"/>
              <w:right w:val="single" w:color="auto" w:sz="4" w:space="0"/>
            </w:tcBorders>
            <w:noWrap w:val="0"/>
            <w:vAlign w:val="center"/>
          </w:tcPr>
          <w:p w14:paraId="17A1F99D">
            <w:pPr>
              <w:spacing w:after="0" w:line="380" w:lineRule="exact"/>
              <w:rPr>
                <w:rFonts w:ascii="宋体" w:hAnsi="宋体"/>
                <w:color w:val="auto"/>
                <w:szCs w:val="21"/>
                <w:highlight w:val="none"/>
              </w:rPr>
            </w:pPr>
            <w:r>
              <w:rPr>
                <w:rFonts w:hint="eastAsia" w:ascii="宋体" w:hAnsi="宋体"/>
                <w:color w:val="auto"/>
                <w:szCs w:val="21"/>
                <w:highlight w:val="none"/>
              </w:rPr>
              <w:t>服务周期及地点</w:t>
            </w:r>
          </w:p>
        </w:tc>
        <w:tc>
          <w:tcPr>
            <w:tcW w:w="4057" w:type="pct"/>
            <w:gridSpan w:val="4"/>
            <w:tcBorders>
              <w:top w:val="single" w:color="auto" w:sz="4" w:space="0"/>
              <w:left w:val="single" w:color="auto" w:sz="4" w:space="0"/>
              <w:bottom w:val="single" w:color="auto" w:sz="4" w:space="0"/>
              <w:right w:val="single" w:color="auto" w:sz="4" w:space="0"/>
            </w:tcBorders>
            <w:noWrap w:val="0"/>
            <w:vAlign w:val="center"/>
          </w:tcPr>
          <w:p w14:paraId="37135AA2">
            <w:pPr>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合同履行期限：</w:t>
            </w:r>
            <w:r>
              <w:rPr>
                <w:rFonts w:hint="eastAsia" w:ascii="宋体" w:hAnsi="宋体"/>
                <w:color w:val="auto"/>
                <w:szCs w:val="21"/>
                <w:highlight w:val="none"/>
                <w:u w:val="single"/>
              </w:rPr>
              <w:t>一年，即202</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rPr>
              <w:t>年9月10日至202</w:t>
            </w:r>
            <w:r>
              <w:rPr>
                <w:rFonts w:hint="eastAsia" w:ascii="宋体" w:hAnsi="宋体"/>
                <w:color w:val="auto"/>
                <w:szCs w:val="21"/>
                <w:highlight w:val="none"/>
                <w:u w:val="single"/>
                <w:lang w:val="en-US" w:eastAsia="zh-CN"/>
              </w:rPr>
              <w:t>7</w:t>
            </w:r>
            <w:r>
              <w:rPr>
                <w:rFonts w:hint="eastAsia" w:ascii="宋体" w:hAnsi="宋体"/>
                <w:color w:val="auto"/>
                <w:szCs w:val="21"/>
                <w:highlight w:val="none"/>
                <w:u w:val="single"/>
              </w:rPr>
              <w:t>年9月9日</w:t>
            </w:r>
            <w:r>
              <w:rPr>
                <w:rFonts w:hint="eastAsia" w:ascii="宋体" w:hAnsi="宋体"/>
                <w:color w:val="auto"/>
                <w:szCs w:val="21"/>
                <w:highlight w:val="none"/>
              </w:rPr>
              <w:t>。</w:t>
            </w:r>
          </w:p>
          <w:p w14:paraId="136A34D6">
            <w:pPr>
              <w:spacing w:after="0"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服务地点：广西区内采购人指定地点。</w:t>
            </w:r>
          </w:p>
        </w:tc>
      </w:tr>
      <w:tr w14:paraId="15B8D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43" w:type="pct"/>
            <w:gridSpan w:val="2"/>
            <w:tcBorders>
              <w:top w:val="single" w:color="auto" w:sz="4" w:space="0"/>
              <w:left w:val="single" w:color="auto" w:sz="4" w:space="0"/>
              <w:bottom w:val="single" w:color="auto" w:sz="4" w:space="0"/>
              <w:right w:val="single" w:color="auto" w:sz="4" w:space="0"/>
            </w:tcBorders>
            <w:noWrap w:val="0"/>
            <w:vAlign w:val="center"/>
          </w:tcPr>
          <w:p w14:paraId="0D9B5546">
            <w:pPr>
              <w:spacing w:after="0" w:line="360" w:lineRule="exact"/>
              <w:rPr>
                <w:rFonts w:ascii="宋体" w:hAnsi="宋体"/>
                <w:color w:val="auto"/>
                <w:szCs w:val="21"/>
                <w:highlight w:val="none"/>
              </w:rPr>
            </w:pPr>
            <w:r>
              <w:rPr>
                <w:rFonts w:hint="eastAsia" w:ascii="宋体" w:hAnsi="宋体"/>
                <w:color w:val="auto"/>
                <w:szCs w:val="21"/>
                <w:highlight w:val="none"/>
              </w:rPr>
              <w:t>付款方式</w:t>
            </w:r>
          </w:p>
        </w:tc>
        <w:tc>
          <w:tcPr>
            <w:tcW w:w="4057" w:type="pct"/>
            <w:gridSpan w:val="4"/>
            <w:tcBorders>
              <w:top w:val="single" w:color="auto" w:sz="4" w:space="0"/>
              <w:left w:val="single" w:color="auto" w:sz="4" w:space="0"/>
              <w:bottom w:val="single" w:color="auto" w:sz="4" w:space="0"/>
              <w:right w:val="single" w:color="auto" w:sz="4" w:space="0"/>
            </w:tcBorders>
            <w:noWrap w:val="0"/>
            <w:vAlign w:val="center"/>
          </w:tcPr>
          <w:p w14:paraId="7D43FFD4">
            <w:pPr>
              <w:spacing w:after="0" w:line="360" w:lineRule="exact"/>
              <w:ind w:firstLine="420" w:firstLineChars="200"/>
              <w:rPr>
                <w:rFonts w:hint="eastAsia"/>
                <w:color w:val="auto"/>
                <w:highlight w:val="none"/>
              </w:rPr>
            </w:pPr>
            <w:r>
              <w:rPr>
                <w:rFonts w:hint="eastAsia" w:ascii="宋体" w:hAnsi="宋体"/>
                <w:color w:val="auto"/>
                <w:szCs w:val="21"/>
                <w:highlight w:val="none"/>
              </w:rPr>
              <w:t>合同签订并提交服务方案后经采购人认可后10个工作日内，采购人支付中标人50%合同款；服务期开始后达到6个月无服务质量问题，采购人向中标人支付合同款的25%；项目服务期结束且验收合格后，采购人向中标人支付合同款的25%。每次支付前中标人应提交相应的支付材料及增值税专用发票给采购人，经采购人审核通过后于10个工作日内，采购人向中标人支付相应合同款。</w:t>
            </w:r>
          </w:p>
        </w:tc>
      </w:tr>
      <w:tr w14:paraId="683AF4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43" w:type="pct"/>
            <w:gridSpan w:val="2"/>
            <w:tcBorders>
              <w:top w:val="single" w:color="auto" w:sz="4" w:space="0"/>
              <w:left w:val="single" w:color="auto" w:sz="4" w:space="0"/>
              <w:bottom w:val="single" w:color="auto" w:sz="4" w:space="0"/>
              <w:right w:val="single" w:color="auto" w:sz="4" w:space="0"/>
            </w:tcBorders>
            <w:noWrap w:val="0"/>
            <w:vAlign w:val="center"/>
          </w:tcPr>
          <w:p w14:paraId="0877E257">
            <w:pPr>
              <w:spacing w:after="0" w:line="360" w:lineRule="exact"/>
              <w:rPr>
                <w:rFonts w:hint="eastAsia" w:ascii="宋体" w:hAnsi="宋体"/>
                <w:color w:val="auto"/>
                <w:szCs w:val="21"/>
                <w:highlight w:val="none"/>
              </w:rPr>
            </w:pPr>
            <w:r>
              <w:rPr>
                <w:rFonts w:hint="eastAsia" w:ascii="宋体" w:hAnsi="宋体"/>
                <w:color w:val="auto"/>
                <w:szCs w:val="21"/>
                <w:highlight w:val="none"/>
              </w:rPr>
              <w:t>报价要求及</w:t>
            </w:r>
            <w:r>
              <w:rPr>
                <w:rFonts w:ascii="宋体" w:hAnsi="宋体"/>
                <w:color w:val="auto"/>
                <w:szCs w:val="21"/>
                <w:highlight w:val="none"/>
              </w:rPr>
              <w:t>其他</w:t>
            </w:r>
          </w:p>
        </w:tc>
        <w:tc>
          <w:tcPr>
            <w:tcW w:w="4057" w:type="pct"/>
            <w:gridSpan w:val="4"/>
            <w:tcBorders>
              <w:top w:val="single" w:color="auto" w:sz="4" w:space="0"/>
              <w:left w:val="single" w:color="auto" w:sz="4" w:space="0"/>
              <w:bottom w:val="single" w:color="auto" w:sz="4" w:space="0"/>
              <w:right w:val="single" w:color="auto" w:sz="4" w:space="0"/>
            </w:tcBorders>
            <w:noWrap w:val="0"/>
            <w:vAlign w:val="center"/>
          </w:tcPr>
          <w:p w14:paraId="383325EF">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本项目报价为总价包干，且为人民币含</w:t>
            </w:r>
            <w:r>
              <w:rPr>
                <w:rFonts w:ascii="宋体" w:hAnsi="宋体"/>
                <w:color w:val="auto"/>
                <w:szCs w:val="21"/>
                <w:highlight w:val="none"/>
              </w:rPr>
              <w:t>税</w:t>
            </w:r>
            <w:r>
              <w:rPr>
                <w:rFonts w:hint="eastAsia" w:ascii="宋体" w:hAnsi="宋体"/>
                <w:color w:val="auto"/>
                <w:szCs w:val="21"/>
                <w:highlight w:val="none"/>
              </w:rPr>
              <w:t>价。投</w:t>
            </w:r>
            <w:r>
              <w:rPr>
                <w:rFonts w:ascii="宋体" w:hAnsi="宋体"/>
                <w:color w:val="auto"/>
                <w:szCs w:val="21"/>
                <w:highlight w:val="none"/>
              </w:rPr>
              <w:t>标</w:t>
            </w:r>
            <w:r>
              <w:rPr>
                <w:rFonts w:hint="eastAsia" w:ascii="宋体" w:hAnsi="宋体"/>
                <w:color w:val="auto"/>
                <w:szCs w:val="21"/>
                <w:highlight w:val="none"/>
              </w:rPr>
              <w:t>报价必须包括实施和完成项目服务所需的一切费用，以及合同明示所有责任、义务和一般风险，采购人不再支付任何费用。</w:t>
            </w:r>
          </w:p>
        </w:tc>
      </w:tr>
      <w:tr w14:paraId="01D51B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43" w:type="pct"/>
            <w:gridSpan w:val="2"/>
            <w:tcBorders>
              <w:top w:val="single" w:color="auto" w:sz="4" w:space="0"/>
              <w:left w:val="single" w:color="auto" w:sz="4" w:space="0"/>
              <w:bottom w:val="single" w:color="auto" w:sz="4" w:space="0"/>
              <w:right w:val="single" w:color="auto" w:sz="4" w:space="0"/>
            </w:tcBorders>
            <w:noWrap w:val="0"/>
            <w:vAlign w:val="center"/>
          </w:tcPr>
          <w:p w14:paraId="02573B99">
            <w:pPr>
              <w:spacing w:after="0" w:line="360" w:lineRule="exact"/>
              <w:rPr>
                <w:rFonts w:hint="eastAsia" w:ascii="宋体" w:hAnsi="宋体"/>
                <w:color w:val="auto"/>
                <w:szCs w:val="21"/>
                <w:highlight w:val="none"/>
              </w:rPr>
            </w:pPr>
            <w:r>
              <w:rPr>
                <w:rFonts w:hint="eastAsia" w:ascii="宋体" w:hAnsi="宋体" w:cs="宋体"/>
                <w:color w:val="auto"/>
                <w:szCs w:val="21"/>
                <w:highlight w:val="none"/>
              </w:rPr>
              <w:t>验收标准</w:t>
            </w:r>
          </w:p>
        </w:tc>
        <w:tc>
          <w:tcPr>
            <w:tcW w:w="4057" w:type="pct"/>
            <w:gridSpan w:val="4"/>
            <w:tcBorders>
              <w:top w:val="single" w:color="auto" w:sz="4" w:space="0"/>
              <w:left w:val="single" w:color="auto" w:sz="4" w:space="0"/>
              <w:bottom w:val="single" w:color="auto" w:sz="4" w:space="0"/>
              <w:right w:val="single" w:color="auto" w:sz="4" w:space="0"/>
            </w:tcBorders>
            <w:noWrap w:val="0"/>
            <w:vAlign w:val="center"/>
          </w:tcPr>
          <w:p w14:paraId="743909E4">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在项目验收时，中标人对每次巡检和重大故障处理情况形成纸质文件汇编成册和扫描成PDF文件提交采购人。</w:t>
            </w:r>
          </w:p>
          <w:p w14:paraId="06E1D9D1">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提交年度维护报告，对采购人自身的软件运行情况进行汇总，并提出合理的优化建议，汇编成册提交给采购人。</w:t>
            </w:r>
          </w:p>
          <w:p w14:paraId="1358F190">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高速公路经营管理单位对运维工作的服务满意度总体达到95%以上。</w:t>
            </w:r>
          </w:p>
          <w:p w14:paraId="35E21C82">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除招标文件另有约定的，以满足采购单位服务要求为标准。</w:t>
            </w:r>
          </w:p>
        </w:tc>
      </w:tr>
      <w:tr w14:paraId="27D7A1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43" w:type="pct"/>
            <w:gridSpan w:val="2"/>
            <w:tcBorders>
              <w:top w:val="single" w:color="auto" w:sz="4" w:space="0"/>
              <w:left w:val="single" w:color="auto" w:sz="4" w:space="0"/>
              <w:bottom w:val="single" w:color="auto" w:sz="4" w:space="0"/>
              <w:right w:val="single" w:color="auto" w:sz="4" w:space="0"/>
            </w:tcBorders>
            <w:noWrap w:val="0"/>
            <w:vAlign w:val="center"/>
          </w:tcPr>
          <w:p w14:paraId="6E13A720">
            <w:pPr>
              <w:widowControl w:val="0"/>
              <w:spacing w:line="360" w:lineRule="exact"/>
              <w:jc w:val="both"/>
              <w:rPr>
                <w:rFonts w:hint="eastAsia" w:ascii="宋体" w:hAnsi="宋体" w:eastAsia="宋体" w:cs="宋体"/>
                <w:color w:val="auto"/>
                <w:spacing w:val="-2"/>
                <w:kern w:val="0"/>
                <w:sz w:val="21"/>
                <w:szCs w:val="21"/>
                <w:highlight w:val="none"/>
                <w:lang w:val="en-US" w:eastAsia="zh-CN" w:bidi="ar-SA"/>
              </w:rPr>
            </w:pPr>
            <w:r>
              <w:rPr>
                <w:rFonts w:hint="eastAsia" w:ascii="宋体" w:hAnsi="宋体" w:eastAsia="宋体" w:cs="宋体"/>
                <w:color w:val="auto"/>
                <w:spacing w:val="-2"/>
                <w:kern w:val="0"/>
                <w:sz w:val="21"/>
                <w:szCs w:val="21"/>
                <w:highlight w:val="none"/>
                <w:lang w:val="en-US" w:eastAsia="zh-CN" w:bidi="ar-SA"/>
              </w:rPr>
              <w:t>知识产权及</w:t>
            </w:r>
            <w:r>
              <w:rPr>
                <w:rFonts w:ascii="宋体" w:hAnsi="宋体" w:eastAsia="宋体" w:cs="宋体"/>
                <w:color w:val="auto"/>
                <w:spacing w:val="-2"/>
                <w:kern w:val="0"/>
                <w:sz w:val="21"/>
                <w:szCs w:val="21"/>
                <w:highlight w:val="none"/>
                <w:lang w:val="en-US" w:eastAsia="zh-CN" w:bidi="ar-SA"/>
              </w:rPr>
              <w:t>其他</w:t>
            </w:r>
          </w:p>
        </w:tc>
        <w:tc>
          <w:tcPr>
            <w:tcW w:w="4057" w:type="pct"/>
            <w:gridSpan w:val="4"/>
            <w:tcBorders>
              <w:top w:val="single" w:color="auto" w:sz="4" w:space="0"/>
              <w:left w:val="single" w:color="auto" w:sz="4" w:space="0"/>
              <w:bottom w:val="single" w:color="auto" w:sz="4" w:space="0"/>
              <w:right w:val="single" w:color="auto" w:sz="4" w:space="0"/>
            </w:tcBorders>
            <w:noWrap w:val="0"/>
            <w:vAlign w:val="top"/>
          </w:tcPr>
          <w:p w14:paraId="54B4E0AC">
            <w:pPr>
              <w:tabs>
                <w:tab w:val="left" w:pos="180"/>
                <w:tab w:val="left" w:pos="1620"/>
              </w:tabs>
              <w:spacing w:after="0"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1.中</w:t>
            </w:r>
            <w:r>
              <w:rPr>
                <w:rFonts w:ascii="宋体" w:hAnsi="宋体"/>
                <w:color w:val="auto"/>
                <w:szCs w:val="21"/>
                <w:highlight w:val="none"/>
              </w:rPr>
              <w:t>标人</w:t>
            </w:r>
            <w:r>
              <w:rPr>
                <w:rFonts w:hint="eastAsia" w:ascii="宋体" w:hAnsi="宋体"/>
                <w:color w:val="auto"/>
                <w:szCs w:val="21"/>
                <w:highlight w:val="none"/>
              </w:rPr>
              <w:t>在</w:t>
            </w:r>
            <w:r>
              <w:rPr>
                <w:rFonts w:ascii="宋体" w:hAnsi="宋体"/>
                <w:color w:val="auto"/>
                <w:szCs w:val="21"/>
                <w:highlight w:val="none"/>
              </w:rPr>
              <w:t>系统</w:t>
            </w:r>
            <w:r>
              <w:rPr>
                <w:rFonts w:hint="eastAsia" w:ascii="宋体" w:hAnsi="宋体"/>
                <w:color w:val="auto"/>
                <w:szCs w:val="21"/>
                <w:highlight w:val="none"/>
                <w:lang w:val="en-US" w:eastAsia="zh-CN"/>
              </w:rPr>
              <w:t>运维过</w:t>
            </w:r>
            <w:r>
              <w:rPr>
                <w:rFonts w:ascii="宋体" w:hAnsi="宋体"/>
                <w:color w:val="auto"/>
                <w:szCs w:val="21"/>
                <w:highlight w:val="none"/>
              </w:rPr>
              <w:t>程中</w:t>
            </w:r>
            <w:r>
              <w:rPr>
                <w:rFonts w:hint="eastAsia" w:ascii="宋体" w:hAnsi="宋体"/>
                <w:color w:val="auto"/>
                <w:szCs w:val="21"/>
                <w:highlight w:val="none"/>
              </w:rPr>
              <w:t>，所涉</w:t>
            </w:r>
            <w:r>
              <w:rPr>
                <w:rFonts w:ascii="宋体" w:hAnsi="宋体"/>
                <w:color w:val="auto"/>
                <w:szCs w:val="21"/>
                <w:highlight w:val="none"/>
              </w:rPr>
              <w:t>及技术开发</w:t>
            </w:r>
            <w:r>
              <w:rPr>
                <w:rFonts w:hint="eastAsia" w:ascii="宋体" w:hAnsi="宋体"/>
                <w:color w:val="auto"/>
                <w:szCs w:val="21"/>
                <w:highlight w:val="none"/>
              </w:rPr>
              <w:t>不</w:t>
            </w:r>
            <w:r>
              <w:rPr>
                <w:rFonts w:ascii="宋体" w:hAnsi="宋体"/>
                <w:color w:val="auto"/>
                <w:szCs w:val="21"/>
                <w:highlight w:val="none"/>
              </w:rPr>
              <w:t>得有知识产权侵权行为</w:t>
            </w:r>
            <w:r>
              <w:rPr>
                <w:rFonts w:hint="eastAsia" w:ascii="宋体" w:hAnsi="宋体"/>
                <w:color w:val="auto"/>
                <w:szCs w:val="21"/>
                <w:highlight w:val="none"/>
              </w:rPr>
              <w:t>。采购人在中华人民共和国境内使用中标</w:t>
            </w:r>
            <w:r>
              <w:rPr>
                <w:rFonts w:ascii="宋体" w:hAnsi="宋体"/>
                <w:color w:val="auto"/>
                <w:szCs w:val="21"/>
                <w:highlight w:val="none"/>
              </w:rPr>
              <w:t>人</w:t>
            </w:r>
            <w:r>
              <w:rPr>
                <w:rFonts w:hint="eastAsia" w:ascii="宋体" w:hAnsi="宋体"/>
                <w:color w:val="auto"/>
                <w:szCs w:val="21"/>
                <w:highlight w:val="none"/>
              </w:rPr>
              <w:t>提供的相关服务时免受第三方提出的侵犯其专利权或其它知识产权的起诉。如果第三方提出侵权指控，中标</w:t>
            </w:r>
            <w:r>
              <w:rPr>
                <w:rFonts w:ascii="宋体" w:hAnsi="宋体"/>
                <w:color w:val="auto"/>
                <w:szCs w:val="21"/>
                <w:highlight w:val="none"/>
              </w:rPr>
              <w:t>人</w:t>
            </w:r>
            <w:r>
              <w:rPr>
                <w:rFonts w:hint="eastAsia" w:ascii="宋体" w:hAnsi="宋体"/>
                <w:color w:val="auto"/>
                <w:szCs w:val="21"/>
                <w:highlight w:val="none"/>
              </w:rPr>
              <w:t>应承担由此而引起的一切法律责任和费用。</w:t>
            </w:r>
          </w:p>
          <w:p w14:paraId="0C59E153">
            <w:pPr>
              <w:tabs>
                <w:tab w:val="left" w:pos="180"/>
                <w:tab w:val="left" w:pos="1620"/>
              </w:tabs>
              <w:spacing w:after="0"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2.在运</w:t>
            </w:r>
            <w:r>
              <w:rPr>
                <w:rFonts w:ascii="宋体" w:hAnsi="宋体"/>
                <w:color w:val="auto"/>
                <w:szCs w:val="21"/>
                <w:highlight w:val="none"/>
              </w:rPr>
              <w:t>维</w:t>
            </w:r>
            <w:r>
              <w:rPr>
                <w:rFonts w:hint="eastAsia" w:ascii="宋体" w:hAnsi="宋体"/>
                <w:color w:val="auto"/>
                <w:szCs w:val="21"/>
                <w:highlight w:val="none"/>
              </w:rPr>
              <w:t>服务期间所涉及的调试、测试不能影响原系统的运行。</w:t>
            </w:r>
          </w:p>
          <w:p w14:paraId="233E66F3">
            <w:pPr>
              <w:tabs>
                <w:tab w:val="left" w:pos="180"/>
                <w:tab w:val="left" w:pos="1620"/>
              </w:tabs>
              <w:spacing w:after="0"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3.中标人必须与采购人签订保密协议。</w:t>
            </w:r>
          </w:p>
        </w:tc>
      </w:tr>
      <w:tr w14:paraId="65C302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43" w:type="pct"/>
            <w:gridSpan w:val="2"/>
            <w:tcBorders>
              <w:top w:val="single" w:color="auto" w:sz="4" w:space="0"/>
              <w:left w:val="single" w:color="auto" w:sz="4" w:space="0"/>
              <w:bottom w:val="single" w:color="auto" w:sz="4" w:space="0"/>
              <w:right w:val="single" w:color="auto" w:sz="4" w:space="0"/>
            </w:tcBorders>
            <w:noWrap w:val="0"/>
            <w:vAlign w:val="center"/>
          </w:tcPr>
          <w:p w14:paraId="03AAAEA8">
            <w:pPr>
              <w:spacing w:after="0" w:line="360" w:lineRule="exact"/>
              <w:rPr>
                <w:rFonts w:hint="eastAsia" w:ascii="宋体" w:hAnsi="宋体"/>
                <w:color w:val="auto"/>
                <w:szCs w:val="21"/>
                <w:highlight w:val="none"/>
              </w:rPr>
            </w:pPr>
            <w:r>
              <w:rPr>
                <w:rFonts w:hint="eastAsia" w:ascii="宋体" w:hAnsi="宋体"/>
                <w:color w:val="auto"/>
                <w:szCs w:val="21"/>
                <w:highlight w:val="none"/>
              </w:rPr>
              <w:t>履约保证金</w:t>
            </w:r>
          </w:p>
        </w:tc>
        <w:tc>
          <w:tcPr>
            <w:tcW w:w="4057" w:type="pct"/>
            <w:gridSpan w:val="4"/>
            <w:tcBorders>
              <w:top w:val="single" w:color="auto" w:sz="4" w:space="0"/>
              <w:left w:val="single" w:color="auto" w:sz="4" w:space="0"/>
              <w:bottom w:val="single" w:color="auto" w:sz="4" w:space="0"/>
              <w:right w:val="single" w:color="auto" w:sz="4" w:space="0"/>
            </w:tcBorders>
            <w:noWrap w:val="0"/>
            <w:vAlign w:val="center"/>
          </w:tcPr>
          <w:p w14:paraId="1A897A08">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1.中标人在签订合同时按合同金额的5%（如为小微企业按合同金额的2%）向采购人指定账户提交履约保证金（履约保证金作为违约金用于补偿采购人因中标人不能履行合同义务所蒙受的损失）。</w:t>
            </w:r>
          </w:p>
          <w:p w14:paraId="21CDE2CE">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履约保证金在验收合格后，中标人向采购人递交请款材料的同时，同步递交退还履约保证金申请材料，采购人在支付合同款时，一次性将履约保证金退付给中标人（不计利息），如有涉及违约行为的，扣除违约金后退还。</w:t>
            </w:r>
          </w:p>
          <w:p w14:paraId="36B83FA0">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3.履约保证金递交方式：银行转账、支票、汇票、本票等非现金方式或者银行、保险机构出具的保函等非现金方式。</w:t>
            </w:r>
          </w:p>
          <w:p w14:paraId="582451BB">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4.履约保证金指定账户：</w:t>
            </w:r>
          </w:p>
          <w:p w14:paraId="75381EB7">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开户名称：广西壮族自治区收费公路联网收费清分结算中心</w:t>
            </w:r>
          </w:p>
          <w:p w14:paraId="349E623F">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开户银行：交通银行股份有限公司南宁金源支行</w:t>
            </w:r>
          </w:p>
          <w:p w14:paraId="29173710">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银行账号：4510 6030 9018 0101 03458 </w:t>
            </w:r>
          </w:p>
        </w:tc>
      </w:tr>
      <w:tr w14:paraId="016A1F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0794A149">
            <w:pPr>
              <w:spacing w:after="0" w:line="360" w:lineRule="exact"/>
              <w:rPr>
                <w:rFonts w:hint="eastAsia" w:ascii="宋体" w:hAnsi="宋体"/>
                <w:b/>
                <w:color w:val="auto"/>
                <w:szCs w:val="21"/>
                <w:highlight w:val="none"/>
              </w:rPr>
            </w:pPr>
            <w:r>
              <w:rPr>
                <w:rFonts w:hint="eastAsia" w:ascii="宋体" w:hAnsi="宋体"/>
                <w:b/>
                <w:color w:val="auto"/>
                <w:szCs w:val="21"/>
                <w:highlight w:val="none"/>
              </w:rPr>
              <w:t>二、与实现项目目标相关的其他要求</w:t>
            </w:r>
          </w:p>
        </w:tc>
      </w:tr>
      <w:tr w14:paraId="3171B7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3081678B">
            <w:pPr>
              <w:spacing w:after="0" w:line="360" w:lineRule="exact"/>
              <w:rPr>
                <w:rFonts w:hint="eastAsia" w:ascii="宋体" w:hAnsi="宋体"/>
                <w:b/>
                <w:color w:val="auto"/>
                <w:szCs w:val="21"/>
                <w:highlight w:val="none"/>
              </w:rPr>
            </w:pPr>
            <w:r>
              <w:rPr>
                <w:rFonts w:hint="eastAsia" w:ascii="宋体" w:hAnsi="宋体"/>
                <w:b/>
                <w:color w:val="auto"/>
                <w:szCs w:val="21"/>
                <w:highlight w:val="none"/>
              </w:rPr>
              <w:t>（一）投标人的履约能力要求</w:t>
            </w:r>
          </w:p>
        </w:tc>
      </w:tr>
      <w:tr w14:paraId="530EAA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43" w:type="pct"/>
            <w:gridSpan w:val="2"/>
            <w:tcBorders>
              <w:top w:val="single" w:color="auto" w:sz="4" w:space="0"/>
              <w:left w:val="single" w:color="auto" w:sz="4" w:space="0"/>
              <w:bottom w:val="single" w:color="auto" w:sz="4" w:space="0"/>
              <w:right w:val="single" w:color="auto" w:sz="4" w:space="0"/>
            </w:tcBorders>
            <w:noWrap w:val="0"/>
            <w:vAlign w:val="center"/>
          </w:tcPr>
          <w:p w14:paraId="32A38AD6">
            <w:pPr>
              <w:spacing w:after="0" w:line="360" w:lineRule="exact"/>
              <w:rPr>
                <w:rFonts w:hint="eastAsia" w:ascii="宋体" w:hAnsi="宋体"/>
                <w:color w:val="auto"/>
                <w:szCs w:val="21"/>
                <w:highlight w:val="none"/>
              </w:rPr>
            </w:pPr>
            <w:r>
              <w:rPr>
                <w:rFonts w:hint="eastAsia" w:ascii="宋体" w:hAnsi="宋体"/>
                <w:color w:val="auto"/>
                <w:szCs w:val="21"/>
                <w:highlight w:val="none"/>
              </w:rPr>
              <w:t>政策性加分条件</w:t>
            </w:r>
          </w:p>
        </w:tc>
        <w:tc>
          <w:tcPr>
            <w:tcW w:w="4057" w:type="pct"/>
            <w:gridSpan w:val="4"/>
            <w:tcBorders>
              <w:top w:val="single" w:color="auto" w:sz="4" w:space="0"/>
              <w:left w:val="single" w:color="auto" w:sz="4" w:space="0"/>
              <w:bottom w:val="single" w:color="auto" w:sz="4" w:space="0"/>
              <w:right w:val="single" w:color="auto" w:sz="4" w:space="0"/>
            </w:tcBorders>
            <w:noWrap w:val="0"/>
            <w:vAlign w:val="center"/>
          </w:tcPr>
          <w:p w14:paraId="38370A48">
            <w:pPr>
              <w:spacing w:after="0" w:line="360" w:lineRule="exact"/>
              <w:rPr>
                <w:rFonts w:hint="eastAsia" w:ascii="宋体" w:hAnsi="宋体"/>
                <w:color w:val="auto"/>
                <w:szCs w:val="21"/>
                <w:highlight w:val="none"/>
              </w:rPr>
            </w:pPr>
            <w:r>
              <w:rPr>
                <w:rFonts w:hint="eastAsia" w:ascii="宋体" w:hAnsi="宋体"/>
                <w:color w:val="auto"/>
                <w:szCs w:val="21"/>
                <w:highlight w:val="none"/>
              </w:rPr>
              <w:t>见本采购文件第四章“评标方法及评标标准”。</w:t>
            </w:r>
          </w:p>
        </w:tc>
      </w:tr>
      <w:tr w14:paraId="5B3806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43" w:type="pct"/>
            <w:gridSpan w:val="2"/>
            <w:tcBorders>
              <w:top w:val="single" w:color="auto" w:sz="4" w:space="0"/>
              <w:left w:val="single" w:color="auto" w:sz="4" w:space="0"/>
              <w:bottom w:val="single" w:color="auto" w:sz="4" w:space="0"/>
              <w:right w:val="single" w:color="auto" w:sz="4" w:space="0"/>
            </w:tcBorders>
            <w:noWrap w:val="0"/>
            <w:vAlign w:val="center"/>
          </w:tcPr>
          <w:p w14:paraId="0E5597D6">
            <w:pPr>
              <w:spacing w:after="0" w:line="360" w:lineRule="exact"/>
              <w:rPr>
                <w:rFonts w:hint="eastAsia" w:ascii="宋体" w:hAnsi="宋体"/>
                <w:color w:val="auto"/>
                <w:szCs w:val="21"/>
                <w:highlight w:val="none"/>
              </w:rPr>
            </w:pPr>
            <w:r>
              <w:rPr>
                <w:rFonts w:hint="eastAsia" w:ascii="宋体" w:hAnsi="宋体"/>
                <w:color w:val="auto"/>
                <w:szCs w:val="21"/>
                <w:highlight w:val="none"/>
              </w:rPr>
              <w:t>质量管理体系要求</w:t>
            </w:r>
          </w:p>
        </w:tc>
        <w:tc>
          <w:tcPr>
            <w:tcW w:w="4057" w:type="pct"/>
            <w:gridSpan w:val="4"/>
            <w:tcBorders>
              <w:top w:val="single" w:color="auto" w:sz="4" w:space="0"/>
              <w:left w:val="single" w:color="auto" w:sz="4" w:space="0"/>
              <w:bottom w:val="single" w:color="auto" w:sz="4" w:space="0"/>
              <w:right w:val="single" w:color="auto" w:sz="4" w:space="0"/>
            </w:tcBorders>
            <w:noWrap w:val="0"/>
            <w:vAlign w:val="center"/>
          </w:tcPr>
          <w:p w14:paraId="53F66CB2">
            <w:pPr>
              <w:spacing w:after="0" w:line="360" w:lineRule="exact"/>
              <w:rPr>
                <w:rFonts w:hint="eastAsia" w:ascii="宋体" w:hAnsi="宋体"/>
                <w:color w:val="auto"/>
                <w:szCs w:val="21"/>
                <w:highlight w:val="none"/>
              </w:rPr>
            </w:pPr>
            <w:r>
              <w:rPr>
                <w:rFonts w:hint="eastAsia" w:ascii="宋体" w:hAnsi="宋体"/>
                <w:color w:val="auto"/>
                <w:szCs w:val="21"/>
                <w:highlight w:val="none"/>
              </w:rPr>
              <w:t>如有，请于投标文件中自行提供。</w:t>
            </w:r>
          </w:p>
        </w:tc>
      </w:tr>
      <w:tr w14:paraId="1BDBF9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43" w:type="pct"/>
            <w:gridSpan w:val="2"/>
            <w:tcBorders>
              <w:top w:val="single" w:color="auto" w:sz="4" w:space="0"/>
              <w:left w:val="single" w:color="auto" w:sz="4" w:space="0"/>
              <w:bottom w:val="single" w:color="auto" w:sz="4" w:space="0"/>
              <w:right w:val="single" w:color="auto" w:sz="4" w:space="0"/>
            </w:tcBorders>
            <w:noWrap w:val="0"/>
            <w:vAlign w:val="center"/>
          </w:tcPr>
          <w:p w14:paraId="441FCCA2">
            <w:pPr>
              <w:spacing w:after="0" w:line="360" w:lineRule="exact"/>
              <w:rPr>
                <w:rFonts w:hint="eastAsia" w:ascii="宋体" w:hAnsi="宋体"/>
                <w:color w:val="auto"/>
                <w:szCs w:val="21"/>
                <w:highlight w:val="none"/>
              </w:rPr>
            </w:pPr>
            <w:r>
              <w:rPr>
                <w:rFonts w:hint="eastAsia" w:ascii="宋体" w:hAnsi="宋体"/>
                <w:color w:val="auto"/>
                <w:szCs w:val="21"/>
                <w:highlight w:val="none"/>
              </w:rPr>
              <w:t>业绩要求</w:t>
            </w:r>
          </w:p>
        </w:tc>
        <w:tc>
          <w:tcPr>
            <w:tcW w:w="4057" w:type="pct"/>
            <w:gridSpan w:val="4"/>
            <w:tcBorders>
              <w:top w:val="single" w:color="auto" w:sz="4" w:space="0"/>
              <w:left w:val="single" w:color="auto" w:sz="4" w:space="0"/>
              <w:bottom w:val="single" w:color="auto" w:sz="4" w:space="0"/>
              <w:right w:val="single" w:color="auto" w:sz="4" w:space="0"/>
            </w:tcBorders>
            <w:noWrap w:val="0"/>
            <w:vAlign w:val="center"/>
          </w:tcPr>
          <w:p w14:paraId="18F12950">
            <w:pPr>
              <w:spacing w:after="0" w:line="360" w:lineRule="exact"/>
              <w:rPr>
                <w:rFonts w:hint="eastAsia" w:ascii="宋体" w:hAnsi="宋体"/>
                <w:color w:val="auto"/>
                <w:szCs w:val="21"/>
                <w:highlight w:val="none"/>
              </w:rPr>
            </w:pPr>
            <w:r>
              <w:rPr>
                <w:rFonts w:hint="eastAsia" w:ascii="宋体" w:hAnsi="宋体"/>
                <w:color w:val="auto"/>
                <w:szCs w:val="21"/>
                <w:highlight w:val="none"/>
              </w:rPr>
              <w:t>如有，请于投标文件中自行提供。</w:t>
            </w:r>
          </w:p>
        </w:tc>
      </w:tr>
      <w:tr w14:paraId="08554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4E8EA69F">
            <w:pPr>
              <w:spacing w:after="0" w:line="360" w:lineRule="exact"/>
              <w:rPr>
                <w:rFonts w:hint="eastAsia" w:ascii="宋体" w:hAnsi="宋体"/>
                <w:b/>
                <w:color w:val="auto"/>
                <w:szCs w:val="21"/>
                <w:highlight w:val="none"/>
              </w:rPr>
            </w:pPr>
            <w:r>
              <w:rPr>
                <w:rFonts w:hint="eastAsia" w:ascii="宋体" w:hAnsi="宋体"/>
                <w:b/>
                <w:color w:val="auto"/>
                <w:szCs w:val="21"/>
                <w:highlight w:val="none"/>
              </w:rPr>
              <w:t>（二）验收事宜</w:t>
            </w:r>
          </w:p>
        </w:tc>
      </w:tr>
      <w:tr w14:paraId="52A8BB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188BFCDC">
            <w:pPr>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本章《采购需求》有其他要求的按其要求。</w:t>
            </w:r>
          </w:p>
          <w:p w14:paraId="2A71702E">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合同履行过程中，由采购人根据中标人所提供服务，对照招标文件要求及中标人投标文件承诺进行检验并记录，发现中标人在投标文件中有弄虚作假的行为，或在投标文件中有针对技术商务条款有虚假响应情况的，采购人将终止合同或不予验收，并追究中标人的责任，由此带来的一切损失由中标人自行承担。</w:t>
            </w:r>
          </w:p>
          <w:p w14:paraId="7767D17E">
            <w:pPr>
              <w:spacing w:after="0" w:line="36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其他未尽事宜应严格按照《关于印发广西壮族自治区政府采购项目履约验收管理办法的通知》[桂财采〔2015〕22号]以及《财政部关于进一步加强政府采购需求和履约验收管理的指导意见》[财库〔2016〕205号]规定执行。</w:t>
            </w:r>
          </w:p>
          <w:p w14:paraId="4DC327B1">
            <w:pPr>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4.验收过程中，若出现需要第三方机构介入验收的，所产生的费用均由中标人承担。报价时应考虑相关费用。</w:t>
            </w:r>
          </w:p>
          <w:p w14:paraId="5F4E2CA8">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5.服务过程中，若涉及实行强制标准认证制度、生产许可证制度、销售或经营许可证制度、注册证制度等，中标人均应符合国</w:t>
            </w:r>
            <w:r>
              <w:rPr>
                <w:rFonts w:ascii="宋体" w:hAnsi="宋体"/>
                <w:color w:val="auto"/>
                <w:szCs w:val="21"/>
                <w:highlight w:val="none"/>
              </w:rPr>
              <w:t>家相关规定</w:t>
            </w:r>
            <w:r>
              <w:rPr>
                <w:rFonts w:hint="eastAsia" w:ascii="宋体" w:hAnsi="宋体"/>
                <w:color w:val="auto"/>
                <w:szCs w:val="21"/>
                <w:highlight w:val="none"/>
              </w:rPr>
              <w:t>的</w:t>
            </w:r>
            <w:r>
              <w:rPr>
                <w:rFonts w:ascii="宋体" w:hAnsi="宋体"/>
                <w:color w:val="auto"/>
                <w:szCs w:val="21"/>
                <w:highlight w:val="none"/>
              </w:rPr>
              <w:t>要</w:t>
            </w:r>
            <w:r>
              <w:rPr>
                <w:rFonts w:hint="eastAsia" w:ascii="宋体" w:hAnsi="宋体"/>
                <w:color w:val="auto"/>
                <w:szCs w:val="21"/>
                <w:highlight w:val="none"/>
              </w:rPr>
              <w:t>求</w:t>
            </w:r>
            <w:r>
              <w:rPr>
                <w:rFonts w:ascii="宋体" w:hAnsi="宋体"/>
                <w:color w:val="auto"/>
                <w:szCs w:val="21"/>
                <w:highlight w:val="none"/>
              </w:rPr>
              <w:t>并</w:t>
            </w:r>
            <w:r>
              <w:rPr>
                <w:rFonts w:hint="eastAsia" w:ascii="宋体" w:hAnsi="宋体"/>
                <w:color w:val="auto"/>
                <w:szCs w:val="21"/>
                <w:highlight w:val="none"/>
              </w:rPr>
              <w:t>提供相关有效的证书复印件。</w:t>
            </w:r>
          </w:p>
        </w:tc>
      </w:tr>
      <w:tr w14:paraId="679FB0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4D7318AE">
            <w:pPr>
              <w:spacing w:after="0" w:line="360" w:lineRule="exact"/>
              <w:rPr>
                <w:rFonts w:ascii="宋体" w:hAnsi="宋体"/>
                <w:color w:val="auto"/>
                <w:szCs w:val="21"/>
                <w:highlight w:val="none"/>
              </w:rPr>
            </w:pPr>
            <w:r>
              <w:rPr>
                <w:rFonts w:hint="eastAsia" w:ascii="宋体" w:hAnsi="宋体"/>
                <w:b/>
                <w:color w:val="auto"/>
                <w:szCs w:val="21"/>
                <w:highlight w:val="none"/>
              </w:rPr>
              <w:t>（三）进口产品及核心产品说明</w:t>
            </w:r>
          </w:p>
        </w:tc>
      </w:tr>
      <w:tr w14:paraId="0A578B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7B3F2C01">
            <w:pPr>
              <w:spacing w:after="0" w:line="360" w:lineRule="exact"/>
              <w:ind w:firstLine="435"/>
              <w:rPr>
                <w:rFonts w:ascii="宋体" w:hAnsi="宋体"/>
                <w:color w:val="auto"/>
                <w:szCs w:val="21"/>
                <w:highlight w:val="none"/>
              </w:rPr>
            </w:pPr>
            <w:r>
              <w:rPr>
                <w:rFonts w:hint="eastAsia" w:ascii="宋体" w:hAnsi="宋体"/>
                <w:color w:val="auto"/>
                <w:szCs w:val="21"/>
                <w:highlight w:val="none"/>
              </w:rPr>
              <w:t>本项目为服务类项目，无进</w:t>
            </w:r>
            <w:r>
              <w:rPr>
                <w:rFonts w:ascii="宋体" w:hAnsi="宋体"/>
                <w:color w:val="auto"/>
                <w:szCs w:val="21"/>
                <w:highlight w:val="none"/>
              </w:rPr>
              <w:t>口产品和</w:t>
            </w:r>
            <w:r>
              <w:rPr>
                <w:rFonts w:hint="eastAsia" w:ascii="宋体" w:hAnsi="宋体"/>
                <w:color w:val="auto"/>
                <w:szCs w:val="21"/>
                <w:highlight w:val="none"/>
              </w:rPr>
              <w:t>核心产品。</w:t>
            </w:r>
          </w:p>
        </w:tc>
      </w:tr>
      <w:tr w14:paraId="7C9E8B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5A38F7C5">
            <w:pPr>
              <w:spacing w:after="0" w:line="360" w:lineRule="exact"/>
              <w:rPr>
                <w:rFonts w:ascii="宋体" w:hAnsi="宋体"/>
                <w:b/>
                <w:color w:val="auto"/>
                <w:szCs w:val="21"/>
                <w:highlight w:val="none"/>
              </w:rPr>
            </w:pPr>
            <w:r>
              <w:rPr>
                <w:rFonts w:hint="eastAsia" w:ascii="宋体" w:hAnsi="宋体"/>
                <w:b/>
                <w:color w:val="auto"/>
                <w:szCs w:val="21"/>
                <w:highlight w:val="none"/>
              </w:rPr>
              <w:t>（四）其他要求</w:t>
            </w:r>
          </w:p>
        </w:tc>
      </w:tr>
      <w:tr w14:paraId="5C3187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3141FF72">
            <w:pPr>
              <w:spacing w:after="0" w:line="36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.投标人可根据自身优势在响应本采购文件要求的基础上，结合本招标文件第四章“评标方法及评标标准”提供</w:t>
            </w:r>
            <w:bookmarkStart w:id="43" w:name="OLE_LINK11"/>
            <w:r>
              <w:rPr>
                <w:rFonts w:hint="eastAsia" w:ascii="宋体" w:hAnsi="宋体"/>
                <w:color w:val="auto"/>
                <w:szCs w:val="21"/>
                <w:highlight w:val="none"/>
              </w:rPr>
              <w:t>技术服务方案、</w:t>
            </w:r>
            <w:r>
              <w:rPr>
                <w:rFonts w:hint="eastAsia" w:ascii="宋体" w:hAnsi="宋体"/>
                <w:bCs/>
                <w:color w:val="auto"/>
                <w:szCs w:val="21"/>
                <w:highlight w:val="none"/>
              </w:rPr>
              <w:t>实施方案</w:t>
            </w:r>
            <w:bookmarkEnd w:id="43"/>
            <w:r>
              <w:rPr>
                <w:rFonts w:hint="eastAsia" w:ascii="宋体" w:hAnsi="宋体"/>
                <w:bCs/>
                <w:color w:val="auto"/>
                <w:szCs w:val="21"/>
                <w:highlight w:val="none"/>
              </w:rPr>
              <w:t>等</w:t>
            </w:r>
            <w:r>
              <w:rPr>
                <w:rFonts w:hint="eastAsia" w:ascii="宋体" w:hAnsi="宋体"/>
                <w:color w:val="auto"/>
                <w:szCs w:val="21"/>
                <w:highlight w:val="none"/>
              </w:rPr>
              <w:t>（格式自拟）等；</w:t>
            </w:r>
          </w:p>
          <w:p w14:paraId="1E489E4D">
            <w:pPr>
              <w:spacing w:after="0"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投入本项目技术服务团队人员配置固定，且</w:t>
            </w:r>
            <w:r>
              <w:rPr>
                <w:rFonts w:ascii="宋体" w:hAnsi="宋体"/>
                <w:color w:val="auto"/>
                <w:szCs w:val="21"/>
                <w:highlight w:val="none"/>
              </w:rPr>
              <w:t>满足项目实施所需</w:t>
            </w:r>
            <w:r>
              <w:rPr>
                <w:rFonts w:hint="eastAsia" w:ascii="宋体" w:hAnsi="宋体"/>
                <w:color w:val="auto"/>
                <w:szCs w:val="21"/>
                <w:highlight w:val="none"/>
              </w:rPr>
              <w:t>，如</w:t>
            </w:r>
            <w:r>
              <w:rPr>
                <w:rFonts w:ascii="宋体" w:hAnsi="宋体"/>
                <w:color w:val="auto"/>
                <w:szCs w:val="21"/>
                <w:highlight w:val="none"/>
              </w:rPr>
              <w:t>有并附</w:t>
            </w:r>
            <w:r>
              <w:rPr>
                <w:rFonts w:hint="eastAsia" w:ascii="宋体" w:hAnsi="宋体"/>
                <w:color w:val="auto"/>
                <w:szCs w:val="21"/>
                <w:highlight w:val="none"/>
              </w:rPr>
              <w:t>人</w:t>
            </w:r>
            <w:r>
              <w:rPr>
                <w:rFonts w:ascii="宋体" w:hAnsi="宋体"/>
                <w:color w:val="auto"/>
                <w:szCs w:val="21"/>
                <w:highlight w:val="none"/>
              </w:rPr>
              <w:t>员技术资格证书或职称证书</w:t>
            </w:r>
            <w:r>
              <w:rPr>
                <w:rFonts w:hint="eastAsia" w:ascii="宋体" w:hAnsi="宋体"/>
                <w:color w:val="auto"/>
                <w:szCs w:val="21"/>
                <w:highlight w:val="none"/>
              </w:rPr>
              <w:t>，并附《项目实施人员一览表》社保缴纳证明文件复印件或劳动合同或协议书复印件或聘用意向书复印件及承诺书等。</w:t>
            </w:r>
          </w:p>
          <w:p w14:paraId="000BA988">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如有，请于投标文件中提供包含但不限于信誉、业绩、奖项等。</w:t>
            </w:r>
          </w:p>
        </w:tc>
      </w:tr>
      <w:tr w14:paraId="2657CA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5DA74702">
            <w:pPr>
              <w:spacing w:after="0" w:line="360" w:lineRule="exact"/>
              <w:rPr>
                <w:rFonts w:hint="eastAsia" w:ascii="宋体" w:hAnsi="宋体"/>
                <w:color w:val="auto"/>
                <w:szCs w:val="21"/>
                <w:highlight w:val="none"/>
              </w:rPr>
            </w:pPr>
            <w:r>
              <w:rPr>
                <w:rFonts w:hint="eastAsia" w:ascii="宋体" w:hAnsi="宋体"/>
                <w:b/>
                <w:color w:val="auto"/>
                <w:szCs w:val="21"/>
                <w:highlight w:val="none"/>
              </w:rPr>
              <w:t>（五）</w:t>
            </w:r>
            <w:r>
              <w:rPr>
                <w:rFonts w:ascii="宋体" w:hAnsi="宋体"/>
                <w:b/>
                <w:color w:val="auto"/>
                <w:szCs w:val="21"/>
                <w:highlight w:val="none"/>
              </w:rPr>
              <w:t>其他说明</w:t>
            </w:r>
          </w:p>
        </w:tc>
      </w:tr>
      <w:tr w14:paraId="4D667C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067011BD">
            <w:pPr>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▲1.评审时以预</w:t>
            </w:r>
            <w:r>
              <w:rPr>
                <w:rFonts w:ascii="宋体" w:hAnsi="宋体"/>
                <w:color w:val="auto"/>
                <w:szCs w:val="21"/>
                <w:highlight w:val="none"/>
              </w:rPr>
              <w:t>算</w:t>
            </w:r>
            <w:r>
              <w:rPr>
                <w:rFonts w:hint="eastAsia" w:ascii="宋体" w:hAnsi="宋体"/>
                <w:color w:val="auto"/>
                <w:szCs w:val="21"/>
                <w:highlight w:val="none"/>
              </w:rPr>
              <w:t>金额为最高限价，</w:t>
            </w:r>
            <w:r>
              <w:rPr>
                <w:rFonts w:hint="eastAsia" w:ascii="宋体" w:hAnsi="宋体"/>
                <w:b/>
                <w:color w:val="auto"/>
                <w:szCs w:val="21"/>
                <w:highlight w:val="none"/>
                <w:u w:val="single"/>
              </w:rPr>
              <w:t>投标报价超最高限价的作无效投标处理</w:t>
            </w:r>
            <w:r>
              <w:rPr>
                <w:rFonts w:hint="eastAsia" w:ascii="宋体" w:hAnsi="宋体"/>
                <w:color w:val="auto"/>
                <w:szCs w:val="21"/>
                <w:highlight w:val="none"/>
              </w:rPr>
              <w:t>。</w:t>
            </w:r>
          </w:p>
          <w:p w14:paraId="73F7143D">
            <w:pPr>
              <w:spacing w:after="0" w:line="360" w:lineRule="exact"/>
              <w:ind w:firstLine="404" w:firstLineChars="200"/>
              <w:rPr>
                <w:rFonts w:hint="eastAsia" w:ascii="宋体" w:hAnsi="宋体"/>
                <w:b/>
                <w:color w:val="auto"/>
                <w:szCs w:val="21"/>
                <w:highlight w:val="none"/>
              </w:rPr>
            </w:pPr>
            <w:r>
              <w:rPr>
                <w:rFonts w:hint="eastAsia" w:ascii="宋体" w:hAnsi="宋体"/>
                <w:color w:val="auto"/>
                <w:spacing w:val="-4"/>
                <w:szCs w:val="21"/>
                <w:highlight w:val="none"/>
              </w:rPr>
              <w:t>▲2.投标人就本项目服务需求中全部内容作完整唯一报价，拆分服务</w:t>
            </w:r>
            <w:r>
              <w:rPr>
                <w:rFonts w:ascii="宋体" w:hAnsi="宋体"/>
                <w:color w:val="auto"/>
                <w:spacing w:val="-4"/>
                <w:szCs w:val="21"/>
                <w:highlight w:val="none"/>
              </w:rPr>
              <w:t>内容</w:t>
            </w:r>
            <w:r>
              <w:rPr>
                <w:rFonts w:hint="eastAsia" w:ascii="宋体" w:hAnsi="宋体"/>
                <w:color w:val="auto"/>
                <w:spacing w:val="-4"/>
                <w:szCs w:val="21"/>
                <w:highlight w:val="none"/>
              </w:rPr>
              <w:t>投标或仅</w:t>
            </w:r>
            <w:r>
              <w:rPr>
                <w:rFonts w:ascii="宋体" w:hAnsi="宋体"/>
                <w:color w:val="auto"/>
                <w:spacing w:val="-4"/>
                <w:szCs w:val="21"/>
                <w:highlight w:val="none"/>
              </w:rPr>
              <w:t>对部分内容</w:t>
            </w:r>
            <w:r>
              <w:rPr>
                <w:rFonts w:hint="eastAsia" w:ascii="宋体" w:hAnsi="宋体"/>
                <w:color w:val="auto"/>
                <w:spacing w:val="-4"/>
                <w:szCs w:val="21"/>
                <w:highlight w:val="none"/>
              </w:rPr>
              <w:t>投</w:t>
            </w:r>
            <w:r>
              <w:rPr>
                <w:rFonts w:ascii="宋体" w:hAnsi="宋体"/>
                <w:color w:val="auto"/>
                <w:spacing w:val="-4"/>
                <w:szCs w:val="21"/>
                <w:highlight w:val="none"/>
              </w:rPr>
              <w:t>标报价</w:t>
            </w:r>
            <w:r>
              <w:rPr>
                <w:rFonts w:hint="eastAsia" w:ascii="宋体" w:hAnsi="宋体"/>
                <w:color w:val="auto"/>
                <w:spacing w:val="-4"/>
                <w:szCs w:val="21"/>
                <w:highlight w:val="none"/>
              </w:rPr>
              <w:t>的将导致投标无效。</w:t>
            </w:r>
          </w:p>
        </w:tc>
      </w:tr>
    </w:tbl>
    <w:p w14:paraId="58587759">
      <w:pPr>
        <w:spacing w:after="0" w:line="360" w:lineRule="exact"/>
        <w:jc w:val="left"/>
        <w:rPr>
          <w:rFonts w:ascii="宋体" w:hAnsi="宋体"/>
          <w:color w:val="auto"/>
          <w:highlight w:val="none"/>
        </w:rPr>
      </w:pPr>
    </w:p>
    <w:p w14:paraId="7CBBE384">
      <w:pPr>
        <w:spacing w:after="0" w:line="360" w:lineRule="exact"/>
        <w:jc w:val="left"/>
        <w:rPr>
          <w:rFonts w:hint="eastAsia" w:ascii="宋体" w:hAnsi="宋体"/>
          <w:b/>
          <w:color w:val="auto"/>
          <w:highlight w:val="none"/>
        </w:rPr>
      </w:pPr>
    </w:p>
    <w:p w14:paraId="1F1C1938">
      <w:pPr>
        <w:spacing w:after="0" w:line="360" w:lineRule="exact"/>
        <w:jc w:val="left"/>
        <w:rPr>
          <w:rFonts w:hint="eastAsia" w:ascii="宋体" w:hAnsi="宋体"/>
          <w:b/>
          <w:color w:val="auto"/>
          <w:highlight w:val="none"/>
        </w:rPr>
      </w:pPr>
    </w:p>
    <w:p w14:paraId="6F911B4A">
      <w:pPr>
        <w:spacing w:after="0" w:line="360" w:lineRule="exact"/>
        <w:jc w:val="left"/>
        <w:rPr>
          <w:rFonts w:hint="eastAsia" w:ascii="宋体" w:hAnsi="宋体"/>
          <w:b/>
          <w:color w:val="auto"/>
          <w:highlight w:val="none"/>
        </w:rPr>
      </w:pPr>
    </w:p>
    <w:p w14:paraId="04C04917">
      <w:pPr>
        <w:spacing w:after="0" w:line="360" w:lineRule="exact"/>
        <w:jc w:val="left"/>
        <w:rPr>
          <w:rFonts w:hint="eastAsia" w:ascii="宋体" w:hAnsi="宋体"/>
          <w:b/>
          <w:color w:val="auto"/>
          <w:highlight w:val="none"/>
        </w:rPr>
      </w:pPr>
      <w:r>
        <w:rPr>
          <w:rFonts w:hint="eastAsia" w:ascii="宋体" w:hAnsi="宋体"/>
          <w:b/>
          <w:color w:val="auto"/>
          <w:highlight w:val="none"/>
        </w:rPr>
        <w:t>附</w:t>
      </w:r>
      <w:r>
        <w:rPr>
          <w:rFonts w:ascii="宋体" w:hAnsi="宋体"/>
          <w:b/>
          <w:color w:val="auto"/>
          <w:highlight w:val="none"/>
        </w:rPr>
        <w:t>件</w:t>
      </w:r>
      <w:r>
        <w:rPr>
          <w:rFonts w:hint="eastAsia" w:ascii="宋体" w:hAnsi="宋体"/>
          <w:b/>
          <w:color w:val="auto"/>
          <w:highlight w:val="none"/>
        </w:rPr>
        <w:t>1</w:t>
      </w:r>
    </w:p>
    <w:p w14:paraId="1C7F7783">
      <w:pPr>
        <w:spacing w:after="0" w:line="360" w:lineRule="exact"/>
        <w:jc w:val="left"/>
        <w:rPr>
          <w:rFonts w:ascii="宋体" w:hAnsi="宋体"/>
          <w:color w:val="auto"/>
          <w:highlight w:val="none"/>
        </w:rPr>
      </w:pPr>
    </w:p>
    <w:p w14:paraId="7094FBA5">
      <w:pPr>
        <w:spacing w:after="0" w:line="360" w:lineRule="exact"/>
        <w:jc w:val="center"/>
        <w:rPr>
          <w:rFonts w:ascii="宋体" w:hAnsi="宋体"/>
          <w:color w:val="auto"/>
          <w:highlight w:val="none"/>
        </w:rPr>
      </w:pPr>
      <w:r>
        <w:rPr>
          <w:rFonts w:hint="eastAsia" w:ascii="宋体" w:hAnsi="宋体" w:cs="宋体"/>
          <w:b/>
          <w:color w:val="auto"/>
          <w:sz w:val="32"/>
          <w:szCs w:val="32"/>
          <w:highlight w:val="none"/>
        </w:rPr>
        <w:t>202</w:t>
      </w:r>
      <w:r>
        <w:rPr>
          <w:rFonts w:hint="eastAsia" w:ascii="宋体" w:hAnsi="宋体" w:cs="宋体"/>
          <w:b/>
          <w:color w:val="auto"/>
          <w:sz w:val="32"/>
          <w:szCs w:val="32"/>
          <w:highlight w:val="none"/>
          <w:lang w:val="en-US" w:eastAsia="zh-CN"/>
        </w:rPr>
        <w:t>6</w:t>
      </w:r>
      <w:r>
        <w:rPr>
          <w:rFonts w:hint="eastAsia" w:ascii="宋体" w:hAnsi="宋体" w:cs="宋体"/>
          <w:b/>
          <w:color w:val="auto"/>
          <w:sz w:val="32"/>
          <w:szCs w:val="32"/>
          <w:highlight w:val="none"/>
        </w:rPr>
        <w:t>年联网收费系统运维服务详细要求</w:t>
      </w:r>
    </w:p>
    <w:p w14:paraId="60A8312D">
      <w:pPr>
        <w:spacing w:after="0" w:line="360" w:lineRule="exact"/>
        <w:jc w:val="left"/>
        <w:rPr>
          <w:rFonts w:ascii="宋体" w:hAnsi="宋体"/>
          <w:color w:val="auto"/>
          <w:highlight w:val="none"/>
        </w:rPr>
      </w:pPr>
    </w:p>
    <w:p w14:paraId="77FAD2E7">
      <w:pPr>
        <w:spacing w:after="0" w:line="360" w:lineRule="exact"/>
        <w:ind w:firstLine="422" w:firstLineChars="200"/>
        <w:jc w:val="left"/>
        <w:rPr>
          <w:rFonts w:ascii="宋体" w:hAnsi="宋体" w:cs="Arial"/>
          <w:b/>
          <w:bCs/>
          <w:color w:val="auto"/>
          <w:szCs w:val="21"/>
          <w:highlight w:val="none"/>
        </w:rPr>
      </w:pPr>
      <w:r>
        <w:rPr>
          <w:rFonts w:hint="eastAsia" w:ascii="宋体" w:hAnsi="宋体" w:cs="Arial"/>
          <w:b/>
          <w:bCs/>
          <w:color w:val="auto"/>
          <w:szCs w:val="21"/>
          <w:highlight w:val="none"/>
        </w:rPr>
        <w:t>一、联网收费系统</w:t>
      </w:r>
      <w:r>
        <w:rPr>
          <w:rFonts w:hint="eastAsia" w:ascii="宋体" w:hAnsi="宋体" w:cs="Arial"/>
          <w:b/>
          <w:bCs/>
          <w:color w:val="auto"/>
          <w:szCs w:val="21"/>
          <w:highlight w:val="none"/>
          <w:lang w:eastAsia="zh"/>
        </w:rPr>
        <w:t>运维</w:t>
      </w:r>
      <w:r>
        <w:rPr>
          <w:rFonts w:hint="eastAsia" w:ascii="宋体" w:hAnsi="宋体" w:cs="Arial"/>
          <w:b/>
          <w:bCs/>
          <w:color w:val="auto"/>
          <w:szCs w:val="21"/>
          <w:highlight w:val="none"/>
        </w:rPr>
        <w:t>背景</w:t>
      </w:r>
    </w:p>
    <w:p w14:paraId="4AB1A76A">
      <w:pPr>
        <w:spacing w:after="0" w:line="360" w:lineRule="exact"/>
        <w:ind w:firstLine="420" w:firstLineChars="200"/>
        <w:jc w:val="left"/>
        <w:rPr>
          <w:rFonts w:ascii="宋体" w:hAnsi="宋体" w:cs="Arial"/>
          <w:bCs/>
          <w:color w:val="auto"/>
          <w:szCs w:val="21"/>
          <w:highlight w:val="none"/>
          <w:lang w:eastAsia="zh"/>
        </w:rPr>
      </w:pPr>
      <w:r>
        <w:rPr>
          <w:rFonts w:hint="eastAsia" w:ascii="宋体" w:hAnsi="宋体" w:cs="Arial"/>
          <w:bCs/>
          <w:color w:val="auto"/>
          <w:szCs w:val="21"/>
          <w:highlight w:val="none"/>
        </w:rPr>
        <w:t>广西高速公路联网收费系统是一个包含收费、清分、稽查等子系统在内的综合系统，</w:t>
      </w:r>
      <w:r>
        <w:rPr>
          <w:rFonts w:hint="eastAsia" w:ascii="宋体" w:hAnsi="宋体" w:cs="Arial"/>
          <w:bCs/>
          <w:color w:val="auto"/>
          <w:szCs w:val="21"/>
          <w:highlight w:val="none"/>
          <w:lang w:eastAsia="zh"/>
        </w:rPr>
        <w:t>是广西</w:t>
      </w:r>
      <w:r>
        <w:rPr>
          <w:rFonts w:hint="eastAsia" w:ascii="宋体" w:hAnsi="宋体" w:cs="Arial"/>
          <w:bCs/>
          <w:color w:val="auto"/>
          <w:szCs w:val="21"/>
          <w:highlight w:val="none"/>
        </w:rPr>
        <w:t>高速公路</w:t>
      </w:r>
      <w:r>
        <w:rPr>
          <w:rFonts w:hint="eastAsia" w:ascii="宋体" w:hAnsi="宋体" w:cs="Arial"/>
          <w:bCs/>
          <w:color w:val="auto"/>
          <w:szCs w:val="21"/>
          <w:highlight w:val="none"/>
          <w:lang w:eastAsia="zh"/>
        </w:rPr>
        <w:t>联网收费</w:t>
      </w:r>
      <w:r>
        <w:rPr>
          <w:rFonts w:hint="eastAsia" w:ascii="宋体" w:hAnsi="宋体" w:cs="Arial"/>
          <w:bCs/>
          <w:color w:val="auto"/>
          <w:szCs w:val="21"/>
          <w:highlight w:val="none"/>
        </w:rPr>
        <w:t>管理的</w:t>
      </w:r>
      <w:r>
        <w:rPr>
          <w:rFonts w:hint="eastAsia" w:ascii="宋体" w:hAnsi="宋体" w:cs="Arial"/>
          <w:bCs/>
          <w:color w:val="auto"/>
          <w:szCs w:val="21"/>
          <w:highlight w:val="none"/>
          <w:lang w:eastAsia="zh"/>
        </w:rPr>
        <w:t>重要系统</w:t>
      </w:r>
      <w:r>
        <w:rPr>
          <w:rFonts w:hint="eastAsia" w:ascii="宋体" w:hAnsi="宋体" w:cs="Arial"/>
          <w:bCs/>
          <w:color w:val="auto"/>
          <w:szCs w:val="21"/>
          <w:highlight w:val="none"/>
        </w:rPr>
        <w:t>，在保障高速公路正常运营中发挥着重要作用。它既是保证高速公路实现高速、安全、舒适功能的必要组成部分，也是保障高速公路正常运营的必要系统</w:t>
      </w:r>
      <w:r>
        <w:rPr>
          <w:rFonts w:hint="eastAsia" w:ascii="宋体" w:hAnsi="宋体" w:cs="Arial"/>
          <w:bCs/>
          <w:color w:val="auto"/>
          <w:szCs w:val="21"/>
          <w:highlight w:val="none"/>
          <w:lang w:eastAsia="zh"/>
        </w:rPr>
        <w:t>，它主要有省中心系统和车道收费系统两个重要组成部分。</w:t>
      </w:r>
    </w:p>
    <w:p w14:paraId="2C416C4F">
      <w:pPr>
        <w:spacing w:after="0" w:line="360" w:lineRule="exact"/>
        <w:ind w:firstLine="420" w:firstLineChars="200"/>
        <w:jc w:val="left"/>
        <w:rPr>
          <w:rFonts w:ascii="宋体" w:hAnsi="宋体" w:cs="Arial"/>
          <w:bCs/>
          <w:color w:val="auto"/>
          <w:szCs w:val="21"/>
          <w:highlight w:val="none"/>
        </w:rPr>
      </w:pPr>
      <w:r>
        <w:rPr>
          <w:rFonts w:hint="eastAsia" w:ascii="宋体" w:hAnsi="宋体" w:cs="Arial"/>
          <w:bCs/>
          <w:color w:val="auto"/>
          <w:szCs w:val="21"/>
          <w:highlight w:val="none"/>
        </w:rPr>
        <w:t>其中，省中心系统负责对全区的收费信息、报表、清分结算、稽核、密钥授权等内容进行整合管理，是全区收费业务的大脑</w:t>
      </w:r>
      <w:r>
        <w:rPr>
          <w:rFonts w:hint="eastAsia" w:ascii="宋体" w:hAnsi="宋体" w:cs="Arial"/>
          <w:bCs/>
          <w:color w:val="auto"/>
          <w:szCs w:val="21"/>
          <w:highlight w:val="none"/>
          <w:lang w:eastAsia="zh"/>
        </w:rPr>
        <w:t>，</w:t>
      </w:r>
      <w:r>
        <w:rPr>
          <w:rFonts w:hint="eastAsia" w:ascii="宋体" w:hAnsi="宋体" w:cs="Arial"/>
          <w:bCs/>
          <w:color w:val="auto"/>
          <w:szCs w:val="21"/>
          <w:highlight w:val="none"/>
        </w:rPr>
        <w:t>省中心系统需要处理海量的数据，各子系统相互关联，需要对其进行综合且专业的维护。</w:t>
      </w:r>
      <w:r>
        <w:rPr>
          <w:rFonts w:hint="eastAsia" w:ascii="宋体" w:hAnsi="宋体" w:cs="Arial"/>
          <w:bCs/>
          <w:color w:val="auto"/>
          <w:szCs w:val="21"/>
          <w:highlight w:val="none"/>
          <w:lang w:eastAsia="zh"/>
        </w:rPr>
        <w:t>车道收费系统负责收费站车道现场收费业务，保证收费站现场的收费秩序，</w:t>
      </w:r>
      <w:r>
        <w:rPr>
          <w:rFonts w:hint="eastAsia" w:ascii="宋体" w:hAnsi="宋体" w:cs="Arial"/>
          <w:bCs/>
          <w:color w:val="auto"/>
          <w:szCs w:val="21"/>
          <w:highlight w:val="none"/>
        </w:rPr>
        <w:t>截至2025年</w:t>
      </w:r>
      <w:r>
        <w:rPr>
          <w:rFonts w:ascii="宋体" w:hAnsi="宋体" w:cs="Arial"/>
          <w:bCs/>
          <w:color w:val="auto"/>
          <w:szCs w:val="21"/>
          <w:highlight w:val="none"/>
        </w:rPr>
        <w:t>1</w:t>
      </w:r>
      <w:r>
        <w:rPr>
          <w:rFonts w:hint="eastAsia" w:ascii="宋体" w:hAnsi="宋体" w:cs="Arial"/>
          <w:bCs/>
          <w:color w:val="auto"/>
          <w:szCs w:val="21"/>
          <w:highlight w:val="none"/>
          <w:lang w:val="en-US" w:eastAsia="zh-CN"/>
        </w:rPr>
        <w:t>2</w:t>
      </w:r>
      <w:r>
        <w:rPr>
          <w:rFonts w:hint="eastAsia" w:ascii="宋体" w:hAnsi="宋体" w:cs="Arial"/>
          <w:bCs/>
          <w:color w:val="auto"/>
          <w:szCs w:val="21"/>
          <w:highlight w:val="none"/>
        </w:rPr>
        <w:t>月，广西高速公路联网收费车道已经超过</w:t>
      </w:r>
      <w:r>
        <w:rPr>
          <w:rFonts w:hint="eastAsia" w:ascii="宋体" w:hAnsi="宋体" w:cs="Arial"/>
          <w:bCs/>
          <w:color w:val="auto"/>
          <w:szCs w:val="21"/>
          <w:highlight w:val="none"/>
          <w:lang w:val="en-US" w:eastAsia="zh-CN"/>
        </w:rPr>
        <w:t>8</w:t>
      </w:r>
      <w:r>
        <w:rPr>
          <w:rFonts w:hint="eastAsia" w:ascii="宋体" w:hAnsi="宋体" w:cs="Arial"/>
          <w:bCs/>
          <w:color w:val="auto"/>
          <w:szCs w:val="21"/>
          <w:highlight w:val="none"/>
        </w:rPr>
        <w:t>200条（含便携设备车道），每条车道都使用统一的车道收费系统。收费现场快速处理各种收费业务，收费数据要求实时上传至站级、省级、部级，需要及时和专业的维护才能保证系统长久正常、稳定、安全的运行。</w:t>
      </w:r>
    </w:p>
    <w:p w14:paraId="2F650C04">
      <w:pPr>
        <w:spacing w:after="0" w:line="360" w:lineRule="exact"/>
        <w:ind w:firstLine="422" w:firstLineChars="200"/>
        <w:jc w:val="left"/>
        <w:rPr>
          <w:rFonts w:ascii="宋体" w:hAnsi="宋体" w:cs="Arial"/>
          <w:b/>
          <w:bCs/>
          <w:color w:val="auto"/>
          <w:szCs w:val="21"/>
          <w:highlight w:val="none"/>
        </w:rPr>
      </w:pPr>
      <w:r>
        <w:rPr>
          <w:rFonts w:hint="eastAsia" w:ascii="宋体" w:hAnsi="宋体" w:cs="Arial"/>
          <w:b/>
          <w:bCs/>
          <w:color w:val="auto"/>
          <w:szCs w:val="21"/>
          <w:highlight w:val="none"/>
        </w:rPr>
        <w:t>二、维护目的</w:t>
      </w:r>
    </w:p>
    <w:p w14:paraId="01C3EF16">
      <w:pPr>
        <w:spacing w:after="0" w:line="360" w:lineRule="exact"/>
        <w:ind w:firstLine="420" w:firstLineChars="200"/>
        <w:jc w:val="left"/>
        <w:rPr>
          <w:rFonts w:ascii="宋体" w:hAnsi="宋体" w:cs="Arial"/>
          <w:bCs/>
          <w:color w:val="auto"/>
          <w:szCs w:val="21"/>
          <w:highlight w:val="none"/>
        </w:rPr>
      </w:pPr>
      <w:r>
        <w:rPr>
          <w:rFonts w:hint="eastAsia" w:ascii="宋体" w:hAnsi="宋体" w:cs="Arial"/>
          <w:bCs/>
          <w:color w:val="auto"/>
          <w:szCs w:val="21"/>
          <w:highlight w:val="none"/>
        </w:rPr>
        <w:t>对广西联网收费</w:t>
      </w:r>
      <w:r>
        <w:rPr>
          <w:rFonts w:hint="eastAsia" w:ascii="宋体" w:hAnsi="宋体" w:cs="Arial"/>
          <w:bCs/>
          <w:color w:val="auto"/>
          <w:szCs w:val="21"/>
          <w:highlight w:val="none"/>
          <w:lang w:eastAsia="zh"/>
        </w:rPr>
        <w:t>系统中的</w:t>
      </w:r>
      <w:r>
        <w:rPr>
          <w:rFonts w:hint="eastAsia" w:ascii="宋体" w:hAnsi="宋体" w:cs="Arial"/>
          <w:bCs/>
          <w:color w:val="auto"/>
          <w:szCs w:val="21"/>
          <w:highlight w:val="none"/>
        </w:rPr>
        <w:t xml:space="preserve">省中心系统及全区高速公路收费车道系统进行日常维护与升级和专业的维保，确保系统正常运行。 </w:t>
      </w:r>
    </w:p>
    <w:p w14:paraId="25FEF5F3">
      <w:pPr>
        <w:spacing w:after="0" w:line="360" w:lineRule="exact"/>
        <w:ind w:firstLine="422" w:firstLineChars="200"/>
        <w:jc w:val="left"/>
        <w:rPr>
          <w:rFonts w:ascii="宋体" w:hAnsi="宋体" w:cs="Arial"/>
          <w:b/>
          <w:bCs/>
          <w:color w:val="auto"/>
          <w:szCs w:val="21"/>
          <w:highlight w:val="none"/>
        </w:rPr>
      </w:pPr>
      <w:r>
        <w:rPr>
          <w:rFonts w:hint="eastAsia" w:ascii="宋体" w:hAnsi="宋体" w:cs="Arial"/>
          <w:b/>
          <w:bCs/>
          <w:color w:val="auto"/>
          <w:szCs w:val="21"/>
          <w:highlight w:val="none"/>
        </w:rPr>
        <w:t>三、服务内容</w:t>
      </w:r>
    </w:p>
    <w:p w14:paraId="7701EE7E">
      <w:pPr>
        <w:spacing w:after="0" w:line="360" w:lineRule="exact"/>
        <w:ind w:firstLine="420" w:firstLineChars="200"/>
        <w:jc w:val="left"/>
        <w:rPr>
          <w:rFonts w:ascii="宋体" w:hAnsi="宋体" w:cs="Arial"/>
          <w:bCs/>
          <w:color w:val="auto"/>
          <w:szCs w:val="21"/>
          <w:highlight w:val="none"/>
        </w:rPr>
      </w:pPr>
      <w:r>
        <w:rPr>
          <w:rFonts w:hint="eastAsia" w:ascii="宋体" w:hAnsi="宋体" w:cs="Arial"/>
          <w:bCs/>
          <w:color w:val="auto"/>
          <w:szCs w:val="21"/>
          <w:highlight w:val="none"/>
        </w:rPr>
        <w:t>1</w:t>
      </w:r>
      <w:r>
        <w:rPr>
          <w:rFonts w:ascii="宋体" w:hAnsi="宋体" w:cs="Arial"/>
          <w:bCs/>
          <w:color w:val="auto"/>
          <w:szCs w:val="21"/>
          <w:highlight w:val="none"/>
        </w:rPr>
        <w:t>.</w:t>
      </w:r>
      <w:r>
        <w:rPr>
          <w:rFonts w:hint="eastAsia" w:ascii="宋体" w:hAnsi="宋体" w:cs="Arial"/>
          <w:bCs/>
          <w:color w:val="auto"/>
          <w:szCs w:val="21"/>
          <w:highlight w:val="none"/>
        </w:rPr>
        <w:t>省中心系统专项运维（包括但不仅限于以下范围）</w:t>
      </w:r>
    </w:p>
    <w:tbl>
      <w:tblPr>
        <w:tblStyle w:val="49"/>
        <w:tblW w:w="8727"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1624"/>
        <w:gridCol w:w="5647"/>
      </w:tblGrid>
      <w:tr w14:paraId="251A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shd w:val="clear" w:color="auto" w:fill="FFFFFF"/>
            <w:vAlign w:val="center"/>
          </w:tcPr>
          <w:p w14:paraId="26792242">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系统/服务</w:t>
            </w:r>
          </w:p>
        </w:tc>
        <w:tc>
          <w:tcPr>
            <w:tcW w:w="1624" w:type="dxa"/>
            <w:shd w:val="clear" w:color="auto" w:fill="FFFFFF"/>
            <w:vAlign w:val="center"/>
          </w:tcPr>
          <w:p w14:paraId="59F846E0">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模块</w:t>
            </w:r>
          </w:p>
        </w:tc>
        <w:tc>
          <w:tcPr>
            <w:tcW w:w="5647" w:type="dxa"/>
            <w:shd w:val="clear" w:color="auto" w:fill="FFFFFF"/>
            <w:vAlign w:val="center"/>
          </w:tcPr>
          <w:p w14:paraId="1A06C570">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范围</w:t>
            </w:r>
          </w:p>
        </w:tc>
      </w:tr>
      <w:tr w14:paraId="1390F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restart"/>
            <w:vAlign w:val="center"/>
          </w:tcPr>
          <w:p w14:paraId="19B7CB34">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平台管理系统</w:t>
            </w:r>
          </w:p>
        </w:tc>
        <w:tc>
          <w:tcPr>
            <w:tcW w:w="1624" w:type="dxa"/>
            <w:vAlign w:val="center"/>
          </w:tcPr>
          <w:p w14:paraId="3D96CCCC">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用户管理</w:t>
            </w:r>
          </w:p>
        </w:tc>
        <w:tc>
          <w:tcPr>
            <w:tcW w:w="5647" w:type="dxa"/>
            <w:vAlign w:val="center"/>
          </w:tcPr>
          <w:p w14:paraId="1A4926FE">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sz w:val="21"/>
                <w:szCs w:val="21"/>
                <w:highlight w:val="none"/>
                <w:lang w:eastAsia="zh"/>
              </w:rPr>
            </w:pPr>
            <w:r>
              <w:rPr>
                <w:rFonts w:hint="eastAsia" w:ascii="宋体" w:hAnsi="宋体" w:eastAsia="宋体" w:cs="宋体"/>
                <w:color w:val="auto"/>
                <w:kern w:val="0"/>
                <w:sz w:val="21"/>
                <w:szCs w:val="21"/>
                <w:highlight w:val="none"/>
                <w:lang w:bidi="ar"/>
              </w:rPr>
              <w:t>保障系统</w:t>
            </w:r>
            <w:r>
              <w:rPr>
                <w:rFonts w:hint="eastAsia" w:ascii="宋体" w:hAnsi="宋体" w:eastAsia="宋体" w:cs="宋体"/>
                <w:color w:val="auto"/>
                <w:kern w:val="0"/>
                <w:sz w:val="21"/>
                <w:szCs w:val="21"/>
                <w:highlight w:val="none"/>
                <w:lang w:eastAsia="zh" w:bidi="ar"/>
              </w:rPr>
              <w:t>用户管理模块，包括</w:t>
            </w:r>
            <w:r>
              <w:rPr>
                <w:rFonts w:hint="eastAsia" w:ascii="宋体" w:hAnsi="宋体" w:eastAsia="宋体" w:cs="宋体"/>
                <w:color w:val="auto"/>
                <w:kern w:val="0"/>
                <w:sz w:val="21"/>
                <w:szCs w:val="21"/>
                <w:highlight w:val="none"/>
                <w:lang w:bidi="ar"/>
              </w:rPr>
              <w:t>新增、停用、启用账户，查看、修改账户角色和账户信息，修改、重置密码</w:t>
            </w:r>
            <w:r>
              <w:rPr>
                <w:rFonts w:hint="eastAsia" w:ascii="宋体" w:hAnsi="宋体" w:eastAsia="宋体" w:cs="宋体"/>
                <w:color w:val="auto"/>
                <w:kern w:val="0"/>
                <w:sz w:val="21"/>
                <w:szCs w:val="21"/>
                <w:highlight w:val="none"/>
                <w:lang w:eastAsia="zh" w:bidi="ar"/>
              </w:rPr>
              <w:t>等功能。</w:t>
            </w:r>
          </w:p>
        </w:tc>
      </w:tr>
      <w:tr w14:paraId="5C86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1C03DE44">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294C123C">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组织管理</w:t>
            </w:r>
          </w:p>
        </w:tc>
        <w:tc>
          <w:tcPr>
            <w:tcW w:w="5647" w:type="dxa"/>
            <w:vAlign w:val="center"/>
          </w:tcPr>
          <w:p w14:paraId="063D3EC9">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对清分方、发行方、拓展应用服务方</w:t>
            </w:r>
            <w:r>
              <w:rPr>
                <w:rFonts w:hint="eastAsia" w:ascii="宋体" w:hAnsi="宋体" w:eastAsia="宋体" w:cs="宋体"/>
                <w:color w:val="auto"/>
                <w:kern w:val="0"/>
                <w:sz w:val="21"/>
                <w:szCs w:val="21"/>
                <w:highlight w:val="none"/>
                <w:lang w:eastAsia="zh" w:bidi="ar"/>
              </w:rPr>
              <w:t>等各参与</w:t>
            </w:r>
            <w:r>
              <w:rPr>
                <w:rFonts w:hint="eastAsia" w:ascii="宋体" w:hAnsi="宋体" w:eastAsia="宋体" w:cs="宋体"/>
                <w:color w:val="auto"/>
                <w:kern w:val="0"/>
                <w:sz w:val="21"/>
                <w:szCs w:val="21"/>
                <w:highlight w:val="none"/>
                <w:lang w:bidi="ar"/>
              </w:rPr>
              <w:t>单位信息进行维护。</w:t>
            </w:r>
          </w:p>
        </w:tc>
      </w:tr>
      <w:tr w14:paraId="379AC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163D7C8F">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7B18DCA1">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配置管理</w:t>
            </w:r>
          </w:p>
        </w:tc>
        <w:tc>
          <w:tcPr>
            <w:tcW w:w="5647" w:type="dxa"/>
            <w:vAlign w:val="center"/>
          </w:tcPr>
          <w:p w14:paraId="6BD90E23">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对系统的权限、菜单及报表的展示、</w:t>
            </w:r>
            <w:r>
              <w:rPr>
                <w:rFonts w:hint="eastAsia" w:ascii="宋体" w:hAnsi="宋体" w:eastAsia="宋体" w:cs="宋体"/>
                <w:color w:val="auto"/>
                <w:kern w:val="0"/>
                <w:sz w:val="21"/>
                <w:szCs w:val="21"/>
                <w:highlight w:val="none"/>
                <w:lang w:bidi="ar"/>
              </w:rPr>
              <w:t>CA</w:t>
            </w:r>
            <w:r>
              <w:rPr>
                <w:rFonts w:hint="default" w:ascii="宋体" w:hAnsi="宋体" w:eastAsia="宋体" w:cs="宋体"/>
                <w:color w:val="auto"/>
                <w:kern w:val="0"/>
                <w:sz w:val="21"/>
                <w:szCs w:val="21"/>
                <w:highlight w:val="none"/>
                <w:lang w:bidi="ar"/>
              </w:rPr>
              <w:t>证书</w:t>
            </w:r>
            <w:r>
              <w:rPr>
                <w:rFonts w:hint="eastAsia" w:ascii="宋体" w:hAnsi="宋体" w:eastAsia="宋体" w:cs="宋体"/>
                <w:color w:val="auto"/>
                <w:kern w:val="0"/>
                <w:sz w:val="21"/>
                <w:szCs w:val="21"/>
                <w:highlight w:val="none"/>
                <w:lang w:eastAsia="zh" w:bidi="ar"/>
              </w:rPr>
              <w:t>管理等各项配置</w:t>
            </w:r>
            <w:r>
              <w:rPr>
                <w:rFonts w:hint="default" w:ascii="宋体" w:hAnsi="宋体" w:eastAsia="宋体" w:cs="宋体"/>
                <w:color w:val="auto"/>
                <w:kern w:val="0"/>
                <w:sz w:val="21"/>
                <w:szCs w:val="21"/>
                <w:highlight w:val="none"/>
                <w:lang w:bidi="ar"/>
              </w:rPr>
              <w:t>进行维护。</w:t>
            </w:r>
          </w:p>
        </w:tc>
      </w:tr>
      <w:tr w14:paraId="1640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24610030">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55A63FA9">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公告管理</w:t>
            </w:r>
          </w:p>
        </w:tc>
        <w:tc>
          <w:tcPr>
            <w:tcW w:w="5647" w:type="dxa"/>
            <w:vAlign w:val="center"/>
          </w:tcPr>
          <w:p w14:paraId="7D9ABD1D">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根据</w:t>
            </w:r>
            <w:r>
              <w:rPr>
                <w:rFonts w:hint="eastAsia" w:ascii="宋体" w:hAnsi="宋体" w:eastAsia="宋体" w:cs="宋体"/>
                <w:color w:val="auto"/>
                <w:kern w:val="0"/>
                <w:sz w:val="21"/>
                <w:szCs w:val="21"/>
                <w:highlight w:val="none"/>
                <w:lang w:eastAsia="zh" w:bidi="ar"/>
              </w:rPr>
              <w:t>采购人</w:t>
            </w:r>
            <w:r>
              <w:rPr>
                <w:rFonts w:hint="eastAsia" w:ascii="宋体" w:hAnsi="宋体" w:eastAsia="宋体" w:cs="宋体"/>
                <w:color w:val="auto"/>
                <w:kern w:val="0"/>
                <w:sz w:val="21"/>
                <w:szCs w:val="21"/>
                <w:highlight w:val="none"/>
                <w:lang w:bidi="ar"/>
              </w:rPr>
              <w:t>需要对</w:t>
            </w:r>
            <w:r>
              <w:rPr>
                <w:rFonts w:hint="eastAsia" w:ascii="宋体" w:hAnsi="宋体" w:eastAsia="宋体" w:cs="宋体"/>
                <w:color w:val="auto"/>
                <w:kern w:val="0"/>
                <w:sz w:val="21"/>
                <w:szCs w:val="21"/>
                <w:highlight w:val="none"/>
                <w:lang w:eastAsia="zh" w:bidi="ar"/>
              </w:rPr>
              <w:t>系统</w:t>
            </w:r>
            <w:r>
              <w:rPr>
                <w:rFonts w:hint="eastAsia" w:ascii="宋体" w:hAnsi="宋体" w:eastAsia="宋体" w:cs="宋体"/>
                <w:color w:val="auto"/>
                <w:kern w:val="0"/>
                <w:sz w:val="21"/>
                <w:szCs w:val="21"/>
                <w:highlight w:val="none"/>
                <w:lang w:bidi="ar"/>
              </w:rPr>
              <w:t>公告进行发布、修改、删除。</w:t>
            </w:r>
          </w:p>
        </w:tc>
      </w:tr>
      <w:tr w14:paraId="199A8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3039B651">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737D143F">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收费服务方信息管理</w:t>
            </w:r>
          </w:p>
        </w:tc>
        <w:tc>
          <w:tcPr>
            <w:tcW w:w="5647" w:type="dxa"/>
            <w:vAlign w:val="center"/>
          </w:tcPr>
          <w:p w14:paraId="04786382">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保障</w:t>
            </w:r>
            <w:r>
              <w:rPr>
                <w:rFonts w:hint="eastAsia" w:ascii="宋体" w:hAnsi="宋体" w:eastAsia="宋体" w:cs="宋体"/>
                <w:color w:val="auto"/>
                <w:kern w:val="0"/>
                <w:sz w:val="21"/>
                <w:szCs w:val="21"/>
                <w:highlight w:val="none"/>
                <w:lang w:eastAsia="zh" w:bidi="ar"/>
              </w:rPr>
              <w:t>收费服务方信息管理功能，包括</w:t>
            </w:r>
            <w:r>
              <w:rPr>
                <w:rFonts w:hint="eastAsia" w:ascii="宋体" w:hAnsi="宋体" w:eastAsia="宋体" w:cs="宋体"/>
                <w:color w:val="auto"/>
                <w:kern w:val="0"/>
                <w:sz w:val="21"/>
                <w:szCs w:val="21"/>
                <w:highlight w:val="none"/>
                <w:lang w:bidi="ar"/>
              </w:rPr>
              <w:t>添加、修改、审核、删除、锁定和解锁收费业主、收费公路、收费路段、收费单元、收费站、收费广场、收费车道、收费门架等</w:t>
            </w:r>
            <w:r>
              <w:rPr>
                <w:rFonts w:hint="eastAsia" w:ascii="宋体" w:hAnsi="宋体" w:eastAsia="宋体" w:cs="宋体"/>
                <w:color w:val="auto"/>
                <w:kern w:val="0"/>
                <w:sz w:val="21"/>
                <w:szCs w:val="21"/>
                <w:highlight w:val="none"/>
                <w:lang w:eastAsia="zh" w:bidi="ar"/>
              </w:rPr>
              <w:t>功能</w:t>
            </w:r>
            <w:r>
              <w:rPr>
                <w:rFonts w:hint="eastAsia" w:ascii="宋体" w:hAnsi="宋体" w:eastAsia="宋体" w:cs="宋体"/>
                <w:color w:val="auto"/>
                <w:kern w:val="0"/>
                <w:sz w:val="21"/>
                <w:szCs w:val="21"/>
                <w:highlight w:val="none"/>
                <w:lang w:bidi="ar"/>
              </w:rPr>
              <w:t>。</w:t>
            </w:r>
          </w:p>
        </w:tc>
      </w:tr>
      <w:tr w14:paraId="5C2D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028DCDBB">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483B0E29">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拓展服务方信息管理</w:t>
            </w:r>
          </w:p>
        </w:tc>
        <w:tc>
          <w:tcPr>
            <w:tcW w:w="5647" w:type="dxa"/>
            <w:vAlign w:val="center"/>
          </w:tcPr>
          <w:p w14:paraId="32561892">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sz w:val="21"/>
                <w:szCs w:val="21"/>
                <w:highlight w:val="none"/>
                <w:lang w:eastAsia="zh"/>
              </w:rPr>
            </w:pPr>
            <w:r>
              <w:rPr>
                <w:rFonts w:hint="eastAsia" w:ascii="宋体" w:hAnsi="宋体" w:eastAsia="宋体" w:cs="宋体"/>
                <w:color w:val="auto"/>
                <w:kern w:val="0"/>
                <w:sz w:val="21"/>
                <w:szCs w:val="21"/>
                <w:highlight w:val="none"/>
                <w:lang w:bidi="ar"/>
              </w:rPr>
              <w:t>保障拓展服务方信息管理</w:t>
            </w:r>
            <w:r>
              <w:rPr>
                <w:rFonts w:hint="eastAsia" w:ascii="宋体" w:hAnsi="宋体" w:eastAsia="宋体" w:cs="宋体"/>
                <w:color w:val="auto"/>
                <w:kern w:val="0"/>
                <w:sz w:val="21"/>
                <w:szCs w:val="21"/>
                <w:highlight w:val="none"/>
                <w:lang w:eastAsia="zh" w:bidi="ar"/>
              </w:rPr>
              <w:t>功能，包括</w:t>
            </w:r>
            <w:r>
              <w:rPr>
                <w:rFonts w:hint="eastAsia" w:ascii="宋体" w:hAnsi="宋体" w:eastAsia="宋体" w:cs="宋体"/>
                <w:color w:val="auto"/>
                <w:kern w:val="0"/>
                <w:sz w:val="21"/>
                <w:szCs w:val="21"/>
                <w:highlight w:val="none"/>
                <w:lang w:bidi="ar"/>
              </w:rPr>
              <w:t>添加、修改、审核、删除、锁定和解锁停车场、服务区、加油站等</w:t>
            </w:r>
            <w:r>
              <w:rPr>
                <w:rFonts w:hint="eastAsia" w:ascii="宋体" w:hAnsi="宋体" w:eastAsia="宋体" w:cs="宋体"/>
                <w:color w:val="auto"/>
                <w:kern w:val="0"/>
                <w:sz w:val="21"/>
                <w:szCs w:val="21"/>
                <w:highlight w:val="none"/>
                <w:lang w:eastAsia="zh" w:bidi="ar"/>
              </w:rPr>
              <w:t>功能。</w:t>
            </w:r>
          </w:p>
        </w:tc>
      </w:tr>
      <w:tr w14:paraId="6D1F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4EC69BD8">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12916337">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日志管理</w:t>
            </w:r>
          </w:p>
        </w:tc>
        <w:tc>
          <w:tcPr>
            <w:tcW w:w="5647" w:type="dxa"/>
            <w:vAlign w:val="center"/>
          </w:tcPr>
          <w:p w14:paraId="06D00564">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保障系统能够记录</w:t>
            </w:r>
            <w:r>
              <w:rPr>
                <w:rFonts w:hint="eastAsia" w:ascii="宋体" w:hAnsi="宋体" w:eastAsia="宋体" w:cs="宋体"/>
                <w:color w:val="auto"/>
                <w:kern w:val="0"/>
                <w:sz w:val="21"/>
                <w:szCs w:val="21"/>
                <w:highlight w:val="none"/>
                <w:lang w:eastAsia="zh" w:bidi="ar"/>
              </w:rPr>
              <w:t>并</w:t>
            </w:r>
            <w:r>
              <w:rPr>
                <w:rFonts w:hint="eastAsia" w:ascii="宋体" w:hAnsi="宋体" w:eastAsia="宋体" w:cs="宋体"/>
                <w:color w:val="auto"/>
                <w:kern w:val="0"/>
                <w:sz w:val="21"/>
                <w:szCs w:val="21"/>
                <w:highlight w:val="none"/>
                <w:lang w:bidi="ar"/>
              </w:rPr>
              <w:t>查询</w:t>
            </w:r>
            <w:r>
              <w:rPr>
                <w:rFonts w:hint="eastAsia" w:ascii="宋体" w:hAnsi="宋体" w:eastAsia="宋体" w:cs="宋体"/>
                <w:color w:val="auto"/>
                <w:kern w:val="0"/>
                <w:sz w:val="21"/>
                <w:szCs w:val="21"/>
                <w:highlight w:val="none"/>
                <w:lang w:eastAsia="zh" w:bidi="ar"/>
              </w:rPr>
              <w:t>各</w:t>
            </w:r>
            <w:r>
              <w:rPr>
                <w:rFonts w:hint="eastAsia" w:ascii="宋体" w:hAnsi="宋体" w:eastAsia="宋体" w:cs="宋体"/>
                <w:color w:val="auto"/>
                <w:kern w:val="0"/>
                <w:sz w:val="21"/>
                <w:szCs w:val="21"/>
                <w:highlight w:val="none"/>
                <w:lang w:val="en-US" w:eastAsia="zh-CN" w:bidi="ar"/>
              </w:rPr>
              <w:t>用户</w:t>
            </w:r>
            <w:r>
              <w:rPr>
                <w:rFonts w:hint="eastAsia" w:ascii="宋体" w:hAnsi="宋体" w:eastAsia="宋体" w:cs="宋体"/>
                <w:color w:val="auto"/>
                <w:kern w:val="0"/>
                <w:sz w:val="21"/>
                <w:szCs w:val="21"/>
                <w:highlight w:val="none"/>
                <w:lang w:bidi="ar"/>
              </w:rPr>
              <w:t>在系统上的操作日志。</w:t>
            </w:r>
          </w:p>
        </w:tc>
      </w:tr>
      <w:tr w14:paraId="1D66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restart"/>
            <w:vAlign w:val="center"/>
          </w:tcPr>
          <w:p w14:paraId="041D19F9">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收费管理系统</w:t>
            </w:r>
          </w:p>
        </w:tc>
        <w:tc>
          <w:tcPr>
            <w:tcW w:w="1624" w:type="dxa"/>
            <w:vAlign w:val="center"/>
          </w:tcPr>
          <w:p w14:paraId="1E0E6BB7">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首页</w:t>
            </w:r>
          </w:p>
        </w:tc>
        <w:tc>
          <w:tcPr>
            <w:tcW w:w="5647" w:type="dxa"/>
            <w:vAlign w:val="center"/>
          </w:tcPr>
          <w:p w14:paraId="19ABB115">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保障首页能够正常提示</w:t>
            </w:r>
            <w:r>
              <w:rPr>
                <w:rFonts w:hint="eastAsia" w:ascii="宋体" w:hAnsi="宋体" w:eastAsia="宋体" w:cs="宋体"/>
                <w:color w:val="auto"/>
                <w:kern w:val="0"/>
                <w:sz w:val="21"/>
                <w:szCs w:val="21"/>
                <w:highlight w:val="none"/>
                <w:lang w:val="en-US" w:eastAsia="zh-CN" w:bidi="ar"/>
              </w:rPr>
              <w:t>用户</w:t>
            </w:r>
            <w:r>
              <w:rPr>
                <w:rFonts w:hint="eastAsia" w:ascii="宋体" w:hAnsi="宋体" w:eastAsia="宋体" w:cs="宋体"/>
                <w:color w:val="auto"/>
                <w:kern w:val="0"/>
                <w:sz w:val="21"/>
                <w:szCs w:val="21"/>
                <w:highlight w:val="none"/>
                <w:lang w:bidi="ar"/>
              </w:rPr>
              <w:t>的待办事项和业务情况总览。</w:t>
            </w:r>
          </w:p>
        </w:tc>
      </w:tr>
      <w:tr w14:paraId="4190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4C9374D4">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455FBC97">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交班管理</w:t>
            </w:r>
          </w:p>
        </w:tc>
        <w:tc>
          <w:tcPr>
            <w:tcW w:w="5647" w:type="dxa"/>
            <w:vAlign w:val="center"/>
          </w:tcPr>
          <w:p w14:paraId="3C302011">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保障系统能够正常进行交班登记，自动汇总班报日报，管理值班信息，查询入、出口原始数据及图片，进行完整性校验和报表审核并协助</w:t>
            </w:r>
            <w:r>
              <w:rPr>
                <w:rFonts w:hint="eastAsia" w:ascii="宋体" w:hAnsi="宋体" w:eastAsia="宋体" w:cs="宋体"/>
                <w:color w:val="auto"/>
                <w:kern w:val="0"/>
                <w:sz w:val="21"/>
                <w:szCs w:val="21"/>
                <w:highlight w:val="none"/>
                <w:lang w:val="en-US" w:eastAsia="zh-CN" w:bidi="ar"/>
              </w:rPr>
              <w:t>用户</w:t>
            </w:r>
            <w:r>
              <w:rPr>
                <w:rFonts w:hint="eastAsia" w:ascii="宋体" w:hAnsi="宋体" w:eastAsia="宋体" w:cs="宋体"/>
                <w:color w:val="auto"/>
                <w:kern w:val="0"/>
                <w:sz w:val="21"/>
                <w:szCs w:val="21"/>
                <w:highlight w:val="none"/>
                <w:lang w:bidi="ar"/>
              </w:rPr>
              <w:t>对异常的值班信息、原始数据、非当次补缴单进行核对</w:t>
            </w:r>
            <w:r>
              <w:rPr>
                <w:rFonts w:hint="eastAsia" w:ascii="宋体" w:hAnsi="宋体" w:eastAsia="宋体" w:cs="宋体"/>
                <w:color w:val="auto"/>
                <w:kern w:val="0"/>
                <w:sz w:val="21"/>
                <w:szCs w:val="21"/>
                <w:highlight w:val="none"/>
                <w:lang w:eastAsia="zh" w:bidi="ar"/>
              </w:rPr>
              <w:t>等</w:t>
            </w:r>
            <w:r>
              <w:rPr>
                <w:rFonts w:hint="eastAsia" w:ascii="宋体" w:hAnsi="宋体" w:eastAsia="宋体" w:cs="宋体"/>
                <w:color w:val="auto"/>
                <w:kern w:val="0"/>
                <w:sz w:val="21"/>
                <w:szCs w:val="21"/>
                <w:highlight w:val="none"/>
                <w:lang w:bidi="ar"/>
              </w:rPr>
              <w:t>。</w:t>
            </w:r>
          </w:p>
        </w:tc>
      </w:tr>
      <w:tr w14:paraId="6DA3E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07296514">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6BE2A87A">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门架交易管理</w:t>
            </w:r>
          </w:p>
        </w:tc>
        <w:tc>
          <w:tcPr>
            <w:tcW w:w="5647" w:type="dxa"/>
            <w:vAlign w:val="center"/>
          </w:tcPr>
          <w:p w14:paraId="3953A55A">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保障系统能够正常查询门架交易流水和门架牌识流水。</w:t>
            </w:r>
          </w:p>
        </w:tc>
      </w:tr>
      <w:tr w14:paraId="31973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4C2779C0">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2B81C81B">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票据管理</w:t>
            </w:r>
          </w:p>
        </w:tc>
        <w:tc>
          <w:tcPr>
            <w:tcW w:w="5647" w:type="dxa"/>
            <w:vAlign w:val="center"/>
          </w:tcPr>
          <w:p w14:paraId="49261595">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保障系统能够正常进行票据的库存管理、调拨管理、下发车道并协助</w:t>
            </w:r>
            <w:r>
              <w:rPr>
                <w:rFonts w:hint="eastAsia" w:ascii="宋体" w:hAnsi="宋体" w:eastAsia="宋体" w:cs="宋体"/>
                <w:color w:val="auto"/>
                <w:kern w:val="0"/>
                <w:sz w:val="21"/>
                <w:szCs w:val="21"/>
                <w:highlight w:val="none"/>
                <w:lang w:val="en-US" w:eastAsia="zh-CN" w:bidi="ar"/>
              </w:rPr>
              <w:t>用户</w:t>
            </w:r>
            <w:r>
              <w:rPr>
                <w:rFonts w:hint="eastAsia" w:ascii="宋体" w:hAnsi="宋体" w:eastAsia="宋体" w:cs="宋体"/>
                <w:color w:val="auto"/>
                <w:kern w:val="0"/>
                <w:sz w:val="21"/>
                <w:szCs w:val="21"/>
                <w:highlight w:val="none"/>
                <w:lang w:bidi="ar"/>
              </w:rPr>
              <w:t>对异常票据信息进行核对。</w:t>
            </w:r>
          </w:p>
        </w:tc>
      </w:tr>
      <w:tr w14:paraId="29DA9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5B5F8598">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54201D1E">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实缴款</w:t>
            </w:r>
          </w:p>
        </w:tc>
        <w:tc>
          <w:tcPr>
            <w:tcW w:w="5647" w:type="dxa"/>
            <w:vAlign w:val="center"/>
          </w:tcPr>
          <w:p w14:paraId="57C17DD2">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保障系统能够正常进行制单、移交款包、银企核对、缴款结果核对并协助</w:t>
            </w:r>
            <w:r>
              <w:rPr>
                <w:rFonts w:hint="eastAsia" w:ascii="宋体" w:hAnsi="宋体" w:eastAsia="宋体" w:cs="宋体"/>
                <w:color w:val="auto"/>
                <w:kern w:val="0"/>
                <w:sz w:val="21"/>
                <w:szCs w:val="21"/>
                <w:highlight w:val="none"/>
                <w:lang w:val="en-US" w:eastAsia="zh-CN" w:bidi="ar"/>
              </w:rPr>
              <w:t>用户</w:t>
            </w:r>
            <w:r>
              <w:rPr>
                <w:rFonts w:hint="eastAsia" w:ascii="宋体" w:hAnsi="宋体" w:eastAsia="宋体" w:cs="宋体"/>
                <w:color w:val="auto"/>
                <w:kern w:val="0"/>
                <w:sz w:val="21"/>
                <w:szCs w:val="21"/>
                <w:highlight w:val="none"/>
                <w:lang w:bidi="ar"/>
              </w:rPr>
              <w:t>对异常的缴款信息进行核对。</w:t>
            </w:r>
          </w:p>
        </w:tc>
      </w:tr>
      <w:tr w14:paraId="07C68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3B2B6157">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3F731230">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报表浏览</w:t>
            </w:r>
          </w:p>
        </w:tc>
        <w:tc>
          <w:tcPr>
            <w:tcW w:w="5647" w:type="dxa"/>
            <w:vAlign w:val="center"/>
          </w:tcPr>
          <w:p w14:paraId="087F3397">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保障系统能正常生成交班管理、门架管理、票据管理的各类报表并协助</w:t>
            </w:r>
            <w:r>
              <w:rPr>
                <w:rFonts w:hint="eastAsia" w:ascii="宋体" w:hAnsi="宋体" w:eastAsia="宋体" w:cs="宋体"/>
                <w:color w:val="auto"/>
                <w:kern w:val="0"/>
                <w:sz w:val="21"/>
                <w:szCs w:val="21"/>
                <w:highlight w:val="none"/>
                <w:lang w:val="en-US" w:eastAsia="zh-CN" w:bidi="ar"/>
              </w:rPr>
              <w:t>用户</w:t>
            </w:r>
            <w:r>
              <w:rPr>
                <w:rFonts w:hint="eastAsia" w:ascii="宋体" w:hAnsi="宋体" w:eastAsia="宋体" w:cs="宋体"/>
                <w:color w:val="auto"/>
                <w:kern w:val="0"/>
                <w:sz w:val="21"/>
                <w:szCs w:val="21"/>
                <w:highlight w:val="none"/>
                <w:lang w:bidi="ar"/>
              </w:rPr>
              <w:t>对异常的报表数据进行核对。</w:t>
            </w:r>
          </w:p>
        </w:tc>
      </w:tr>
      <w:tr w14:paraId="5D9C6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restart"/>
            <w:vAlign w:val="center"/>
          </w:tcPr>
          <w:p w14:paraId="71454177">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移动支付对账系统</w:t>
            </w:r>
          </w:p>
        </w:tc>
        <w:tc>
          <w:tcPr>
            <w:tcW w:w="1624" w:type="dxa"/>
            <w:vAlign w:val="center"/>
          </w:tcPr>
          <w:p w14:paraId="4BEA7263">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对账报表浏览</w:t>
            </w:r>
          </w:p>
        </w:tc>
        <w:tc>
          <w:tcPr>
            <w:tcW w:w="5647" w:type="dxa"/>
            <w:vAlign w:val="center"/>
          </w:tcPr>
          <w:p w14:paraId="19FD5E2F">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保障系统能生成移动支付相关的员报、班报、日报等各类报表。</w:t>
            </w:r>
          </w:p>
        </w:tc>
      </w:tr>
      <w:tr w14:paraId="0119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0A24865A">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26687712">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对账信息查询</w:t>
            </w:r>
          </w:p>
        </w:tc>
        <w:tc>
          <w:tcPr>
            <w:tcW w:w="5647" w:type="dxa"/>
            <w:vAlign w:val="center"/>
          </w:tcPr>
          <w:p w14:paraId="3F53F7AF">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保障系统能够查询移动支付的对账结果、对账明细、实时订单等信息。</w:t>
            </w:r>
          </w:p>
        </w:tc>
      </w:tr>
      <w:tr w14:paraId="18101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696708A7">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5DAE22D3">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对账信息核对</w:t>
            </w:r>
          </w:p>
        </w:tc>
        <w:tc>
          <w:tcPr>
            <w:tcW w:w="5647" w:type="dxa"/>
            <w:vAlign w:val="center"/>
          </w:tcPr>
          <w:p w14:paraId="1050F3B7">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协助</w:t>
            </w:r>
            <w:r>
              <w:rPr>
                <w:rFonts w:hint="eastAsia" w:ascii="宋体" w:hAnsi="宋体" w:eastAsia="宋体" w:cs="宋体"/>
                <w:color w:val="auto"/>
                <w:kern w:val="0"/>
                <w:sz w:val="21"/>
                <w:szCs w:val="21"/>
                <w:highlight w:val="none"/>
                <w:lang w:val="en-US" w:eastAsia="zh-CN" w:bidi="ar"/>
              </w:rPr>
              <w:t>用户</w:t>
            </w:r>
            <w:r>
              <w:rPr>
                <w:rFonts w:hint="eastAsia" w:ascii="宋体" w:hAnsi="宋体" w:eastAsia="宋体" w:cs="宋体"/>
                <w:color w:val="auto"/>
                <w:kern w:val="0"/>
                <w:sz w:val="21"/>
                <w:szCs w:val="21"/>
                <w:highlight w:val="none"/>
                <w:lang w:bidi="ar"/>
              </w:rPr>
              <w:t>对对账异常的订单进行核对。</w:t>
            </w:r>
          </w:p>
        </w:tc>
      </w:tr>
      <w:tr w14:paraId="38C00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56" w:type="dxa"/>
            <w:vMerge w:val="restart"/>
            <w:vAlign w:val="center"/>
          </w:tcPr>
          <w:p w14:paraId="70B1F224">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费显清分结算系统</w:t>
            </w:r>
          </w:p>
        </w:tc>
        <w:tc>
          <w:tcPr>
            <w:tcW w:w="1624" w:type="dxa"/>
            <w:vAlign w:val="center"/>
          </w:tcPr>
          <w:p w14:paraId="1D328B3A">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首页</w:t>
            </w:r>
          </w:p>
        </w:tc>
        <w:tc>
          <w:tcPr>
            <w:tcW w:w="5647" w:type="dxa"/>
            <w:vAlign w:val="center"/>
          </w:tcPr>
          <w:p w14:paraId="423366F5">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保障系统首页能够正常提示</w:t>
            </w:r>
            <w:r>
              <w:rPr>
                <w:rFonts w:hint="eastAsia" w:ascii="宋体" w:hAnsi="宋体" w:eastAsia="宋体" w:cs="宋体"/>
                <w:color w:val="auto"/>
                <w:kern w:val="0"/>
                <w:sz w:val="21"/>
                <w:szCs w:val="21"/>
                <w:highlight w:val="none"/>
                <w:lang w:val="en-US" w:eastAsia="zh-CN" w:bidi="ar"/>
              </w:rPr>
              <w:t>用户</w:t>
            </w:r>
            <w:r>
              <w:rPr>
                <w:rFonts w:hint="eastAsia" w:ascii="宋体" w:hAnsi="宋体" w:eastAsia="宋体" w:cs="宋体"/>
                <w:color w:val="auto"/>
                <w:kern w:val="0"/>
                <w:sz w:val="21"/>
                <w:szCs w:val="21"/>
                <w:highlight w:val="none"/>
                <w:lang w:bidi="ar"/>
              </w:rPr>
              <w:t>的代办事项和业务总览情况。</w:t>
            </w:r>
          </w:p>
        </w:tc>
      </w:tr>
      <w:tr w14:paraId="1277F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622CEAD2">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5C2D52E6">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default" w:ascii="宋体" w:hAnsi="宋体" w:eastAsia="宋体" w:cs="宋体"/>
                <w:color w:val="auto"/>
                <w:sz w:val="20"/>
                <w:szCs w:val="21"/>
                <w:highlight w:val="none"/>
                <w:u w:val="none"/>
                <w:lang w:bidi="ar"/>
              </w:rPr>
              <w:t>出口</w:t>
            </w:r>
            <w:r>
              <w:rPr>
                <w:rFonts w:hint="default" w:ascii="宋体" w:hAnsi="宋体" w:eastAsia="宋体" w:cs="宋体"/>
                <w:color w:val="auto"/>
                <w:sz w:val="18"/>
                <w:szCs w:val="21"/>
                <w:highlight w:val="none"/>
                <w:u w:val="none"/>
                <w:lang w:bidi="ar"/>
              </w:rPr>
              <w:t>ETC</w:t>
            </w:r>
            <w:r>
              <w:rPr>
                <w:rFonts w:hint="default" w:ascii="宋体" w:hAnsi="宋体" w:eastAsia="宋体" w:cs="宋体"/>
                <w:color w:val="auto"/>
                <w:sz w:val="20"/>
                <w:szCs w:val="21"/>
                <w:highlight w:val="none"/>
                <w:u w:val="none"/>
                <w:lang w:bidi="ar"/>
              </w:rPr>
              <w:t>通行清分</w:t>
            </w:r>
          </w:p>
        </w:tc>
        <w:tc>
          <w:tcPr>
            <w:tcW w:w="5647" w:type="dxa"/>
            <w:vAlign w:val="center"/>
          </w:tcPr>
          <w:p w14:paraId="58D406A5">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保障系统能够正常查询、导出</w:t>
            </w:r>
            <w:r>
              <w:rPr>
                <w:rFonts w:hint="eastAsia" w:ascii="宋体" w:hAnsi="宋体" w:eastAsia="宋体" w:cs="宋体"/>
                <w:color w:val="auto"/>
                <w:kern w:val="0"/>
                <w:sz w:val="21"/>
                <w:szCs w:val="21"/>
                <w:highlight w:val="none"/>
                <w:lang w:bidi="ar"/>
              </w:rPr>
              <w:t>ETC</w:t>
            </w:r>
            <w:r>
              <w:rPr>
                <w:rFonts w:hint="default" w:ascii="宋体" w:hAnsi="宋体" w:eastAsia="宋体" w:cs="宋体"/>
                <w:color w:val="auto"/>
                <w:kern w:val="0"/>
                <w:sz w:val="21"/>
                <w:szCs w:val="21"/>
                <w:highlight w:val="none"/>
                <w:lang w:bidi="ar"/>
              </w:rPr>
              <w:t>通行交易流水的清分情况，生成</w:t>
            </w:r>
            <w:r>
              <w:rPr>
                <w:rFonts w:hint="eastAsia" w:ascii="宋体" w:hAnsi="宋体" w:eastAsia="宋体" w:cs="宋体"/>
                <w:color w:val="auto"/>
                <w:kern w:val="0"/>
                <w:sz w:val="21"/>
                <w:szCs w:val="21"/>
                <w:highlight w:val="none"/>
                <w:lang w:bidi="ar"/>
              </w:rPr>
              <w:t>ETC</w:t>
            </w:r>
            <w:r>
              <w:rPr>
                <w:rFonts w:hint="default" w:ascii="宋体" w:hAnsi="宋体" w:eastAsia="宋体" w:cs="宋体"/>
                <w:color w:val="auto"/>
                <w:kern w:val="0"/>
                <w:sz w:val="21"/>
                <w:szCs w:val="21"/>
                <w:highlight w:val="none"/>
                <w:lang w:bidi="ar"/>
              </w:rPr>
              <w:t>通行清分通知书，对清分结果、拆分结果进行确认，管理</w:t>
            </w:r>
            <w:r>
              <w:rPr>
                <w:rFonts w:hint="eastAsia" w:ascii="宋体" w:hAnsi="宋体" w:eastAsia="宋体" w:cs="宋体"/>
                <w:color w:val="auto"/>
                <w:kern w:val="0"/>
                <w:sz w:val="21"/>
                <w:szCs w:val="21"/>
                <w:highlight w:val="none"/>
                <w:lang w:bidi="ar"/>
              </w:rPr>
              <w:t>ETC</w:t>
            </w:r>
            <w:r>
              <w:rPr>
                <w:rFonts w:hint="default" w:ascii="宋体" w:hAnsi="宋体" w:eastAsia="宋体" w:cs="宋体"/>
                <w:color w:val="auto"/>
                <w:kern w:val="0"/>
                <w:sz w:val="21"/>
                <w:szCs w:val="21"/>
                <w:highlight w:val="none"/>
                <w:lang w:bidi="ar"/>
              </w:rPr>
              <w:t>通行争议数据。</w:t>
            </w:r>
          </w:p>
        </w:tc>
      </w:tr>
      <w:tr w14:paraId="7B6A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3BAEC8CE">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29979885">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现金拆分</w:t>
            </w:r>
          </w:p>
        </w:tc>
        <w:tc>
          <w:tcPr>
            <w:tcW w:w="5647" w:type="dxa"/>
            <w:vAlign w:val="center"/>
          </w:tcPr>
          <w:p w14:paraId="6E351B7D">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保障系统能够正常查询、导出现金交易流水的拆分情况，生成现金拆分通知书，对拆分结果进行确认。</w:t>
            </w:r>
          </w:p>
        </w:tc>
      </w:tr>
      <w:tr w14:paraId="7422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3541C3D6">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6ECE8AAE">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拓展清分</w:t>
            </w:r>
          </w:p>
        </w:tc>
        <w:tc>
          <w:tcPr>
            <w:tcW w:w="5647" w:type="dxa"/>
            <w:vAlign w:val="center"/>
          </w:tcPr>
          <w:p w14:paraId="67584AE0">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保障系统能够正常查询、导出</w:t>
            </w:r>
            <w:r>
              <w:rPr>
                <w:rFonts w:hint="eastAsia" w:ascii="宋体" w:hAnsi="宋体" w:eastAsia="宋体" w:cs="宋体"/>
                <w:color w:val="auto"/>
                <w:kern w:val="0"/>
                <w:sz w:val="21"/>
                <w:szCs w:val="21"/>
                <w:highlight w:val="none"/>
                <w:lang w:bidi="ar"/>
              </w:rPr>
              <w:t>ETC</w:t>
            </w:r>
            <w:r>
              <w:rPr>
                <w:rFonts w:hint="default" w:ascii="宋体" w:hAnsi="宋体" w:eastAsia="宋体" w:cs="宋体"/>
                <w:color w:val="auto"/>
                <w:kern w:val="0"/>
                <w:sz w:val="21"/>
                <w:szCs w:val="21"/>
                <w:highlight w:val="none"/>
                <w:lang w:bidi="ar"/>
              </w:rPr>
              <w:t>拓展交易流水的清分情况，生成</w:t>
            </w:r>
            <w:r>
              <w:rPr>
                <w:rFonts w:hint="eastAsia" w:ascii="宋体" w:hAnsi="宋体" w:eastAsia="宋体" w:cs="宋体"/>
                <w:color w:val="auto"/>
                <w:kern w:val="0"/>
                <w:sz w:val="21"/>
                <w:szCs w:val="21"/>
                <w:highlight w:val="none"/>
                <w:lang w:bidi="ar"/>
              </w:rPr>
              <w:t>ETC</w:t>
            </w:r>
            <w:r>
              <w:rPr>
                <w:rFonts w:hint="default" w:ascii="宋体" w:hAnsi="宋体" w:eastAsia="宋体" w:cs="宋体"/>
                <w:color w:val="auto"/>
                <w:kern w:val="0"/>
                <w:sz w:val="21"/>
                <w:szCs w:val="21"/>
                <w:highlight w:val="none"/>
                <w:lang w:bidi="ar"/>
              </w:rPr>
              <w:t>拓展清分通知书，对清分结果进行确认，管理拓展交易争议数据。</w:t>
            </w:r>
          </w:p>
        </w:tc>
      </w:tr>
      <w:tr w14:paraId="380B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3F08292B">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75FA9F92">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退费补交清分</w:t>
            </w:r>
          </w:p>
        </w:tc>
        <w:tc>
          <w:tcPr>
            <w:tcW w:w="5647" w:type="dxa"/>
            <w:vAlign w:val="center"/>
          </w:tcPr>
          <w:p w14:paraId="4BA84754">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保障系统能够正常进行退费管理，生成退费补交清分通知书，对清分结果进行确认。</w:t>
            </w:r>
          </w:p>
        </w:tc>
      </w:tr>
      <w:tr w14:paraId="6115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27C2F3A2">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6240B440">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稽查补偿清分</w:t>
            </w:r>
          </w:p>
        </w:tc>
        <w:tc>
          <w:tcPr>
            <w:tcW w:w="5647" w:type="dxa"/>
            <w:vAlign w:val="center"/>
          </w:tcPr>
          <w:p w14:paraId="68C9CD20">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保障系统能够对稽查补偿流水的拆分、清分情况进行查询、导出，生成稽查补偿清分通知书，对清分结果进行确认。</w:t>
            </w:r>
          </w:p>
        </w:tc>
      </w:tr>
      <w:tr w14:paraId="2E78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5935AA48">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3093F1BC">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二级清分结算报表</w:t>
            </w:r>
          </w:p>
        </w:tc>
        <w:tc>
          <w:tcPr>
            <w:tcW w:w="5647" w:type="dxa"/>
            <w:vAlign w:val="center"/>
          </w:tcPr>
          <w:p w14:paraId="1C70FEBA">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保障系统能够正常生成二级清分结算的各类报表。</w:t>
            </w:r>
          </w:p>
        </w:tc>
      </w:tr>
      <w:tr w14:paraId="72BD8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28C25C63">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057BE0F9">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数据核对</w:t>
            </w:r>
          </w:p>
        </w:tc>
        <w:tc>
          <w:tcPr>
            <w:tcW w:w="5647" w:type="dxa"/>
            <w:vAlign w:val="center"/>
          </w:tcPr>
          <w:p w14:paraId="788282AD">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协助</w:t>
            </w:r>
            <w:r>
              <w:rPr>
                <w:rFonts w:hint="eastAsia" w:ascii="宋体" w:hAnsi="宋体" w:eastAsia="宋体" w:cs="宋体"/>
                <w:color w:val="auto"/>
                <w:kern w:val="0"/>
                <w:sz w:val="21"/>
                <w:szCs w:val="21"/>
                <w:highlight w:val="none"/>
                <w:lang w:val="en-US" w:eastAsia="zh-CN" w:bidi="ar"/>
              </w:rPr>
              <w:t>用户</w:t>
            </w:r>
            <w:r>
              <w:rPr>
                <w:rFonts w:hint="eastAsia" w:ascii="宋体" w:hAnsi="宋体" w:eastAsia="宋体" w:cs="宋体"/>
                <w:color w:val="auto"/>
                <w:kern w:val="0"/>
                <w:sz w:val="21"/>
                <w:szCs w:val="21"/>
                <w:highlight w:val="none"/>
                <w:lang w:bidi="ar"/>
              </w:rPr>
              <w:t>对异常清分、拆分的数据和报表进行核对。</w:t>
            </w:r>
          </w:p>
        </w:tc>
      </w:tr>
      <w:tr w14:paraId="53F5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076715F3">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48E77D77">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平台数据监控</w:t>
            </w:r>
          </w:p>
        </w:tc>
        <w:tc>
          <w:tcPr>
            <w:tcW w:w="5647" w:type="dxa"/>
            <w:vAlign w:val="center"/>
          </w:tcPr>
          <w:p w14:paraId="53279AD8">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对出口流水、门架流水的交易、合并、记账情况进行监控并处理异常数据。</w:t>
            </w:r>
          </w:p>
        </w:tc>
      </w:tr>
      <w:tr w14:paraId="1C442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restart"/>
            <w:vAlign w:val="center"/>
          </w:tcPr>
          <w:p w14:paraId="1A1D5CFE">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预约通行系统</w:t>
            </w:r>
          </w:p>
        </w:tc>
        <w:tc>
          <w:tcPr>
            <w:tcW w:w="1624" w:type="dxa"/>
            <w:vAlign w:val="center"/>
          </w:tcPr>
          <w:p w14:paraId="2479C549">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运营管理车管理</w:t>
            </w:r>
          </w:p>
        </w:tc>
        <w:tc>
          <w:tcPr>
            <w:tcW w:w="5647" w:type="dxa"/>
            <w:vAlign w:val="center"/>
          </w:tcPr>
          <w:p w14:paraId="42770527">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保障系统能够申请审核新增运营管理车。</w:t>
            </w:r>
          </w:p>
        </w:tc>
      </w:tr>
      <w:tr w14:paraId="69C63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12D99BFE">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590E0B13">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default" w:ascii="宋体" w:hAnsi="宋体" w:eastAsia="宋体" w:cs="宋体"/>
                <w:color w:val="auto"/>
                <w:sz w:val="20"/>
                <w:szCs w:val="21"/>
                <w:highlight w:val="none"/>
                <w:u w:val="none"/>
                <w:lang w:bidi="ar"/>
              </w:rPr>
              <w:t>月</w:t>
            </w:r>
            <w:r>
              <w:rPr>
                <w:rFonts w:hint="default" w:ascii="宋体" w:hAnsi="宋体" w:eastAsia="宋体" w:cs="宋体"/>
                <w:color w:val="auto"/>
                <w:sz w:val="18"/>
                <w:szCs w:val="21"/>
                <w:highlight w:val="none"/>
                <w:u w:val="none"/>
                <w:lang w:bidi="ar"/>
              </w:rPr>
              <w:t>/</w:t>
            </w:r>
            <w:r>
              <w:rPr>
                <w:rFonts w:hint="default" w:ascii="宋体" w:hAnsi="宋体" w:eastAsia="宋体" w:cs="宋体"/>
                <w:color w:val="auto"/>
                <w:sz w:val="20"/>
                <w:szCs w:val="21"/>
                <w:highlight w:val="none"/>
                <w:u w:val="none"/>
                <w:lang w:bidi="ar"/>
              </w:rPr>
              <w:t>季</w:t>
            </w:r>
            <w:r>
              <w:rPr>
                <w:rFonts w:hint="default" w:ascii="宋体" w:hAnsi="宋体" w:eastAsia="宋体" w:cs="宋体"/>
                <w:color w:val="auto"/>
                <w:sz w:val="18"/>
                <w:szCs w:val="21"/>
                <w:highlight w:val="none"/>
                <w:u w:val="none"/>
                <w:lang w:bidi="ar"/>
              </w:rPr>
              <w:t>/</w:t>
            </w:r>
            <w:r>
              <w:rPr>
                <w:rFonts w:hint="default" w:ascii="宋体" w:hAnsi="宋体" w:eastAsia="宋体" w:cs="宋体"/>
                <w:color w:val="auto"/>
                <w:sz w:val="20"/>
                <w:szCs w:val="21"/>
                <w:highlight w:val="none"/>
                <w:u w:val="none"/>
                <w:lang w:bidi="ar"/>
              </w:rPr>
              <w:t>年票车管理</w:t>
            </w:r>
          </w:p>
        </w:tc>
        <w:tc>
          <w:tcPr>
            <w:tcW w:w="5647" w:type="dxa"/>
            <w:vAlign w:val="center"/>
          </w:tcPr>
          <w:p w14:paraId="136ABEDE">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保障系统能够申请审核新增月</w:t>
            </w:r>
            <w:r>
              <w:rPr>
                <w:rFonts w:hint="eastAsia" w:ascii="宋体" w:hAnsi="宋体" w:eastAsia="宋体" w:cs="宋体"/>
                <w:color w:val="auto"/>
                <w:kern w:val="0"/>
                <w:sz w:val="21"/>
                <w:szCs w:val="21"/>
                <w:highlight w:val="none"/>
                <w:lang w:bidi="ar"/>
              </w:rPr>
              <w:t>/</w:t>
            </w:r>
            <w:r>
              <w:rPr>
                <w:rFonts w:hint="default" w:ascii="宋体" w:hAnsi="宋体" w:eastAsia="宋体" w:cs="宋体"/>
                <w:color w:val="auto"/>
                <w:kern w:val="0"/>
                <w:sz w:val="21"/>
                <w:szCs w:val="21"/>
                <w:highlight w:val="none"/>
                <w:lang w:bidi="ar"/>
              </w:rPr>
              <w:t>季</w:t>
            </w:r>
            <w:r>
              <w:rPr>
                <w:rFonts w:hint="eastAsia" w:ascii="宋体" w:hAnsi="宋体" w:eastAsia="宋体" w:cs="宋体"/>
                <w:color w:val="auto"/>
                <w:kern w:val="0"/>
                <w:sz w:val="21"/>
                <w:szCs w:val="21"/>
                <w:highlight w:val="none"/>
                <w:lang w:bidi="ar"/>
              </w:rPr>
              <w:t>/</w:t>
            </w:r>
            <w:r>
              <w:rPr>
                <w:rFonts w:hint="default" w:ascii="宋体" w:hAnsi="宋体" w:eastAsia="宋体" w:cs="宋体"/>
                <w:color w:val="auto"/>
                <w:kern w:val="0"/>
                <w:sz w:val="21"/>
                <w:szCs w:val="21"/>
                <w:highlight w:val="none"/>
                <w:lang w:bidi="ar"/>
              </w:rPr>
              <w:t>年票车。</w:t>
            </w:r>
          </w:p>
        </w:tc>
      </w:tr>
      <w:tr w14:paraId="4852F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33708BA5">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3FCA64CF">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数据查询</w:t>
            </w:r>
          </w:p>
        </w:tc>
        <w:tc>
          <w:tcPr>
            <w:tcW w:w="5647" w:type="dxa"/>
            <w:vAlign w:val="center"/>
          </w:tcPr>
          <w:p w14:paraId="1FE6CB95">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保障系统能够正常查询绿通、集装箱的预约通行信息。</w:t>
            </w:r>
          </w:p>
        </w:tc>
      </w:tr>
      <w:tr w14:paraId="7C278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1AD3C5CE">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118D0794">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数据核对</w:t>
            </w:r>
          </w:p>
        </w:tc>
        <w:tc>
          <w:tcPr>
            <w:tcW w:w="5647" w:type="dxa"/>
            <w:vAlign w:val="center"/>
          </w:tcPr>
          <w:p w14:paraId="6F80B58D">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协助</w:t>
            </w:r>
            <w:r>
              <w:rPr>
                <w:rFonts w:hint="eastAsia" w:ascii="宋体" w:hAnsi="宋体" w:eastAsia="宋体" w:cs="宋体"/>
                <w:color w:val="auto"/>
                <w:kern w:val="0"/>
                <w:sz w:val="21"/>
                <w:szCs w:val="21"/>
                <w:highlight w:val="none"/>
                <w:lang w:val="en-US" w:eastAsia="zh-CN" w:bidi="ar"/>
              </w:rPr>
              <w:t>用户</w:t>
            </w:r>
            <w:r>
              <w:rPr>
                <w:rFonts w:hint="eastAsia" w:ascii="宋体" w:hAnsi="宋体" w:eastAsia="宋体" w:cs="宋体"/>
                <w:color w:val="auto"/>
                <w:kern w:val="0"/>
                <w:sz w:val="21"/>
                <w:szCs w:val="21"/>
                <w:highlight w:val="none"/>
                <w:lang w:bidi="ar"/>
              </w:rPr>
              <w:t>对异常的车辆信息进行核对管理。</w:t>
            </w:r>
          </w:p>
        </w:tc>
      </w:tr>
      <w:tr w14:paraId="48BAA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restart"/>
            <w:vAlign w:val="center"/>
          </w:tcPr>
          <w:p w14:paraId="15704644">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部省数据传输系统</w:t>
            </w:r>
          </w:p>
        </w:tc>
        <w:tc>
          <w:tcPr>
            <w:tcW w:w="1624" w:type="dxa"/>
            <w:vAlign w:val="center"/>
          </w:tcPr>
          <w:p w14:paraId="52727527">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广西部省数据上传</w:t>
            </w:r>
          </w:p>
        </w:tc>
        <w:tc>
          <w:tcPr>
            <w:tcW w:w="5647" w:type="dxa"/>
            <w:vAlign w:val="center"/>
          </w:tcPr>
          <w:p w14:paraId="7F8E7918">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保障广西生成的上传数据按时、正确的上传至部路网中心。</w:t>
            </w:r>
          </w:p>
        </w:tc>
      </w:tr>
      <w:tr w14:paraId="3EE43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7C1A8D4C">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4B38691E">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广西部省数据下载</w:t>
            </w:r>
          </w:p>
        </w:tc>
        <w:tc>
          <w:tcPr>
            <w:tcW w:w="5647" w:type="dxa"/>
            <w:vAlign w:val="center"/>
          </w:tcPr>
          <w:p w14:paraId="72A26300">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保障从部路网中心按时下载各部省传输接口数据。</w:t>
            </w:r>
          </w:p>
        </w:tc>
      </w:tr>
      <w:tr w14:paraId="2D4C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7238D033">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2BA73C21">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广西部省下载数据接收</w:t>
            </w:r>
          </w:p>
        </w:tc>
        <w:tc>
          <w:tcPr>
            <w:tcW w:w="5647" w:type="dxa"/>
            <w:vAlign w:val="center"/>
          </w:tcPr>
          <w:p w14:paraId="7F3EFA3F">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保障从部路网中心下载的数据可正确接收入库。</w:t>
            </w:r>
          </w:p>
        </w:tc>
      </w:tr>
      <w:tr w14:paraId="731D3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494D1A91">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5572D498">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部省传输接口异常处理</w:t>
            </w:r>
          </w:p>
        </w:tc>
        <w:tc>
          <w:tcPr>
            <w:tcW w:w="5647" w:type="dxa"/>
            <w:vAlign w:val="center"/>
          </w:tcPr>
          <w:p w14:paraId="77C8448A">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对发现被部路网中心拒绝接收的数据进行维护处理。</w:t>
            </w:r>
          </w:p>
        </w:tc>
      </w:tr>
      <w:tr w14:paraId="418CD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restart"/>
            <w:vAlign w:val="center"/>
          </w:tcPr>
          <w:p w14:paraId="28B8DA50">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部省消息监控系统</w:t>
            </w:r>
          </w:p>
        </w:tc>
        <w:tc>
          <w:tcPr>
            <w:tcW w:w="1624" w:type="dxa"/>
            <w:vAlign w:val="center"/>
          </w:tcPr>
          <w:p w14:paraId="6333BF62">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费显清分消息</w:t>
            </w:r>
          </w:p>
        </w:tc>
        <w:tc>
          <w:tcPr>
            <w:tcW w:w="5647" w:type="dxa"/>
            <w:vAlign w:val="center"/>
          </w:tcPr>
          <w:p w14:paraId="6FDB1435">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保障并监控系统能够正常从部中心上传下载</w:t>
            </w:r>
            <w:r>
              <w:rPr>
                <w:rFonts w:hint="eastAsia" w:ascii="宋体" w:hAnsi="宋体" w:eastAsia="宋体" w:cs="宋体"/>
                <w:color w:val="auto"/>
                <w:kern w:val="0"/>
                <w:sz w:val="21"/>
                <w:szCs w:val="21"/>
                <w:highlight w:val="none"/>
                <w:lang w:bidi="ar"/>
              </w:rPr>
              <w:t>ETC</w:t>
            </w:r>
            <w:r>
              <w:rPr>
                <w:rFonts w:hint="default" w:ascii="宋体" w:hAnsi="宋体" w:eastAsia="宋体" w:cs="宋体"/>
                <w:color w:val="auto"/>
                <w:kern w:val="0"/>
                <w:sz w:val="21"/>
                <w:szCs w:val="21"/>
                <w:highlight w:val="none"/>
                <w:lang w:bidi="ar"/>
              </w:rPr>
              <w:t>交易消息、其它交易消息、发票消息等并处理发送异常数据。</w:t>
            </w:r>
          </w:p>
        </w:tc>
      </w:tr>
      <w:tr w14:paraId="7F833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430BF08B">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27C86C24">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发行消息</w:t>
            </w:r>
          </w:p>
        </w:tc>
        <w:tc>
          <w:tcPr>
            <w:tcW w:w="5647" w:type="dxa"/>
            <w:vAlign w:val="center"/>
          </w:tcPr>
          <w:p w14:paraId="1BD1A2CF">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保障并监控系统能够正常从部中心上传下载发行机构信息、用户信息、黑名单信息、发行类交易消息等并处理发送异常数据。</w:t>
            </w:r>
          </w:p>
        </w:tc>
      </w:tr>
      <w:tr w14:paraId="1FEC1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2AB79941">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55DA4936">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应用服务消息</w:t>
            </w:r>
          </w:p>
        </w:tc>
        <w:tc>
          <w:tcPr>
            <w:tcW w:w="5647" w:type="dxa"/>
            <w:vAlign w:val="center"/>
          </w:tcPr>
          <w:p w14:paraId="02FBC30E">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保障并监控系统能够正常从部中心上传下载收费服务方、拓展服务方、全网费率管理等信息并处理异常数据。</w:t>
            </w:r>
          </w:p>
        </w:tc>
      </w:tr>
      <w:tr w14:paraId="42075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24CF4591">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77A0D521">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下载消息</w:t>
            </w:r>
          </w:p>
        </w:tc>
        <w:tc>
          <w:tcPr>
            <w:tcW w:w="5647" w:type="dxa"/>
            <w:vAlign w:val="center"/>
          </w:tcPr>
          <w:p w14:paraId="22907A10">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保障系统能够正常从部中心下载基础信息、黑名单同步信息、全网最小费额信息等。</w:t>
            </w:r>
          </w:p>
        </w:tc>
      </w:tr>
      <w:tr w14:paraId="33E0F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restart"/>
            <w:vAlign w:val="center"/>
          </w:tcPr>
          <w:p w14:paraId="0221CBE2">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稽核管理系统</w:t>
            </w:r>
          </w:p>
        </w:tc>
        <w:tc>
          <w:tcPr>
            <w:tcW w:w="1624" w:type="dxa"/>
            <w:vAlign w:val="center"/>
          </w:tcPr>
          <w:p w14:paraId="38960E9D">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数据查询</w:t>
            </w:r>
          </w:p>
        </w:tc>
        <w:tc>
          <w:tcPr>
            <w:tcW w:w="5647" w:type="dxa"/>
            <w:vAlign w:val="center"/>
          </w:tcPr>
          <w:p w14:paraId="693EE6BA">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保障系统能够正常对原始数据，特殊车辆信息、后台录入数据、外部平台数据、费率计算数据进行查询。</w:t>
            </w:r>
          </w:p>
        </w:tc>
      </w:tr>
      <w:tr w14:paraId="0902C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4DFF210A">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7EAE19D4">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外部稽核</w:t>
            </w:r>
          </w:p>
        </w:tc>
        <w:tc>
          <w:tcPr>
            <w:tcW w:w="5647" w:type="dxa"/>
            <w:vAlign w:val="center"/>
          </w:tcPr>
          <w:p w14:paraId="21FED464">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保障系统能够对改变车型、改变缴费路径、套牌、计重作弊等外部逃费行为进行稽核。</w:t>
            </w:r>
          </w:p>
        </w:tc>
      </w:tr>
      <w:tr w14:paraId="13949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26CF1E11">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27A01E8D">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内部稽核</w:t>
            </w:r>
          </w:p>
        </w:tc>
        <w:tc>
          <w:tcPr>
            <w:tcW w:w="5647" w:type="dxa"/>
            <w:vAlign w:val="center"/>
          </w:tcPr>
          <w:p w14:paraId="4CDF507C">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保障系统能够对车辆信息录入错误、军警车和紧急车查验不准确、未执行节假日绿通优惠政策等行为进行内部稽核。</w:t>
            </w:r>
          </w:p>
        </w:tc>
      </w:tr>
      <w:tr w14:paraId="1CBD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7B59B8D5">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71813214">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工单管理</w:t>
            </w:r>
          </w:p>
        </w:tc>
        <w:tc>
          <w:tcPr>
            <w:tcW w:w="5647" w:type="dxa"/>
            <w:vAlign w:val="center"/>
          </w:tcPr>
          <w:p w14:paraId="5660B7F9">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保障系统能够正常录入和管理工单并协助处理部级稽核管理平台的工单。</w:t>
            </w:r>
          </w:p>
        </w:tc>
      </w:tr>
      <w:tr w14:paraId="5A015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21F4D16F">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7F889C07">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信用名单管理</w:t>
            </w:r>
          </w:p>
        </w:tc>
        <w:tc>
          <w:tcPr>
            <w:tcW w:w="5647" w:type="dxa"/>
            <w:vAlign w:val="center"/>
          </w:tcPr>
          <w:p w14:paraId="42A541E4">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保障系统能够对黑名单状态信息、部级补费平台数据进行查询，管理区内逃费黑名单，进行逃费补交和现场补交操作。</w:t>
            </w:r>
          </w:p>
        </w:tc>
      </w:tr>
      <w:tr w14:paraId="625E9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Align w:val="center"/>
          </w:tcPr>
          <w:p w14:paraId="355E7E89">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运行监测系统</w:t>
            </w:r>
          </w:p>
        </w:tc>
        <w:tc>
          <w:tcPr>
            <w:tcW w:w="1624" w:type="dxa"/>
            <w:vAlign w:val="center"/>
          </w:tcPr>
          <w:p w14:paraId="1AB1372F">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全区车道、门架连通状态监测</w:t>
            </w:r>
          </w:p>
        </w:tc>
        <w:tc>
          <w:tcPr>
            <w:tcW w:w="5647" w:type="dxa"/>
            <w:vAlign w:val="center"/>
          </w:tcPr>
          <w:p w14:paraId="5736ECAF">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监测全区的车道、门架连通状态，监测车道、门架的软件版本、费率版本、黑名单版本、绿通版本等，监测各车道、门架的数据上传情况。</w:t>
            </w:r>
          </w:p>
        </w:tc>
      </w:tr>
      <w:tr w14:paraId="3460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Align w:val="center"/>
          </w:tcPr>
          <w:p w14:paraId="714BB2AE">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移动支付平台</w:t>
            </w:r>
          </w:p>
        </w:tc>
        <w:tc>
          <w:tcPr>
            <w:tcW w:w="1624" w:type="dxa"/>
            <w:vAlign w:val="center"/>
          </w:tcPr>
          <w:p w14:paraId="76AA6FAA">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移动支付</w:t>
            </w:r>
          </w:p>
        </w:tc>
        <w:tc>
          <w:tcPr>
            <w:tcW w:w="5647" w:type="dxa"/>
            <w:vAlign w:val="center"/>
          </w:tcPr>
          <w:p w14:paraId="1FD85499">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保障平台能够正常接收车道现场的移动支付请求，并将请求发送至第三方支付平台，从第三方支付平台获取扣款结果返回车道，完成移动支付流程。</w:t>
            </w:r>
          </w:p>
          <w:p w14:paraId="548E435C">
            <w:pPr>
              <w:keepNext w:val="0"/>
              <w:keepLines w:val="0"/>
              <w:widowControl w:val="0"/>
              <w:suppressLineNumbers w:val="0"/>
              <w:snapToGrid w:val="0"/>
              <w:spacing w:before="0" w:beforeAutospacing="0" w:after="0" w:afterAutospacing="0" w:line="240" w:lineRule="auto"/>
              <w:ind w:left="0" w:right="0"/>
              <w:jc w:val="left"/>
              <w:rPr>
                <w:rFonts w:hint="eastAsia" w:ascii="Times New Roman" w:hAnsi="Times New Roman" w:eastAsia="宋体" w:cs="Times New Roman"/>
                <w:color w:val="auto"/>
                <w:kern w:val="2"/>
                <w:sz w:val="21"/>
                <w:szCs w:val="21"/>
                <w:highlight w:val="none"/>
                <w:lang w:val="en-US" w:eastAsia="zh" w:bidi="ar-SA"/>
              </w:rPr>
            </w:pPr>
            <w:r>
              <w:rPr>
                <w:rFonts w:hint="eastAsia" w:ascii="宋体" w:hAnsi="宋体" w:eastAsia="宋体" w:cs="宋体"/>
                <w:color w:val="auto"/>
                <w:kern w:val="0"/>
                <w:sz w:val="21"/>
                <w:szCs w:val="21"/>
                <w:highlight w:val="none"/>
                <w:lang w:val="en-US" w:eastAsia="zh" w:bidi="ar"/>
              </w:rPr>
              <w:t>保障移动支付对账系统的正常运行。</w:t>
            </w:r>
          </w:p>
        </w:tc>
      </w:tr>
      <w:tr w14:paraId="57E2A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Align w:val="center"/>
          </w:tcPr>
          <w:p w14:paraId="1DABD439">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在线计费平台</w:t>
            </w:r>
          </w:p>
        </w:tc>
        <w:tc>
          <w:tcPr>
            <w:tcW w:w="1624" w:type="dxa"/>
            <w:vAlign w:val="center"/>
          </w:tcPr>
          <w:p w14:paraId="7AA51588">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在线计费</w:t>
            </w:r>
          </w:p>
        </w:tc>
        <w:tc>
          <w:tcPr>
            <w:tcW w:w="5647" w:type="dxa"/>
            <w:vAlign w:val="center"/>
          </w:tcPr>
          <w:p w14:paraId="127945CE">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保障平台能够正常接收车道现场的计费请求，根据请求信息及后台数据进行计费拟合，并将计费结果返回车道。</w:t>
            </w:r>
          </w:p>
        </w:tc>
      </w:tr>
      <w:tr w14:paraId="43AC4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Align w:val="center"/>
          </w:tcPr>
          <w:p w14:paraId="1A7E267D">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黑名单同步系统</w:t>
            </w:r>
          </w:p>
        </w:tc>
        <w:tc>
          <w:tcPr>
            <w:tcW w:w="1624" w:type="dxa"/>
            <w:vAlign w:val="center"/>
          </w:tcPr>
          <w:p w14:paraId="383B2999">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黑名单同步</w:t>
            </w:r>
          </w:p>
        </w:tc>
        <w:tc>
          <w:tcPr>
            <w:tcW w:w="5647" w:type="dxa"/>
            <w:vAlign w:val="center"/>
          </w:tcPr>
          <w:p w14:paraId="368CA662">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保障系统能够正常将部中心同步下来的卡状态黑名单、</w:t>
            </w:r>
            <w:r>
              <w:rPr>
                <w:rFonts w:hint="eastAsia" w:ascii="宋体" w:hAnsi="宋体" w:eastAsia="宋体" w:cs="宋体"/>
                <w:color w:val="auto"/>
                <w:kern w:val="0"/>
                <w:sz w:val="21"/>
                <w:szCs w:val="21"/>
                <w:highlight w:val="none"/>
                <w:lang w:bidi="ar"/>
              </w:rPr>
              <w:t>OBU</w:t>
            </w:r>
            <w:r>
              <w:rPr>
                <w:rFonts w:hint="default" w:ascii="宋体" w:hAnsi="宋体" w:eastAsia="宋体" w:cs="宋体"/>
                <w:color w:val="auto"/>
                <w:kern w:val="0"/>
                <w:sz w:val="21"/>
                <w:szCs w:val="21"/>
                <w:highlight w:val="none"/>
                <w:lang w:bidi="ar"/>
              </w:rPr>
              <w:t>黑名单、车辆黑名单等数据打包同步至各运营公司黑名单服务器。</w:t>
            </w:r>
          </w:p>
        </w:tc>
      </w:tr>
      <w:tr w14:paraId="2CB67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Align w:val="center"/>
          </w:tcPr>
          <w:p w14:paraId="627F6653">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数据接收平台</w:t>
            </w:r>
          </w:p>
        </w:tc>
        <w:tc>
          <w:tcPr>
            <w:tcW w:w="1624" w:type="dxa"/>
            <w:vAlign w:val="center"/>
          </w:tcPr>
          <w:p w14:paraId="3C147C3E">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数据接收</w:t>
            </w:r>
          </w:p>
        </w:tc>
        <w:tc>
          <w:tcPr>
            <w:tcW w:w="5647" w:type="dxa"/>
            <w:vAlign w:val="center"/>
          </w:tcPr>
          <w:p w14:paraId="788160CE">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保障平台能够正常接收车道和门架上传的数据，并保存到数据库。</w:t>
            </w:r>
          </w:p>
        </w:tc>
      </w:tr>
      <w:tr w14:paraId="309E2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Align w:val="center"/>
          </w:tcPr>
          <w:p w14:paraId="776DCE78">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图片传输平台</w:t>
            </w:r>
          </w:p>
        </w:tc>
        <w:tc>
          <w:tcPr>
            <w:tcW w:w="1624" w:type="dxa"/>
            <w:vAlign w:val="center"/>
          </w:tcPr>
          <w:p w14:paraId="7F5D9338">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图片传输</w:t>
            </w:r>
          </w:p>
        </w:tc>
        <w:tc>
          <w:tcPr>
            <w:tcW w:w="5647" w:type="dxa"/>
            <w:vAlign w:val="center"/>
          </w:tcPr>
          <w:p w14:paraId="64239BD6">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保障平台能够根据各系统的需求将存储在站级服务和门架服务器的图片传输至省中心。</w:t>
            </w:r>
          </w:p>
        </w:tc>
      </w:tr>
      <w:tr w14:paraId="102C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Align w:val="center"/>
          </w:tcPr>
          <w:p w14:paraId="305F85D2">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数据分拣系统</w:t>
            </w:r>
          </w:p>
        </w:tc>
        <w:tc>
          <w:tcPr>
            <w:tcW w:w="1624" w:type="dxa"/>
            <w:vAlign w:val="center"/>
          </w:tcPr>
          <w:p w14:paraId="3DAB349E">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数据分拣</w:t>
            </w:r>
          </w:p>
        </w:tc>
        <w:tc>
          <w:tcPr>
            <w:tcW w:w="5647" w:type="dxa"/>
            <w:vAlign w:val="center"/>
          </w:tcPr>
          <w:p w14:paraId="2446F098">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保障系统能够正常将数据分拣至各</w:t>
            </w:r>
            <w:r>
              <w:rPr>
                <w:rFonts w:hint="eastAsia" w:ascii="宋体" w:hAnsi="宋体" w:eastAsia="宋体" w:cs="宋体"/>
                <w:color w:val="auto"/>
                <w:kern w:val="0"/>
                <w:sz w:val="21"/>
                <w:szCs w:val="21"/>
                <w:highlight w:val="none"/>
                <w:lang w:eastAsia="zh" w:bidi="ar"/>
              </w:rPr>
              <w:t>高速公路经营管理单位</w:t>
            </w:r>
            <w:r>
              <w:rPr>
                <w:rFonts w:hint="eastAsia" w:ascii="宋体" w:hAnsi="宋体" w:eastAsia="宋体" w:cs="宋体"/>
                <w:color w:val="auto"/>
                <w:kern w:val="0"/>
                <w:sz w:val="21"/>
                <w:szCs w:val="21"/>
                <w:highlight w:val="none"/>
                <w:lang w:bidi="ar"/>
              </w:rPr>
              <w:t>和</w:t>
            </w:r>
            <w:r>
              <w:rPr>
                <w:rFonts w:hint="eastAsia" w:ascii="宋体" w:hAnsi="宋体" w:eastAsia="宋体" w:cs="宋体"/>
                <w:color w:val="auto"/>
                <w:kern w:val="0"/>
                <w:sz w:val="21"/>
                <w:szCs w:val="21"/>
                <w:highlight w:val="none"/>
                <w:lang w:eastAsia="zh" w:bidi="ar"/>
              </w:rPr>
              <w:t>自治区</w:t>
            </w:r>
            <w:r>
              <w:rPr>
                <w:rFonts w:hint="eastAsia" w:ascii="宋体" w:hAnsi="宋体" w:eastAsia="宋体" w:cs="宋体"/>
                <w:color w:val="auto"/>
                <w:kern w:val="0"/>
                <w:sz w:val="21"/>
                <w:szCs w:val="21"/>
                <w:highlight w:val="none"/>
                <w:lang w:bidi="ar"/>
              </w:rPr>
              <w:t>交通</w:t>
            </w:r>
            <w:r>
              <w:rPr>
                <w:rFonts w:hint="eastAsia" w:ascii="宋体" w:hAnsi="宋体" w:eastAsia="宋体" w:cs="宋体"/>
                <w:color w:val="auto"/>
                <w:kern w:val="0"/>
                <w:sz w:val="21"/>
                <w:szCs w:val="21"/>
                <w:highlight w:val="none"/>
                <w:lang w:eastAsia="zh" w:bidi="ar"/>
              </w:rPr>
              <w:t>运输</w:t>
            </w:r>
            <w:r>
              <w:rPr>
                <w:rFonts w:hint="eastAsia" w:ascii="宋体" w:hAnsi="宋体" w:eastAsia="宋体" w:cs="宋体"/>
                <w:color w:val="auto"/>
                <w:kern w:val="0"/>
                <w:sz w:val="21"/>
                <w:szCs w:val="21"/>
                <w:highlight w:val="none"/>
                <w:lang w:bidi="ar"/>
              </w:rPr>
              <w:t>厅。</w:t>
            </w:r>
          </w:p>
        </w:tc>
      </w:tr>
      <w:tr w14:paraId="02E5F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Align w:val="center"/>
          </w:tcPr>
          <w:p w14:paraId="4E1545C9">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数据分发系统</w:t>
            </w:r>
          </w:p>
        </w:tc>
        <w:tc>
          <w:tcPr>
            <w:tcW w:w="1624" w:type="dxa"/>
            <w:vAlign w:val="center"/>
          </w:tcPr>
          <w:p w14:paraId="417F051B">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数据分发监控和维护</w:t>
            </w:r>
          </w:p>
        </w:tc>
        <w:tc>
          <w:tcPr>
            <w:tcW w:w="5647" w:type="dxa"/>
            <w:vAlign w:val="center"/>
          </w:tcPr>
          <w:p w14:paraId="411FB57C">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监控系统分发数据是否正常并对异常情况进行处理，保障数据实时分发。</w:t>
            </w:r>
          </w:p>
        </w:tc>
      </w:tr>
      <w:tr w14:paraId="16AA5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restart"/>
            <w:vAlign w:val="center"/>
          </w:tcPr>
          <w:p w14:paraId="67F53C68">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清分对账系统</w:t>
            </w:r>
          </w:p>
        </w:tc>
        <w:tc>
          <w:tcPr>
            <w:tcW w:w="1624" w:type="dxa"/>
            <w:vAlign w:val="center"/>
          </w:tcPr>
          <w:p w14:paraId="01C03E6F">
            <w:pPr>
              <w:keepNext w:val="0"/>
              <w:keepLines w:val="0"/>
              <w:widowControl/>
              <w:suppressLineNumbers w:val="0"/>
              <w:spacing w:before="0" w:beforeAutospacing="0" w:after="0" w:afterAutospacing="0" w:line="360" w:lineRule="exact"/>
              <w:ind w:left="0" w:leftChars="0" w:right="0" w:rightChars="0" w:firstLine="0" w:firstLineChars="0"/>
              <w:jc w:val="center"/>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部省对账接口</w:t>
            </w:r>
          </w:p>
        </w:tc>
        <w:tc>
          <w:tcPr>
            <w:tcW w:w="5647" w:type="dxa"/>
            <w:vAlign w:val="center"/>
          </w:tcPr>
          <w:p w14:paraId="3AA28281">
            <w:pPr>
              <w:keepNext w:val="0"/>
              <w:keepLines w:val="0"/>
              <w:widowControl/>
              <w:suppressLineNumbers w:val="0"/>
              <w:spacing w:before="0" w:beforeAutospacing="0" w:after="0" w:afterAutospacing="0" w:line="360" w:lineRule="exact"/>
              <w:ind w:left="0" w:leftChars="0" w:right="0" w:rightChars="0" w:firstLine="0" w:firstLineChars="0"/>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根据部中心相关文件要求对部省对账接口进行升级维护，保障“交易上传逾期拆分结果”、“出口数据未上传”、“争议不记账”等对账数据的正常上传下载。</w:t>
            </w:r>
          </w:p>
        </w:tc>
      </w:tr>
      <w:tr w14:paraId="2BD2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51B87FDD">
            <w:pPr>
              <w:keepNext w:val="0"/>
              <w:keepLines w:val="0"/>
              <w:widowControl/>
              <w:suppressLineNumbers w:val="0"/>
              <w:spacing w:before="0" w:beforeAutospacing="0" w:after="0" w:afterAutospacing="0" w:line="360" w:lineRule="exact"/>
              <w:ind w:left="0" w:right="0" w:firstLine="0" w:firstLineChars="0"/>
              <w:jc w:val="center"/>
              <w:textAlignment w:val="top"/>
              <w:rPr>
                <w:rFonts w:hint="eastAsia" w:ascii="宋体" w:hAnsi="宋体" w:eastAsia="宋体" w:cs="宋体"/>
                <w:color w:val="auto"/>
                <w:kern w:val="0"/>
                <w:sz w:val="21"/>
                <w:szCs w:val="21"/>
                <w:highlight w:val="none"/>
                <w:lang w:val="en-US" w:eastAsia="zh-CN" w:bidi="ar"/>
              </w:rPr>
            </w:pPr>
          </w:p>
        </w:tc>
        <w:tc>
          <w:tcPr>
            <w:tcW w:w="1624" w:type="dxa"/>
            <w:vAlign w:val="center"/>
          </w:tcPr>
          <w:p w14:paraId="6E6936F1">
            <w:pPr>
              <w:keepNext w:val="0"/>
              <w:keepLines w:val="0"/>
              <w:widowControl/>
              <w:suppressLineNumbers w:val="0"/>
              <w:spacing w:before="0" w:beforeAutospacing="0" w:after="0" w:afterAutospacing="0" w:line="360" w:lineRule="exact"/>
              <w:ind w:left="0" w:leftChars="0" w:right="0" w:rightChars="0" w:firstLine="0" w:firstLineChars="0"/>
              <w:jc w:val="center"/>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省际追偿协调</w:t>
            </w:r>
          </w:p>
        </w:tc>
        <w:tc>
          <w:tcPr>
            <w:tcW w:w="5647" w:type="dxa"/>
            <w:vAlign w:val="center"/>
          </w:tcPr>
          <w:p w14:paraId="7FE1B53A">
            <w:pPr>
              <w:keepNext w:val="0"/>
              <w:keepLines w:val="0"/>
              <w:widowControl/>
              <w:suppressLineNumbers w:val="0"/>
              <w:spacing w:before="0" w:beforeAutospacing="0" w:after="0" w:afterAutospacing="0" w:line="360" w:lineRule="exact"/>
              <w:ind w:left="0" w:leftChars="0" w:right="0" w:rightChars="0" w:firstLine="0" w:firstLineChars="0"/>
              <w:textAlignment w:val="top"/>
              <w:rPr>
                <w:rFonts w:hint="eastAsia"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保障</w:t>
            </w:r>
            <w:r>
              <w:rPr>
                <w:rFonts w:hint="eastAsia" w:ascii="宋体" w:hAnsi="宋体" w:eastAsia="宋体" w:cs="宋体"/>
                <w:color w:val="auto"/>
                <w:kern w:val="0"/>
                <w:sz w:val="21"/>
                <w:szCs w:val="21"/>
                <w:highlight w:val="none"/>
                <w:lang w:val="en-US" w:eastAsia="zh-CN" w:bidi="ar"/>
              </w:rPr>
              <w:t>用户</w:t>
            </w:r>
            <w:r>
              <w:rPr>
                <w:rFonts w:hint="default" w:ascii="宋体" w:hAnsi="宋体" w:eastAsia="宋体" w:cs="宋体"/>
                <w:color w:val="auto"/>
                <w:kern w:val="0"/>
                <w:sz w:val="21"/>
                <w:szCs w:val="21"/>
                <w:highlight w:val="none"/>
                <w:lang w:bidi="ar"/>
              </w:rPr>
              <w:t>能够正常处理追偿工单</w:t>
            </w:r>
          </w:p>
        </w:tc>
      </w:tr>
      <w:tr w14:paraId="7159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6D12B692">
            <w:pPr>
              <w:keepNext w:val="0"/>
              <w:keepLines w:val="0"/>
              <w:widowControl/>
              <w:suppressLineNumbers w:val="0"/>
              <w:spacing w:before="0" w:beforeAutospacing="0" w:after="0" w:afterAutospacing="0" w:line="360" w:lineRule="exact"/>
              <w:ind w:left="0" w:right="0" w:firstLine="0" w:firstLineChars="0"/>
              <w:jc w:val="center"/>
              <w:textAlignment w:val="top"/>
              <w:rPr>
                <w:rFonts w:hint="eastAsia" w:ascii="宋体" w:hAnsi="宋体" w:eastAsia="宋体" w:cs="宋体"/>
                <w:color w:val="auto"/>
                <w:kern w:val="0"/>
                <w:sz w:val="21"/>
                <w:szCs w:val="21"/>
                <w:highlight w:val="none"/>
                <w:lang w:val="en-US" w:eastAsia="zh-CN" w:bidi="ar"/>
              </w:rPr>
            </w:pPr>
          </w:p>
        </w:tc>
        <w:tc>
          <w:tcPr>
            <w:tcW w:w="1624" w:type="dxa"/>
            <w:vAlign w:val="center"/>
          </w:tcPr>
          <w:p w14:paraId="603DCE95">
            <w:pPr>
              <w:keepNext w:val="0"/>
              <w:keepLines w:val="0"/>
              <w:widowControl/>
              <w:suppressLineNumbers w:val="0"/>
              <w:spacing w:before="0" w:beforeAutospacing="0" w:after="0" w:afterAutospacing="0" w:line="360" w:lineRule="exact"/>
              <w:ind w:left="0" w:leftChars="0" w:right="0" w:rightChars="0" w:firstLine="0" w:firstLineChars="0"/>
              <w:jc w:val="center"/>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汇总结算</w:t>
            </w:r>
          </w:p>
        </w:tc>
        <w:tc>
          <w:tcPr>
            <w:tcW w:w="5647" w:type="dxa"/>
            <w:vAlign w:val="center"/>
          </w:tcPr>
          <w:p w14:paraId="7BCE2411">
            <w:pPr>
              <w:keepNext w:val="0"/>
              <w:keepLines w:val="0"/>
              <w:widowControl/>
              <w:suppressLineNumbers w:val="0"/>
              <w:spacing w:before="0" w:beforeAutospacing="0" w:after="0" w:afterAutospacing="0" w:line="360" w:lineRule="exact"/>
              <w:ind w:left="0" w:leftChars="0" w:right="0" w:rightChars="0" w:firstLine="0" w:firstLineChars="0"/>
              <w:textAlignment w:val="top"/>
              <w:rPr>
                <w:rFonts w:hint="eastAsia"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保障系统能够正常查询、汇总、导出</w:t>
            </w:r>
            <w:r>
              <w:rPr>
                <w:rFonts w:hint="eastAsia" w:ascii="宋体" w:hAnsi="宋体" w:eastAsia="宋体" w:cs="宋体"/>
                <w:color w:val="auto"/>
                <w:kern w:val="0"/>
                <w:sz w:val="21"/>
                <w:szCs w:val="21"/>
                <w:highlight w:val="none"/>
                <w:lang w:bidi="ar"/>
              </w:rPr>
              <w:t>交易明细拆分</w:t>
            </w:r>
            <w:r>
              <w:rPr>
                <w:rFonts w:hint="default" w:ascii="宋体" w:hAnsi="宋体" w:eastAsia="宋体" w:cs="宋体"/>
                <w:color w:val="auto"/>
                <w:kern w:val="0"/>
                <w:sz w:val="21"/>
                <w:szCs w:val="21"/>
                <w:highlight w:val="none"/>
                <w:lang w:bidi="ar"/>
              </w:rPr>
              <w:t>情况，生成</w:t>
            </w:r>
            <w:r>
              <w:rPr>
                <w:rFonts w:hint="eastAsia" w:ascii="宋体" w:hAnsi="宋体" w:eastAsia="宋体" w:cs="宋体"/>
                <w:color w:val="auto"/>
                <w:kern w:val="0"/>
                <w:sz w:val="21"/>
                <w:szCs w:val="21"/>
                <w:highlight w:val="none"/>
                <w:lang w:bidi="ar"/>
              </w:rPr>
              <w:t>对账拆分</w:t>
            </w:r>
            <w:r>
              <w:rPr>
                <w:rFonts w:hint="default" w:ascii="宋体" w:hAnsi="宋体" w:eastAsia="宋体" w:cs="宋体"/>
                <w:color w:val="auto"/>
                <w:kern w:val="0"/>
                <w:sz w:val="21"/>
                <w:szCs w:val="21"/>
                <w:highlight w:val="none"/>
                <w:lang w:bidi="ar"/>
              </w:rPr>
              <w:t>通知书，对拆分结果进行确认。</w:t>
            </w:r>
          </w:p>
        </w:tc>
      </w:tr>
      <w:tr w14:paraId="7A42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310D7D2A">
            <w:pPr>
              <w:keepNext w:val="0"/>
              <w:keepLines w:val="0"/>
              <w:widowControl/>
              <w:suppressLineNumbers w:val="0"/>
              <w:spacing w:before="0" w:beforeAutospacing="0" w:after="0" w:afterAutospacing="0" w:line="360" w:lineRule="exact"/>
              <w:ind w:left="0" w:right="0" w:firstLine="0" w:firstLineChars="0"/>
              <w:jc w:val="center"/>
              <w:textAlignment w:val="top"/>
              <w:rPr>
                <w:rFonts w:hint="eastAsia" w:ascii="宋体" w:hAnsi="宋体" w:eastAsia="宋体" w:cs="宋体"/>
                <w:color w:val="auto"/>
                <w:kern w:val="0"/>
                <w:sz w:val="21"/>
                <w:szCs w:val="21"/>
                <w:highlight w:val="none"/>
                <w:lang w:val="en-US" w:eastAsia="zh-CN" w:bidi="ar"/>
              </w:rPr>
            </w:pPr>
          </w:p>
        </w:tc>
        <w:tc>
          <w:tcPr>
            <w:tcW w:w="1624" w:type="dxa"/>
            <w:vAlign w:val="center"/>
          </w:tcPr>
          <w:p w14:paraId="1028CDB5">
            <w:pPr>
              <w:keepNext w:val="0"/>
              <w:keepLines w:val="0"/>
              <w:widowControl/>
              <w:suppressLineNumbers w:val="0"/>
              <w:spacing w:before="0" w:beforeAutospacing="0" w:after="0" w:afterAutospacing="0" w:line="360" w:lineRule="exact"/>
              <w:ind w:left="0" w:leftChars="0" w:right="0" w:rightChars="0" w:firstLine="0" w:firstLineChars="0"/>
              <w:jc w:val="center"/>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二级对账报表</w:t>
            </w:r>
          </w:p>
        </w:tc>
        <w:tc>
          <w:tcPr>
            <w:tcW w:w="5647" w:type="dxa"/>
            <w:vAlign w:val="center"/>
          </w:tcPr>
          <w:p w14:paraId="061E5035">
            <w:pPr>
              <w:keepNext w:val="0"/>
              <w:keepLines w:val="0"/>
              <w:widowControl/>
              <w:suppressLineNumbers w:val="0"/>
              <w:spacing w:before="0" w:beforeAutospacing="0" w:after="0" w:afterAutospacing="0" w:line="360" w:lineRule="exact"/>
              <w:ind w:left="0" w:leftChars="0" w:right="0" w:rightChars="0" w:firstLine="0" w:firstLineChars="0"/>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保障系统能正常生成对账拆分、出口未上传等各类报表并协助</w:t>
            </w:r>
            <w:r>
              <w:rPr>
                <w:rFonts w:hint="eastAsia" w:ascii="宋体" w:hAnsi="宋体" w:eastAsia="宋体" w:cs="宋体"/>
                <w:color w:val="auto"/>
                <w:kern w:val="0"/>
                <w:sz w:val="21"/>
                <w:szCs w:val="21"/>
                <w:highlight w:val="none"/>
                <w:lang w:val="en-US" w:eastAsia="zh-CN" w:bidi="ar"/>
              </w:rPr>
              <w:t>用户</w:t>
            </w:r>
            <w:r>
              <w:rPr>
                <w:rFonts w:hint="eastAsia" w:ascii="宋体" w:hAnsi="宋体" w:eastAsia="宋体" w:cs="宋体"/>
                <w:color w:val="auto"/>
                <w:kern w:val="0"/>
                <w:sz w:val="21"/>
                <w:szCs w:val="21"/>
                <w:highlight w:val="none"/>
                <w:lang w:bidi="ar"/>
              </w:rPr>
              <w:t>对异常的报表数据进行核对。</w:t>
            </w:r>
          </w:p>
        </w:tc>
      </w:tr>
      <w:tr w14:paraId="516C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restart"/>
            <w:vAlign w:val="center"/>
          </w:tcPr>
          <w:p w14:paraId="12B1DD02">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运维管理系统</w:t>
            </w:r>
          </w:p>
        </w:tc>
        <w:tc>
          <w:tcPr>
            <w:tcW w:w="1624" w:type="dxa"/>
            <w:vAlign w:val="center"/>
          </w:tcPr>
          <w:p w14:paraId="25098D95">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报修管理</w:t>
            </w:r>
          </w:p>
        </w:tc>
        <w:tc>
          <w:tcPr>
            <w:tcW w:w="5647" w:type="dxa"/>
            <w:vAlign w:val="center"/>
          </w:tcPr>
          <w:p w14:paraId="44636180">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保障用户能够正常登录系统进行故障报修。</w:t>
            </w:r>
          </w:p>
        </w:tc>
      </w:tr>
      <w:tr w14:paraId="2103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6AB03151">
            <w:pPr>
              <w:keepNext w:val="0"/>
              <w:keepLines w:val="0"/>
              <w:widowControl/>
              <w:suppressLineNumbers w:val="0"/>
              <w:spacing w:before="0" w:beforeAutospacing="0" w:after="0" w:afterAutospacing="0" w:line="360" w:lineRule="exact"/>
              <w:ind w:left="0" w:right="0" w:firstLine="0" w:firstLineChars="0"/>
              <w:jc w:val="center"/>
              <w:textAlignment w:val="top"/>
              <w:rPr>
                <w:rFonts w:hint="eastAsia" w:ascii="宋体" w:hAnsi="宋体" w:eastAsia="宋体" w:cs="宋体"/>
                <w:color w:val="auto"/>
                <w:kern w:val="0"/>
                <w:sz w:val="21"/>
                <w:szCs w:val="21"/>
                <w:highlight w:val="none"/>
                <w:lang w:val="en-US" w:eastAsia="zh-CN" w:bidi="ar"/>
              </w:rPr>
            </w:pPr>
          </w:p>
        </w:tc>
        <w:tc>
          <w:tcPr>
            <w:tcW w:w="1624" w:type="dxa"/>
            <w:vAlign w:val="center"/>
          </w:tcPr>
          <w:p w14:paraId="27A60F8B">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工单管理</w:t>
            </w:r>
          </w:p>
        </w:tc>
        <w:tc>
          <w:tcPr>
            <w:tcW w:w="5647" w:type="dxa"/>
            <w:vAlign w:val="center"/>
          </w:tcPr>
          <w:p w14:paraId="4D35200E">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保障用户能够正常登录系统进行工单处理和审核。</w:t>
            </w:r>
          </w:p>
        </w:tc>
      </w:tr>
      <w:tr w14:paraId="0EC9C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2E976892">
            <w:pPr>
              <w:keepNext w:val="0"/>
              <w:keepLines w:val="0"/>
              <w:widowControl/>
              <w:suppressLineNumbers w:val="0"/>
              <w:spacing w:before="0" w:beforeAutospacing="0" w:after="0" w:afterAutospacing="0" w:line="360" w:lineRule="exact"/>
              <w:ind w:left="0" w:right="0" w:firstLine="0" w:firstLineChars="0"/>
              <w:jc w:val="center"/>
              <w:textAlignment w:val="top"/>
              <w:rPr>
                <w:rFonts w:hint="eastAsia" w:ascii="宋体" w:hAnsi="宋体" w:eastAsia="宋体" w:cs="宋体"/>
                <w:color w:val="auto"/>
                <w:kern w:val="0"/>
                <w:sz w:val="21"/>
                <w:szCs w:val="21"/>
                <w:highlight w:val="none"/>
                <w:lang w:val="en-US" w:eastAsia="zh-CN" w:bidi="ar"/>
              </w:rPr>
            </w:pPr>
          </w:p>
        </w:tc>
        <w:tc>
          <w:tcPr>
            <w:tcW w:w="1624" w:type="dxa"/>
            <w:vAlign w:val="center"/>
          </w:tcPr>
          <w:p w14:paraId="7DDDDFDA">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考核管理</w:t>
            </w:r>
          </w:p>
        </w:tc>
        <w:tc>
          <w:tcPr>
            <w:tcW w:w="5647" w:type="dxa"/>
            <w:vAlign w:val="center"/>
          </w:tcPr>
          <w:p w14:paraId="3D5FF94D">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保障系统能够正常导入、汇总、查询各类考核指标。</w:t>
            </w:r>
          </w:p>
        </w:tc>
      </w:tr>
      <w:tr w14:paraId="1981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0AED3191">
            <w:pPr>
              <w:keepNext w:val="0"/>
              <w:keepLines w:val="0"/>
              <w:widowControl/>
              <w:suppressLineNumbers w:val="0"/>
              <w:spacing w:before="0" w:beforeAutospacing="0" w:after="0" w:afterAutospacing="0" w:line="360" w:lineRule="exact"/>
              <w:ind w:left="0" w:right="0" w:firstLine="0" w:firstLineChars="0"/>
              <w:jc w:val="center"/>
              <w:textAlignment w:val="top"/>
              <w:rPr>
                <w:rFonts w:hint="eastAsia" w:ascii="宋体" w:hAnsi="宋体" w:eastAsia="宋体" w:cs="宋体"/>
                <w:color w:val="auto"/>
                <w:kern w:val="0"/>
                <w:sz w:val="21"/>
                <w:szCs w:val="21"/>
                <w:highlight w:val="none"/>
                <w:lang w:val="en-US" w:eastAsia="zh-CN" w:bidi="ar"/>
              </w:rPr>
            </w:pPr>
          </w:p>
        </w:tc>
        <w:tc>
          <w:tcPr>
            <w:tcW w:w="1624" w:type="dxa"/>
            <w:vAlign w:val="center"/>
          </w:tcPr>
          <w:p w14:paraId="21B2B7CB">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巡检登记</w:t>
            </w:r>
          </w:p>
        </w:tc>
        <w:tc>
          <w:tcPr>
            <w:tcW w:w="5647" w:type="dxa"/>
            <w:vAlign w:val="center"/>
          </w:tcPr>
          <w:p w14:paraId="032FFC11">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保障用户能够正常登录系统进行巡检记录登记。</w:t>
            </w:r>
          </w:p>
        </w:tc>
      </w:tr>
      <w:tr w14:paraId="4034F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0A1D5A2A">
            <w:pPr>
              <w:keepNext w:val="0"/>
              <w:keepLines w:val="0"/>
              <w:widowControl/>
              <w:suppressLineNumbers w:val="0"/>
              <w:spacing w:before="0" w:beforeAutospacing="0" w:after="0" w:afterAutospacing="0" w:line="360" w:lineRule="exact"/>
              <w:ind w:left="0" w:right="0" w:firstLine="0" w:firstLineChars="0"/>
              <w:jc w:val="center"/>
              <w:textAlignment w:val="top"/>
              <w:rPr>
                <w:rFonts w:hint="eastAsia" w:ascii="宋体" w:hAnsi="宋体" w:eastAsia="宋体" w:cs="宋体"/>
                <w:color w:val="auto"/>
                <w:kern w:val="0"/>
                <w:sz w:val="21"/>
                <w:szCs w:val="21"/>
                <w:highlight w:val="none"/>
                <w:lang w:val="en-US" w:eastAsia="zh-CN" w:bidi="ar"/>
              </w:rPr>
            </w:pPr>
          </w:p>
        </w:tc>
        <w:tc>
          <w:tcPr>
            <w:tcW w:w="1624" w:type="dxa"/>
            <w:vAlign w:val="center"/>
          </w:tcPr>
          <w:p w14:paraId="3C210297">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知识库</w:t>
            </w:r>
          </w:p>
        </w:tc>
        <w:tc>
          <w:tcPr>
            <w:tcW w:w="5647" w:type="dxa"/>
            <w:vAlign w:val="center"/>
          </w:tcPr>
          <w:p w14:paraId="5465D4A5">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保障用户能够正常新增、查询知识库。</w:t>
            </w:r>
          </w:p>
        </w:tc>
      </w:tr>
      <w:tr w14:paraId="454A6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restart"/>
            <w:vAlign w:val="center"/>
          </w:tcPr>
          <w:p w14:paraId="2B7717F4">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业务培训和咨询</w:t>
            </w:r>
          </w:p>
        </w:tc>
        <w:tc>
          <w:tcPr>
            <w:tcW w:w="1624" w:type="dxa"/>
            <w:vAlign w:val="center"/>
          </w:tcPr>
          <w:p w14:paraId="3321A180">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培训</w:t>
            </w:r>
          </w:p>
        </w:tc>
        <w:tc>
          <w:tcPr>
            <w:tcW w:w="5647" w:type="dxa"/>
            <w:noWrap/>
            <w:vAlign w:val="center"/>
          </w:tcPr>
          <w:p w14:paraId="1465371B">
            <w:pPr>
              <w:keepNext w:val="0"/>
              <w:keepLines w:val="0"/>
              <w:widowControl/>
              <w:suppressLineNumbers w:val="0"/>
              <w:spacing w:before="0" w:beforeAutospacing="0" w:after="0" w:afterAutospacing="0" w:line="360" w:lineRule="exact"/>
              <w:ind w:left="0" w:right="0" w:firstLine="0" w:firstLineChars="0"/>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为</w:t>
            </w:r>
            <w:r>
              <w:rPr>
                <w:rFonts w:hint="eastAsia" w:ascii="宋体" w:hAnsi="宋体" w:eastAsia="宋体" w:cs="Times New Roman"/>
                <w:color w:val="auto"/>
                <w:sz w:val="21"/>
                <w:szCs w:val="21"/>
                <w:highlight w:val="none"/>
                <w:lang w:val="zh-CN"/>
              </w:rPr>
              <w:t>采购人</w:t>
            </w:r>
            <w:r>
              <w:rPr>
                <w:rFonts w:hint="eastAsia" w:ascii="宋体" w:hAnsi="宋体" w:eastAsia="宋体" w:cs="宋体"/>
                <w:color w:val="auto"/>
                <w:kern w:val="0"/>
                <w:sz w:val="21"/>
                <w:szCs w:val="21"/>
                <w:highlight w:val="none"/>
                <w:lang w:bidi="ar"/>
              </w:rPr>
              <w:t>提供相关的业务和系统操作培训及操作手册。</w:t>
            </w:r>
          </w:p>
        </w:tc>
      </w:tr>
      <w:tr w14:paraId="0A792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vAlign w:val="center"/>
          </w:tcPr>
          <w:p w14:paraId="22A4C0AF">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3BB303A4">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咨询</w:t>
            </w:r>
          </w:p>
        </w:tc>
        <w:tc>
          <w:tcPr>
            <w:tcW w:w="5647" w:type="dxa"/>
            <w:vAlign w:val="center"/>
          </w:tcPr>
          <w:p w14:paraId="230B7CD2">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为</w:t>
            </w:r>
            <w:r>
              <w:rPr>
                <w:rFonts w:hint="eastAsia" w:ascii="宋体" w:hAnsi="宋体" w:eastAsia="宋体" w:cs="Times New Roman"/>
                <w:color w:val="auto"/>
                <w:sz w:val="21"/>
                <w:szCs w:val="21"/>
                <w:highlight w:val="none"/>
                <w:lang w:val="zh-CN"/>
              </w:rPr>
              <w:t>采购人</w:t>
            </w:r>
            <w:r>
              <w:rPr>
                <w:rFonts w:hint="eastAsia" w:ascii="宋体" w:hAnsi="宋体" w:eastAsia="宋体" w:cs="宋体"/>
                <w:color w:val="auto"/>
                <w:kern w:val="0"/>
                <w:sz w:val="21"/>
                <w:szCs w:val="21"/>
                <w:highlight w:val="none"/>
                <w:lang w:bidi="ar"/>
              </w:rPr>
              <w:t>提供电话咨询服务。</w:t>
            </w:r>
          </w:p>
        </w:tc>
      </w:tr>
      <w:tr w14:paraId="49296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restart"/>
            <w:noWrap/>
            <w:vAlign w:val="center"/>
          </w:tcPr>
          <w:p w14:paraId="1F36D516">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数据库运维</w:t>
            </w:r>
          </w:p>
        </w:tc>
        <w:tc>
          <w:tcPr>
            <w:tcW w:w="1624" w:type="dxa"/>
            <w:vMerge w:val="restart"/>
            <w:vAlign w:val="center"/>
          </w:tcPr>
          <w:p w14:paraId="61C6B91B">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现场技术支持服务</w:t>
            </w:r>
          </w:p>
        </w:tc>
        <w:tc>
          <w:tcPr>
            <w:tcW w:w="5647" w:type="dxa"/>
            <w:vAlign w:val="center"/>
          </w:tcPr>
          <w:p w14:paraId="3C561A74">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数据库故障处理</w:t>
            </w:r>
          </w:p>
        </w:tc>
      </w:tr>
      <w:tr w14:paraId="498EC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noWrap/>
            <w:vAlign w:val="center"/>
          </w:tcPr>
          <w:p w14:paraId="57904A09">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Merge w:val="continue"/>
            <w:vAlign w:val="center"/>
          </w:tcPr>
          <w:p w14:paraId="5E846EA4">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5647" w:type="dxa"/>
            <w:vAlign w:val="center"/>
          </w:tcPr>
          <w:p w14:paraId="004DA0E2">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数据库优化</w:t>
            </w:r>
          </w:p>
        </w:tc>
      </w:tr>
      <w:tr w14:paraId="6FF1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noWrap/>
            <w:vAlign w:val="center"/>
          </w:tcPr>
          <w:p w14:paraId="2C5CDE67">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Merge w:val="continue"/>
            <w:vAlign w:val="center"/>
          </w:tcPr>
          <w:p w14:paraId="1073DC87">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5647" w:type="dxa"/>
            <w:vAlign w:val="center"/>
          </w:tcPr>
          <w:p w14:paraId="2C7788FE">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数据迁移支持</w:t>
            </w:r>
          </w:p>
        </w:tc>
      </w:tr>
      <w:tr w14:paraId="25363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noWrap/>
            <w:vAlign w:val="center"/>
          </w:tcPr>
          <w:p w14:paraId="4FD45002">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Merge w:val="continue"/>
            <w:vAlign w:val="center"/>
          </w:tcPr>
          <w:p w14:paraId="6E5EE21E">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5647" w:type="dxa"/>
            <w:vAlign w:val="center"/>
          </w:tcPr>
          <w:p w14:paraId="4A36BF29">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重要系统上线前后的技术保障</w:t>
            </w:r>
          </w:p>
        </w:tc>
      </w:tr>
      <w:tr w14:paraId="2889D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noWrap/>
            <w:vAlign w:val="center"/>
          </w:tcPr>
          <w:p w14:paraId="618E927C">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Merge w:val="continue"/>
            <w:vAlign w:val="center"/>
          </w:tcPr>
          <w:p w14:paraId="63ED8F60">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5647" w:type="dxa"/>
            <w:vAlign w:val="center"/>
          </w:tcPr>
          <w:p w14:paraId="09954E82">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补丁升级</w:t>
            </w:r>
          </w:p>
        </w:tc>
      </w:tr>
      <w:tr w14:paraId="4DD4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noWrap/>
            <w:vAlign w:val="center"/>
          </w:tcPr>
          <w:p w14:paraId="3468FC9C">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Merge w:val="continue"/>
            <w:vAlign w:val="center"/>
          </w:tcPr>
          <w:p w14:paraId="69D3FB5D">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5647" w:type="dxa"/>
            <w:vAlign w:val="center"/>
          </w:tcPr>
          <w:p w14:paraId="41CB4F36">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节假日前后的数据库监控巡检</w:t>
            </w:r>
          </w:p>
        </w:tc>
      </w:tr>
      <w:tr w14:paraId="383D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noWrap/>
            <w:vAlign w:val="center"/>
          </w:tcPr>
          <w:p w14:paraId="5100BE5D">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Merge w:val="continue"/>
            <w:vAlign w:val="center"/>
          </w:tcPr>
          <w:p w14:paraId="516FF3B5">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5647" w:type="dxa"/>
            <w:vAlign w:val="center"/>
          </w:tcPr>
          <w:p w14:paraId="21233244">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表结构变更</w:t>
            </w:r>
          </w:p>
        </w:tc>
      </w:tr>
      <w:tr w14:paraId="3CD1A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noWrap/>
            <w:vAlign w:val="center"/>
          </w:tcPr>
          <w:p w14:paraId="0CDC5D38">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Merge w:val="continue"/>
            <w:vAlign w:val="center"/>
          </w:tcPr>
          <w:p w14:paraId="716F6D28">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5647" w:type="dxa"/>
            <w:vAlign w:val="center"/>
          </w:tcPr>
          <w:p w14:paraId="597579D1">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数据库系统性能诊断及调优</w:t>
            </w:r>
          </w:p>
        </w:tc>
      </w:tr>
      <w:tr w14:paraId="7F3FD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noWrap/>
            <w:vAlign w:val="center"/>
          </w:tcPr>
          <w:p w14:paraId="7BBED3D7">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Merge w:val="continue"/>
            <w:vAlign w:val="center"/>
          </w:tcPr>
          <w:p w14:paraId="2F1FADF9">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5647" w:type="dxa"/>
            <w:vAlign w:val="center"/>
          </w:tcPr>
          <w:p w14:paraId="4FA4CA4D">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数据备份与恢复</w:t>
            </w:r>
          </w:p>
        </w:tc>
      </w:tr>
      <w:tr w14:paraId="4ED0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noWrap/>
            <w:vAlign w:val="center"/>
          </w:tcPr>
          <w:p w14:paraId="39A776E0">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Merge w:val="continue"/>
            <w:vAlign w:val="center"/>
          </w:tcPr>
          <w:p w14:paraId="2593D8CD">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5647" w:type="dxa"/>
            <w:vAlign w:val="center"/>
          </w:tcPr>
          <w:p w14:paraId="71104DF8">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非</w:t>
            </w:r>
            <w:r>
              <w:rPr>
                <w:rFonts w:hint="eastAsia" w:ascii="宋体" w:hAnsi="宋体" w:eastAsia="宋体" w:cs="宋体"/>
                <w:color w:val="auto"/>
                <w:kern w:val="0"/>
                <w:sz w:val="21"/>
                <w:szCs w:val="21"/>
                <w:highlight w:val="none"/>
                <w:lang w:eastAsia="zh" w:bidi="ar"/>
              </w:rPr>
              <w:t>生产数据库</w:t>
            </w:r>
            <w:r>
              <w:rPr>
                <w:rFonts w:hint="default" w:ascii="宋体" w:hAnsi="宋体" w:eastAsia="宋体" w:cs="宋体"/>
                <w:color w:val="auto"/>
                <w:kern w:val="0"/>
                <w:sz w:val="21"/>
                <w:szCs w:val="21"/>
                <w:highlight w:val="none"/>
                <w:lang w:bidi="ar"/>
              </w:rPr>
              <w:t>的其他</w:t>
            </w:r>
            <w:r>
              <w:rPr>
                <w:rFonts w:hint="eastAsia" w:ascii="宋体" w:hAnsi="宋体" w:eastAsia="宋体" w:cs="宋体"/>
                <w:color w:val="auto"/>
                <w:kern w:val="0"/>
                <w:sz w:val="21"/>
                <w:szCs w:val="21"/>
                <w:highlight w:val="none"/>
                <w:lang w:eastAsia="zh" w:bidi="ar"/>
              </w:rPr>
              <w:t>相关</w:t>
            </w:r>
            <w:r>
              <w:rPr>
                <w:rFonts w:hint="default" w:ascii="宋体" w:hAnsi="宋体" w:eastAsia="宋体" w:cs="宋体"/>
                <w:color w:val="auto"/>
                <w:kern w:val="0"/>
                <w:sz w:val="21"/>
                <w:szCs w:val="21"/>
                <w:highlight w:val="none"/>
                <w:lang w:bidi="ar"/>
              </w:rPr>
              <w:t>数据库</w:t>
            </w:r>
            <w:r>
              <w:rPr>
                <w:rFonts w:hint="eastAsia" w:ascii="宋体" w:hAnsi="宋体" w:eastAsia="宋体" w:cs="宋体"/>
                <w:color w:val="auto"/>
                <w:kern w:val="0"/>
                <w:sz w:val="21"/>
                <w:szCs w:val="21"/>
                <w:highlight w:val="none"/>
                <w:lang w:eastAsia="zh" w:bidi="ar"/>
              </w:rPr>
              <w:t>的</w:t>
            </w:r>
            <w:r>
              <w:rPr>
                <w:rFonts w:hint="default" w:ascii="宋体" w:hAnsi="宋体" w:eastAsia="宋体" w:cs="宋体"/>
                <w:color w:val="auto"/>
                <w:kern w:val="0"/>
                <w:sz w:val="21"/>
                <w:szCs w:val="21"/>
                <w:highlight w:val="none"/>
                <w:lang w:bidi="ar"/>
              </w:rPr>
              <w:t>技术支持</w:t>
            </w:r>
          </w:p>
        </w:tc>
      </w:tr>
      <w:tr w14:paraId="7F6A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noWrap/>
            <w:vAlign w:val="center"/>
          </w:tcPr>
          <w:p w14:paraId="0B8EF1A6">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Merge w:val="restart"/>
            <w:vAlign w:val="center"/>
          </w:tcPr>
          <w:p w14:paraId="4D50A212">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数据库物理设计评估及优化服务</w:t>
            </w:r>
          </w:p>
        </w:tc>
        <w:tc>
          <w:tcPr>
            <w:tcW w:w="5647" w:type="dxa"/>
            <w:vAlign w:val="center"/>
          </w:tcPr>
          <w:p w14:paraId="2245F20A">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表空间方案建议</w:t>
            </w:r>
          </w:p>
        </w:tc>
      </w:tr>
      <w:tr w14:paraId="6E9B5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noWrap/>
            <w:vAlign w:val="center"/>
          </w:tcPr>
          <w:p w14:paraId="2F947C2A">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Merge w:val="continue"/>
            <w:vAlign w:val="center"/>
          </w:tcPr>
          <w:p w14:paraId="10B1BF0A">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5647" w:type="dxa"/>
            <w:vAlign w:val="center"/>
          </w:tcPr>
          <w:p w14:paraId="5EC7966C">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Calibri"/>
                <w:color w:val="auto"/>
                <w:sz w:val="21"/>
                <w:szCs w:val="21"/>
                <w:highlight w:val="none"/>
              </w:rPr>
            </w:pPr>
            <w:r>
              <w:rPr>
                <w:rFonts w:hint="eastAsia" w:ascii="宋体" w:hAnsi="宋体" w:eastAsia="宋体" w:cs="宋体"/>
                <w:color w:val="auto"/>
                <w:kern w:val="0"/>
                <w:sz w:val="21"/>
                <w:szCs w:val="21"/>
                <w:highlight w:val="none"/>
                <w:lang w:bidi="ar"/>
              </w:rPr>
              <w:t>ASM</w:t>
            </w:r>
            <w:r>
              <w:rPr>
                <w:rFonts w:hint="default" w:ascii="宋体" w:hAnsi="宋体" w:eastAsia="宋体" w:cs="宋体"/>
                <w:color w:val="auto"/>
                <w:kern w:val="0"/>
                <w:sz w:val="21"/>
                <w:szCs w:val="21"/>
                <w:highlight w:val="none"/>
                <w:lang w:bidi="ar"/>
              </w:rPr>
              <w:t>设计</w:t>
            </w:r>
          </w:p>
        </w:tc>
      </w:tr>
      <w:tr w14:paraId="19FE6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noWrap/>
            <w:vAlign w:val="center"/>
          </w:tcPr>
          <w:p w14:paraId="142F489F">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Merge w:val="continue"/>
            <w:vAlign w:val="center"/>
          </w:tcPr>
          <w:p w14:paraId="3FF12B98">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5647" w:type="dxa"/>
            <w:vAlign w:val="center"/>
          </w:tcPr>
          <w:p w14:paraId="71958311">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数据库分区方案建议</w:t>
            </w:r>
          </w:p>
        </w:tc>
      </w:tr>
      <w:tr w14:paraId="0DC7A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noWrap/>
            <w:vAlign w:val="center"/>
          </w:tcPr>
          <w:p w14:paraId="37942D22">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Merge w:val="restart"/>
            <w:vAlign w:val="center"/>
          </w:tcPr>
          <w:p w14:paraId="002CB620">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性能优化管理服务</w:t>
            </w:r>
          </w:p>
        </w:tc>
        <w:tc>
          <w:tcPr>
            <w:tcW w:w="5647" w:type="dxa"/>
            <w:vAlign w:val="center"/>
          </w:tcPr>
          <w:p w14:paraId="63CFE69A">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SQL</w:t>
            </w:r>
            <w:r>
              <w:rPr>
                <w:rFonts w:hint="default" w:ascii="宋体" w:hAnsi="宋体" w:eastAsia="宋体" w:cs="宋体"/>
                <w:color w:val="auto"/>
                <w:kern w:val="0"/>
                <w:sz w:val="21"/>
                <w:szCs w:val="21"/>
                <w:highlight w:val="none"/>
                <w:lang w:bidi="ar"/>
              </w:rPr>
              <w:t>代码质量审核工具包及定制服务</w:t>
            </w:r>
          </w:p>
        </w:tc>
      </w:tr>
      <w:tr w14:paraId="28DFA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noWrap/>
            <w:vAlign w:val="center"/>
          </w:tcPr>
          <w:p w14:paraId="2CA1DBD5">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Merge w:val="continue"/>
            <w:vAlign w:val="center"/>
          </w:tcPr>
          <w:p w14:paraId="53B2A094">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5647" w:type="dxa"/>
            <w:vAlign w:val="center"/>
          </w:tcPr>
          <w:p w14:paraId="70FC5003">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数据库慢语句分析及</w:t>
            </w:r>
            <w:r>
              <w:rPr>
                <w:rFonts w:hint="eastAsia" w:ascii="宋体" w:hAnsi="宋体" w:eastAsia="宋体" w:cs="宋体"/>
                <w:color w:val="auto"/>
                <w:kern w:val="0"/>
                <w:sz w:val="21"/>
                <w:szCs w:val="21"/>
                <w:highlight w:val="none"/>
                <w:lang w:bidi="ar"/>
              </w:rPr>
              <w:t>SQL</w:t>
            </w:r>
            <w:r>
              <w:rPr>
                <w:rFonts w:hint="default" w:ascii="宋体" w:hAnsi="宋体" w:eastAsia="宋体" w:cs="宋体"/>
                <w:color w:val="auto"/>
                <w:kern w:val="0"/>
                <w:sz w:val="21"/>
                <w:szCs w:val="21"/>
                <w:highlight w:val="none"/>
                <w:lang w:bidi="ar"/>
              </w:rPr>
              <w:t>性能优化服务</w:t>
            </w:r>
          </w:p>
        </w:tc>
      </w:tr>
      <w:tr w14:paraId="5166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noWrap/>
            <w:vAlign w:val="center"/>
          </w:tcPr>
          <w:p w14:paraId="7324283A">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Merge w:val="restart"/>
            <w:vAlign w:val="center"/>
          </w:tcPr>
          <w:p w14:paraId="001ACA41">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数据库安全性解决方案及实施服务</w:t>
            </w:r>
          </w:p>
        </w:tc>
        <w:tc>
          <w:tcPr>
            <w:tcW w:w="5647" w:type="dxa"/>
            <w:vAlign w:val="center"/>
          </w:tcPr>
          <w:p w14:paraId="17779A07">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数据库安装及配置安全性设计</w:t>
            </w:r>
          </w:p>
        </w:tc>
      </w:tr>
      <w:tr w14:paraId="69EEC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noWrap/>
            <w:vAlign w:val="center"/>
          </w:tcPr>
          <w:p w14:paraId="5700A3C5">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Merge w:val="continue"/>
            <w:vAlign w:val="center"/>
          </w:tcPr>
          <w:p w14:paraId="550A872D">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5647" w:type="dxa"/>
            <w:vAlign w:val="center"/>
          </w:tcPr>
          <w:p w14:paraId="4B3BE60B">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用户</w:t>
            </w:r>
            <w:r>
              <w:rPr>
                <w:rFonts w:hint="eastAsia" w:ascii="宋体" w:hAnsi="宋体" w:eastAsia="宋体" w:cs="宋体"/>
                <w:color w:val="auto"/>
                <w:kern w:val="0"/>
                <w:sz w:val="21"/>
                <w:szCs w:val="21"/>
                <w:highlight w:val="none"/>
                <w:lang w:bidi="ar"/>
              </w:rPr>
              <w:t>帐号安全性设计</w:t>
            </w:r>
          </w:p>
        </w:tc>
      </w:tr>
      <w:tr w14:paraId="64932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noWrap/>
            <w:vAlign w:val="center"/>
          </w:tcPr>
          <w:p w14:paraId="10B9E1FB">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Merge w:val="continue"/>
            <w:vAlign w:val="center"/>
          </w:tcPr>
          <w:p w14:paraId="24BA9897">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5647" w:type="dxa"/>
            <w:vAlign w:val="center"/>
          </w:tcPr>
          <w:p w14:paraId="5B1D860A">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用户</w:t>
            </w:r>
            <w:r>
              <w:rPr>
                <w:rFonts w:hint="eastAsia" w:ascii="宋体" w:hAnsi="宋体" w:eastAsia="宋体" w:cs="宋体"/>
                <w:color w:val="auto"/>
                <w:kern w:val="0"/>
                <w:sz w:val="21"/>
                <w:szCs w:val="21"/>
                <w:highlight w:val="none"/>
                <w:lang w:bidi="ar"/>
              </w:rPr>
              <w:t>限安全性设计</w:t>
            </w:r>
          </w:p>
        </w:tc>
      </w:tr>
      <w:tr w14:paraId="64507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noWrap/>
            <w:vAlign w:val="center"/>
          </w:tcPr>
          <w:p w14:paraId="6AE66193">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Merge w:val="restart"/>
            <w:vAlign w:val="center"/>
          </w:tcPr>
          <w:p w14:paraId="6887BFCF">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系统上线测试服务</w:t>
            </w:r>
          </w:p>
        </w:tc>
        <w:tc>
          <w:tcPr>
            <w:tcW w:w="5647" w:type="dxa"/>
            <w:vAlign w:val="center"/>
          </w:tcPr>
          <w:p w14:paraId="587FF2E1">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环境搭建及准备辅助</w:t>
            </w:r>
          </w:p>
        </w:tc>
      </w:tr>
      <w:tr w14:paraId="53421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noWrap/>
            <w:vAlign w:val="center"/>
          </w:tcPr>
          <w:p w14:paraId="28B3C7F5">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Merge w:val="continue"/>
            <w:vAlign w:val="center"/>
          </w:tcPr>
          <w:p w14:paraId="0EFF9221">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5647" w:type="dxa"/>
            <w:vAlign w:val="center"/>
          </w:tcPr>
          <w:p w14:paraId="65EFFB90">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性能／压力测试辅助</w:t>
            </w:r>
          </w:p>
        </w:tc>
      </w:tr>
      <w:tr w14:paraId="5E0C8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noWrap/>
            <w:vAlign w:val="center"/>
          </w:tcPr>
          <w:p w14:paraId="36E73A55">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Merge w:val="continue"/>
            <w:vAlign w:val="center"/>
          </w:tcPr>
          <w:p w14:paraId="1D4127E3">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5647" w:type="dxa"/>
            <w:vAlign w:val="center"/>
          </w:tcPr>
          <w:p w14:paraId="0874A78C">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应用压力测试技术支持服务：根据当前实际业务量估算</w:t>
            </w:r>
            <w:r>
              <w:rPr>
                <w:rFonts w:hint="eastAsia" w:ascii="宋体" w:hAnsi="宋体" w:eastAsia="宋体" w:cs="宋体"/>
                <w:color w:val="auto"/>
                <w:kern w:val="0"/>
                <w:sz w:val="21"/>
                <w:szCs w:val="21"/>
                <w:highlight w:val="none"/>
                <w:lang w:bidi="ar"/>
              </w:rPr>
              <w:t>3-5</w:t>
            </w:r>
            <w:r>
              <w:rPr>
                <w:rFonts w:hint="default" w:ascii="宋体" w:hAnsi="宋体" w:eastAsia="宋体" w:cs="宋体"/>
                <w:color w:val="auto"/>
                <w:kern w:val="0"/>
                <w:sz w:val="21"/>
                <w:szCs w:val="21"/>
                <w:highlight w:val="none"/>
                <w:lang w:bidi="ar"/>
              </w:rPr>
              <w:t>年以后的性能要求， 以及数据库服务器的基准值</w:t>
            </w:r>
          </w:p>
        </w:tc>
      </w:tr>
      <w:tr w14:paraId="3676E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restart"/>
            <w:noWrap/>
            <w:vAlign w:val="center"/>
          </w:tcPr>
          <w:p w14:paraId="3465E974">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服务器相关运维</w:t>
            </w:r>
          </w:p>
        </w:tc>
        <w:tc>
          <w:tcPr>
            <w:tcW w:w="1624" w:type="dxa"/>
            <w:vAlign w:val="center"/>
          </w:tcPr>
          <w:p w14:paraId="12E0FCD5">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服务器管理</w:t>
            </w:r>
          </w:p>
        </w:tc>
        <w:tc>
          <w:tcPr>
            <w:tcW w:w="5647" w:type="dxa"/>
            <w:vAlign w:val="center"/>
          </w:tcPr>
          <w:p w14:paraId="634827DF">
            <w:pPr>
              <w:keepNext w:val="0"/>
              <w:keepLines w:val="0"/>
              <w:widowControl/>
              <w:suppressLineNumbers w:val="0"/>
              <w:spacing w:before="0" w:beforeAutospacing="0" w:after="0" w:afterAutospacing="0" w:line="360" w:lineRule="exact"/>
              <w:ind w:left="0" w:right="0" w:firstLine="0" w:firstLineChars="0"/>
              <w:textAlignment w:val="top"/>
              <w:rPr>
                <w:rFonts w:hint="eastAsia"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省中心联网收费系统服务器的密码管理，内存、空间等使用资源管理，端口管理，防火墙管理，漏扫及渗透测试漏洞修复整改等。</w:t>
            </w:r>
          </w:p>
        </w:tc>
      </w:tr>
      <w:tr w14:paraId="2118B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vMerge w:val="continue"/>
            <w:noWrap/>
            <w:vAlign w:val="center"/>
          </w:tcPr>
          <w:p w14:paraId="20D01EE5">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auto"/>
                <w:sz w:val="21"/>
                <w:szCs w:val="21"/>
                <w:highlight w:val="none"/>
              </w:rPr>
            </w:pPr>
          </w:p>
        </w:tc>
        <w:tc>
          <w:tcPr>
            <w:tcW w:w="1624" w:type="dxa"/>
            <w:vAlign w:val="center"/>
          </w:tcPr>
          <w:p w14:paraId="61C70376">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应用部署</w:t>
            </w:r>
          </w:p>
        </w:tc>
        <w:tc>
          <w:tcPr>
            <w:tcW w:w="5647" w:type="dxa"/>
            <w:vAlign w:val="center"/>
          </w:tcPr>
          <w:p w14:paraId="02F47F27">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 w:bidi="ar"/>
              </w:rPr>
              <w:t>包括但不限于</w:t>
            </w:r>
            <w:r>
              <w:rPr>
                <w:rFonts w:hint="eastAsia" w:ascii="宋体" w:hAnsi="宋体" w:eastAsia="宋体" w:cs="宋体"/>
                <w:color w:val="auto"/>
                <w:kern w:val="0"/>
                <w:sz w:val="21"/>
                <w:szCs w:val="21"/>
                <w:highlight w:val="none"/>
                <w:lang w:bidi="ar"/>
              </w:rPr>
              <w:t>虚机申请、网络变更、应用环境部署等。</w:t>
            </w:r>
          </w:p>
        </w:tc>
      </w:tr>
      <w:tr w14:paraId="525D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noWrap/>
            <w:vAlign w:val="center"/>
          </w:tcPr>
          <w:p w14:paraId="4AB0B150">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数据查询统计及导出</w:t>
            </w:r>
          </w:p>
        </w:tc>
        <w:tc>
          <w:tcPr>
            <w:tcW w:w="1624" w:type="dxa"/>
            <w:vAlign w:val="center"/>
          </w:tcPr>
          <w:p w14:paraId="2B5D8EEE">
            <w:pPr>
              <w:keepNext w:val="0"/>
              <w:keepLines w:val="0"/>
              <w:widowControl/>
              <w:suppressLineNumbers w:val="0"/>
              <w:spacing w:before="0" w:beforeAutospacing="0" w:after="0" w:afterAutospacing="0" w:line="360" w:lineRule="exact"/>
              <w:ind w:left="0" w:right="0" w:firstLine="0" w:firstLineChars="0"/>
              <w:jc w:val="center"/>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数据查询统计及导出</w:t>
            </w:r>
          </w:p>
        </w:tc>
        <w:tc>
          <w:tcPr>
            <w:tcW w:w="5647" w:type="dxa"/>
            <w:vAlign w:val="center"/>
          </w:tcPr>
          <w:p w14:paraId="315E3F34">
            <w:pPr>
              <w:keepNext w:val="0"/>
              <w:keepLines w:val="0"/>
              <w:widowControl/>
              <w:suppressLineNumbers w:val="0"/>
              <w:spacing w:before="0" w:beforeAutospacing="0" w:after="0" w:afterAutospacing="0" w:line="360" w:lineRule="exact"/>
              <w:ind w:left="0" w:right="0" w:firstLine="0" w:firstLineChars="0"/>
              <w:textAlignment w:val="top"/>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根据</w:t>
            </w:r>
            <w:r>
              <w:rPr>
                <w:rFonts w:hint="eastAsia" w:ascii="宋体" w:hAnsi="宋体" w:eastAsia="宋体" w:cs="宋体"/>
                <w:color w:val="auto"/>
                <w:kern w:val="0"/>
                <w:sz w:val="21"/>
                <w:szCs w:val="21"/>
                <w:highlight w:val="none"/>
                <w:lang w:val="en-US" w:eastAsia="zh-CN" w:bidi="ar"/>
              </w:rPr>
              <w:t>用户</w:t>
            </w:r>
            <w:r>
              <w:rPr>
                <w:rFonts w:hint="eastAsia" w:ascii="宋体" w:hAnsi="宋体" w:eastAsia="宋体" w:cs="宋体"/>
                <w:color w:val="auto"/>
                <w:kern w:val="0"/>
                <w:sz w:val="21"/>
                <w:szCs w:val="21"/>
                <w:highlight w:val="none"/>
                <w:lang w:bidi="ar"/>
              </w:rPr>
              <w:t>（包括</w:t>
            </w:r>
            <w:r>
              <w:rPr>
                <w:rFonts w:hint="eastAsia" w:ascii="宋体" w:hAnsi="宋体" w:eastAsia="宋体" w:cs="宋体"/>
                <w:color w:val="auto"/>
                <w:kern w:val="0"/>
                <w:sz w:val="21"/>
                <w:szCs w:val="21"/>
                <w:highlight w:val="none"/>
                <w:lang w:eastAsia="zh" w:bidi="ar"/>
              </w:rPr>
              <w:t>采购人及采购人审核过的单位和个人</w:t>
            </w:r>
            <w:r>
              <w:rPr>
                <w:rFonts w:hint="eastAsia" w:ascii="宋体" w:hAnsi="宋体" w:eastAsia="宋体" w:cs="宋体"/>
                <w:color w:val="auto"/>
                <w:kern w:val="0"/>
                <w:sz w:val="21"/>
                <w:szCs w:val="21"/>
                <w:highlight w:val="none"/>
                <w:lang w:bidi="ar"/>
              </w:rPr>
              <w:t>）的实际需求进行数据的查询统计及导出。</w:t>
            </w:r>
          </w:p>
        </w:tc>
      </w:tr>
    </w:tbl>
    <w:p w14:paraId="22E88D1A">
      <w:pPr>
        <w:spacing w:after="0" w:line="360" w:lineRule="exact"/>
        <w:jc w:val="left"/>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p>
    <w:p w14:paraId="1E80408F">
      <w:pPr>
        <w:spacing w:after="0" w:line="360" w:lineRule="exact"/>
        <w:ind w:firstLine="420"/>
        <w:jc w:val="lef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lang w:val="en-US" w:eastAsia="zh-CN"/>
        </w:rPr>
        <w:t>车道软件终端系统运维</w:t>
      </w:r>
      <w:r>
        <w:rPr>
          <w:rFonts w:hint="eastAsia" w:ascii="宋体" w:hAnsi="宋体"/>
          <w:color w:val="auto"/>
          <w:szCs w:val="21"/>
          <w:highlight w:val="none"/>
        </w:rPr>
        <w:t>（包括但不仅限于</w:t>
      </w:r>
      <w:r>
        <w:rPr>
          <w:rFonts w:hint="eastAsia" w:ascii="宋体" w:hAnsi="宋体"/>
          <w:color w:val="auto"/>
          <w:szCs w:val="21"/>
          <w:highlight w:val="none"/>
          <w:lang w:eastAsia="zh"/>
        </w:rPr>
        <w:t>全区3</w:t>
      </w:r>
      <w:r>
        <w:rPr>
          <w:rFonts w:hint="eastAsia" w:ascii="宋体" w:hAnsi="宋体"/>
          <w:color w:val="auto"/>
          <w:szCs w:val="21"/>
          <w:highlight w:val="none"/>
        </w:rPr>
        <w:t>9</w:t>
      </w:r>
      <w:r>
        <w:rPr>
          <w:rFonts w:hint="eastAsia" w:ascii="宋体" w:hAnsi="宋体"/>
          <w:color w:val="auto"/>
          <w:szCs w:val="21"/>
          <w:highlight w:val="none"/>
          <w:lang w:val="en-US" w:eastAsia="zh-CN"/>
        </w:rPr>
        <w:t>81</w:t>
      </w:r>
      <w:r>
        <w:rPr>
          <w:rFonts w:hint="eastAsia" w:ascii="宋体" w:hAnsi="宋体"/>
          <w:color w:val="auto"/>
          <w:szCs w:val="21"/>
          <w:highlight w:val="none"/>
          <w:lang w:eastAsia="zh"/>
        </w:rPr>
        <w:t>套车道软件，其中混合车道软件</w:t>
      </w:r>
      <w:r>
        <w:rPr>
          <w:rFonts w:hint="eastAsia" w:ascii="宋体" w:hAnsi="宋体"/>
          <w:color w:val="auto"/>
          <w:szCs w:val="21"/>
          <w:highlight w:val="none"/>
        </w:rPr>
        <w:t>17</w:t>
      </w:r>
      <w:r>
        <w:rPr>
          <w:rFonts w:hint="eastAsia" w:ascii="宋体" w:hAnsi="宋体"/>
          <w:color w:val="auto"/>
          <w:szCs w:val="21"/>
          <w:highlight w:val="none"/>
          <w:lang w:val="en-US" w:eastAsia="zh-CN"/>
        </w:rPr>
        <w:t>87</w:t>
      </w:r>
      <w:r>
        <w:rPr>
          <w:rFonts w:hint="eastAsia" w:ascii="宋体" w:hAnsi="宋体"/>
          <w:color w:val="auto"/>
          <w:szCs w:val="21"/>
          <w:highlight w:val="none"/>
          <w:lang w:eastAsia="zh"/>
        </w:rPr>
        <w:t>套，ETC车道软件2</w:t>
      </w:r>
      <w:r>
        <w:rPr>
          <w:rFonts w:hint="eastAsia" w:ascii="宋体" w:hAnsi="宋体"/>
          <w:color w:val="auto"/>
          <w:szCs w:val="21"/>
          <w:highlight w:val="none"/>
        </w:rPr>
        <w:t>1</w:t>
      </w:r>
      <w:r>
        <w:rPr>
          <w:rFonts w:hint="eastAsia" w:ascii="宋体" w:hAnsi="宋体"/>
          <w:color w:val="auto"/>
          <w:szCs w:val="21"/>
          <w:highlight w:val="none"/>
          <w:lang w:val="en-US" w:eastAsia="zh-CN"/>
        </w:rPr>
        <w:t>94</w:t>
      </w:r>
      <w:r>
        <w:rPr>
          <w:rFonts w:hint="eastAsia" w:ascii="宋体" w:hAnsi="宋体"/>
          <w:color w:val="auto"/>
          <w:szCs w:val="21"/>
          <w:highlight w:val="none"/>
          <w:lang w:eastAsia="zh"/>
        </w:rPr>
        <w:t>套</w:t>
      </w:r>
      <w:r>
        <w:rPr>
          <w:rFonts w:hint="eastAsia" w:ascii="宋体" w:hAnsi="宋体"/>
          <w:color w:val="auto"/>
          <w:szCs w:val="21"/>
          <w:highlight w:val="none"/>
        </w:rPr>
        <w:t>）</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924"/>
        <w:gridCol w:w="4870"/>
      </w:tblGrid>
      <w:tr w14:paraId="43EF1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1728" w:type="dxa"/>
            <w:vAlign w:val="center"/>
          </w:tcPr>
          <w:p w14:paraId="595F06AF">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系统</w:t>
            </w:r>
          </w:p>
        </w:tc>
        <w:tc>
          <w:tcPr>
            <w:tcW w:w="1924" w:type="dxa"/>
            <w:vAlign w:val="center"/>
          </w:tcPr>
          <w:p w14:paraId="7AEF5BA3">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模块</w:t>
            </w:r>
          </w:p>
        </w:tc>
        <w:tc>
          <w:tcPr>
            <w:tcW w:w="4870" w:type="dxa"/>
            <w:vAlign w:val="center"/>
          </w:tcPr>
          <w:p w14:paraId="50BD5227">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保障范围</w:t>
            </w:r>
          </w:p>
        </w:tc>
      </w:tr>
      <w:tr w14:paraId="59EFF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restart"/>
            <w:vAlign w:val="center"/>
          </w:tcPr>
          <w:p w14:paraId="121F2A4D">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车道收费软件</w:t>
            </w:r>
          </w:p>
        </w:tc>
        <w:tc>
          <w:tcPr>
            <w:tcW w:w="1924" w:type="dxa"/>
            <w:vAlign w:val="center"/>
          </w:tcPr>
          <w:p w14:paraId="5EA311AD">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进入系统</w:t>
            </w:r>
          </w:p>
        </w:tc>
        <w:tc>
          <w:tcPr>
            <w:tcW w:w="4870" w:type="dxa"/>
            <w:vAlign w:val="center"/>
          </w:tcPr>
          <w:p w14:paraId="77D5DAC0">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正常进入、退出系统。</w:t>
            </w:r>
          </w:p>
        </w:tc>
      </w:tr>
      <w:tr w14:paraId="67AEB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2EEB5FA1">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03D3E34D">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上下班</w:t>
            </w:r>
          </w:p>
        </w:tc>
        <w:tc>
          <w:tcPr>
            <w:tcW w:w="4870" w:type="dxa"/>
            <w:vAlign w:val="center"/>
          </w:tcPr>
          <w:p w14:paraId="795B177E">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正常</w:t>
            </w:r>
            <w:r>
              <w:rPr>
                <w:rFonts w:hint="default" w:ascii="宋体" w:hAnsi="宋体" w:eastAsia="宋体" w:cs="Times New Roman"/>
                <w:color w:val="auto"/>
                <w:sz w:val="21"/>
                <w:szCs w:val="21"/>
                <w:highlight w:val="none"/>
              </w:rPr>
              <w:t>上、下班</w:t>
            </w:r>
            <w:r>
              <w:rPr>
                <w:rFonts w:hint="eastAsia" w:ascii="宋体" w:hAnsi="宋体" w:eastAsia="宋体" w:cs="Times New Roman"/>
                <w:color w:val="auto"/>
                <w:sz w:val="21"/>
                <w:szCs w:val="21"/>
                <w:highlight w:val="none"/>
              </w:rPr>
              <w:t>。</w:t>
            </w:r>
          </w:p>
        </w:tc>
      </w:tr>
      <w:tr w14:paraId="33154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4968D734">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2DADE112">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正常车辆操作</w:t>
            </w:r>
          </w:p>
        </w:tc>
        <w:tc>
          <w:tcPr>
            <w:tcW w:w="4870" w:type="dxa"/>
            <w:vAlign w:val="center"/>
          </w:tcPr>
          <w:p w14:paraId="1E258133">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按正常流程处理进入及驶出车道的车辆。</w:t>
            </w:r>
          </w:p>
        </w:tc>
      </w:tr>
      <w:tr w14:paraId="5FBAF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75A39C4A">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00781133">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特殊车辆处理</w:t>
            </w:r>
          </w:p>
        </w:tc>
        <w:tc>
          <w:tcPr>
            <w:tcW w:w="4870" w:type="dxa"/>
            <w:vAlign w:val="center"/>
          </w:tcPr>
          <w:p w14:paraId="4A55D25F">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按特殊流程处理进入及驶出车道的车辆。</w:t>
            </w:r>
          </w:p>
        </w:tc>
      </w:tr>
      <w:tr w14:paraId="0A1D0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23C14C25">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070D450E">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天线</w:t>
            </w:r>
            <w:r>
              <w:rPr>
                <w:rFonts w:hint="default" w:ascii="宋体" w:hAnsi="宋体" w:eastAsia="宋体" w:cs="Times New Roman"/>
                <w:color w:val="auto"/>
                <w:sz w:val="21"/>
                <w:szCs w:val="21"/>
                <w:highlight w:val="none"/>
              </w:rPr>
              <w:t>交易</w:t>
            </w:r>
          </w:p>
        </w:tc>
        <w:tc>
          <w:tcPr>
            <w:tcW w:w="4870" w:type="dxa"/>
            <w:vAlign w:val="center"/>
          </w:tcPr>
          <w:p w14:paraId="04BCFDFE">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保证ETC车辆正常</w:t>
            </w:r>
            <w:r>
              <w:rPr>
                <w:rFonts w:hint="default" w:ascii="宋体" w:hAnsi="宋体" w:eastAsia="宋体" w:cs="Times New Roman"/>
                <w:color w:val="auto"/>
                <w:sz w:val="21"/>
                <w:szCs w:val="21"/>
                <w:highlight w:val="none"/>
              </w:rPr>
              <w:t>进行天线交易</w:t>
            </w:r>
            <w:r>
              <w:rPr>
                <w:rFonts w:hint="eastAsia" w:ascii="宋体" w:hAnsi="宋体" w:eastAsia="宋体" w:cs="Times New Roman"/>
                <w:color w:val="auto"/>
                <w:sz w:val="21"/>
                <w:szCs w:val="21"/>
                <w:highlight w:val="none"/>
              </w:rPr>
              <w:t>。</w:t>
            </w:r>
          </w:p>
        </w:tc>
      </w:tr>
      <w:tr w14:paraId="2109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2A0C1606">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682F2843">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入口超限处理</w:t>
            </w:r>
          </w:p>
        </w:tc>
        <w:tc>
          <w:tcPr>
            <w:tcW w:w="4870" w:type="dxa"/>
            <w:vAlign w:val="center"/>
          </w:tcPr>
          <w:p w14:paraId="46016280">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系统可对</w:t>
            </w:r>
            <w:r>
              <w:rPr>
                <w:rFonts w:hint="default" w:ascii="宋体" w:hAnsi="宋体" w:eastAsia="宋体" w:cs="Times New Roman"/>
                <w:color w:val="auto"/>
                <w:sz w:val="21"/>
                <w:szCs w:val="21"/>
                <w:highlight w:val="none"/>
              </w:rPr>
              <w:t>超限车辆进行拦截</w:t>
            </w:r>
            <w:r>
              <w:rPr>
                <w:rFonts w:hint="eastAsia" w:ascii="宋体" w:hAnsi="宋体" w:eastAsia="宋体" w:cs="Times New Roman"/>
                <w:color w:val="auto"/>
                <w:sz w:val="21"/>
                <w:szCs w:val="21"/>
                <w:highlight w:val="none"/>
              </w:rPr>
              <w:t>。</w:t>
            </w:r>
          </w:p>
        </w:tc>
      </w:tr>
      <w:tr w14:paraId="7EE3B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5D6FEE12">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1F157FBF">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入口大件运输车辆处理</w:t>
            </w:r>
          </w:p>
        </w:tc>
        <w:tc>
          <w:tcPr>
            <w:tcW w:w="4870" w:type="dxa"/>
            <w:vAlign w:val="center"/>
          </w:tcPr>
          <w:p w14:paraId="064B6289">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自动识别大件运输车辆，提示预约及治超检测数据。</w:t>
            </w:r>
          </w:p>
        </w:tc>
      </w:tr>
      <w:tr w14:paraId="4E04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2BE9486D">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5EC6AE00">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区黑名单车辆稽查</w:t>
            </w:r>
          </w:p>
        </w:tc>
        <w:tc>
          <w:tcPr>
            <w:tcW w:w="4870" w:type="dxa"/>
            <w:vAlign w:val="center"/>
          </w:tcPr>
          <w:p w14:paraId="7322625E">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对区黑名单车辆进行查询、处理操作。</w:t>
            </w:r>
          </w:p>
        </w:tc>
      </w:tr>
      <w:tr w14:paraId="26C6B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3D02C8F2">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0E30A6B4">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非现金卡操作</w:t>
            </w:r>
          </w:p>
        </w:tc>
        <w:tc>
          <w:tcPr>
            <w:tcW w:w="4870" w:type="dxa"/>
            <w:vAlign w:val="center"/>
          </w:tcPr>
          <w:p w14:paraId="6A259557">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按正常业务流程、特殊业务流程处理非现金卡车辆。</w:t>
            </w:r>
          </w:p>
        </w:tc>
      </w:tr>
      <w:tr w14:paraId="01E93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5742E232">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686F7863">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移动</w:t>
            </w:r>
            <w:r>
              <w:rPr>
                <w:rFonts w:hint="default" w:ascii="宋体" w:hAnsi="宋体" w:eastAsia="宋体" w:cs="Times New Roman"/>
                <w:color w:val="auto"/>
                <w:sz w:val="21"/>
                <w:szCs w:val="21"/>
                <w:highlight w:val="none"/>
              </w:rPr>
              <w:t>支付操作</w:t>
            </w:r>
          </w:p>
        </w:tc>
        <w:tc>
          <w:tcPr>
            <w:tcW w:w="4870" w:type="dxa"/>
            <w:vAlign w:val="center"/>
          </w:tcPr>
          <w:p w14:paraId="4E2EF9C7">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按</w:t>
            </w:r>
            <w:r>
              <w:rPr>
                <w:rFonts w:hint="default" w:ascii="宋体" w:hAnsi="宋体" w:eastAsia="宋体" w:cs="Times New Roman"/>
                <w:color w:val="auto"/>
                <w:sz w:val="21"/>
                <w:szCs w:val="21"/>
                <w:highlight w:val="none"/>
              </w:rPr>
              <w:t>正常流程处理移动支付车辆</w:t>
            </w:r>
            <w:r>
              <w:rPr>
                <w:rFonts w:hint="eastAsia" w:ascii="宋体" w:hAnsi="宋体" w:eastAsia="宋体" w:cs="Times New Roman"/>
                <w:color w:val="auto"/>
                <w:sz w:val="21"/>
                <w:szCs w:val="21"/>
                <w:highlight w:val="none"/>
              </w:rPr>
              <w:t>。</w:t>
            </w:r>
          </w:p>
        </w:tc>
      </w:tr>
      <w:tr w14:paraId="6F97B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3813A898">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775BD8AA">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车道计费模块升级</w:t>
            </w:r>
          </w:p>
        </w:tc>
        <w:tc>
          <w:tcPr>
            <w:tcW w:w="4870" w:type="dxa"/>
            <w:vAlign w:val="center"/>
          </w:tcPr>
          <w:p w14:paraId="19C2F23E">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进行车道计费模块升级，对升级过程进行监测、故障分析处理。</w:t>
            </w:r>
          </w:p>
        </w:tc>
      </w:tr>
      <w:tr w14:paraId="042F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51E86715">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13AF7B91">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车道兜底计费模块升级</w:t>
            </w:r>
          </w:p>
        </w:tc>
        <w:tc>
          <w:tcPr>
            <w:tcW w:w="4870" w:type="dxa"/>
            <w:vAlign w:val="center"/>
          </w:tcPr>
          <w:p w14:paraId="2D0AD77A">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进行全网兜底计费模块升级，对升级过程进行监测、故障分析处理。</w:t>
            </w:r>
          </w:p>
        </w:tc>
      </w:tr>
      <w:tr w14:paraId="0A70C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5BAC2AB9">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2AF360F0">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在线计费</w:t>
            </w:r>
          </w:p>
        </w:tc>
        <w:tc>
          <w:tcPr>
            <w:tcW w:w="4870" w:type="dxa"/>
            <w:vAlign w:val="center"/>
          </w:tcPr>
          <w:p w14:paraId="2CAD8E38">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通过省级或部级在线计费查询车辆通行费。</w:t>
            </w:r>
          </w:p>
        </w:tc>
      </w:tr>
      <w:tr w14:paraId="28E3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376EBF90">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21A9A7F1">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入口信息查询</w:t>
            </w:r>
          </w:p>
        </w:tc>
        <w:tc>
          <w:tcPr>
            <w:tcW w:w="4870" w:type="dxa"/>
            <w:vAlign w:val="center"/>
          </w:tcPr>
          <w:p w14:paraId="1BC09434">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通过省级或部级入口信息查询服务获取车辆实际入口信息。</w:t>
            </w:r>
          </w:p>
        </w:tc>
      </w:tr>
      <w:tr w14:paraId="49106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6D729EB1">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420FAFA2">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收费路径地图</w:t>
            </w:r>
          </w:p>
        </w:tc>
        <w:tc>
          <w:tcPr>
            <w:tcW w:w="4870" w:type="dxa"/>
            <w:vAlign w:val="center"/>
          </w:tcPr>
          <w:p w14:paraId="5AEC1569">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通过在线计费获取详细通行信息，展示车辆本次通行区内的收费路径。</w:t>
            </w:r>
          </w:p>
        </w:tc>
      </w:tr>
      <w:tr w14:paraId="09949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06B9BE7B">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6E2490AE">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出口称重复核</w:t>
            </w:r>
          </w:p>
        </w:tc>
        <w:tc>
          <w:tcPr>
            <w:tcW w:w="4870" w:type="dxa"/>
            <w:vAlign w:val="center"/>
          </w:tcPr>
          <w:p w14:paraId="0EE4CDFF">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保障具备出口称重设备的车道，自动匹配称重数据并回传至称重检测平台。</w:t>
            </w:r>
          </w:p>
        </w:tc>
      </w:tr>
      <w:tr w14:paraId="04D17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79A6FD55">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4C5458BD">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时钟同步</w:t>
            </w:r>
          </w:p>
        </w:tc>
        <w:tc>
          <w:tcPr>
            <w:tcW w:w="4870" w:type="dxa"/>
            <w:vAlign w:val="center"/>
          </w:tcPr>
          <w:p w14:paraId="5D3058DF">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检查时钟同步功能，保障交易时间准确。</w:t>
            </w:r>
          </w:p>
        </w:tc>
      </w:tr>
      <w:tr w14:paraId="69A9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4977F45B">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7DEC847A">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全网基础信息</w:t>
            </w:r>
          </w:p>
        </w:tc>
        <w:tc>
          <w:tcPr>
            <w:tcW w:w="4870" w:type="dxa"/>
            <w:vAlign w:val="center"/>
          </w:tcPr>
          <w:p w14:paraId="349B326C">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检查全网基础信息正确、及时同步并加载。</w:t>
            </w:r>
          </w:p>
        </w:tc>
      </w:tr>
      <w:tr w14:paraId="19AE4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19E9721A">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29E57317">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区内基础信息</w:t>
            </w:r>
          </w:p>
        </w:tc>
        <w:tc>
          <w:tcPr>
            <w:tcW w:w="4870" w:type="dxa"/>
            <w:vAlign w:val="center"/>
          </w:tcPr>
          <w:p w14:paraId="4B22030E">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检查区内基础信息正确、及时同步并加载。</w:t>
            </w:r>
          </w:p>
        </w:tc>
      </w:tr>
      <w:tr w14:paraId="2090F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332F2CED">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2795354A">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站级收费人员信息</w:t>
            </w:r>
          </w:p>
        </w:tc>
        <w:tc>
          <w:tcPr>
            <w:tcW w:w="4870" w:type="dxa"/>
            <w:vAlign w:val="center"/>
          </w:tcPr>
          <w:p w14:paraId="4D537C76">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检查维护站级收费人员信息。</w:t>
            </w:r>
          </w:p>
        </w:tc>
      </w:tr>
      <w:tr w14:paraId="582BE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495F9086">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19E98A3A">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站级值班信息</w:t>
            </w:r>
          </w:p>
        </w:tc>
        <w:tc>
          <w:tcPr>
            <w:tcW w:w="4870" w:type="dxa"/>
            <w:vAlign w:val="center"/>
          </w:tcPr>
          <w:p w14:paraId="3FBA49A5">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检查维护站级值班信息。</w:t>
            </w:r>
          </w:p>
        </w:tc>
      </w:tr>
      <w:tr w14:paraId="4484B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651FA151">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702B1BBE">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站级重复交易拦截</w:t>
            </w:r>
          </w:p>
        </w:tc>
        <w:tc>
          <w:tcPr>
            <w:tcW w:w="4870" w:type="dxa"/>
            <w:vAlign w:val="center"/>
          </w:tcPr>
          <w:p w14:paraId="0D99C468">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准确拦截站级重复交易车辆。</w:t>
            </w:r>
          </w:p>
        </w:tc>
      </w:tr>
      <w:tr w14:paraId="0D1E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43E046CD">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31DD9E26">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秘钥授权功能</w:t>
            </w:r>
          </w:p>
        </w:tc>
        <w:tc>
          <w:tcPr>
            <w:tcW w:w="4870" w:type="dxa"/>
            <w:vAlign w:val="center"/>
          </w:tcPr>
          <w:p w14:paraId="3481A847">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检查维护秘钥授权功能，天线及读写器秘钥能正常授权。</w:t>
            </w:r>
          </w:p>
        </w:tc>
      </w:tr>
      <w:tr w14:paraId="15144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20CB80DC">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0DEC9686">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操作系统及组件安全更新</w:t>
            </w:r>
          </w:p>
        </w:tc>
        <w:tc>
          <w:tcPr>
            <w:tcW w:w="4870" w:type="dxa"/>
            <w:vAlign w:val="center"/>
          </w:tcPr>
          <w:p w14:paraId="4C630EC3">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检查维护操作系统、组件安全更新，满足安全监管要求。</w:t>
            </w:r>
          </w:p>
        </w:tc>
      </w:tr>
      <w:tr w14:paraId="1FD33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21835494">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51243C46">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车辆信息库查询</w:t>
            </w:r>
          </w:p>
        </w:tc>
        <w:tc>
          <w:tcPr>
            <w:tcW w:w="4870" w:type="dxa"/>
            <w:vAlign w:val="center"/>
          </w:tcPr>
          <w:p w14:paraId="2BE131F2">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输入车牌，通过区联网中心车辆信息库查询车辆相关信息。</w:t>
            </w:r>
          </w:p>
        </w:tc>
      </w:tr>
      <w:tr w14:paraId="2BC5B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0D6E352C">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638B64CF">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车道收费软件升级</w:t>
            </w:r>
          </w:p>
        </w:tc>
        <w:tc>
          <w:tcPr>
            <w:tcW w:w="4870" w:type="dxa"/>
            <w:vAlign w:val="center"/>
          </w:tcPr>
          <w:p w14:paraId="28F9DFE3">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保障软件升级功能正常，有新版本时自动下载更新并进行提示。</w:t>
            </w:r>
          </w:p>
        </w:tc>
      </w:tr>
      <w:tr w14:paraId="2C828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358790D7">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61A00D16">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ETC卡黑名单同步</w:t>
            </w:r>
          </w:p>
        </w:tc>
        <w:tc>
          <w:tcPr>
            <w:tcW w:w="4870" w:type="dxa"/>
            <w:vAlign w:val="center"/>
          </w:tcPr>
          <w:p w14:paraId="750F4FE6">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保障ETC卡黑名单及时同步到车道本地。</w:t>
            </w:r>
          </w:p>
        </w:tc>
      </w:tr>
      <w:tr w14:paraId="54578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359A2C04">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6902CBCF">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OBU黑名单同步</w:t>
            </w:r>
          </w:p>
        </w:tc>
        <w:tc>
          <w:tcPr>
            <w:tcW w:w="4870" w:type="dxa"/>
            <w:vAlign w:val="center"/>
          </w:tcPr>
          <w:p w14:paraId="2D396FF3">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保障OBU卡黑名单及时同步到车道本地。</w:t>
            </w:r>
          </w:p>
        </w:tc>
      </w:tr>
      <w:tr w14:paraId="0B5C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22CD8C95">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70BD7D99">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全国稽查黑名单同步</w:t>
            </w:r>
          </w:p>
        </w:tc>
        <w:tc>
          <w:tcPr>
            <w:tcW w:w="4870" w:type="dxa"/>
            <w:vAlign w:val="center"/>
          </w:tcPr>
          <w:p w14:paraId="27F2D454">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保障全国稽查黑名单及时同步到车道本地。</w:t>
            </w:r>
          </w:p>
        </w:tc>
      </w:tr>
      <w:tr w14:paraId="796D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7D9AF748">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48FCECFD">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绿通预约名单同步</w:t>
            </w:r>
          </w:p>
        </w:tc>
        <w:tc>
          <w:tcPr>
            <w:tcW w:w="4870" w:type="dxa"/>
            <w:vAlign w:val="center"/>
          </w:tcPr>
          <w:p w14:paraId="3931D168">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保障绿通预约名单及时同步到车道本地。</w:t>
            </w:r>
          </w:p>
        </w:tc>
      </w:tr>
      <w:tr w14:paraId="14F46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50881D41">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65553100">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应急救援预约名单同步</w:t>
            </w:r>
          </w:p>
        </w:tc>
        <w:tc>
          <w:tcPr>
            <w:tcW w:w="4870" w:type="dxa"/>
            <w:vAlign w:val="center"/>
          </w:tcPr>
          <w:p w14:paraId="0869E0A5">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保障应急救援预约名单及时同步到车道本地。</w:t>
            </w:r>
          </w:p>
        </w:tc>
      </w:tr>
      <w:tr w14:paraId="1A021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1763EA68">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35618BBF">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原始收费数据传输</w:t>
            </w:r>
          </w:p>
        </w:tc>
        <w:tc>
          <w:tcPr>
            <w:tcW w:w="4870" w:type="dxa"/>
            <w:vAlign w:val="center"/>
          </w:tcPr>
          <w:p w14:paraId="7ABC3B6F">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原始车道数据及时上传至站、省中心服务器，原始车道数据及时通过部站传输上传。</w:t>
            </w:r>
          </w:p>
        </w:tc>
      </w:tr>
      <w:tr w14:paraId="71C9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417215F6">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7E3B3DAA">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节假日免费时段</w:t>
            </w:r>
          </w:p>
        </w:tc>
        <w:tc>
          <w:tcPr>
            <w:tcW w:w="4870" w:type="dxa"/>
            <w:vAlign w:val="center"/>
          </w:tcPr>
          <w:p w14:paraId="211180AB">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检查维护节假日免费时段，保障及时下发、准确生效。</w:t>
            </w:r>
          </w:p>
        </w:tc>
      </w:tr>
      <w:tr w14:paraId="28194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2F62DD22">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10A5F773">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节假日免费操作</w:t>
            </w:r>
          </w:p>
        </w:tc>
        <w:tc>
          <w:tcPr>
            <w:tcW w:w="4870" w:type="dxa"/>
            <w:vAlign w:val="center"/>
          </w:tcPr>
          <w:p w14:paraId="1EF1C05A">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自动识别节假日免费车辆，并可对节假日免费车辆进行放行，同时统计车辆数。</w:t>
            </w:r>
          </w:p>
        </w:tc>
      </w:tr>
      <w:tr w14:paraId="6C026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02442920">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684734C8">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入口称重检测系统数据传输监测</w:t>
            </w:r>
          </w:p>
        </w:tc>
        <w:tc>
          <w:tcPr>
            <w:tcW w:w="4870" w:type="dxa"/>
            <w:vAlign w:val="center"/>
          </w:tcPr>
          <w:p w14:paraId="435B2C60">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监测入口称重检测系统数据传输及时性和完整性，有问题应及时提醒。</w:t>
            </w:r>
          </w:p>
        </w:tc>
      </w:tr>
      <w:tr w14:paraId="3B72B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Align w:val="center"/>
          </w:tcPr>
          <w:p w14:paraId="5F3A1AB8">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车道软件功能修改及联调</w:t>
            </w:r>
          </w:p>
        </w:tc>
        <w:tc>
          <w:tcPr>
            <w:tcW w:w="1924" w:type="dxa"/>
            <w:vAlign w:val="center"/>
          </w:tcPr>
          <w:p w14:paraId="60815EA2">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4870" w:type="dxa"/>
            <w:vAlign w:val="center"/>
          </w:tcPr>
          <w:p w14:paraId="05F7D473">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根据采购人需求</w:t>
            </w:r>
            <w:r>
              <w:rPr>
                <w:rFonts w:hint="default" w:ascii="宋体" w:hAnsi="宋体" w:eastAsia="宋体" w:cs="Times New Roman"/>
                <w:color w:val="auto"/>
                <w:sz w:val="21"/>
                <w:szCs w:val="21"/>
                <w:highlight w:val="none"/>
              </w:rPr>
              <w:t>完成软件功能修改及测试工作，有重大系统变更的除外</w:t>
            </w:r>
            <w:r>
              <w:rPr>
                <w:rFonts w:hint="eastAsia" w:ascii="宋体" w:hAnsi="宋体" w:eastAsia="宋体" w:cs="Times New Roman"/>
                <w:color w:val="auto"/>
                <w:sz w:val="21"/>
                <w:szCs w:val="21"/>
                <w:highlight w:val="none"/>
              </w:rPr>
              <w:t>。</w:t>
            </w:r>
          </w:p>
        </w:tc>
      </w:tr>
      <w:tr w14:paraId="2F8B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Align w:val="center"/>
          </w:tcPr>
          <w:p w14:paraId="0D6F2668">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车道系统新增硬件联调</w:t>
            </w:r>
          </w:p>
        </w:tc>
        <w:tc>
          <w:tcPr>
            <w:tcW w:w="1924" w:type="dxa"/>
            <w:vAlign w:val="center"/>
          </w:tcPr>
          <w:p w14:paraId="76FAE0DA">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4870" w:type="dxa"/>
            <w:vAlign w:val="center"/>
          </w:tcPr>
          <w:p w14:paraId="1BE33E8E">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配合采购人完成车道系统新增硬件的联调联试。</w:t>
            </w:r>
          </w:p>
        </w:tc>
      </w:tr>
      <w:tr w14:paraId="68B00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Align w:val="center"/>
          </w:tcPr>
          <w:p w14:paraId="5BD59116">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车道系统新增软件接口联调</w:t>
            </w:r>
          </w:p>
        </w:tc>
        <w:tc>
          <w:tcPr>
            <w:tcW w:w="1924" w:type="dxa"/>
            <w:vAlign w:val="center"/>
          </w:tcPr>
          <w:p w14:paraId="4E3A2159">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4870" w:type="dxa"/>
            <w:vAlign w:val="center"/>
          </w:tcPr>
          <w:p w14:paraId="3DEBA122">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配合采购人完成车道系统新增软件接口的联调联试。</w:t>
            </w:r>
          </w:p>
        </w:tc>
      </w:tr>
      <w:tr w14:paraId="1DF74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Align w:val="center"/>
          </w:tcPr>
          <w:p w14:paraId="3635FD5B">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网络安全联调</w:t>
            </w:r>
          </w:p>
        </w:tc>
        <w:tc>
          <w:tcPr>
            <w:tcW w:w="1924" w:type="dxa"/>
            <w:vAlign w:val="center"/>
          </w:tcPr>
          <w:p w14:paraId="3FEFE945">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4870" w:type="dxa"/>
            <w:vAlign w:val="center"/>
          </w:tcPr>
          <w:p w14:paraId="2A71DBAE">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配合采购人完成网络安全风险检测及相关整改。</w:t>
            </w:r>
          </w:p>
        </w:tc>
      </w:tr>
    </w:tbl>
    <w:p w14:paraId="050BD809">
      <w:pPr>
        <w:widowControl w:val="0"/>
        <w:numPr>
          <w:ilvl w:val="0"/>
          <w:numId w:val="0"/>
        </w:numPr>
        <w:spacing w:before="100" w:beforeAutospacing="1" w:after="100" w:afterAutospacing="1"/>
        <w:ind w:left="-2" w:leftChars="-1" w:right="26" w:rightChars="0" w:firstLine="420" w:firstLineChars="200"/>
        <w:jc w:val="both"/>
        <w:rPr>
          <w:rFonts w:hint="eastAsia" w:ascii="宋体" w:hAnsi="宋体" w:eastAsia="宋体" w:cs="Arial"/>
          <w:bCs/>
          <w:color w:val="auto"/>
          <w:kern w:val="2"/>
          <w:sz w:val="21"/>
          <w:szCs w:val="21"/>
          <w:highlight w:val="none"/>
          <w:lang w:val="en-US" w:eastAsia="zh-CN" w:bidi="ar-SA"/>
        </w:rPr>
      </w:pPr>
      <w:r>
        <w:rPr>
          <w:rFonts w:hint="eastAsia" w:ascii="宋体" w:hAnsi="宋体" w:eastAsia="宋体" w:cs="Arial"/>
          <w:color w:val="auto"/>
          <w:kern w:val="2"/>
          <w:sz w:val="21"/>
          <w:szCs w:val="21"/>
          <w:highlight w:val="none"/>
          <w:lang w:val="en-US" w:eastAsia="zh-CN" w:bidi="ar-SA"/>
        </w:rPr>
        <w:t>3</w:t>
      </w:r>
      <w:r>
        <w:rPr>
          <w:rFonts w:ascii="宋体" w:hAnsi="宋体" w:eastAsia="宋体" w:cs="Arial"/>
          <w:color w:val="auto"/>
          <w:kern w:val="2"/>
          <w:sz w:val="21"/>
          <w:szCs w:val="21"/>
          <w:highlight w:val="none"/>
          <w:lang w:val="en-US" w:eastAsia="zh-CN" w:bidi="ar-SA"/>
        </w:rPr>
        <w:t>.</w:t>
      </w:r>
      <w:r>
        <w:rPr>
          <w:rFonts w:hint="eastAsia" w:ascii="宋体" w:hAnsi="宋体" w:eastAsia="宋体" w:cs="Arial"/>
          <w:bCs/>
          <w:color w:val="auto"/>
          <w:kern w:val="2"/>
          <w:sz w:val="21"/>
          <w:szCs w:val="21"/>
          <w:highlight w:val="none"/>
          <w:lang w:val="en-US" w:eastAsia="zh-CN" w:bidi="ar-SA"/>
        </w:rPr>
        <w:t>出口称重复核系统运维</w:t>
      </w:r>
      <w:r>
        <w:rPr>
          <w:rFonts w:hint="eastAsia" w:ascii="宋体" w:hAnsi="宋体" w:eastAsia="宋体" w:cs="Arial"/>
          <w:color w:val="auto"/>
          <w:kern w:val="2"/>
          <w:sz w:val="21"/>
          <w:szCs w:val="21"/>
          <w:highlight w:val="none"/>
          <w:lang w:val="en-US" w:eastAsia="zh-CN" w:bidi="ar-SA"/>
        </w:rPr>
        <w:t>（包括但不仅限于</w:t>
      </w:r>
      <w:r>
        <w:rPr>
          <w:rFonts w:hint="eastAsia" w:ascii="宋体" w:hAnsi="宋体" w:eastAsia="宋体" w:cs="Arial"/>
          <w:color w:val="auto"/>
          <w:kern w:val="2"/>
          <w:sz w:val="21"/>
          <w:szCs w:val="21"/>
          <w:highlight w:val="none"/>
          <w:lang w:val="en-US" w:eastAsia="zh" w:bidi="ar-SA"/>
        </w:rPr>
        <w:t>全区702套出口称重复核系统</w:t>
      </w:r>
      <w:r>
        <w:rPr>
          <w:rFonts w:hint="eastAsia" w:ascii="宋体" w:hAnsi="宋体" w:eastAsia="宋体" w:cs="Arial"/>
          <w:color w:val="auto"/>
          <w:kern w:val="2"/>
          <w:sz w:val="21"/>
          <w:szCs w:val="21"/>
          <w:highlight w:val="none"/>
          <w:lang w:val="en-US" w:eastAsia="zh-CN" w:bidi="ar-SA"/>
        </w:rPr>
        <w:t>）</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924"/>
        <w:gridCol w:w="4870"/>
      </w:tblGrid>
      <w:tr w14:paraId="394E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1728" w:type="dxa"/>
            <w:vAlign w:val="center"/>
          </w:tcPr>
          <w:p w14:paraId="3DC327F9">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系统</w:t>
            </w:r>
          </w:p>
        </w:tc>
        <w:tc>
          <w:tcPr>
            <w:tcW w:w="1924" w:type="dxa"/>
            <w:vAlign w:val="center"/>
          </w:tcPr>
          <w:p w14:paraId="3E1CB924">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模块</w:t>
            </w:r>
          </w:p>
        </w:tc>
        <w:tc>
          <w:tcPr>
            <w:tcW w:w="4870" w:type="dxa"/>
            <w:vAlign w:val="center"/>
          </w:tcPr>
          <w:p w14:paraId="63CCAD86">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保障范围</w:t>
            </w:r>
          </w:p>
        </w:tc>
      </w:tr>
      <w:tr w14:paraId="0522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restart"/>
            <w:vAlign w:val="center"/>
          </w:tcPr>
          <w:p w14:paraId="7A8C402C">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出口</w:t>
            </w:r>
            <w:r>
              <w:rPr>
                <w:rFonts w:hint="default" w:ascii="宋体" w:hAnsi="宋体" w:eastAsia="宋体" w:cs="Times New Roman"/>
                <w:color w:val="auto"/>
                <w:sz w:val="21"/>
                <w:szCs w:val="21"/>
                <w:highlight w:val="none"/>
              </w:rPr>
              <w:t>称重复核</w:t>
            </w:r>
            <w:r>
              <w:rPr>
                <w:rFonts w:hint="eastAsia" w:ascii="宋体" w:hAnsi="宋体" w:eastAsia="宋体" w:cs="Times New Roman"/>
                <w:color w:val="auto"/>
                <w:sz w:val="21"/>
                <w:szCs w:val="21"/>
                <w:highlight w:val="none"/>
              </w:rPr>
              <w:t>系统</w:t>
            </w:r>
          </w:p>
        </w:tc>
        <w:tc>
          <w:tcPr>
            <w:tcW w:w="1924" w:type="dxa"/>
            <w:vAlign w:val="center"/>
          </w:tcPr>
          <w:p w14:paraId="34DD102F">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进入系统</w:t>
            </w:r>
          </w:p>
        </w:tc>
        <w:tc>
          <w:tcPr>
            <w:tcW w:w="4870" w:type="dxa"/>
            <w:vAlign w:val="center"/>
          </w:tcPr>
          <w:p w14:paraId="1F4FF626">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正常进入、退出系统。</w:t>
            </w:r>
          </w:p>
        </w:tc>
      </w:tr>
      <w:tr w14:paraId="5A19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4FB802A5">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2B0274EA">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上下班</w:t>
            </w:r>
          </w:p>
        </w:tc>
        <w:tc>
          <w:tcPr>
            <w:tcW w:w="4870" w:type="dxa"/>
            <w:vAlign w:val="center"/>
          </w:tcPr>
          <w:p w14:paraId="4841370A">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正常</w:t>
            </w:r>
            <w:r>
              <w:rPr>
                <w:rFonts w:hint="default" w:ascii="宋体" w:hAnsi="宋体" w:eastAsia="宋体" w:cs="Times New Roman"/>
                <w:color w:val="auto"/>
                <w:sz w:val="21"/>
                <w:szCs w:val="21"/>
                <w:highlight w:val="none"/>
              </w:rPr>
              <w:t>上、下班</w:t>
            </w:r>
            <w:r>
              <w:rPr>
                <w:rFonts w:hint="eastAsia" w:ascii="宋体" w:hAnsi="宋体" w:eastAsia="宋体" w:cs="Times New Roman"/>
                <w:color w:val="auto"/>
                <w:sz w:val="21"/>
                <w:szCs w:val="21"/>
                <w:highlight w:val="none"/>
              </w:rPr>
              <w:t>。</w:t>
            </w:r>
          </w:p>
        </w:tc>
      </w:tr>
      <w:tr w14:paraId="43B58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405B770E">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6B4F2CEA">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重量信息接收</w:t>
            </w:r>
          </w:p>
        </w:tc>
        <w:tc>
          <w:tcPr>
            <w:tcW w:w="4870" w:type="dxa"/>
            <w:vAlign w:val="center"/>
          </w:tcPr>
          <w:p w14:paraId="49CCADAF">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接收</w:t>
            </w:r>
            <w:r>
              <w:rPr>
                <w:rFonts w:hint="default" w:ascii="宋体" w:hAnsi="宋体" w:eastAsia="宋体" w:cs="Times New Roman"/>
                <w:color w:val="auto"/>
                <w:sz w:val="21"/>
                <w:szCs w:val="21"/>
                <w:highlight w:val="none"/>
              </w:rPr>
              <w:t>地磅设备</w:t>
            </w:r>
            <w:r>
              <w:rPr>
                <w:rFonts w:hint="eastAsia" w:ascii="宋体" w:hAnsi="宋体" w:eastAsia="宋体" w:cs="Times New Roman"/>
                <w:color w:val="auto"/>
                <w:sz w:val="21"/>
                <w:szCs w:val="21"/>
                <w:highlight w:val="none"/>
              </w:rPr>
              <w:t>接口上传</w:t>
            </w:r>
            <w:r>
              <w:rPr>
                <w:rFonts w:hint="default" w:ascii="宋体" w:hAnsi="宋体" w:eastAsia="宋体" w:cs="Times New Roman"/>
                <w:color w:val="auto"/>
                <w:sz w:val="21"/>
                <w:szCs w:val="21"/>
                <w:highlight w:val="none"/>
              </w:rPr>
              <w:t>的重量数据</w:t>
            </w:r>
            <w:r>
              <w:rPr>
                <w:rFonts w:hint="eastAsia" w:ascii="宋体" w:hAnsi="宋体" w:eastAsia="宋体" w:cs="Times New Roman"/>
                <w:color w:val="auto"/>
                <w:sz w:val="21"/>
                <w:szCs w:val="21"/>
                <w:highlight w:val="none"/>
              </w:rPr>
              <w:t>。</w:t>
            </w:r>
          </w:p>
        </w:tc>
      </w:tr>
      <w:tr w14:paraId="2F3EB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75CF871D">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3CC75028">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车牌信息</w:t>
            </w:r>
            <w:r>
              <w:rPr>
                <w:rFonts w:hint="default" w:ascii="宋体" w:hAnsi="宋体" w:eastAsia="宋体" w:cs="Times New Roman"/>
                <w:color w:val="auto"/>
                <w:sz w:val="21"/>
                <w:szCs w:val="21"/>
                <w:highlight w:val="none"/>
              </w:rPr>
              <w:t>接收</w:t>
            </w:r>
          </w:p>
        </w:tc>
        <w:tc>
          <w:tcPr>
            <w:tcW w:w="4870" w:type="dxa"/>
            <w:vAlign w:val="center"/>
          </w:tcPr>
          <w:p w14:paraId="0B626632">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接收</w:t>
            </w:r>
            <w:r>
              <w:rPr>
                <w:rFonts w:hint="default" w:ascii="宋体" w:hAnsi="宋体" w:eastAsia="宋体" w:cs="Times New Roman"/>
                <w:color w:val="auto"/>
                <w:sz w:val="21"/>
                <w:szCs w:val="21"/>
                <w:highlight w:val="none"/>
              </w:rPr>
              <w:t>牌识设备接口</w:t>
            </w:r>
            <w:r>
              <w:rPr>
                <w:rFonts w:hint="eastAsia" w:ascii="宋体" w:hAnsi="宋体" w:eastAsia="宋体" w:cs="Times New Roman"/>
                <w:color w:val="auto"/>
                <w:sz w:val="21"/>
                <w:szCs w:val="21"/>
                <w:highlight w:val="none"/>
              </w:rPr>
              <w:t>上传</w:t>
            </w:r>
            <w:r>
              <w:rPr>
                <w:rFonts w:hint="default" w:ascii="宋体" w:hAnsi="宋体" w:eastAsia="宋体" w:cs="Times New Roman"/>
                <w:color w:val="auto"/>
                <w:sz w:val="21"/>
                <w:szCs w:val="21"/>
                <w:highlight w:val="none"/>
              </w:rPr>
              <w:t>的牌识数据</w:t>
            </w:r>
            <w:r>
              <w:rPr>
                <w:rFonts w:hint="eastAsia" w:ascii="宋体" w:hAnsi="宋体" w:eastAsia="宋体" w:cs="Times New Roman"/>
                <w:color w:val="auto"/>
                <w:sz w:val="21"/>
                <w:szCs w:val="21"/>
                <w:highlight w:val="none"/>
              </w:rPr>
              <w:t>（如果安装有牌识）。</w:t>
            </w:r>
          </w:p>
        </w:tc>
      </w:tr>
      <w:tr w14:paraId="43923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09DDB594">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249016A7">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信息</w:t>
            </w:r>
            <w:r>
              <w:rPr>
                <w:rFonts w:hint="default" w:ascii="宋体" w:hAnsi="宋体" w:eastAsia="宋体" w:cs="Times New Roman"/>
                <w:color w:val="auto"/>
                <w:sz w:val="21"/>
                <w:szCs w:val="21"/>
                <w:highlight w:val="none"/>
              </w:rPr>
              <w:t>匹配</w:t>
            </w:r>
          </w:p>
        </w:tc>
        <w:tc>
          <w:tcPr>
            <w:tcW w:w="4870" w:type="dxa"/>
            <w:vAlign w:val="center"/>
          </w:tcPr>
          <w:p w14:paraId="5807832D">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将重量</w:t>
            </w:r>
            <w:r>
              <w:rPr>
                <w:rFonts w:hint="default" w:ascii="宋体" w:hAnsi="宋体" w:eastAsia="宋体" w:cs="Times New Roman"/>
                <w:color w:val="auto"/>
                <w:sz w:val="21"/>
                <w:szCs w:val="21"/>
                <w:highlight w:val="none"/>
              </w:rPr>
              <w:t>信息与牌识信息</w:t>
            </w:r>
            <w:r>
              <w:rPr>
                <w:rFonts w:hint="eastAsia" w:ascii="宋体" w:hAnsi="宋体" w:eastAsia="宋体" w:cs="Times New Roman"/>
                <w:color w:val="auto"/>
                <w:sz w:val="21"/>
                <w:szCs w:val="21"/>
                <w:highlight w:val="none"/>
              </w:rPr>
              <w:t>（如有）</w:t>
            </w:r>
            <w:r>
              <w:rPr>
                <w:rFonts w:hint="default" w:ascii="宋体" w:hAnsi="宋体" w:eastAsia="宋体" w:cs="Times New Roman"/>
                <w:color w:val="auto"/>
                <w:sz w:val="21"/>
                <w:szCs w:val="21"/>
                <w:highlight w:val="none"/>
              </w:rPr>
              <w:t>进行匹配，生成</w:t>
            </w:r>
            <w:r>
              <w:rPr>
                <w:rFonts w:hint="eastAsia" w:ascii="宋体" w:hAnsi="宋体" w:eastAsia="宋体" w:cs="Times New Roman"/>
                <w:color w:val="auto"/>
                <w:sz w:val="21"/>
                <w:szCs w:val="21"/>
                <w:highlight w:val="none"/>
              </w:rPr>
              <w:t>复核称重</w:t>
            </w:r>
            <w:r>
              <w:rPr>
                <w:rFonts w:hint="default" w:ascii="宋体" w:hAnsi="宋体" w:eastAsia="宋体" w:cs="Times New Roman"/>
                <w:color w:val="auto"/>
                <w:sz w:val="21"/>
                <w:szCs w:val="21"/>
                <w:highlight w:val="none"/>
              </w:rPr>
              <w:t>信息</w:t>
            </w:r>
            <w:r>
              <w:rPr>
                <w:rFonts w:hint="eastAsia" w:ascii="宋体" w:hAnsi="宋体" w:eastAsia="宋体" w:cs="Times New Roman"/>
                <w:color w:val="auto"/>
                <w:sz w:val="21"/>
                <w:szCs w:val="21"/>
                <w:highlight w:val="none"/>
              </w:rPr>
              <w:t>。</w:t>
            </w:r>
          </w:p>
        </w:tc>
      </w:tr>
      <w:tr w14:paraId="02EF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4FBD67E2">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39789C71">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超限判断</w:t>
            </w:r>
          </w:p>
        </w:tc>
        <w:tc>
          <w:tcPr>
            <w:tcW w:w="4870" w:type="dxa"/>
            <w:vAlign w:val="center"/>
          </w:tcPr>
          <w:p w14:paraId="66079B56">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根据</w:t>
            </w:r>
            <w:r>
              <w:rPr>
                <w:rFonts w:hint="default" w:ascii="宋体" w:hAnsi="宋体" w:eastAsia="宋体" w:cs="Times New Roman"/>
                <w:color w:val="auto"/>
                <w:sz w:val="21"/>
                <w:szCs w:val="21"/>
                <w:highlight w:val="none"/>
              </w:rPr>
              <w:t>生成的</w:t>
            </w:r>
            <w:r>
              <w:rPr>
                <w:rFonts w:hint="eastAsia" w:ascii="宋体" w:hAnsi="宋体" w:eastAsia="宋体" w:cs="Times New Roman"/>
                <w:color w:val="auto"/>
                <w:sz w:val="21"/>
                <w:szCs w:val="21"/>
                <w:highlight w:val="none"/>
              </w:rPr>
              <w:t>复核</w:t>
            </w:r>
            <w:r>
              <w:rPr>
                <w:rFonts w:hint="default" w:ascii="宋体" w:hAnsi="宋体" w:eastAsia="宋体" w:cs="Times New Roman"/>
                <w:color w:val="auto"/>
                <w:sz w:val="21"/>
                <w:szCs w:val="21"/>
                <w:highlight w:val="none"/>
              </w:rPr>
              <w:t>信息判断</w:t>
            </w:r>
            <w:r>
              <w:rPr>
                <w:rFonts w:hint="eastAsia" w:ascii="宋体" w:hAnsi="宋体" w:eastAsia="宋体" w:cs="Times New Roman"/>
                <w:color w:val="auto"/>
                <w:sz w:val="21"/>
                <w:szCs w:val="21"/>
                <w:highlight w:val="none"/>
              </w:rPr>
              <w:t>车辆</w:t>
            </w:r>
            <w:r>
              <w:rPr>
                <w:rFonts w:hint="default" w:ascii="宋体" w:hAnsi="宋体" w:eastAsia="宋体" w:cs="Times New Roman"/>
                <w:color w:val="auto"/>
                <w:sz w:val="21"/>
                <w:szCs w:val="21"/>
                <w:highlight w:val="none"/>
              </w:rPr>
              <w:t>是否超限</w:t>
            </w:r>
            <w:r>
              <w:rPr>
                <w:rFonts w:hint="eastAsia" w:ascii="宋体" w:hAnsi="宋体" w:eastAsia="宋体" w:cs="Times New Roman"/>
                <w:color w:val="auto"/>
                <w:sz w:val="21"/>
                <w:szCs w:val="21"/>
                <w:highlight w:val="none"/>
              </w:rPr>
              <w:t>。</w:t>
            </w:r>
          </w:p>
        </w:tc>
      </w:tr>
      <w:tr w14:paraId="440E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433FCD45">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6A91AA5E">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数据</w:t>
            </w:r>
            <w:r>
              <w:rPr>
                <w:rFonts w:hint="default" w:ascii="宋体" w:hAnsi="宋体" w:eastAsia="宋体" w:cs="Times New Roman"/>
                <w:color w:val="auto"/>
                <w:sz w:val="21"/>
                <w:szCs w:val="21"/>
                <w:highlight w:val="none"/>
              </w:rPr>
              <w:t>推送</w:t>
            </w:r>
          </w:p>
        </w:tc>
        <w:tc>
          <w:tcPr>
            <w:tcW w:w="4870" w:type="dxa"/>
            <w:vAlign w:val="center"/>
          </w:tcPr>
          <w:p w14:paraId="2BCBB76D">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将</w:t>
            </w:r>
            <w:r>
              <w:rPr>
                <w:rFonts w:hint="default" w:ascii="宋体" w:hAnsi="宋体" w:eastAsia="宋体" w:cs="Times New Roman"/>
                <w:color w:val="auto"/>
                <w:sz w:val="21"/>
                <w:szCs w:val="21"/>
                <w:highlight w:val="none"/>
              </w:rPr>
              <w:t>复核</w:t>
            </w:r>
            <w:r>
              <w:rPr>
                <w:rFonts w:hint="eastAsia" w:ascii="宋体" w:hAnsi="宋体" w:eastAsia="宋体" w:cs="Times New Roman"/>
                <w:color w:val="auto"/>
                <w:sz w:val="21"/>
                <w:szCs w:val="21"/>
                <w:highlight w:val="none"/>
              </w:rPr>
              <w:t>称重</w:t>
            </w:r>
            <w:r>
              <w:rPr>
                <w:rFonts w:hint="default" w:ascii="宋体" w:hAnsi="宋体" w:eastAsia="宋体" w:cs="Times New Roman"/>
                <w:color w:val="auto"/>
                <w:sz w:val="21"/>
                <w:szCs w:val="21"/>
                <w:highlight w:val="none"/>
              </w:rPr>
              <w:t>信息推送</w:t>
            </w:r>
            <w:r>
              <w:rPr>
                <w:rFonts w:hint="eastAsia" w:ascii="宋体" w:hAnsi="宋体" w:eastAsia="宋体" w:cs="Times New Roman"/>
                <w:color w:val="auto"/>
                <w:sz w:val="21"/>
                <w:szCs w:val="21"/>
                <w:highlight w:val="none"/>
              </w:rPr>
              <w:t>至</w:t>
            </w:r>
            <w:r>
              <w:rPr>
                <w:rFonts w:hint="default" w:ascii="宋体" w:hAnsi="宋体" w:eastAsia="宋体" w:cs="Times New Roman"/>
                <w:color w:val="auto"/>
                <w:sz w:val="21"/>
                <w:szCs w:val="21"/>
                <w:highlight w:val="none"/>
              </w:rPr>
              <w:t>出口混合车道</w:t>
            </w:r>
            <w:r>
              <w:rPr>
                <w:rFonts w:hint="eastAsia" w:ascii="宋体" w:hAnsi="宋体" w:eastAsia="宋体" w:cs="Times New Roman"/>
                <w:color w:val="auto"/>
                <w:sz w:val="21"/>
                <w:szCs w:val="21"/>
                <w:highlight w:val="none"/>
              </w:rPr>
              <w:t>系统。</w:t>
            </w:r>
          </w:p>
        </w:tc>
      </w:tr>
      <w:tr w14:paraId="2604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4BE25FFF">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34412A6A">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队列</w:t>
            </w:r>
            <w:r>
              <w:rPr>
                <w:rFonts w:hint="default" w:ascii="宋体" w:hAnsi="宋体" w:eastAsia="宋体" w:cs="Times New Roman"/>
                <w:color w:val="auto"/>
                <w:sz w:val="21"/>
                <w:szCs w:val="21"/>
                <w:highlight w:val="none"/>
              </w:rPr>
              <w:t>匹配</w:t>
            </w:r>
          </w:p>
        </w:tc>
        <w:tc>
          <w:tcPr>
            <w:tcW w:w="4870" w:type="dxa"/>
            <w:vAlign w:val="center"/>
          </w:tcPr>
          <w:p w14:paraId="6B3C5A46">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将</w:t>
            </w:r>
            <w:r>
              <w:rPr>
                <w:rFonts w:hint="default" w:ascii="宋体" w:hAnsi="宋体" w:eastAsia="宋体" w:cs="Times New Roman"/>
                <w:color w:val="auto"/>
                <w:sz w:val="21"/>
                <w:szCs w:val="21"/>
                <w:highlight w:val="none"/>
              </w:rPr>
              <w:t>复核</w:t>
            </w:r>
            <w:r>
              <w:rPr>
                <w:rFonts w:hint="eastAsia" w:ascii="宋体" w:hAnsi="宋体" w:eastAsia="宋体" w:cs="Times New Roman"/>
                <w:color w:val="auto"/>
                <w:sz w:val="21"/>
                <w:szCs w:val="21"/>
                <w:highlight w:val="none"/>
              </w:rPr>
              <w:t>称重</w:t>
            </w:r>
            <w:r>
              <w:rPr>
                <w:rFonts w:hint="default" w:ascii="宋体" w:hAnsi="宋体" w:eastAsia="宋体" w:cs="Times New Roman"/>
                <w:color w:val="auto"/>
                <w:sz w:val="21"/>
                <w:szCs w:val="21"/>
                <w:highlight w:val="none"/>
              </w:rPr>
              <w:t>信息与收费队列进行匹配供收费员进行</w:t>
            </w:r>
            <w:r>
              <w:rPr>
                <w:rFonts w:hint="eastAsia" w:ascii="宋体" w:hAnsi="宋体" w:eastAsia="宋体" w:cs="Times New Roman"/>
                <w:color w:val="auto"/>
                <w:sz w:val="21"/>
                <w:szCs w:val="21"/>
                <w:highlight w:val="none"/>
              </w:rPr>
              <w:t>出口重量核实</w:t>
            </w:r>
            <w:r>
              <w:rPr>
                <w:rFonts w:hint="default" w:ascii="宋体" w:hAnsi="宋体" w:eastAsia="宋体" w:cs="Times New Roman"/>
                <w:color w:val="auto"/>
                <w:sz w:val="21"/>
                <w:szCs w:val="21"/>
                <w:highlight w:val="none"/>
              </w:rPr>
              <w:t>。</w:t>
            </w:r>
          </w:p>
        </w:tc>
      </w:tr>
      <w:tr w14:paraId="55E63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71C0C2CF">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64AE8E5D">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数据保存</w:t>
            </w:r>
          </w:p>
        </w:tc>
        <w:tc>
          <w:tcPr>
            <w:tcW w:w="4870" w:type="dxa"/>
            <w:vAlign w:val="center"/>
          </w:tcPr>
          <w:p w14:paraId="7FAA1D72">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将</w:t>
            </w:r>
            <w:r>
              <w:rPr>
                <w:rFonts w:hint="default" w:ascii="宋体" w:hAnsi="宋体" w:eastAsia="宋体" w:cs="Times New Roman"/>
                <w:color w:val="auto"/>
                <w:sz w:val="21"/>
                <w:szCs w:val="21"/>
                <w:highlight w:val="none"/>
              </w:rPr>
              <w:t>生成的复核称重</w:t>
            </w:r>
            <w:r>
              <w:rPr>
                <w:rFonts w:hint="eastAsia" w:ascii="宋体" w:hAnsi="宋体" w:eastAsia="宋体" w:cs="Times New Roman"/>
                <w:color w:val="auto"/>
                <w:sz w:val="21"/>
                <w:szCs w:val="21"/>
                <w:highlight w:val="none"/>
              </w:rPr>
              <w:t>信息</w:t>
            </w:r>
            <w:r>
              <w:rPr>
                <w:rFonts w:hint="default" w:ascii="宋体" w:hAnsi="宋体" w:eastAsia="宋体" w:cs="Times New Roman"/>
                <w:color w:val="auto"/>
                <w:sz w:val="21"/>
                <w:szCs w:val="21"/>
                <w:highlight w:val="none"/>
              </w:rPr>
              <w:t>保存至</w:t>
            </w:r>
            <w:r>
              <w:rPr>
                <w:rFonts w:hint="eastAsia" w:ascii="宋体" w:hAnsi="宋体" w:eastAsia="宋体" w:cs="Times New Roman"/>
                <w:color w:val="auto"/>
                <w:sz w:val="21"/>
                <w:szCs w:val="21"/>
                <w:highlight w:val="none"/>
              </w:rPr>
              <w:t>本地</w:t>
            </w:r>
            <w:r>
              <w:rPr>
                <w:rFonts w:hint="default" w:ascii="宋体" w:hAnsi="宋体" w:eastAsia="宋体" w:cs="Times New Roman"/>
                <w:color w:val="auto"/>
                <w:sz w:val="21"/>
                <w:szCs w:val="21"/>
                <w:highlight w:val="none"/>
              </w:rPr>
              <w:t>数据库。</w:t>
            </w:r>
          </w:p>
        </w:tc>
      </w:tr>
      <w:tr w14:paraId="1919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8" w:type="dxa"/>
            <w:vMerge w:val="continue"/>
            <w:vAlign w:val="center"/>
          </w:tcPr>
          <w:p w14:paraId="66521C05">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p>
        </w:tc>
        <w:tc>
          <w:tcPr>
            <w:tcW w:w="1924" w:type="dxa"/>
            <w:vAlign w:val="center"/>
          </w:tcPr>
          <w:p w14:paraId="7F1C001E">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数据</w:t>
            </w:r>
            <w:r>
              <w:rPr>
                <w:rFonts w:hint="default" w:ascii="宋体" w:hAnsi="宋体" w:eastAsia="宋体" w:cs="Times New Roman"/>
                <w:color w:val="auto"/>
                <w:sz w:val="21"/>
                <w:szCs w:val="21"/>
                <w:highlight w:val="none"/>
              </w:rPr>
              <w:t>上传</w:t>
            </w:r>
          </w:p>
        </w:tc>
        <w:tc>
          <w:tcPr>
            <w:tcW w:w="4870" w:type="dxa"/>
            <w:vAlign w:val="center"/>
          </w:tcPr>
          <w:p w14:paraId="14AC8484">
            <w:pPr>
              <w:keepNext w:val="0"/>
              <w:keepLines w:val="0"/>
              <w:suppressLineNumbers w:val="0"/>
              <w:spacing w:before="0" w:beforeAutospacing="0" w:after="0" w:afterAutospacing="0" w:line="360" w:lineRule="exact"/>
              <w:ind w:left="0" w:right="0" w:firstLine="0" w:firstLineChars="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将</w:t>
            </w:r>
            <w:r>
              <w:rPr>
                <w:rFonts w:hint="default" w:ascii="宋体" w:hAnsi="宋体" w:eastAsia="宋体" w:cs="Times New Roman"/>
                <w:color w:val="auto"/>
                <w:sz w:val="21"/>
                <w:szCs w:val="21"/>
                <w:highlight w:val="none"/>
              </w:rPr>
              <w:t>保存的复核</w:t>
            </w:r>
            <w:r>
              <w:rPr>
                <w:rFonts w:hint="eastAsia" w:ascii="宋体" w:hAnsi="宋体" w:eastAsia="宋体" w:cs="Times New Roman"/>
                <w:color w:val="auto"/>
                <w:sz w:val="21"/>
                <w:szCs w:val="21"/>
                <w:highlight w:val="none"/>
              </w:rPr>
              <w:t>称重</w:t>
            </w:r>
            <w:r>
              <w:rPr>
                <w:rFonts w:hint="default" w:ascii="宋体" w:hAnsi="宋体" w:eastAsia="宋体" w:cs="Times New Roman"/>
                <w:color w:val="auto"/>
                <w:sz w:val="21"/>
                <w:szCs w:val="21"/>
                <w:highlight w:val="none"/>
              </w:rPr>
              <w:t>信息上传至</w:t>
            </w:r>
            <w:r>
              <w:rPr>
                <w:rFonts w:hint="eastAsia" w:ascii="宋体" w:hAnsi="宋体" w:eastAsia="宋体" w:cs="Times New Roman"/>
                <w:color w:val="auto"/>
                <w:sz w:val="21"/>
                <w:szCs w:val="21"/>
                <w:highlight w:val="none"/>
              </w:rPr>
              <w:t>称重</w:t>
            </w:r>
            <w:r>
              <w:rPr>
                <w:rFonts w:hint="default" w:ascii="宋体" w:hAnsi="宋体" w:eastAsia="宋体" w:cs="Times New Roman"/>
                <w:color w:val="auto"/>
                <w:sz w:val="21"/>
                <w:szCs w:val="21"/>
                <w:highlight w:val="none"/>
              </w:rPr>
              <w:t>服务器</w:t>
            </w:r>
          </w:p>
        </w:tc>
      </w:tr>
    </w:tbl>
    <w:p w14:paraId="0E88000A">
      <w:pPr>
        <w:spacing w:after="0" w:line="360" w:lineRule="exact"/>
        <w:ind w:firstLine="420" w:firstLineChars="200"/>
        <w:jc w:val="left"/>
        <w:rPr>
          <w:rFonts w:hint="eastAsia" w:ascii="宋体" w:hAnsi="宋体"/>
          <w:color w:val="auto"/>
          <w:szCs w:val="21"/>
          <w:highlight w:val="none"/>
          <w:lang w:val="en-US" w:eastAsia="zh-CN"/>
        </w:rPr>
      </w:pPr>
    </w:p>
    <w:p w14:paraId="25EF1A6E">
      <w:pPr>
        <w:spacing w:after="0"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其他维护项目</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1737"/>
        <w:gridCol w:w="4870"/>
      </w:tblGrid>
      <w:tr w14:paraId="02DFA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1915" w:type="dxa"/>
            <w:noWrap w:val="0"/>
            <w:vAlign w:val="center"/>
          </w:tcPr>
          <w:p w14:paraId="529C79A3">
            <w:pPr>
              <w:spacing w:after="0" w:line="360" w:lineRule="exact"/>
              <w:jc w:val="center"/>
              <w:rPr>
                <w:rFonts w:ascii="宋体" w:hAnsi="宋体"/>
                <w:b/>
                <w:bCs/>
                <w:color w:val="auto"/>
                <w:szCs w:val="21"/>
                <w:highlight w:val="none"/>
              </w:rPr>
            </w:pPr>
            <w:r>
              <w:rPr>
                <w:rFonts w:hint="eastAsia" w:ascii="宋体" w:hAnsi="宋体"/>
                <w:b/>
                <w:bCs/>
                <w:color w:val="auto"/>
                <w:szCs w:val="21"/>
                <w:highlight w:val="none"/>
              </w:rPr>
              <w:t>系统</w:t>
            </w:r>
          </w:p>
        </w:tc>
        <w:tc>
          <w:tcPr>
            <w:tcW w:w="1737" w:type="dxa"/>
            <w:noWrap w:val="0"/>
            <w:vAlign w:val="center"/>
          </w:tcPr>
          <w:p w14:paraId="34F8440C">
            <w:pPr>
              <w:spacing w:after="0" w:line="360" w:lineRule="exact"/>
              <w:jc w:val="center"/>
              <w:rPr>
                <w:rFonts w:ascii="宋体" w:hAnsi="宋体"/>
                <w:b/>
                <w:bCs/>
                <w:color w:val="auto"/>
                <w:szCs w:val="21"/>
                <w:highlight w:val="none"/>
              </w:rPr>
            </w:pPr>
            <w:r>
              <w:rPr>
                <w:rFonts w:hint="eastAsia" w:ascii="宋体" w:hAnsi="宋体"/>
                <w:b/>
                <w:bCs/>
                <w:color w:val="auto"/>
                <w:szCs w:val="21"/>
                <w:highlight w:val="none"/>
              </w:rPr>
              <w:t>模块</w:t>
            </w:r>
          </w:p>
        </w:tc>
        <w:tc>
          <w:tcPr>
            <w:tcW w:w="4870" w:type="dxa"/>
            <w:noWrap w:val="0"/>
            <w:vAlign w:val="center"/>
          </w:tcPr>
          <w:p w14:paraId="107BC8FB">
            <w:pPr>
              <w:spacing w:after="0" w:line="360" w:lineRule="exact"/>
              <w:jc w:val="center"/>
              <w:rPr>
                <w:rFonts w:ascii="宋体" w:hAnsi="宋体"/>
                <w:b/>
                <w:bCs/>
                <w:color w:val="auto"/>
                <w:szCs w:val="21"/>
                <w:highlight w:val="none"/>
              </w:rPr>
            </w:pPr>
            <w:r>
              <w:rPr>
                <w:rFonts w:hint="eastAsia" w:ascii="宋体" w:hAnsi="宋体"/>
                <w:b/>
                <w:bCs/>
                <w:color w:val="auto"/>
                <w:szCs w:val="21"/>
                <w:highlight w:val="none"/>
              </w:rPr>
              <w:t>保障范围</w:t>
            </w:r>
          </w:p>
        </w:tc>
      </w:tr>
      <w:tr w14:paraId="7BE64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15" w:type="dxa"/>
            <w:noWrap w:val="0"/>
            <w:vAlign w:val="center"/>
          </w:tcPr>
          <w:p w14:paraId="6F38B7D1">
            <w:pPr>
              <w:spacing w:after="0" w:line="360" w:lineRule="exact"/>
              <w:rPr>
                <w:rFonts w:ascii="宋体" w:hAnsi="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广西高速公路联网收费系统运维管理平台</w:t>
            </w:r>
          </w:p>
        </w:tc>
        <w:tc>
          <w:tcPr>
            <w:tcW w:w="1737" w:type="dxa"/>
            <w:noWrap w:val="0"/>
            <w:vAlign w:val="center"/>
          </w:tcPr>
          <w:p w14:paraId="5C4B6CF5">
            <w:pPr>
              <w:keepNext w:val="0"/>
              <w:keepLines w:val="0"/>
              <w:widowControl/>
              <w:suppressLineNumbers w:val="0"/>
              <w:spacing w:after="0" w:line="240" w:lineRule="auto"/>
              <w:ind w:left="0" w:leftChars="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平台短信服务</w:t>
            </w:r>
          </w:p>
        </w:tc>
        <w:tc>
          <w:tcPr>
            <w:tcW w:w="4870" w:type="dxa"/>
            <w:noWrap w:val="0"/>
            <w:vAlign w:val="center"/>
          </w:tcPr>
          <w:p w14:paraId="09D97539">
            <w:pPr>
              <w:keepNext w:val="0"/>
              <w:keepLines w:val="0"/>
              <w:widowControl/>
              <w:suppressLineNumbers w:val="0"/>
              <w:spacing w:after="0" w:line="240" w:lineRule="auto"/>
              <w:ind w:left="0" w:leftChars="0" w:firstLine="0" w:firstLineChars="0"/>
              <w:jc w:val="left"/>
              <w:textAlignment w:val="center"/>
              <w:rPr>
                <w:rFonts w:ascii="宋体" w:hAnsi="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广西高速公路联网收费系统运维管理平台1年（2026年9月-2027年9月）短信服务</w:t>
            </w:r>
          </w:p>
        </w:tc>
      </w:tr>
      <w:tr w14:paraId="7F58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15" w:type="dxa"/>
            <w:noWrap w:val="0"/>
            <w:vAlign w:val="center"/>
          </w:tcPr>
          <w:p w14:paraId="44C5BB2E">
            <w:pPr>
              <w:spacing w:after="0" w:line="360" w:lineRule="exact"/>
              <w:rPr>
                <w:rFonts w:ascii="宋体" w:hAnsi="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秘钥授权</w:t>
            </w:r>
          </w:p>
        </w:tc>
        <w:tc>
          <w:tcPr>
            <w:tcW w:w="1737" w:type="dxa"/>
            <w:noWrap w:val="0"/>
            <w:vAlign w:val="center"/>
          </w:tcPr>
          <w:p w14:paraId="406BCD7B">
            <w:pPr>
              <w:keepNext w:val="0"/>
              <w:keepLines w:val="0"/>
              <w:widowControl/>
              <w:suppressLineNumbers w:val="0"/>
              <w:spacing w:after="0" w:line="240" w:lineRule="auto"/>
              <w:ind w:left="0" w:leftChars="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秘钥授权服务器运维服务</w:t>
            </w:r>
          </w:p>
        </w:tc>
        <w:tc>
          <w:tcPr>
            <w:tcW w:w="4870" w:type="dxa"/>
            <w:noWrap w:val="0"/>
            <w:vAlign w:val="center"/>
          </w:tcPr>
          <w:p w14:paraId="0865DF40">
            <w:pPr>
              <w:keepNext w:val="0"/>
              <w:keepLines w:val="0"/>
              <w:widowControl/>
              <w:suppressLineNumbers w:val="0"/>
              <w:spacing w:after="0" w:line="240" w:lineRule="auto"/>
              <w:ind w:left="0" w:leftChars="0" w:firstLine="0" w:firstLineChars="0"/>
              <w:jc w:val="left"/>
              <w:textAlignment w:val="center"/>
              <w:rPr>
                <w:rFonts w:ascii="宋体" w:hAnsi="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2026年2台省级+113台站级秘钥授权服务器运维服务</w:t>
            </w:r>
          </w:p>
        </w:tc>
      </w:tr>
      <w:tr w14:paraId="7E37B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15" w:type="dxa"/>
            <w:vMerge w:val="restart"/>
            <w:noWrap w:val="0"/>
            <w:vAlign w:val="center"/>
          </w:tcPr>
          <w:p w14:paraId="57C7FBEC">
            <w:pPr>
              <w:spacing w:after="0" w:line="360" w:lineRule="exact"/>
              <w:rPr>
                <w:rFonts w:hint="eastAsia" w:ascii="宋体" w:hAnsi="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广西高速公路联网收费运营管理平台</w:t>
            </w:r>
          </w:p>
        </w:tc>
        <w:tc>
          <w:tcPr>
            <w:tcW w:w="1737" w:type="dxa"/>
            <w:noWrap w:val="0"/>
            <w:vAlign w:val="center"/>
          </w:tcPr>
          <w:p w14:paraId="1BEF7A3F">
            <w:pPr>
              <w:keepNext w:val="0"/>
              <w:keepLines w:val="0"/>
              <w:widowControl/>
              <w:suppressLineNumbers w:val="0"/>
              <w:spacing w:after="0" w:line="240" w:lineRule="auto"/>
              <w:ind w:left="0" w:leftChars="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数字证书运维服务</w:t>
            </w:r>
          </w:p>
        </w:tc>
        <w:tc>
          <w:tcPr>
            <w:tcW w:w="4870" w:type="dxa"/>
            <w:noWrap w:val="0"/>
            <w:vAlign w:val="center"/>
          </w:tcPr>
          <w:p w14:paraId="6749E901">
            <w:pPr>
              <w:keepNext w:val="0"/>
              <w:keepLines w:val="0"/>
              <w:widowControl/>
              <w:suppressLineNumbers w:val="0"/>
              <w:spacing w:after="0" w:line="240" w:lineRule="auto"/>
              <w:ind w:left="0" w:leftChars="0" w:firstLine="0" w:firstLineChars="0"/>
              <w:jc w:val="left"/>
              <w:textAlignment w:val="center"/>
              <w:rPr>
                <w:rFonts w:hint="eastAsia" w:ascii="宋体" w:hAnsi="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广西高速公路联网收费运营管理平台数字证书运维服务，数字证书数量：6000张CA证书，1张企业型https证书，1年续期服务（2026年9月-2027年9月）</w:t>
            </w:r>
          </w:p>
        </w:tc>
      </w:tr>
      <w:tr w14:paraId="0F6ED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15" w:type="dxa"/>
            <w:vMerge w:val="continue"/>
            <w:noWrap w:val="0"/>
            <w:vAlign w:val="center"/>
          </w:tcPr>
          <w:p w14:paraId="636360FF">
            <w:pPr>
              <w:spacing w:after="0" w:line="360" w:lineRule="exact"/>
              <w:rPr>
                <w:rFonts w:hint="eastAsia" w:ascii="宋体" w:hAnsi="宋体"/>
                <w:color w:val="auto"/>
                <w:szCs w:val="21"/>
                <w:highlight w:val="none"/>
              </w:rPr>
            </w:pPr>
          </w:p>
        </w:tc>
        <w:tc>
          <w:tcPr>
            <w:tcW w:w="1737" w:type="dxa"/>
            <w:noWrap w:val="0"/>
            <w:vAlign w:val="center"/>
          </w:tcPr>
          <w:p w14:paraId="41E16BE3">
            <w:pPr>
              <w:keepNext w:val="0"/>
              <w:keepLines w:val="0"/>
              <w:widowControl/>
              <w:suppressLineNumbers w:val="0"/>
              <w:spacing w:after="0" w:line="240" w:lineRule="auto"/>
              <w:ind w:left="0" w:leftChars="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Ukey采购</w:t>
            </w:r>
          </w:p>
        </w:tc>
        <w:tc>
          <w:tcPr>
            <w:tcW w:w="4870" w:type="dxa"/>
            <w:noWrap w:val="0"/>
            <w:vAlign w:val="center"/>
          </w:tcPr>
          <w:p w14:paraId="622BFC72">
            <w:pPr>
              <w:keepNext w:val="0"/>
              <w:keepLines w:val="0"/>
              <w:widowControl/>
              <w:suppressLineNumbers w:val="0"/>
              <w:spacing w:after="0" w:line="240" w:lineRule="auto"/>
              <w:ind w:left="0" w:leftChars="0" w:firstLine="0" w:firstLineChars="0"/>
              <w:jc w:val="left"/>
              <w:textAlignment w:val="center"/>
              <w:rPr>
                <w:rFonts w:hint="eastAsia" w:ascii="宋体" w:hAnsi="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广西高速公路联网收费运营管理平台650个Ukey</w:t>
            </w:r>
          </w:p>
        </w:tc>
      </w:tr>
    </w:tbl>
    <w:p w14:paraId="4E0243F6">
      <w:pPr>
        <w:spacing w:after="0" w:line="360" w:lineRule="exact"/>
        <w:ind w:firstLine="420"/>
        <w:jc w:val="left"/>
        <w:rPr>
          <w:rFonts w:ascii="宋体" w:hAnsi="宋体"/>
          <w:b/>
          <w:color w:val="auto"/>
          <w:szCs w:val="21"/>
          <w:highlight w:val="none"/>
        </w:rPr>
      </w:pPr>
      <w:r>
        <w:rPr>
          <w:rFonts w:hint="eastAsia" w:ascii="宋体" w:hAnsi="宋体"/>
          <w:b/>
          <w:color w:val="auto"/>
          <w:szCs w:val="21"/>
          <w:highlight w:val="none"/>
        </w:rPr>
        <w:t>四、维护实施要求</w:t>
      </w:r>
    </w:p>
    <w:p w14:paraId="11D5B9E1">
      <w:pPr>
        <w:spacing w:after="0" w:line="360" w:lineRule="exact"/>
        <w:ind w:firstLine="420"/>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lang w:eastAsia="zh"/>
        </w:rPr>
        <w:t>服务</w:t>
      </w:r>
      <w:r>
        <w:rPr>
          <w:rFonts w:hint="eastAsia" w:ascii="宋体" w:hAnsi="宋体"/>
          <w:color w:val="auto"/>
          <w:szCs w:val="21"/>
          <w:highlight w:val="none"/>
        </w:rPr>
        <w:t>期内，必须提供全年每日24小时的技术支持。中标人在接到采购人或其下属维护部门的故障报修后，1小时内实质响应，软件故障的最终修复从报修时间算起不能超过24小时；如中标人逾期不能修复，采购人可委托第三方代为实施，相关费用由中标人承担。</w:t>
      </w:r>
    </w:p>
    <w:p w14:paraId="136FF084">
      <w:pPr>
        <w:spacing w:after="0" w:line="360" w:lineRule="exact"/>
        <w:ind w:firstLine="420"/>
        <w:jc w:val="lef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中标人必须提供10名以上专职工程师为省中心联网收费系统及全区高速公路车道软件进行维护，且保证全年每日24小时均有1名工程师在采购人单位驻点值班（</w:t>
      </w:r>
      <w:r>
        <w:rPr>
          <w:rFonts w:hint="eastAsia" w:ascii="宋体" w:hAnsi="宋体"/>
          <w:b/>
          <w:color w:val="auto"/>
          <w:szCs w:val="21"/>
          <w:highlight w:val="none"/>
          <w:u w:val="single"/>
        </w:rPr>
        <w:t>所提供的驻点人员必须是中标人正式工作人员</w:t>
      </w:r>
      <w:r>
        <w:rPr>
          <w:rFonts w:ascii="宋体" w:hAnsi="宋体"/>
          <w:b/>
          <w:color w:val="auto"/>
          <w:szCs w:val="21"/>
          <w:highlight w:val="none"/>
          <w:u w:val="single"/>
        </w:rPr>
        <w:t>，</w:t>
      </w:r>
      <w:r>
        <w:rPr>
          <w:rFonts w:hint="eastAsia" w:ascii="宋体" w:hAnsi="宋体"/>
          <w:b/>
          <w:bCs/>
          <w:color w:val="auto"/>
          <w:szCs w:val="21"/>
          <w:highlight w:val="none"/>
          <w:u w:val="single"/>
        </w:rPr>
        <w:t>投标人</w:t>
      </w:r>
      <w:r>
        <w:rPr>
          <w:rFonts w:hint="eastAsia" w:ascii="宋体" w:hAnsi="宋体" w:cs="宋体"/>
          <w:b/>
          <w:bCs/>
          <w:color w:val="auto"/>
          <w:szCs w:val="21"/>
          <w:highlight w:val="none"/>
          <w:u w:val="single"/>
        </w:rPr>
        <w:t>需在</w:t>
      </w:r>
      <w:r>
        <w:rPr>
          <w:rFonts w:hint="eastAsia" w:ascii="宋体" w:hAnsi="宋体"/>
          <w:b/>
          <w:bCs/>
          <w:color w:val="auto"/>
          <w:szCs w:val="21"/>
          <w:highlight w:val="none"/>
          <w:u w:val="single"/>
        </w:rPr>
        <w:t>投标文件中提供拟投入人员相关证书复印件及拟投入人员与投标人签订的劳动合同或协议书复印件或社保缴纳证明文件复印件或聘用意向书复印件</w:t>
      </w:r>
      <w:r>
        <w:rPr>
          <w:rFonts w:ascii="宋体" w:hAnsi="宋体"/>
          <w:b/>
          <w:color w:val="auto"/>
          <w:szCs w:val="21"/>
          <w:highlight w:val="none"/>
          <w:u w:val="single"/>
        </w:rPr>
        <w:t>。</w:t>
      </w:r>
      <w:r>
        <w:rPr>
          <w:rFonts w:hint="eastAsia" w:ascii="宋体" w:hAnsi="宋体"/>
          <w:color w:val="auto"/>
          <w:szCs w:val="21"/>
          <w:highlight w:val="none"/>
        </w:rPr>
        <w:t>）保障系统各项指标正常，如驻点人员不满足要求，采购人有权利更换。</w:t>
      </w:r>
      <w:bookmarkStart w:id="44" w:name="OLE_LINK3"/>
      <w:r>
        <w:rPr>
          <w:rFonts w:hint="eastAsia" w:ascii="宋体" w:hAnsi="宋体"/>
          <w:color w:val="auto"/>
          <w:szCs w:val="21"/>
          <w:highlight w:val="none"/>
        </w:rPr>
        <w:t>在业务高峰期时，应按照采购人要求适当增加值班工程师。</w:t>
      </w:r>
      <w:bookmarkEnd w:id="44"/>
    </w:p>
    <w:p w14:paraId="0CA5876D">
      <w:pPr>
        <w:spacing w:after="0" w:line="360" w:lineRule="exact"/>
        <w:ind w:firstLine="420"/>
        <w:jc w:val="left"/>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中标人必须向全区高速公路运营单位公开维保服务电话号码及专职工程师移动电话，保证值班工程师电话24小时通讯畅通，故障及时响应。出现故障提供远程技术支持服务，当远程无法排除故障时，应及时到现场进行处理，同时记录相关处理情况，形成维护记录表，在维护到期时汇编成册提交给采购人。</w:t>
      </w:r>
    </w:p>
    <w:p w14:paraId="0F933B46">
      <w:pPr>
        <w:spacing w:after="0" w:line="360" w:lineRule="exact"/>
        <w:ind w:firstLine="420"/>
        <w:jc w:val="left"/>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s="宋体"/>
          <w:color w:val="auto"/>
          <w:szCs w:val="21"/>
          <w:highlight w:val="none"/>
          <w:lang w:bidi="ar"/>
        </w:rPr>
        <w:t>中标人必须按《关于印发&lt;收费公路联网收费系统运维工作指南（暂行）&gt;的函》（交路网函〔2021〕288号）文件要求</w:t>
      </w:r>
      <w:r>
        <w:rPr>
          <w:rFonts w:hint="eastAsia" w:ascii="宋体" w:hAnsi="宋体"/>
          <w:color w:val="auto"/>
          <w:szCs w:val="21"/>
          <w:highlight w:val="none"/>
        </w:rPr>
        <w:t>对广西高速公路省中心联网收费系统及全区高速公路车道软件</w:t>
      </w:r>
      <w:r>
        <w:rPr>
          <w:rFonts w:hint="eastAsia" w:ascii="宋体" w:hAnsi="宋体" w:cs="宋体"/>
          <w:color w:val="auto"/>
          <w:szCs w:val="21"/>
          <w:highlight w:val="none"/>
          <w:lang w:bidi="ar"/>
        </w:rPr>
        <w:t>提供日常巡检服务，并填写《巡检记录表》</w:t>
      </w:r>
      <w:r>
        <w:rPr>
          <w:rFonts w:hint="eastAsia" w:ascii="宋体" w:hAnsi="宋体" w:cs="宋体"/>
          <w:color w:val="auto"/>
          <w:szCs w:val="21"/>
          <w:highlight w:val="none"/>
          <w:lang w:eastAsia="zh" w:bidi="ar"/>
        </w:rPr>
        <w:t>提交给采购人</w:t>
      </w:r>
      <w:r>
        <w:rPr>
          <w:rFonts w:hint="eastAsia" w:ascii="宋体" w:hAnsi="宋体" w:cs="宋体"/>
          <w:color w:val="auto"/>
          <w:szCs w:val="21"/>
          <w:highlight w:val="none"/>
          <w:lang w:bidi="ar"/>
        </w:rPr>
        <w:t>。主要内容包括：</w:t>
      </w:r>
      <w:r>
        <w:rPr>
          <w:rFonts w:hint="eastAsia" w:ascii="宋体" w:hAnsi="宋体"/>
          <w:color w:val="auto"/>
          <w:szCs w:val="21"/>
          <w:highlight w:val="none"/>
        </w:rPr>
        <w:t>系统运行情况、系统日志、系统告警及故障处理等</w:t>
      </w:r>
      <w:r>
        <w:rPr>
          <w:rFonts w:hint="eastAsia" w:ascii="宋体" w:hAnsi="宋体" w:cs="宋体"/>
          <w:color w:val="auto"/>
          <w:szCs w:val="21"/>
          <w:highlight w:val="none"/>
          <w:lang w:bidi="ar"/>
        </w:rPr>
        <w:t>。</w:t>
      </w:r>
    </w:p>
    <w:p w14:paraId="7DE83E98">
      <w:pPr>
        <w:spacing w:after="0" w:line="360" w:lineRule="exact"/>
        <w:ind w:firstLine="420"/>
        <w:jc w:val="left"/>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对于系统本身存在的功能缺陷，采购人提出对系统进行升级完善，在不涉及系统重大改变的情况下，中标人应作为维保内容范围予以完成。对于涉及系统重大调整改变的，中标人需提供相关技术支持，协助采购人制定系统调整和升级方案。</w:t>
      </w:r>
    </w:p>
    <w:p w14:paraId="35D766C0">
      <w:pPr>
        <w:spacing w:after="0" w:line="360" w:lineRule="exact"/>
        <w:ind w:firstLine="420"/>
        <w:jc w:val="left"/>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维护记录</w:t>
      </w:r>
    </w:p>
    <w:p w14:paraId="22F7E18E">
      <w:pPr>
        <w:spacing w:after="0" w:line="360" w:lineRule="exact"/>
        <w:ind w:firstLine="420"/>
        <w:jc w:val="left"/>
        <w:rPr>
          <w:rFonts w:ascii="宋体" w:hAnsi="宋体"/>
          <w:color w:val="auto"/>
          <w:szCs w:val="21"/>
          <w:highlight w:val="none"/>
        </w:rPr>
      </w:pPr>
      <w:r>
        <w:rPr>
          <w:rFonts w:hint="eastAsia" w:ascii="宋体" w:hAnsi="宋体"/>
          <w:color w:val="auto"/>
          <w:szCs w:val="21"/>
          <w:highlight w:val="none"/>
        </w:rPr>
        <w:t>中标人在</w:t>
      </w:r>
      <w:r>
        <w:rPr>
          <w:rFonts w:hint="eastAsia" w:ascii="宋体" w:hAnsi="宋体"/>
          <w:color w:val="auto"/>
          <w:szCs w:val="21"/>
          <w:highlight w:val="none"/>
          <w:lang w:eastAsia="zh"/>
        </w:rPr>
        <w:t>服务</w:t>
      </w:r>
      <w:r>
        <w:rPr>
          <w:rFonts w:hint="eastAsia" w:ascii="宋体" w:hAnsi="宋体"/>
          <w:color w:val="auto"/>
          <w:szCs w:val="21"/>
          <w:highlight w:val="none"/>
        </w:rPr>
        <w:t>期间应做好维护记录表，记录报修时间、响应时间、完成时间、维护人、维护原因、解决办法、报障人信息（姓名、电话、单位）等内容，每季度汇编成册交予采购人。</w:t>
      </w:r>
    </w:p>
    <w:p w14:paraId="71D5F3F6">
      <w:pPr>
        <w:spacing w:after="0"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w:t>
      </w:r>
      <w:r>
        <w:rPr>
          <w:rFonts w:hint="eastAsia" w:ascii="宋体" w:hAnsi="宋体"/>
          <w:color w:val="auto"/>
          <w:szCs w:val="21"/>
          <w:highlight w:val="none"/>
        </w:rPr>
        <w:t>评估报告</w:t>
      </w:r>
    </w:p>
    <w:p w14:paraId="39879572">
      <w:pPr>
        <w:spacing w:after="0"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中标人应综合日常巡检、维护记录，评估系统状况，每月提交一份《系统评估报告》给采购人，《系统评估报告》应包含报告基本信息、系统整体运行概况与关键指标摘要、巡检维护与升级执行情况总结、问题与风险的改进建议等。</w:t>
      </w:r>
    </w:p>
    <w:p w14:paraId="70E800CC">
      <w:pPr>
        <w:spacing w:after="0"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▲8.</w:t>
      </w:r>
      <w:r>
        <w:rPr>
          <w:rFonts w:hint="eastAsia" w:ascii="宋体" w:hAnsi="宋体" w:cs="宋体"/>
          <w:color w:val="auto"/>
          <w:szCs w:val="21"/>
          <w:highlight w:val="none"/>
          <w:lang w:bidi="ar"/>
        </w:rPr>
        <w:t>中标人在</w:t>
      </w:r>
      <w:r>
        <w:rPr>
          <w:rFonts w:hint="eastAsia" w:ascii="宋体" w:hAnsi="宋体" w:cs="宋体"/>
          <w:color w:val="auto"/>
          <w:szCs w:val="21"/>
          <w:highlight w:val="none"/>
          <w:lang w:eastAsia="zh" w:bidi="ar"/>
        </w:rPr>
        <w:t>服务</w:t>
      </w:r>
      <w:r>
        <w:rPr>
          <w:rFonts w:hint="eastAsia" w:ascii="宋体" w:hAnsi="宋体" w:cs="宋体"/>
          <w:color w:val="auto"/>
          <w:szCs w:val="21"/>
          <w:highlight w:val="none"/>
          <w:lang w:bidi="ar"/>
        </w:rPr>
        <w:t>期间必须提供至少一次</w:t>
      </w:r>
      <w:bookmarkStart w:id="45" w:name="OLE_LINK4"/>
      <w:r>
        <w:rPr>
          <w:rFonts w:hint="eastAsia" w:ascii="宋体" w:hAnsi="宋体" w:cs="宋体"/>
          <w:color w:val="auto"/>
          <w:szCs w:val="21"/>
          <w:highlight w:val="none"/>
          <w:lang w:bidi="ar"/>
        </w:rPr>
        <w:t>由采购人组织</w:t>
      </w:r>
      <w:bookmarkEnd w:id="45"/>
      <w:r>
        <w:rPr>
          <w:rFonts w:hint="eastAsia" w:ascii="宋体" w:hAnsi="宋体" w:cs="宋体"/>
          <w:color w:val="auto"/>
          <w:szCs w:val="21"/>
          <w:highlight w:val="none"/>
          <w:lang w:bidi="ar"/>
        </w:rPr>
        <w:t>的面向高速公路经营管理单位的技术培训服务。</w:t>
      </w:r>
    </w:p>
    <w:p w14:paraId="391B360E">
      <w:pPr>
        <w:spacing w:after="0" w:line="360" w:lineRule="exact"/>
        <w:ind w:firstLine="420"/>
        <w:jc w:val="left"/>
        <w:rPr>
          <w:rFonts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w:t>
      </w:r>
      <w:r>
        <w:rPr>
          <w:rFonts w:hint="eastAsia" w:ascii="宋体" w:hAnsi="宋体"/>
          <w:color w:val="auto"/>
          <w:szCs w:val="21"/>
          <w:highlight w:val="none"/>
        </w:rPr>
        <w:t>投标人在投标文件中必须明确承诺达到</w:t>
      </w:r>
      <w:r>
        <w:rPr>
          <w:rFonts w:hint="eastAsia" w:ascii="宋体" w:hAnsi="宋体"/>
          <w:color w:val="auto"/>
          <w:szCs w:val="21"/>
          <w:highlight w:val="none"/>
          <w:lang w:val="zh-CN"/>
        </w:rPr>
        <w:t>采购人</w:t>
      </w:r>
      <w:r>
        <w:rPr>
          <w:rFonts w:hint="eastAsia" w:ascii="宋体" w:hAnsi="宋体"/>
          <w:color w:val="auto"/>
          <w:szCs w:val="21"/>
          <w:highlight w:val="none"/>
        </w:rPr>
        <w:t>本项目维护所需的技术及服务要求。</w:t>
      </w:r>
    </w:p>
    <w:p w14:paraId="6A85C338">
      <w:pPr>
        <w:spacing w:after="0" w:line="360" w:lineRule="exact"/>
        <w:ind w:firstLine="420"/>
        <w:jc w:val="left"/>
        <w:rPr>
          <w:rFonts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w:t>
      </w:r>
      <w:r>
        <w:rPr>
          <w:rFonts w:hint="eastAsia" w:ascii="宋体" w:hAnsi="宋体"/>
          <w:color w:val="auto"/>
          <w:szCs w:val="21"/>
          <w:highlight w:val="none"/>
        </w:rPr>
        <w:t>因中标人的原因，导致采购人系统出现安全事故，由中标人承担造成的所有损失。</w:t>
      </w:r>
    </w:p>
    <w:p w14:paraId="6D36BBFC">
      <w:pPr>
        <w:spacing w:after="0" w:line="360" w:lineRule="exact"/>
        <w:ind w:firstLine="420"/>
        <w:jc w:val="left"/>
        <w:rPr>
          <w:rFonts w:ascii="宋体" w:hAnsi="宋体"/>
          <w:color w:val="auto"/>
          <w:szCs w:val="21"/>
          <w:highlight w:val="none"/>
        </w:rPr>
      </w:pPr>
      <w:r>
        <w:rPr>
          <w:rFonts w:hint="eastAsia" w:ascii="宋体" w:hAnsi="宋体"/>
          <w:color w:val="auto"/>
          <w:szCs w:val="21"/>
          <w:highlight w:val="none"/>
        </w:rPr>
        <w:t>▲11</w:t>
      </w:r>
      <w:r>
        <w:rPr>
          <w:rFonts w:ascii="宋体" w:hAnsi="宋体"/>
          <w:color w:val="auto"/>
          <w:szCs w:val="21"/>
          <w:highlight w:val="none"/>
        </w:rPr>
        <w:t>.</w:t>
      </w:r>
      <w:r>
        <w:rPr>
          <w:rFonts w:hint="eastAsia" w:ascii="宋体" w:hAnsi="宋体"/>
          <w:color w:val="auto"/>
          <w:szCs w:val="21"/>
          <w:highlight w:val="none"/>
        </w:rPr>
        <w:t>因中标人的原因，造成联网收费系统发生数据丢失、数据传输错误、传输延迟等系统故障5次（含5次）以上的，扣除中标人履约保证金全部金额</w:t>
      </w:r>
      <w:r>
        <w:rPr>
          <w:rFonts w:hint="eastAsia" w:ascii="宋体" w:hAnsi="宋体"/>
          <w:color w:val="auto"/>
          <w:szCs w:val="21"/>
          <w:highlight w:val="none"/>
          <w:lang w:val="en-US" w:eastAsia="zh-CN"/>
        </w:rPr>
        <w:t>不予退还</w:t>
      </w:r>
      <w:r>
        <w:rPr>
          <w:rFonts w:hint="eastAsia" w:ascii="宋体" w:hAnsi="宋体"/>
          <w:color w:val="auto"/>
          <w:szCs w:val="21"/>
          <w:highlight w:val="none"/>
        </w:rPr>
        <w:t>。</w:t>
      </w:r>
    </w:p>
    <w:p w14:paraId="7352B2FC">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▲12</w:t>
      </w:r>
      <w:r>
        <w:rPr>
          <w:rFonts w:ascii="宋体" w:hAnsi="宋体"/>
          <w:color w:val="auto"/>
          <w:szCs w:val="21"/>
          <w:highlight w:val="none"/>
        </w:rPr>
        <w:t>.</w:t>
      </w:r>
      <w:r>
        <w:rPr>
          <w:rFonts w:hint="eastAsia" w:ascii="宋体" w:hAnsi="宋体"/>
          <w:color w:val="auto"/>
          <w:szCs w:val="21"/>
          <w:highlight w:val="none"/>
        </w:rPr>
        <w:t>因中标人的原因，造成联网收费系统通行费损失</w:t>
      </w:r>
      <w:r>
        <w:rPr>
          <w:rFonts w:hint="eastAsia" w:ascii="宋体" w:hAnsi="宋体"/>
          <w:color w:val="auto"/>
          <w:szCs w:val="21"/>
          <w:highlight w:val="none"/>
          <w:lang w:val="en-US" w:eastAsia="zh-CN"/>
        </w:rPr>
        <w:t>或高速公路经营管理单位经济损失的</w:t>
      </w:r>
      <w:r>
        <w:rPr>
          <w:rFonts w:hint="eastAsia" w:ascii="宋体" w:hAnsi="宋体"/>
          <w:color w:val="auto"/>
          <w:szCs w:val="21"/>
          <w:highlight w:val="none"/>
        </w:rPr>
        <w:t>，由中标人承担全部损失。</w:t>
      </w:r>
    </w:p>
    <w:p w14:paraId="41720BEB">
      <w:pPr>
        <w:spacing w:line="360" w:lineRule="auto"/>
        <w:rPr>
          <w:rFonts w:ascii="宋体" w:hAnsi="宋体"/>
          <w:color w:val="auto"/>
          <w:highlight w:val="none"/>
        </w:rPr>
      </w:pPr>
    </w:p>
    <w:p w14:paraId="610DDE46">
      <w:pPr>
        <w:spacing w:line="360" w:lineRule="auto"/>
        <w:rPr>
          <w:rFonts w:ascii="宋体" w:hAnsi="宋体"/>
          <w:color w:val="auto"/>
          <w:highlight w:val="none"/>
        </w:rPr>
        <w:sectPr>
          <w:footerReference r:id="rId5" w:type="default"/>
          <w:pgSz w:w="11906" w:h="16838"/>
          <w:pgMar w:top="1440" w:right="1800" w:bottom="1440" w:left="1800" w:header="851" w:footer="992" w:gutter="0"/>
          <w:cols w:space="425" w:num="1"/>
          <w:docGrid w:type="lines" w:linePitch="312" w:charSpace="0"/>
        </w:sectPr>
      </w:pPr>
    </w:p>
    <w:p w14:paraId="75274AD0">
      <w:pPr>
        <w:spacing w:line="428" w:lineRule="exact"/>
        <w:jc w:val="both"/>
        <w:rPr>
          <w:rFonts w:ascii="宋体" w:hAnsi="宋体"/>
          <w:b/>
          <w:color w:val="auto"/>
          <w:sz w:val="36"/>
          <w:szCs w:val="36"/>
          <w:highlight w:val="none"/>
        </w:rPr>
      </w:pPr>
    </w:p>
    <w:p w14:paraId="6D8B3477">
      <w:pPr>
        <w:spacing w:line="428" w:lineRule="exact"/>
        <w:jc w:val="center"/>
        <w:rPr>
          <w:rFonts w:ascii="宋体" w:hAnsi="宋体"/>
          <w:b/>
          <w:color w:val="auto"/>
          <w:sz w:val="36"/>
          <w:szCs w:val="36"/>
          <w:highlight w:val="none"/>
        </w:rPr>
      </w:pPr>
      <w:r>
        <w:rPr>
          <w:rFonts w:hint="eastAsia" w:ascii="宋体" w:hAnsi="宋体"/>
          <w:b/>
          <w:color w:val="auto"/>
          <w:sz w:val="36"/>
          <w:szCs w:val="36"/>
          <w:highlight w:val="none"/>
        </w:rPr>
        <w:t>节能产品政府采购品目清单</w:t>
      </w:r>
    </w:p>
    <w:tbl>
      <w:tblPr>
        <w:tblStyle w:val="49"/>
        <w:tblW w:w="9781" w:type="dxa"/>
        <w:tblInd w:w="-10" w:type="dxa"/>
        <w:tblLayout w:type="autofit"/>
        <w:tblCellMar>
          <w:top w:w="0" w:type="dxa"/>
          <w:left w:w="108" w:type="dxa"/>
          <w:bottom w:w="0" w:type="dxa"/>
          <w:right w:w="108" w:type="dxa"/>
        </w:tblCellMar>
      </w:tblPr>
      <w:tblGrid>
        <w:gridCol w:w="546"/>
        <w:gridCol w:w="1401"/>
        <w:gridCol w:w="1651"/>
        <w:gridCol w:w="1482"/>
        <w:gridCol w:w="4701"/>
      </w:tblGrid>
      <w:tr w14:paraId="4E2E4F13">
        <w:tblPrEx>
          <w:tblCellMar>
            <w:top w:w="0" w:type="dxa"/>
            <w:left w:w="108" w:type="dxa"/>
            <w:bottom w:w="0" w:type="dxa"/>
            <w:right w:w="108" w:type="dxa"/>
          </w:tblCellMar>
        </w:tblPrEx>
        <w:trPr>
          <w:trHeight w:val="555" w:hRule="atLeast"/>
        </w:trPr>
        <w:tc>
          <w:tcPr>
            <w:tcW w:w="561" w:type="dxa"/>
            <w:tcBorders>
              <w:top w:val="single" w:color="000000" w:sz="8" w:space="0"/>
              <w:left w:val="single" w:color="000000" w:sz="8" w:space="0"/>
              <w:bottom w:val="single" w:color="000000" w:sz="8" w:space="0"/>
              <w:right w:val="single" w:color="000000" w:sz="8" w:space="0"/>
            </w:tcBorders>
          </w:tcPr>
          <w:p w14:paraId="0E798AC2">
            <w:pPr>
              <w:widowControl/>
              <w:ind w:left="-67" w:right="-32"/>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品目序号</w:t>
            </w:r>
          </w:p>
        </w:tc>
        <w:tc>
          <w:tcPr>
            <w:tcW w:w="4335" w:type="dxa"/>
            <w:gridSpan w:val="3"/>
            <w:tcBorders>
              <w:top w:val="single" w:color="000000" w:sz="8" w:space="0"/>
              <w:left w:val="nil"/>
              <w:bottom w:val="single" w:color="000000" w:sz="8" w:space="0"/>
              <w:right w:val="single" w:color="000000" w:sz="8" w:space="0"/>
            </w:tcBorders>
            <w:vAlign w:val="center"/>
          </w:tcPr>
          <w:p w14:paraId="1FBCD115">
            <w:pPr>
              <w:widowControl/>
              <w:ind w:left="-67" w:right="-32"/>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名称</w:t>
            </w:r>
          </w:p>
        </w:tc>
        <w:tc>
          <w:tcPr>
            <w:tcW w:w="4885" w:type="dxa"/>
            <w:tcBorders>
              <w:top w:val="single" w:color="000000" w:sz="8" w:space="0"/>
              <w:left w:val="nil"/>
              <w:bottom w:val="single" w:color="000000" w:sz="8" w:space="0"/>
              <w:right w:val="single" w:color="000000" w:sz="8" w:space="0"/>
            </w:tcBorders>
            <w:vAlign w:val="center"/>
          </w:tcPr>
          <w:p w14:paraId="0F32E7F0">
            <w:pPr>
              <w:widowControl/>
              <w:ind w:left="-67" w:right="-32"/>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依据的标准</w:t>
            </w:r>
          </w:p>
        </w:tc>
      </w:tr>
      <w:tr w14:paraId="69250943">
        <w:tblPrEx>
          <w:tblCellMar>
            <w:top w:w="0" w:type="dxa"/>
            <w:left w:w="108" w:type="dxa"/>
            <w:bottom w:w="0" w:type="dxa"/>
            <w:right w:w="108" w:type="dxa"/>
          </w:tblCellMar>
        </w:tblPrEx>
        <w:trPr>
          <w:trHeight w:val="495" w:hRule="atLeast"/>
        </w:trPr>
        <w:tc>
          <w:tcPr>
            <w:tcW w:w="561" w:type="dxa"/>
            <w:vMerge w:val="restart"/>
            <w:tcBorders>
              <w:top w:val="nil"/>
              <w:left w:val="single" w:color="000000" w:sz="8" w:space="0"/>
              <w:bottom w:val="single" w:color="000000" w:sz="8" w:space="0"/>
              <w:right w:val="single" w:color="000000" w:sz="8" w:space="0"/>
            </w:tcBorders>
            <w:vAlign w:val="center"/>
          </w:tcPr>
          <w:p w14:paraId="44C33250">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424" w:type="dxa"/>
            <w:vMerge w:val="restart"/>
            <w:tcBorders>
              <w:top w:val="nil"/>
              <w:left w:val="single" w:color="000000" w:sz="8" w:space="0"/>
              <w:bottom w:val="single" w:color="000000" w:sz="8" w:space="0"/>
              <w:right w:val="single" w:color="000000" w:sz="8" w:space="0"/>
            </w:tcBorders>
            <w:vAlign w:val="center"/>
          </w:tcPr>
          <w:p w14:paraId="0479EDB4">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A020101计算机设备</w:t>
            </w:r>
          </w:p>
        </w:tc>
        <w:tc>
          <w:tcPr>
            <w:tcW w:w="1662" w:type="dxa"/>
            <w:tcBorders>
              <w:top w:val="nil"/>
              <w:left w:val="nil"/>
              <w:bottom w:val="single" w:color="000000" w:sz="8" w:space="0"/>
              <w:right w:val="single" w:color="000000" w:sz="8" w:space="0"/>
            </w:tcBorders>
            <w:vAlign w:val="center"/>
          </w:tcPr>
          <w:p w14:paraId="16894123">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★A02010104台式计算机</w:t>
            </w:r>
          </w:p>
        </w:tc>
        <w:tc>
          <w:tcPr>
            <w:tcW w:w="1249" w:type="dxa"/>
            <w:tcBorders>
              <w:top w:val="nil"/>
              <w:left w:val="nil"/>
              <w:bottom w:val="single" w:color="000000" w:sz="8" w:space="0"/>
              <w:right w:val="single" w:color="000000" w:sz="8" w:space="0"/>
            </w:tcBorders>
            <w:vAlign w:val="center"/>
          </w:tcPr>
          <w:p w14:paraId="41B25191">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7DC195BD">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《微型计算机能效限定值及能效等级》（GB28380）</w:t>
            </w:r>
          </w:p>
        </w:tc>
      </w:tr>
      <w:tr w14:paraId="660CA152">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7210548D">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54B4F11C">
            <w:pPr>
              <w:widowControl/>
              <w:ind w:left="-67" w:right="-32"/>
              <w:jc w:val="left"/>
              <w:rPr>
                <w:rFonts w:ascii="宋体" w:hAnsi="宋体" w:cs="宋体"/>
                <w:color w:val="auto"/>
                <w:kern w:val="0"/>
                <w:szCs w:val="21"/>
                <w:highlight w:val="none"/>
              </w:rPr>
            </w:pPr>
          </w:p>
        </w:tc>
        <w:tc>
          <w:tcPr>
            <w:tcW w:w="1662" w:type="dxa"/>
            <w:tcBorders>
              <w:top w:val="nil"/>
              <w:left w:val="nil"/>
              <w:bottom w:val="single" w:color="000000" w:sz="8" w:space="0"/>
              <w:right w:val="single" w:color="000000" w:sz="8" w:space="0"/>
            </w:tcBorders>
            <w:vAlign w:val="center"/>
          </w:tcPr>
          <w:p w14:paraId="421B3618">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★A02010105便携式计算机</w:t>
            </w:r>
          </w:p>
        </w:tc>
        <w:tc>
          <w:tcPr>
            <w:tcW w:w="1249" w:type="dxa"/>
            <w:tcBorders>
              <w:top w:val="nil"/>
              <w:left w:val="nil"/>
              <w:bottom w:val="single" w:color="000000" w:sz="8" w:space="0"/>
              <w:right w:val="single" w:color="000000" w:sz="8" w:space="0"/>
            </w:tcBorders>
            <w:vAlign w:val="center"/>
          </w:tcPr>
          <w:p w14:paraId="4E8EC5B2">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36554AB8">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《微型计算机能效限定值及能效等级》（GB28380）</w:t>
            </w:r>
          </w:p>
        </w:tc>
      </w:tr>
      <w:tr w14:paraId="22C89D1A">
        <w:tblPrEx>
          <w:tblCellMar>
            <w:top w:w="0" w:type="dxa"/>
            <w:left w:w="108" w:type="dxa"/>
            <w:bottom w:w="0" w:type="dxa"/>
            <w:right w:w="108" w:type="dxa"/>
          </w:tblCellMar>
        </w:tblPrEx>
        <w:trPr>
          <w:trHeight w:val="577" w:hRule="atLeast"/>
        </w:trPr>
        <w:tc>
          <w:tcPr>
            <w:tcW w:w="561" w:type="dxa"/>
            <w:vMerge w:val="continue"/>
            <w:tcBorders>
              <w:top w:val="nil"/>
              <w:left w:val="single" w:color="000000" w:sz="8" w:space="0"/>
              <w:bottom w:val="single" w:color="000000" w:sz="8" w:space="0"/>
              <w:right w:val="single" w:color="000000" w:sz="8" w:space="0"/>
            </w:tcBorders>
            <w:vAlign w:val="center"/>
          </w:tcPr>
          <w:p w14:paraId="51C0CF58">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2461849A">
            <w:pPr>
              <w:widowControl/>
              <w:ind w:left="-67" w:right="-32"/>
              <w:jc w:val="left"/>
              <w:rPr>
                <w:rFonts w:ascii="宋体" w:hAnsi="宋体" w:cs="宋体"/>
                <w:color w:val="auto"/>
                <w:kern w:val="0"/>
                <w:szCs w:val="21"/>
                <w:highlight w:val="none"/>
              </w:rPr>
            </w:pPr>
          </w:p>
        </w:tc>
        <w:tc>
          <w:tcPr>
            <w:tcW w:w="1662" w:type="dxa"/>
            <w:tcBorders>
              <w:top w:val="nil"/>
              <w:left w:val="nil"/>
              <w:bottom w:val="single" w:color="000000" w:sz="8" w:space="0"/>
              <w:right w:val="single" w:color="000000" w:sz="8" w:space="0"/>
            </w:tcBorders>
            <w:vAlign w:val="center"/>
          </w:tcPr>
          <w:p w14:paraId="42FF2724">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★A02010107平板式微型计算机</w:t>
            </w:r>
          </w:p>
        </w:tc>
        <w:tc>
          <w:tcPr>
            <w:tcW w:w="1249" w:type="dxa"/>
            <w:tcBorders>
              <w:top w:val="nil"/>
              <w:left w:val="nil"/>
              <w:bottom w:val="single" w:color="000000" w:sz="8" w:space="0"/>
              <w:right w:val="single" w:color="000000" w:sz="8" w:space="0"/>
            </w:tcBorders>
            <w:vAlign w:val="center"/>
          </w:tcPr>
          <w:p w14:paraId="74E44B9F">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0E4E983E">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《微型计算机能效限定值及能效等级》（GB28380）</w:t>
            </w:r>
          </w:p>
        </w:tc>
      </w:tr>
      <w:tr w14:paraId="6436B274">
        <w:tblPrEx>
          <w:tblCellMar>
            <w:top w:w="0" w:type="dxa"/>
            <w:left w:w="108" w:type="dxa"/>
            <w:bottom w:w="0" w:type="dxa"/>
            <w:right w:w="108" w:type="dxa"/>
          </w:tblCellMar>
        </w:tblPrEx>
        <w:trPr>
          <w:trHeight w:val="495" w:hRule="atLeast"/>
        </w:trPr>
        <w:tc>
          <w:tcPr>
            <w:tcW w:w="561" w:type="dxa"/>
            <w:vMerge w:val="restart"/>
            <w:tcBorders>
              <w:top w:val="nil"/>
              <w:left w:val="single" w:color="000000" w:sz="8" w:space="0"/>
              <w:bottom w:val="single" w:color="000000" w:sz="8" w:space="0"/>
              <w:right w:val="single" w:color="000000" w:sz="8" w:space="0"/>
            </w:tcBorders>
            <w:vAlign w:val="center"/>
          </w:tcPr>
          <w:p w14:paraId="185162D2">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424" w:type="dxa"/>
            <w:vMerge w:val="restart"/>
            <w:tcBorders>
              <w:top w:val="nil"/>
              <w:left w:val="single" w:color="000000" w:sz="8" w:space="0"/>
              <w:bottom w:val="single" w:color="000000" w:sz="8" w:space="0"/>
              <w:right w:val="single" w:color="000000" w:sz="8" w:space="0"/>
            </w:tcBorders>
            <w:vAlign w:val="center"/>
          </w:tcPr>
          <w:p w14:paraId="1FBD5D8E">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A020106输入输出设备</w:t>
            </w:r>
          </w:p>
        </w:tc>
        <w:tc>
          <w:tcPr>
            <w:tcW w:w="1662" w:type="dxa"/>
            <w:vMerge w:val="restart"/>
            <w:tcBorders>
              <w:top w:val="nil"/>
              <w:left w:val="single" w:color="000000" w:sz="8" w:space="0"/>
              <w:bottom w:val="single" w:color="000000" w:sz="8" w:space="0"/>
              <w:right w:val="single" w:color="000000" w:sz="8" w:space="0"/>
            </w:tcBorders>
            <w:vAlign w:val="center"/>
          </w:tcPr>
          <w:p w14:paraId="2F196A0D">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A02010601打印设备</w:t>
            </w:r>
          </w:p>
        </w:tc>
        <w:tc>
          <w:tcPr>
            <w:tcW w:w="1249" w:type="dxa"/>
            <w:tcBorders>
              <w:top w:val="nil"/>
              <w:left w:val="nil"/>
              <w:bottom w:val="single" w:color="000000" w:sz="8" w:space="0"/>
              <w:right w:val="single" w:color="000000" w:sz="8" w:space="0"/>
            </w:tcBorders>
            <w:vAlign w:val="center"/>
          </w:tcPr>
          <w:p w14:paraId="0DDBBC48">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A0201060101喷墨打印机</w:t>
            </w:r>
          </w:p>
        </w:tc>
        <w:tc>
          <w:tcPr>
            <w:tcW w:w="4885" w:type="dxa"/>
            <w:tcBorders>
              <w:top w:val="nil"/>
              <w:left w:val="nil"/>
              <w:bottom w:val="single" w:color="000000" w:sz="8" w:space="0"/>
              <w:right w:val="single" w:color="000000" w:sz="8" w:space="0"/>
            </w:tcBorders>
            <w:vAlign w:val="center"/>
          </w:tcPr>
          <w:p w14:paraId="705B27F3">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0886AF50">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15BA33B7">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2F08FEDF">
            <w:pPr>
              <w:widowControl/>
              <w:ind w:left="-67" w:right="-32"/>
              <w:jc w:val="left"/>
              <w:rPr>
                <w:rFonts w:ascii="宋体" w:hAnsi="宋体" w:cs="宋体"/>
                <w:color w:val="auto"/>
                <w:kern w:val="0"/>
                <w:szCs w:val="21"/>
                <w:highlight w:val="none"/>
              </w:rPr>
            </w:pPr>
          </w:p>
        </w:tc>
        <w:tc>
          <w:tcPr>
            <w:tcW w:w="1662" w:type="dxa"/>
            <w:vMerge w:val="continue"/>
            <w:tcBorders>
              <w:top w:val="nil"/>
              <w:left w:val="single" w:color="000000" w:sz="8" w:space="0"/>
              <w:bottom w:val="single" w:color="000000" w:sz="8" w:space="0"/>
              <w:right w:val="single" w:color="000000" w:sz="8" w:space="0"/>
            </w:tcBorders>
            <w:vAlign w:val="center"/>
          </w:tcPr>
          <w:p w14:paraId="0ACBE2C5">
            <w:pPr>
              <w:widowControl/>
              <w:ind w:left="-67" w:right="-32"/>
              <w:jc w:val="left"/>
              <w:rPr>
                <w:rFonts w:ascii="宋体" w:hAnsi="宋体" w:cs="宋体"/>
                <w:color w:val="auto"/>
                <w:kern w:val="0"/>
                <w:szCs w:val="21"/>
                <w:highlight w:val="none"/>
              </w:rPr>
            </w:pPr>
          </w:p>
        </w:tc>
        <w:tc>
          <w:tcPr>
            <w:tcW w:w="1249" w:type="dxa"/>
            <w:tcBorders>
              <w:top w:val="nil"/>
              <w:left w:val="nil"/>
              <w:bottom w:val="single" w:color="000000" w:sz="8" w:space="0"/>
              <w:right w:val="single" w:color="000000" w:sz="8" w:space="0"/>
            </w:tcBorders>
            <w:vAlign w:val="center"/>
          </w:tcPr>
          <w:p w14:paraId="0E85CDD6">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★A0201060102激光打印机</w:t>
            </w:r>
          </w:p>
        </w:tc>
        <w:tc>
          <w:tcPr>
            <w:tcW w:w="4885" w:type="dxa"/>
            <w:tcBorders>
              <w:top w:val="nil"/>
              <w:left w:val="nil"/>
              <w:bottom w:val="single" w:color="000000" w:sz="8" w:space="0"/>
              <w:right w:val="single" w:color="000000" w:sz="8" w:space="0"/>
            </w:tcBorders>
            <w:vAlign w:val="center"/>
          </w:tcPr>
          <w:p w14:paraId="6359F4F8">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196144E4">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4D95E150">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00045512">
            <w:pPr>
              <w:widowControl/>
              <w:ind w:left="-67" w:right="-32"/>
              <w:jc w:val="left"/>
              <w:rPr>
                <w:rFonts w:ascii="宋体" w:hAnsi="宋体" w:cs="宋体"/>
                <w:color w:val="auto"/>
                <w:kern w:val="0"/>
                <w:szCs w:val="21"/>
                <w:highlight w:val="none"/>
              </w:rPr>
            </w:pPr>
          </w:p>
        </w:tc>
        <w:tc>
          <w:tcPr>
            <w:tcW w:w="1662" w:type="dxa"/>
            <w:vMerge w:val="continue"/>
            <w:tcBorders>
              <w:top w:val="nil"/>
              <w:left w:val="single" w:color="000000" w:sz="8" w:space="0"/>
              <w:bottom w:val="single" w:color="000000" w:sz="8" w:space="0"/>
              <w:right w:val="single" w:color="000000" w:sz="8" w:space="0"/>
            </w:tcBorders>
            <w:vAlign w:val="center"/>
          </w:tcPr>
          <w:p w14:paraId="79B97F86">
            <w:pPr>
              <w:widowControl/>
              <w:ind w:left="-67" w:right="-32"/>
              <w:jc w:val="left"/>
              <w:rPr>
                <w:rFonts w:ascii="宋体" w:hAnsi="宋体" w:cs="宋体"/>
                <w:color w:val="auto"/>
                <w:kern w:val="0"/>
                <w:szCs w:val="21"/>
                <w:highlight w:val="none"/>
              </w:rPr>
            </w:pPr>
          </w:p>
        </w:tc>
        <w:tc>
          <w:tcPr>
            <w:tcW w:w="1249" w:type="dxa"/>
            <w:tcBorders>
              <w:top w:val="nil"/>
              <w:left w:val="nil"/>
              <w:bottom w:val="single" w:color="000000" w:sz="8" w:space="0"/>
              <w:right w:val="single" w:color="000000" w:sz="8" w:space="0"/>
            </w:tcBorders>
            <w:vAlign w:val="center"/>
          </w:tcPr>
          <w:p w14:paraId="563896B3">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★A0201060104针式打印机</w:t>
            </w:r>
          </w:p>
        </w:tc>
        <w:tc>
          <w:tcPr>
            <w:tcW w:w="4885" w:type="dxa"/>
            <w:tcBorders>
              <w:top w:val="nil"/>
              <w:left w:val="nil"/>
              <w:bottom w:val="single" w:color="000000" w:sz="8" w:space="0"/>
              <w:right w:val="single" w:color="000000" w:sz="8" w:space="0"/>
            </w:tcBorders>
            <w:vAlign w:val="center"/>
          </w:tcPr>
          <w:p w14:paraId="469692FF">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77D02DDB">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75010534">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2BA26E9B">
            <w:pPr>
              <w:widowControl/>
              <w:ind w:left="-67" w:right="-32"/>
              <w:jc w:val="left"/>
              <w:rPr>
                <w:rFonts w:ascii="宋体" w:hAnsi="宋体" w:cs="宋体"/>
                <w:color w:val="auto"/>
                <w:kern w:val="0"/>
                <w:szCs w:val="21"/>
                <w:highlight w:val="none"/>
              </w:rPr>
            </w:pPr>
          </w:p>
        </w:tc>
        <w:tc>
          <w:tcPr>
            <w:tcW w:w="1662" w:type="dxa"/>
            <w:tcBorders>
              <w:top w:val="nil"/>
              <w:left w:val="nil"/>
              <w:bottom w:val="single" w:color="000000" w:sz="8" w:space="0"/>
              <w:right w:val="single" w:color="000000" w:sz="8" w:space="0"/>
            </w:tcBorders>
            <w:vAlign w:val="center"/>
          </w:tcPr>
          <w:p w14:paraId="1BFD635B">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A02010604显示设备</w:t>
            </w:r>
          </w:p>
        </w:tc>
        <w:tc>
          <w:tcPr>
            <w:tcW w:w="1249" w:type="dxa"/>
            <w:tcBorders>
              <w:top w:val="nil"/>
              <w:left w:val="nil"/>
              <w:bottom w:val="single" w:color="000000" w:sz="8" w:space="0"/>
              <w:right w:val="single" w:color="000000" w:sz="8" w:space="0"/>
            </w:tcBorders>
            <w:vAlign w:val="center"/>
          </w:tcPr>
          <w:p w14:paraId="6E09D3E5">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★A0201060401液晶显示器</w:t>
            </w:r>
          </w:p>
        </w:tc>
        <w:tc>
          <w:tcPr>
            <w:tcW w:w="4885" w:type="dxa"/>
            <w:tcBorders>
              <w:top w:val="nil"/>
              <w:left w:val="nil"/>
              <w:bottom w:val="single" w:color="000000" w:sz="8" w:space="0"/>
              <w:right w:val="single" w:color="000000" w:sz="8" w:space="0"/>
            </w:tcBorders>
            <w:vAlign w:val="center"/>
          </w:tcPr>
          <w:p w14:paraId="6117D80A">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《计算机显示器能效限定值及能效等级》（GB21520）</w:t>
            </w:r>
          </w:p>
        </w:tc>
      </w:tr>
      <w:tr w14:paraId="6FAFD024">
        <w:tblPrEx>
          <w:tblCellMar>
            <w:top w:w="0" w:type="dxa"/>
            <w:left w:w="108" w:type="dxa"/>
            <w:bottom w:w="0" w:type="dxa"/>
            <w:right w:w="108" w:type="dxa"/>
          </w:tblCellMar>
        </w:tblPrEx>
        <w:trPr>
          <w:trHeight w:val="975" w:hRule="atLeast"/>
        </w:trPr>
        <w:tc>
          <w:tcPr>
            <w:tcW w:w="561" w:type="dxa"/>
            <w:vMerge w:val="continue"/>
            <w:tcBorders>
              <w:top w:val="nil"/>
              <w:left w:val="single" w:color="000000" w:sz="8" w:space="0"/>
              <w:bottom w:val="single" w:color="000000" w:sz="8" w:space="0"/>
              <w:right w:val="single" w:color="000000" w:sz="8" w:space="0"/>
            </w:tcBorders>
            <w:vAlign w:val="center"/>
          </w:tcPr>
          <w:p w14:paraId="524C2F5B">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72CFD91E">
            <w:pPr>
              <w:widowControl/>
              <w:ind w:left="-67" w:right="-32"/>
              <w:jc w:val="left"/>
              <w:rPr>
                <w:rFonts w:ascii="宋体" w:hAnsi="宋体" w:cs="宋体"/>
                <w:color w:val="auto"/>
                <w:kern w:val="0"/>
                <w:szCs w:val="21"/>
                <w:highlight w:val="none"/>
              </w:rPr>
            </w:pPr>
          </w:p>
        </w:tc>
        <w:tc>
          <w:tcPr>
            <w:tcW w:w="1662" w:type="dxa"/>
            <w:tcBorders>
              <w:top w:val="nil"/>
              <w:left w:val="nil"/>
              <w:bottom w:val="single" w:color="000000" w:sz="8" w:space="0"/>
              <w:right w:val="single" w:color="000000" w:sz="8" w:space="0"/>
            </w:tcBorders>
            <w:vAlign w:val="center"/>
          </w:tcPr>
          <w:p w14:paraId="432F7E5D">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A02010609图形图像输入设备</w:t>
            </w:r>
          </w:p>
        </w:tc>
        <w:tc>
          <w:tcPr>
            <w:tcW w:w="1249" w:type="dxa"/>
            <w:tcBorders>
              <w:top w:val="nil"/>
              <w:left w:val="nil"/>
              <w:bottom w:val="single" w:color="000000" w:sz="8" w:space="0"/>
              <w:right w:val="single" w:color="000000" w:sz="8" w:space="0"/>
            </w:tcBorders>
            <w:vAlign w:val="center"/>
          </w:tcPr>
          <w:p w14:paraId="7D666A25">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A0201060901扫描仪</w:t>
            </w:r>
          </w:p>
        </w:tc>
        <w:tc>
          <w:tcPr>
            <w:tcW w:w="4885" w:type="dxa"/>
            <w:tcBorders>
              <w:top w:val="nil"/>
              <w:left w:val="nil"/>
              <w:bottom w:val="single" w:color="000000" w:sz="8" w:space="0"/>
              <w:right w:val="single" w:color="000000" w:sz="8" w:space="0"/>
            </w:tcBorders>
            <w:vAlign w:val="center"/>
          </w:tcPr>
          <w:p w14:paraId="5CAFF143">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参照《复印机、打印机和传真机能效限定值及能效等级》（GB21521中打印速度为15页/分的针式打印机相关要求中打印速度为15页/分的针式打印机相关要求</w:t>
            </w:r>
          </w:p>
        </w:tc>
      </w:tr>
      <w:tr w14:paraId="44276BD1">
        <w:tblPrEx>
          <w:tblCellMar>
            <w:top w:w="0" w:type="dxa"/>
            <w:left w:w="108" w:type="dxa"/>
            <w:bottom w:w="0" w:type="dxa"/>
            <w:right w:w="108" w:type="dxa"/>
          </w:tblCellMar>
        </w:tblPrEx>
        <w:trPr>
          <w:trHeight w:val="495" w:hRule="atLeast"/>
        </w:trPr>
        <w:tc>
          <w:tcPr>
            <w:tcW w:w="561" w:type="dxa"/>
            <w:tcBorders>
              <w:top w:val="nil"/>
              <w:left w:val="single" w:color="000000" w:sz="8" w:space="0"/>
              <w:bottom w:val="single" w:color="000000" w:sz="8" w:space="0"/>
              <w:right w:val="single" w:color="000000" w:sz="8" w:space="0"/>
            </w:tcBorders>
            <w:vAlign w:val="center"/>
          </w:tcPr>
          <w:p w14:paraId="2DC6C50C">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1424" w:type="dxa"/>
            <w:tcBorders>
              <w:top w:val="nil"/>
              <w:left w:val="nil"/>
              <w:bottom w:val="single" w:color="000000" w:sz="8" w:space="0"/>
              <w:right w:val="single" w:color="000000" w:sz="8" w:space="0"/>
            </w:tcBorders>
            <w:vAlign w:val="center"/>
          </w:tcPr>
          <w:p w14:paraId="3464ED62">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A020202投影仪</w:t>
            </w:r>
          </w:p>
        </w:tc>
        <w:tc>
          <w:tcPr>
            <w:tcW w:w="1662" w:type="dxa"/>
            <w:tcBorders>
              <w:top w:val="nil"/>
              <w:left w:val="nil"/>
              <w:bottom w:val="single" w:color="000000" w:sz="8" w:space="0"/>
              <w:right w:val="single" w:color="000000" w:sz="8" w:space="0"/>
            </w:tcBorders>
            <w:vAlign w:val="center"/>
          </w:tcPr>
          <w:p w14:paraId="1F0CEB03">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249" w:type="dxa"/>
            <w:tcBorders>
              <w:top w:val="nil"/>
              <w:left w:val="nil"/>
              <w:bottom w:val="single" w:color="000000" w:sz="8" w:space="0"/>
              <w:right w:val="single" w:color="000000" w:sz="8" w:space="0"/>
            </w:tcBorders>
            <w:vAlign w:val="center"/>
          </w:tcPr>
          <w:p w14:paraId="150D501F">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0ED09F6A">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《投影机能效限定值及能效等级》（GB32028）</w:t>
            </w:r>
          </w:p>
        </w:tc>
      </w:tr>
      <w:tr w14:paraId="7111AE1C">
        <w:tblPrEx>
          <w:tblCellMar>
            <w:top w:w="0" w:type="dxa"/>
            <w:left w:w="108" w:type="dxa"/>
            <w:bottom w:w="0" w:type="dxa"/>
            <w:right w:w="108" w:type="dxa"/>
          </w:tblCellMar>
        </w:tblPrEx>
        <w:trPr>
          <w:trHeight w:val="495" w:hRule="atLeast"/>
        </w:trPr>
        <w:tc>
          <w:tcPr>
            <w:tcW w:w="561" w:type="dxa"/>
            <w:tcBorders>
              <w:top w:val="nil"/>
              <w:left w:val="single" w:color="000000" w:sz="8" w:space="0"/>
              <w:bottom w:val="single" w:color="000000" w:sz="8" w:space="0"/>
              <w:right w:val="single" w:color="000000" w:sz="8" w:space="0"/>
            </w:tcBorders>
            <w:vAlign w:val="center"/>
          </w:tcPr>
          <w:p w14:paraId="073EBB73">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1424" w:type="dxa"/>
            <w:tcBorders>
              <w:top w:val="nil"/>
              <w:left w:val="nil"/>
              <w:bottom w:val="single" w:color="000000" w:sz="8" w:space="0"/>
              <w:right w:val="single" w:color="000000" w:sz="8" w:space="0"/>
            </w:tcBorders>
            <w:vAlign w:val="center"/>
          </w:tcPr>
          <w:p w14:paraId="4DC69D66">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A020204多功能一体机</w:t>
            </w:r>
          </w:p>
        </w:tc>
        <w:tc>
          <w:tcPr>
            <w:tcW w:w="1662" w:type="dxa"/>
            <w:tcBorders>
              <w:top w:val="nil"/>
              <w:left w:val="nil"/>
              <w:bottom w:val="single" w:color="000000" w:sz="8" w:space="0"/>
              <w:right w:val="single" w:color="000000" w:sz="8" w:space="0"/>
            </w:tcBorders>
            <w:vAlign w:val="center"/>
          </w:tcPr>
          <w:p w14:paraId="150A9725">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249" w:type="dxa"/>
            <w:tcBorders>
              <w:top w:val="nil"/>
              <w:left w:val="nil"/>
              <w:bottom w:val="single" w:color="000000" w:sz="8" w:space="0"/>
              <w:right w:val="single" w:color="000000" w:sz="8" w:space="0"/>
            </w:tcBorders>
            <w:vAlign w:val="center"/>
          </w:tcPr>
          <w:p w14:paraId="24F52400">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2186E219">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0601E6C3">
        <w:tblPrEx>
          <w:tblCellMar>
            <w:top w:w="0" w:type="dxa"/>
            <w:left w:w="108" w:type="dxa"/>
            <w:bottom w:w="0" w:type="dxa"/>
            <w:right w:w="108" w:type="dxa"/>
          </w:tblCellMar>
        </w:tblPrEx>
        <w:trPr>
          <w:trHeight w:val="495" w:hRule="atLeast"/>
        </w:trPr>
        <w:tc>
          <w:tcPr>
            <w:tcW w:w="561" w:type="dxa"/>
            <w:tcBorders>
              <w:top w:val="nil"/>
              <w:left w:val="single" w:color="000000" w:sz="8" w:space="0"/>
              <w:bottom w:val="single" w:color="000000" w:sz="8" w:space="0"/>
              <w:right w:val="single" w:color="000000" w:sz="8" w:space="0"/>
            </w:tcBorders>
            <w:vAlign w:val="center"/>
          </w:tcPr>
          <w:p w14:paraId="16436F2C">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1424" w:type="dxa"/>
            <w:tcBorders>
              <w:top w:val="nil"/>
              <w:left w:val="nil"/>
              <w:bottom w:val="single" w:color="000000" w:sz="8" w:space="0"/>
              <w:right w:val="single" w:color="000000" w:sz="8" w:space="0"/>
            </w:tcBorders>
            <w:vAlign w:val="center"/>
          </w:tcPr>
          <w:p w14:paraId="4C9FA3A4">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A020519泵</w:t>
            </w:r>
          </w:p>
        </w:tc>
        <w:tc>
          <w:tcPr>
            <w:tcW w:w="1662" w:type="dxa"/>
            <w:tcBorders>
              <w:top w:val="nil"/>
              <w:left w:val="nil"/>
              <w:bottom w:val="single" w:color="000000" w:sz="8" w:space="0"/>
              <w:right w:val="single" w:color="000000" w:sz="8" w:space="0"/>
            </w:tcBorders>
            <w:vAlign w:val="center"/>
          </w:tcPr>
          <w:p w14:paraId="0D1F5C4C">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A02051901离心泵</w:t>
            </w:r>
          </w:p>
        </w:tc>
        <w:tc>
          <w:tcPr>
            <w:tcW w:w="1249" w:type="dxa"/>
            <w:tcBorders>
              <w:top w:val="nil"/>
              <w:left w:val="nil"/>
              <w:bottom w:val="single" w:color="000000" w:sz="8" w:space="0"/>
              <w:right w:val="single" w:color="000000" w:sz="8" w:space="0"/>
            </w:tcBorders>
            <w:vAlign w:val="center"/>
          </w:tcPr>
          <w:p w14:paraId="4CC14DE2">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0142AD81">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《清水离心泵能效限定值及节能评价值》（GB19762）</w:t>
            </w:r>
          </w:p>
        </w:tc>
      </w:tr>
      <w:tr w14:paraId="618474B9">
        <w:tblPrEx>
          <w:tblCellMar>
            <w:top w:w="0" w:type="dxa"/>
            <w:left w:w="108" w:type="dxa"/>
            <w:bottom w:w="0" w:type="dxa"/>
            <w:right w:w="108" w:type="dxa"/>
          </w:tblCellMar>
        </w:tblPrEx>
        <w:trPr>
          <w:trHeight w:val="735" w:hRule="atLeast"/>
        </w:trPr>
        <w:tc>
          <w:tcPr>
            <w:tcW w:w="561" w:type="dxa"/>
            <w:vMerge w:val="restart"/>
            <w:tcBorders>
              <w:top w:val="nil"/>
              <w:left w:val="single" w:color="000000" w:sz="8" w:space="0"/>
              <w:bottom w:val="single" w:color="000000" w:sz="8" w:space="0"/>
              <w:right w:val="single" w:color="000000" w:sz="8" w:space="0"/>
            </w:tcBorders>
            <w:vAlign w:val="center"/>
          </w:tcPr>
          <w:p w14:paraId="498B4125">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1424" w:type="dxa"/>
            <w:vMerge w:val="restart"/>
            <w:tcBorders>
              <w:top w:val="nil"/>
              <w:left w:val="single" w:color="000000" w:sz="8" w:space="0"/>
              <w:bottom w:val="single" w:color="000000" w:sz="8" w:space="0"/>
              <w:right w:val="single" w:color="000000" w:sz="8" w:space="0"/>
            </w:tcBorders>
            <w:vAlign w:val="center"/>
          </w:tcPr>
          <w:p w14:paraId="185E3A6D">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A020523制冷空调设备</w:t>
            </w:r>
          </w:p>
        </w:tc>
        <w:tc>
          <w:tcPr>
            <w:tcW w:w="1662" w:type="dxa"/>
            <w:vMerge w:val="restart"/>
            <w:tcBorders>
              <w:top w:val="nil"/>
              <w:left w:val="single" w:color="000000" w:sz="8" w:space="0"/>
              <w:bottom w:val="single" w:color="000000" w:sz="8" w:space="0"/>
              <w:right w:val="single" w:color="000000" w:sz="8" w:space="0"/>
            </w:tcBorders>
            <w:vAlign w:val="center"/>
          </w:tcPr>
          <w:p w14:paraId="52A03E39">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★A02052301制冷压缩机</w:t>
            </w:r>
          </w:p>
        </w:tc>
        <w:tc>
          <w:tcPr>
            <w:tcW w:w="1249" w:type="dxa"/>
            <w:tcBorders>
              <w:top w:val="nil"/>
              <w:left w:val="nil"/>
              <w:bottom w:val="single" w:color="000000" w:sz="8" w:space="0"/>
              <w:right w:val="single" w:color="000000" w:sz="8" w:space="0"/>
            </w:tcBorders>
            <w:vAlign w:val="center"/>
          </w:tcPr>
          <w:p w14:paraId="349AA1B1">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冷水机组</w:t>
            </w:r>
          </w:p>
        </w:tc>
        <w:tc>
          <w:tcPr>
            <w:tcW w:w="4885" w:type="dxa"/>
            <w:tcBorders>
              <w:top w:val="nil"/>
              <w:left w:val="nil"/>
              <w:bottom w:val="single" w:color="000000" w:sz="8" w:space="0"/>
              <w:right w:val="single" w:color="000000" w:sz="8" w:space="0"/>
            </w:tcBorders>
            <w:vAlign w:val="center"/>
          </w:tcPr>
          <w:p w14:paraId="26D44687">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《冷水机组能效限定值及能效等级》（GB19577），《低环境温度空气源热泵（冷水）机组能效限定值及能效等级》（GB37480）</w:t>
            </w:r>
          </w:p>
        </w:tc>
      </w:tr>
      <w:tr w14:paraId="6887F971">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6407A97E">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129D4022">
            <w:pPr>
              <w:widowControl/>
              <w:ind w:left="-67" w:right="-32"/>
              <w:jc w:val="left"/>
              <w:rPr>
                <w:rFonts w:ascii="宋体" w:hAnsi="宋体" w:cs="宋体"/>
                <w:color w:val="auto"/>
                <w:kern w:val="0"/>
                <w:szCs w:val="21"/>
                <w:highlight w:val="none"/>
              </w:rPr>
            </w:pPr>
          </w:p>
        </w:tc>
        <w:tc>
          <w:tcPr>
            <w:tcW w:w="1662" w:type="dxa"/>
            <w:vMerge w:val="continue"/>
            <w:tcBorders>
              <w:top w:val="nil"/>
              <w:left w:val="single" w:color="000000" w:sz="8" w:space="0"/>
              <w:bottom w:val="single" w:color="000000" w:sz="8" w:space="0"/>
              <w:right w:val="single" w:color="000000" w:sz="8" w:space="0"/>
            </w:tcBorders>
            <w:vAlign w:val="center"/>
          </w:tcPr>
          <w:p w14:paraId="3D43D78D">
            <w:pPr>
              <w:widowControl/>
              <w:ind w:left="-67" w:right="-32"/>
              <w:jc w:val="left"/>
              <w:rPr>
                <w:rFonts w:ascii="宋体" w:hAnsi="宋体" w:cs="宋体"/>
                <w:color w:val="auto"/>
                <w:kern w:val="0"/>
                <w:szCs w:val="21"/>
                <w:highlight w:val="none"/>
              </w:rPr>
            </w:pPr>
          </w:p>
        </w:tc>
        <w:tc>
          <w:tcPr>
            <w:tcW w:w="1249" w:type="dxa"/>
            <w:tcBorders>
              <w:top w:val="nil"/>
              <w:left w:val="nil"/>
              <w:bottom w:val="single" w:color="000000" w:sz="8" w:space="0"/>
              <w:right w:val="single" w:color="000000" w:sz="8" w:space="0"/>
            </w:tcBorders>
            <w:vAlign w:val="center"/>
          </w:tcPr>
          <w:p w14:paraId="6C200820">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水源热泵机组</w:t>
            </w:r>
          </w:p>
        </w:tc>
        <w:tc>
          <w:tcPr>
            <w:tcW w:w="4885" w:type="dxa"/>
            <w:tcBorders>
              <w:top w:val="nil"/>
              <w:left w:val="nil"/>
              <w:bottom w:val="single" w:color="000000" w:sz="8" w:space="0"/>
              <w:right w:val="single" w:color="000000" w:sz="8" w:space="0"/>
            </w:tcBorders>
            <w:vAlign w:val="center"/>
          </w:tcPr>
          <w:p w14:paraId="45700562">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《水（地）源热泵机组能效限定值及能效等级》（GB30721）</w:t>
            </w:r>
          </w:p>
        </w:tc>
      </w:tr>
      <w:tr w14:paraId="5A23BB0D">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6380ACAF">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17AAB07E">
            <w:pPr>
              <w:widowControl/>
              <w:ind w:left="-67" w:right="-32"/>
              <w:jc w:val="left"/>
              <w:rPr>
                <w:rFonts w:ascii="宋体" w:hAnsi="宋体" w:cs="宋体"/>
                <w:color w:val="auto"/>
                <w:kern w:val="0"/>
                <w:szCs w:val="21"/>
                <w:highlight w:val="none"/>
              </w:rPr>
            </w:pPr>
          </w:p>
        </w:tc>
        <w:tc>
          <w:tcPr>
            <w:tcW w:w="1662" w:type="dxa"/>
            <w:vMerge w:val="continue"/>
            <w:tcBorders>
              <w:top w:val="nil"/>
              <w:left w:val="single" w:color="000000" w:sz="8" w:space="0"/>
              <w:bottom w:val="single" w:color="000000" w:sz="8" w:space="0"/>
              <w:right w:val="single" w:color="000000" w:sz="8" w:space="0"/>
            </w:tcBorders>
            <w:vAlign w:val="center"/>
          </w:tcPr>
          <w:p w14:paraId="72D464B5">
            <w:pPr>
              <w:widowControl/>
              <w:ind w:left="-67" w:right="-32"/>
              <w:jc w:val="left"/>
              <w:rPr>
                <w:rFonts w:ascii="宋体" w:hAnsi="宋体" w:cs="宋体"/>
                <w:color w:val="auto"/>
                <w:kern w:val="0"/>
                <w:szCs w:val="21"/>
                <w:highlight w:val="none"/>
              </w:rPr>
            </w:pPr>
          </w:p>
        </w:tc>
        <w:tc>
          <w:tcPr>
            <w:tcW w:w="1249" w:type="dxa"/>
            <w:tcBorders>
              <w:top w:val="nil"/>
              <w:left w:val="nil"/>
              <w:bottom w:val="single" w:color="000000" w:sz="8" w:space="0"/>
              <w:right w:val="single" w:color="000000" w:sz="8" w:space="0"/>
            </w:tcBorders>
            <w:vAlign w:val="center"/>
          </w:tcPr>
          <w:p w14:paraId="46E0BD9B">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溴化锂吸收式冷水机组</w:t>
            </w:r>
          </w:p>
        </w:tc>
        <w:tc>
          <w:tcPr>
            <w:tcW w:w="4885" w:type="dxa"/>
            <w:tcBorders>
              <w:top w:val="nil"/>
              <w:left w:val="nil"/>
              <w:bottom w:val="single" w:color="000000" w:sz="8" w:space="0"/>
              <w:right w:val="single" w:color="000000" w:sz="8" w:space="0"/>
            </w:tcBorders>
            <w:vAlign w:val="center"/>
          </w:tcPr>
          <w:p w14:paraId="18D136D0">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《溴化锂吸收式冷水机组能效限定值及能效等级》（GB29540）</w:t>
            </w:r>
          </w:p>
        </w:tc>
      </w:tr>
      <w:tr w14:paraId="721BC59E">
        <w:tblPrEx>
          <w:tblCellMar>
            <w:top w:w="0" w:type="dxa"/>
            <w:left w:w="108" w:type="dxa"/>
            <w:bottom w:w="0" w:type="dxa"/>
            <w:right w:w="108" w:type="dxa"/>
          </w:tblCellMar>
        </w:tblPrEx>
        <w:trPr>
          <w:trHeight w:val="735" w:hRule="atLeast"/>
        </w:trPr>
        <w:tc>
          <w:tcPr>
            <w:tcW w:w="561" w:type="dxa"/>
            <w:vMerge w:val="continue"/>
            <w:tcBorders>
              <w:top w:val="nil"/>
              <w:left w:val="single" w:color="000000" w:sz="8" w:space="0"/>
              <w:bottom w:val="single" w:color="000000" w:sz="8" w:space="0"/>
              <w:right w:val="single" w:color="000000" w:sz="8" w:space="0"/>
            </w:tcBorders>
            <w:vAlign w:val="center"/>
          </w:tcPr>
          <w:p w14:paraId="6761A63D">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6BCCFF3E">
            <w:pPr>
              <w:widowControl/>
              <w:ind w:left="-67" w:right="-32"/>
              <w:jc w:val="left"/>
              <w:rPr>
                <w:rFonts w:ascii="宋体" w:hAnsi="宋体" w:cs="宋体"/>
                <w:color w:val="auto"/>
                <w:kern w:val="0"/>
                <w:szCs w:val="21"/>
                <w:highlight w:val="none"/>
              </w:rPr>
            </w:pPr>
          </w:p>
        </w:tc>
        <w:tc>
          <w:tcPr>
            <w:tcW w:w="1662" w:type="dxa"/>
            <w:vMerge w:val="restart"/>
            <w:tcBorders>
              <w:top w:val="nil"/>
              <w:left w:val="single" w:color="000000" w:sz="8" w:space="0"/>
              <w:bottom w:val="single" w:color="000000" w:sz="8" w:space="0"/>
              <w:right w:val="single" w:color="000000" w:sz="8" w:space="0"/>
            </w:tcBorders>
            <w:vAlign w:val="center"/>
          </w:tcPr>
          <w:p w14:paraId="53ADDFFF">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★A02052305空调机组</w:t>
            </w:r>
          </w:p>
        </w:tc>
        <w:tc>
          <w:tcPr>
            <w:tcW w:w="1249" w:type="dxa"/>
            <w:tcBorders>
              <w:top w:val="nil"/>
              <w:left w:val="nil"/>
              <w:bottom w:val="single" w:color="000000" w:sz="8" w:space="0"/>
              <w:right w:val="single" w:color="000000" w:sz="8" w:space="0"/>
            </w:tcBorders>
            <w:vAlign w:val="center"/>
          </w:tcPr>
          <w:p w14:paraId="7F31E201">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多联式空调（热泵）机组(制冷量&gt;14000W)</w:t>
            </w:r>
          </w:p>
        </w:tc>
        <w:tc>
          <w:tcPr>
            <w:tcW w:w="4885" w:type="dxa"/>
            <w:tcBorders>
              <w:top w:val="nil"/>
              <w:left w:val="nil"/>
              <w:bottom w:val="single" w:color="000000" w:sz="8" w:space="0"/>
              <w:right w:val="single" w:color="000000" w:sz="8" w:space="0"/>
            </w:tcBorders>
            <w:vAlign w:val="center"/>
          </w:tcPr>
          <w:p w14:paraId="51786E8A">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《多联式空调（热泵）机组能效限定值及能源效率等级》（GB21454）</w:t>
            </w:r>
          </w:p>
        </w:tc>
      </w:tr>
      <w:tr w14:paraId="1DCAE55F">
        <w:tblPrEx>
          <w:tblCellMar>
            <w:top w:w="0" w:type="dxa"/>
            <w:left w:w="108" w:type="dxa"/>
            <w:bottom w:w="0" w:type="dxa"/>
            <w:right w:w="108" w:type="dxa"/>
          </w:tblCellMar>
        </w:tblPrEx>
        <w:trPr>
          <w:trHeight w:val="735" w:hRule="atLeast"/>
        </w:trPr>
        <w:tc>
          <w:tcPr>
            <w:tcW w:w="561" w:type="dxa"/>
            <w:vMerge w:val="continue"/>
            <w:tcBorders>
              <w:top w:val="nil"/>
              <w:left w:val="single" w:color="000000" w:sz="8" w:space="0"/>
              <w:bottom w:val="single" w:color="000000" w:sz="8" w:space="0"/>
              <w:right w:val="single" w:color="000000" w:sz="8" w:space="0"/>
            </w:tcBorders>
            <w:vAlign w:val="center"/>
          </w:tcPr>
          <w:p w14:paraId="349D14CE">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47EAA3AB">
            <w:pPr>
              <w:widowControl/>
              <w:ind w:left="-67" w:right="-32"/>
              <w:jc w:val="left"/>
              <w:rPr>
                <w:rFonts w:ascii="宋体" w:hAnsi="宋体" w:cs="宋体"/>
                <w:color w:val="auto"/>
                <w:kern w:val="0"/>
                <w:szCs w:val="21"/>
                <w:highlight w:val="none"/>
              </w:rPr>
            </w:pPr>
          </w:p>
        </w:tc>
        <w:tc>
          <w:tcPr>
            <w:tcW w:w="1662" w:type="dxa"/>
            <w:vMerge w:val="continue"/>
            <w:tcBorders>
              <w:top w:val="nil"/>
              <w:left w:val="single" w:color="000000" w:sz="8" w:space="0"/>
              <w:bottom w:val="single" w:color="000000" w:sz="8" w:space="0"/>
              <w:right w:val="single" w:color="000000" w:sz="8" w:space="0"/>
            </w:tcBorders>
            <w:vAlign w:val="center"/>
          </w:tcPr>
          <w:p w14:paraId="4589B2B1">
            <w:pPr>
              <w:widowControl/>
              <w:ind w:left="-67" w:right="-32"/>
              <w:jc w:val="left"/>
              <w:rPr>
                <w:rFonts w:ascii="宋体" w:hAnsi="宋体" w:cs="宋体"/>
                <w:color w:val="auto"/>
                <w:kern w:val="0"/>
                <w:szCs w:val="21"/>
                <w:highlight w:val="none"/>
              </w:rPr>
            </w:pPr>
          </w:p>
        </w:tc>
        <w:tc>
          <w:tcPr>
            <w:tcW w:w="1249" w:type="dxa"/>
            <w:tcBorders>
              <w:top w:val="nil"/>
              <w:left w:val="nil"/>
              <w:bottom w:val="single" w:color="000000" w:sz="8" w:space="0"/>
              <w:right w:val="single" w:color="000000" w:sz="8" w:space="0"/>
            </w:tcBorders>
            <w:vAlign w:val="center"/>
          </w:tcPr>
          <w:p w14:paraId="79AECB70">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单元式空气调节机(制冷量&gt;14000W</w:t>
            </w:r>
          </w:p>
        </w:tc>
        <w:tc>
          <w:tcPr>
            <w:tcW w:w="4885" w:type="dxa"/>
            <w:tcBorders>
              <w:top w:val="nil"/>
              <w:left w:val="nil"/>
              <w:bottom w:val="single" w:color="000000" w:sz="8" w:space="0"/>
              <w:right w:val="single" w:color="000000" w:sz="8" w:space="0"/>
            </w:tcBorders>
            <w:vAlign w:val="center"/>
          </w:tcPr>
          <w:p w14:paraId="21465C73">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《单元式空气调节机能效限定值及能效等级》（GB19576）《风管送风式空调机组能效限定值及能效等级》（GB37479）</w:t>
            </w:r>
          </w:p>
        </w:tc>
      </w:tr>
      <w:tr w14:paraId="6CE936F1">
        <w:tblPrEx>
          <w:tblCellMar>
            <w:top w:w="0" w:type="dxa"/>
            <w:left w:w="108" w:type="dxa"/>
            <w:bottom w:w="0" w:type="dxa"/>
            <w:right w:w="108" w:type="dxa"/>
          </w:tblCellMar>
        </w:tblPrEx>
        <w:trPr>
          <w:trHeight w:val="735" w:hRule="atLeast"/>
        </w:trPr>
        <w:tc>
          <w:tcPr>
            <w:tcW w:w="561" w:type="dxa"/>
            <w:vMerge w:val="continue"/>
            <w:tcBorders>
              <w:top w:val="nil"/>
              <w:left w:val="single" w:color="000000" w:sz="8" w:space="0"/>
              <w:bottom w:val="single" w:color="000000" w:sz="8" w:space="0"/>
              <w:right w:val="single" w:color="000000" w:sz="8" w:space="0"/>
            </w:tcBorders>
            <w:vAlign w:val="center"/>
          </w:tcPr>
          <w:p w14:paraId="54A9B97F">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68BCD150">
            <w:pPr>
              <w:widowControl/>
              <w:ind w:left="-67" w:right="-32"/>
              <w:jc w:val="left"/>
              <w:rPr>
                <w:rFonts w:ascii="宋体" w:hAnsi="宋体" w:cs="宋体"/>
                <w:color w:val="auto"/>
                <w:kern w:val="0"/>
                <w:szCs w:val="21"/>
                <w:highlight w:val="none"/>
              </w:rPr>
            </w:pPr>
          </w:p>
        </w:tc>
        <w:tc>
          <w:tcPr>
            <w:tcW w:w="1662" w:type="dxa"/>
            <w:tcBorders>
              <w:top w:val="nil"/>
              <w:left w:val="nil"/>
              <w:bottom w:val="single" w:color="000000" w:sz="8" w:space="0"/>
              <w:right w:val="single" w:color="000000" w:sz="8" w:space="0"/>
            </w:tcBorders>
            <w:vAlign w:val="center"/>
          </w:tcPr>
          <w:p w14:paraId="40882B64">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★A02052309专用制冷、空调设备</w:t>
            </w:r>
          </w:p>
        </w:tc>
        <w:tc>
          <w:tcPr>
            <w:tcW w:w="1249" w:type="dxa"/>
            <w:tcBorders>
              <w:top w:val="nil"/>
              <w:left w:val="nil"/>
              <w:bottom w:val="single" w:color="000000" w:sz="8" w:space="0"/>
              <w:right w:val="single" w:color="000000" w:sz="8" w:space="0"/>
            </w:tcBorders>
            <w:vAlign w:val="center"/>
          </w:tcPr>
          <w:p w14:paraId="34609129">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机房空调</w:t>
            </w:r>
          </w:p>
        </w:tc>
        <w:tc>
          <w:tcPr>
            <w:tcW w:w="4885" w:type="dxa"/>
            <w:tcBorders>
              <w:top w:val="nil"/>
              <w:left w:val="nil"/>
              <w:bottom w:val="single" w:color="000000" w:sz="8" w:space="0"/>
              <w:right w:val="single" w:color="000000" w:sz="8" w:space="0"/>
            </w:tcBorders>
            <w:vAlign w:val="center"/>
          </w:tcPr>
          <w:p w14:paraId="42AA7848">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《单元式空气调节机能效限定值及能效等级》（GB19576）</w:t>
            </w:r>
          </w:p>
        </w:tc>
      </w:tr>
      <w:tr w14:paraId="32E34B88">
        <w:tblPrEx>
          <w:tblCellMar>
            <w:top w:w="0" w:type="dxa"/>
            <w:left w:w="108" w:type="dxa"/>
            <w:bottom w:w="0" w:type="dxa"/>
            <w:right w:w="108" w:type="dxa"/>
          </w:tblCellMar>
        </w:tblPrEx>
        <w:trPr>
          <w:trHeight w:val="735" w:hRule="atLeast"/>
        </w:trPr>
        <w:tc>
          <w:tcPr>
            <w:tcW w:w="561" w:type="dxa"/>
            <w:vMerge w:val="continue"/>
            <w:tcBorders>
              <w:top w:val="nil"/>
              <w:left w:val="single" w:color="000000" w:sz="8" w:space="0"/>
              <w:bottom w:val="single" w:color="000000" w:sz="8" w:space="0"/>
              <w:right w:val="single" w:color="000000" w:sz="8" w:space="0"/>
            </w:tcBorders>
            <w:vAlign w:val="center"/>
          </w:tcPr>
          <w:p w14:paraId="4EA90E6C">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5A153B8E">
            <w:pPr>
              <w:widowControl/>
              <w:ind w:left="-67" w:right="-32"/>
              <w:jc w:val="left"/>
              <w:rPr>
                <w:rFonts w:ascii="宋体" w:hAnsi="宋体" w:cs="宋体"/>
                <w:color w:val="auto"/>
                <w:kern w:val="0"/>
                <w:szCs w:val="21"/>
                <w:highlight w:val="none"/>
              </w:rPr>
            </w:pPr>
          </w:p>
        </w:tc>
        <w:tc>
          <w:tcPr>
            <w:tcW w:w="1662" w:type="dxa"/>
            <w:tcBorders>
              <w:top w:val="nil"/>
              <w:left w:val="nil"/>
              <w:bottom w:val="single" w:color="000000" w:sz="8" w:space="0"/>
              <w:right w:val="single" w:color="000000" w:sz="8" w:space="0"/>
            </w:tcBorders>
            <w:vAlign w:val="center"/>
          </w:tcPr>
          <w:p w14:paraId="1D547C3C">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A02052399其他制冷空调设备</w:t>
            </w:r>
          </w:p>
        </w:tc>
        <w:tc>
          <w:tcPr>
            <w:tcW w:w="1249" w:type="dxa"/>
            <w:tcBorders>
              <w:top w:val="nil"/>
              <w:left w:val="nil"/>
              <w:bottom w:val="single" w:color="000000" w:sz="8" w:space="0"/>
              <w:right w:val="single" w:color="000000" w:sz="8" w:space="0"/>
            </w:tcBorders>
            <w:vAlign w:val="center"/>
          </w:tcPr>
          <w:p w14:paraId="1EFFE189">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冷却塔</w:t>
            </w:r>
          </w:p>
        </w:tc>
        <w:tc>
          <w:tcPr>
            <w:tcW w:w="4885" w:type="dxa"/>
            <w:tcBorders>
              <w:top w:val="nil"/>
              <w:left w:val="nil"/>
              <w:bottom w:val="single" w:color="000000" w:sz="8" w:space="0"/>
              <w:right w:val="single" w:color="000000" w:sz="8" w:space="0"/>
            </w:tcBorders>
            <w:vAlign w:val="center"/>
          </w:tcPr>
          <w:p w14:paraId="54EC2745">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《机械通风冷却塔第1部分：中小型开式冷却塔》（GB/T7190.1）；《机械通风冷却塔第2部分：大型开式冷却塔》（GB/T7190.2）</w:t>
            </w:r>
          </w:p>
        </w:tc>
      </w:tr>
      <w:tr w14:paraId="391BD675">
        <w:tblPrEx>
          <w:tblCellMar>
            <w:top w:w="0" w:type="dxa"/>
            <w:left w:w="108" w:type="dxa"/>
            <w:bottom w:w="0" w:type="dxa"/>
            <w:right w:w="108" w:type="dxa"/>
          </w:tblCellMar>
        </w:tblPrEx>
        <w:trPr>
          <w:trHeight w:val="495" w:hRule="atLeast"/>
        </w:trPr>
        <w:tc>
          <w:tcPr>
            <w:tcW w:w="561" w:type="dxa"/>
            <w:tcBorders>
              <w:top w:val="nil"/>
              <w:left w:val="single" w:color="000000" w:sz="8" w:space="0"/>
              <w:bottom w:val="single" w:color="000000" w:sz="8" w:space="0"/>
              <w:right w:val="single" w:color="000000" w:sz="8" w:space="0"/>
            </w:tcBorders>
            <w:vAlign w:val="center"/>
          </w:tcPr>
          <w:p w14:paraId="471DBB4B">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1424" w:type="dxa"/>
            <w:tcBorders>
              <w:top w:val="nil"/>
              <w:left w:val="nil"/>
              <w:bottom w:val="single" w:color="000000" w:sz="8" w:space="0"/>
              <w:right w:val="single" w:color="000000" w:sz="8" w:space="0"/>
            </w:tcBorders>
            <w:vAlign w:val="center"/>
          </w:tcPr>
          <w:p w14:paraId="5A68549E">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A020601电机</w:t>
            </w:r>
          </w:p>
        </w:tc>
        <w:tc>
          <w:tcPr>
            <w:tcW w:w="1662" w:type="dxa"/>
            <w:tcBorders>
              <w:top w:val="nil"/>
              <w:left w:val="nil"/>
              <w:bottom w:val="single" w:color="000000" w:sz="8" w:space="0"/>
              <w:right w:val="single" w:color="000000" w:sz="8" w:space="0"/>
            </w:tcBorders>
            <w:vAlign w:val="center"/>
          </w:tcPr>
          <w:p w14:paraId="498D158F">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249" w:type="dxa"/>
            <w:tcBorders>
              <w:top w:val="nil"/>
              <w:left w:val="nil"/>
              <w:bottom w:val="single" w:color="000000" w:sz="8" w:space="0"/>
              <w:right w:val="single" w:color="000000" w:sz="8" w:space="0"/>
            </w:tcBorders>
            <w:vAlign w:val="center"/>
          </w:tcPr>
          <w:p w14:paraId="47F33E6D">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2CEBFED8">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《中小型三相异步电动机能效限定值及能效等级》（GB18613）</w:t>
            </w:r>
          </w:p>
        </w:tc>
      </w:tr>
      <w:tr w14:paraId="5142EDE1">
        <w:tblPrEx>
          <w:tblCellMar>
            <w:top w:w="0" w:type="dxa"/>
            <w:left w:w="108" w:type="dxa"/>
            <w:bottom w:w="0" w:type="dxa"/>
            <w:right w:w="108" w:type="dxa"/>
          </w:tblCellMar>
        </w:tblPrEx>
        <w:trPr>
          <w:trHeight w:val="495" w:hRule="atLeast"/>
        </w:trPr>
        <w:tc>
          <w:tcPr>
            <w:tcW w:w="561" w:type="dxa"/>
            <w:tcBorders>
              <w:top w:val="nil"/>
              <w:left w:val="single" w:color="000000" w:sz="8" w:space="0"/>
              <w:bottom w:val="single" w:color="000000" w:sz="8" w:space="0"/>
              <w:right w:val="single" w:color="000000" w:sz="8" w:space="0"/>
            </w:tcBorders>
            <w:vAlign w:val="center"/>
          </w:tcPr>
          <w:p w14:paraId="307D01AF">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1424" w:type="dxa"/>
            <w:tcBorders>
              <w:top w:val="nil"/>
              <w:left w:val="nil"/>
              <w:bottom w:val="single" w:color="000000" w:sz="8" w:space="0"/>
              <w:right w:val="single" w:color="000000" w:sz="8" w:space="0"/>
            </w:tcBorders>
            <w:vAlign w:val="center"/>
          </w:tcPr>
          <w:p w14:paraId="6FD0079B">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A020602变压器</w:t>
            </w:r>
          </w:p>
        </w:tc>
        <w:tc>
          <w:tcPr>
            <w:tcW w:w="1662" w:type="dxa"/>
            <w:tcBorders>
              <w:top w:val="nil"/>
              <w:left w:val="nil"/>
              <w:bottom w:val="single" w:color="000000" w:sz="8" w:space="0"/>
              <w:right w:val="single" w:color="000000" w:sz="8" w:space="0"/>
            </w:tcBorders>
            <w:vAlign w:val="center"/>
          </w:tcPr>
          <w:p w14:paraId="68669751">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配电变压器</w:t>
            </w:r>
          </w:p>
        </w:tc>
        <w:tc>
          <w:tcPr>
            <w:tcW w:w="1249" w:type="dxa"/>
            <w:tcBorders>
              <w:top w:val="nil"/>
              <w:left w:val="nil"/>
              <w:bottom w:val="single" w:color="000000" w:sz="8" w:space="0"/>
              <w:right w:val="single" w:color="000000" w:sz="8" w:space="0"/>
            </w:tcBorders>
            <w:vAlign w:val="center"/>
          </w:tcPr>
          <w:p w14:paraId="44DDB8AE">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76194076">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《三相配电变压器能效限定值及能效等级》（GB20052）</w:t>
            </w:r>
          </w:p>
        </w:tc>
      </w:tr>
      <w:tr w14:paraId="61B41DF9">
        <w:tblPrEx>
          <w:tblCellMar>
            <w:top w:w="0" w:type="dxa"/>
            <w:left w:w="108" w:type="dxa"/>
            <w:bottom w:w="0" w:type="dxa"/>
            <w:right w:w="108" w:type="dxa"/>
          </w:tblCellMar>
        </w:tblPrEx>
        <w:trPr>
          <w:trHeight w:val="495" w:hRule="atLeast"/>
        </w:trPr>
        <w:tc>
          <w:tcPr>
            <w:tcW w:w="561" w:type="dxa"/>
            <w:tcBorders>
              <w:top w:val="nil"/>
              <w:left w:val="single" w:color="000000" w:sz="8" w:space="0"/>
              <w:bottom w:val="single" w:color="000000" w:sz="8" w:space="0"/>
              <w:right w:val="single" w:color="000000" w:sz="8" w:space="0"/>
            </w:tcBorders>
            <w:vAlign w:val="center"/>
          </w:tcPr>
          <w:p w14:paraId="508843C6">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1424" w:type="dxa"/>
            <w:tcBorders>
              <w:top w:val="nil"/>
              <w:left w:val="nil"/>
              <w:bottom w:val="single" w:color="000000" w:sz="8" w:space="0"/>
              <w:right w:val="single" w:color="000000" w:sz="8" w:space="0"/>
            </w:tcBorders>
            <w:vAlign w:val="center"/>
          </w:tcPr>
          <w:p w14:paraId="61A5EB0B">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★A020609镇流器</w:t>
            </w:r>
          </w:p>
        </w:tc>
        <w:tc>
          <w:tcPr>
            <w:tcW w:w="1662" w:type="dxa"/>
            <w:tcBorders>
              <w:top w:val="nil"/>
              <w:left w:val="nil"/>
              <w:bottom w:val="single" w:color="000000" w:sz="8" w:space="0"/>
              <w:right w:val="single" w:color="000000" w:sz="8" w:space="0"/>
            </w:tcBorders>
            <w:vAlign w:val="center"/>
          </w:tcPr>
          <w:p w14:paraId="04D67FDD">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管型荧光灯镇流器</w:t>
            </w:r>
          </w:p>
        </w:tc>
        <w:tc>
          <w:tcPr>
            <w:tcW w:w="1249" w:type="dxa"/>
            <w:tcBorders>
              <w:top w:val="nil"/>
              <w:left w:val="nil"/>
              <w:bottom w:val="single" w:color="000000" w:sz="8" w:space="0"/>
              <w:right w:val="single" w:color="000000" w:sz="8" w:space="0"/>
            </w:tcBorders>
            <w:vAlign w:val="center"/>
          </w:tcPr>
          <w:p w14:paraId="4EEF0678">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0A845D0F">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《管形荧光灯镇流器能效限定值及能效等级》（GB17896）</w:t>
            </w:r>
          </w:p>
        </w:tc>
      </w:tr>
      <w:tr w14:paraId="0929AB95">
        <w:tblPrEx>
          <w:tblCellMar>
            <w:top w:w="0" w:type="dxa"/>
            <w:left w:w="108" w:type="dxa"/>
            <w:bottom w:w="0" w:type="dxa"/>
            <w:right w:w="108" w:type="dxa"/>
          </w:tblCellMar>
        </w:tblPrEx>
        <w:trPr>
          <w:trHeight w:val="495" w:hRule="atLeast"/>
        </w:trPr>
        <w:tc>
          <w:tcPr>
            <w:tcW w:w="561" w:type="dxa"/>
            <w:vMerge w:val="restart"/>
            <w:tcBorders>
              <w:top w:val="nil"/>
              <w:left w:val="single" w:color="000000" w:sz="8" w:space="0"/>
              <w:bottom w:val="single" w:color="000000" w:sz="8" w:space="0"/>
              <w:right w:val="single" w:color="000000" w:sz="8" w:space="0"/>
            </w:tcBorders>
            <w:vAlign w:val="center"/>
          </w:tcPr>
          <w:p w14:paraId="05BB906C">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1424" w:type="dxa"/>
            <w:vMerge w:val="restart"/>
            <w:tcBorders>
              <w:top w:val="nil"/>
              <w:left w:val="single" w:color="000000" w:sz="8" w:space="0"/>
              <w:bottom w:val="single" w:color="000000" w:sz="8" w:space="0"/>
              <w:right w:val="single" w:color="000000" w:sz="8" w:space="0"/>
            </w:tcBorders>
            <w:vAlign w:val="center"/>
          </w:tcPr>
          <w:p w14:paraId="3F1173C8">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A020618生活用电器</w:t>
            </w:r>
          </w:p>
        </w:tc>
        <w:tc>
          <w:tcPr>
            <w:tcW w:w="1662" w:type="dxa"/>
            <w:tcBorders>
              <w:top w:val="nil"/>
              <w:left w:val="nil"/>
              <w:bottom w:val="single" w:color="000000" w:sz="8" w:space="0"/>
              <w:right w:val="single" w:color="000000" w:sz="8" w:space="0"/>
            </w:tcBorders>
            <w:vAlign w:val="center"/>
          </w:tcPr>
          <w:p w14:paraId="6042F6CD">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A0206180101电冰箱</w:t>
            </w:r>
          </w:p>
        </w:tc>
        <w:tc>
          <w:tcPr>
            <w:tcW w:w="1249" w:type="dxa"/>
            <w:tcBorders>
              <w:top w:val="nil"/>
              <w:left w:val="nil"/>
              <w:bottom w:val="single" w:color="000000" w:sz="8" w:space="0"/>
              <w:right w:val="single" w:color="000000" w:sz="8" w:space="0"/>
            </w:tcBorders>
            <w:vAlign w:val="center"/>
          </w:tcPr>
          <w:p w14:paraId="3F0CD6B2">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164EAC47">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《家用电冰箱耗电量限定值及能效等级》（GB 12021.2）</w:t>
            </w:r>
          </w:p>
        </w:tc>
      </w:tr>
      <w:tr w14:paraId="12F07B1A">
        <w:tblPrEx>
          <w:tblCellMar>
            <w:top w:w="0" w:type="dxa"/>
            <w:left w:w="108" w:type="dxa"/>
            <w:bottom w:w="0" w:type="dxa"/>
            <w:right w:w="108" w:type="dxa"/>
          </w:tblCellMar>
        </w:tblPrEx>
        <w:trPr>
          <w:trHeight w:val="975" w:hRule="atLeast"/>
        </w:trPr>
        <w:tc>
          <w:tcPr>
            <w:tcW w:w="561" w:type="dxa"/>
            <w:vMerge w:val="continue"/>
            <w:tcBorders>
              <w:top w:val="nil"/>
              <w:left w:val="single" w:color="000000" w:sz="8" w:space="0"/>
              <w:bottom w:val="single" w:color="000000" w:sz="8" w:space="0"/>
              <w:right w:val="single" w:color="000000" w:sz="8" w:space="0"/>
            </w:tcBorders>
            <w:vAlign w:val="center"/>
          </w:tcPr>
          <w:p w14:paraId="5EB46794">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169C82AD">
            <w:pPr>
              <w:widowControl/>
              <w:ind w:left="-67" w:right="-32"/>
              <w:jc w:val="left"/>
              <w:rPr>
                <w:rFonts w:ascii="宋体" w:hAnsi="宋体" w:cs="宋体"/>
                <w:color w:val="auto"/>
                <w:kern w:val="0"/>
                <w:szCs w:val="21"/>
                <w:highlight w:val="none"/>
              </w:rPr>
            </w:pPr>
          </w:p>
        </w:tc>
        <w:tc>
          <w:tcPr>
            <w:tcW w:w="1662" w:type="dxa"/>
            <w:vMerge w:val="restart"/>
            <w:tcBorders>
              <w:top w:val="nil"/>
              <w:left w:val="single" w:color="000000" w:sz="8" w:space="0"/>
              <w:bottom w:val="single" w:color="000000" w:sz="8" w:space="0"/>
              <w:right w:val="single" w:color="000000" w:sz="8" w:space="0"/>
            </w:tcBorders>
            <w:vAlign w:val="center"/>
          </w:tcPr>
          <w:p w14:paraId="05ACA97A">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★A0206180203空调机</w:t>
            </w:r>
          </w:p>
        </w:tc>
        <w:tc>
          <w:tcPr>
            <w:tcW w:w="1249" w:type="dxa"/>
            <w:tcBorders>
              <w:top w:val="nil"/>
              <w:left w:val="nil"/>
              <w:bottom w:val="single" w:color="000000" w:sz="8" w:space="0"/>
              <w:right w:val="single" w:color="000000" w:sz="8" w:space="0"/>
            </w:tcBorders>
            <w:vAlign w:val="center"/>
          </w:tcPr>
          <w:p w14:paraId="315F3F89">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房间空气调节器</w:t>
            </w:r>
          </w:p>
        </w:tc>
        <w:tc>
          <w:tcPr>
            <w:tcW w:w="4885" w:type="dxa"/>
            <w:tcBorders>
              <w:top w:val="nil"/>
              <w:left w:val="nil"/>
              <w:bottom w:val="single" w:color="000000" w:sz="8" w:space="0"/>
              <w:right w:val="single" w:color="000000" w:sz="8" w:space="0"/>
            </w:tcBorders>
            <w:vAlign w:val="center"/>
          </w:tcPr>
          <w:p w14:paraId="344B9447">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《转速可控型房间空气调节器能效限定值及能效等级》（GB21455-2013），待2019年修订发布后，按《房间空气调节器能效限定值及能效等级》（GB21455-2019实施。</w:t>
            </w:r>
          </w:p>
        </w:tc>
      </w:tr>
      <w:tr w14:paraId="7E4D01D7">
        <w:tblPrEx>
          <w:tblCellMar>
            <w:top w:w="0" w:type="dxa"/>
            <w:left w:w="108" w:type="dxa"/>
            <w:bottom w:w="0" w:type="dxa"/>
            <w:right w:w="108" w:type="dxa"/>
          </w:tblCellMar>
        </w:tblPrEx>
        <w:trPr>
          <w:trHeight w:val="735" w:hRule="atLeast"/>
        </w:trPr>
        <w:tc>
          <w:tcPr>
            <w:tcW w:w="561" w:type="dxa"/>
            <w:vMerge w:val="continue"/>
            <w:tcBorders>
              <w:top w:val="nil"/>
              <w:left w:val="single" w:color="000000" w:sz="8" w:space="0"/>
              <w:bottom w:val="single" w:color="000000" w:sz="8" w:space="0"/>
              <w:right w:val="single" w:color="000000" w:sz="8" w:space="0"/>
            </w:tcBorders>
            <w:vAlign w:val="center"/>
          </w:tcPr>
          <w:p w14:paraId="4E9406DC">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1081309B">
            <w:pPr>
              <w:widowControl/>
              <w:ind w:left="-67" w:right="-32"/>
              <w:jc w:val="left"/>
              <w:rPr>
                <w:rFonts w:ascii="宋体" w:hAnsi="宋体" w:cs="宋体"/>
                <w:color w:val="auto"/>
                <w:kern w:val="0"/>
                <w:szCs w:val="21"/>
                <w:highlight w:val="none"/>
              </w:rPr>
            </w:pPr>
          </w:p>
        </w:tc>
        <w:tc>
          <w:tcPr>
            <w:tcW w:w="1662" w:type="dxa"/>
            <w:vMerge w:val="continue"/>
            <w:tcBorders>
              <w:top w:val="nil"/>
              <w:left w:val="single" w:color="000000" w:sz="8" w:space="0"/>
              <w:bottom w:val="single" w:color="000000" w:sz="8" w:space="0"/>
              <w:right w:val="single" w:color="000000" w:sz="8" w:space="0"/>
            </w:tcBorders>
            <w:vAlign w:val="center"/>
          </w:tcPr>
          <w:p w14:paraId="6D6CF9DE">
            <w:pPr>
              <w:widowControl/>
              <w:ind w:left="-67" w:right="-32"/>
              <w:jc w:val="left"/>
              <w:rPr>
                <w:rFonts w:ascii="宋体" w:hAnsi="宋体" w:cs="宋体"/>
                <w:color w:val="auto"/>
                <w:kern w:val="0"/>
                <w:szCs w:val="21"/>
                <w:highlight w:val="none"/>
              </w:rPr>
            </w:pPr>
          </w:p>
        </w:tc>
        <w:tc>
          <w:tcPr>
            <w:tcW w:w="1249" w:type="dxa"/>
            <w:tcBorders>
              <w:top w:val="nil"/>
              <w:left w:val="nil"/>
              <w:bottom w:val="single" w:color="000000" w:sz="8" w:space="0"/>
              <w:right w:val="single" w:color="000000" w:sz="8" w:space="0"/>
            </w:tcBorders>
            <w:vAlign w:val="center"/>
          </w:tcPr>
          <w:p w14:paraId="1D356C43">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多联式空调（热泵）机组（制冷量≤ 14000W）</w:t>
            </w:r>
          </w:p>
        </w:tc>
        <w:tc>
          <w:tcPr>
            <w:tcW w:w="4885" w:type="dxa"/>
            <w:tcBorders>
              <w:top w:val="nil"/>
              <w:left w:val="nil"/>
              <w:bottom w:val="single" w:color="000000" w:sz="8" w:space="0"/>
              <w:right w:val="single" w:color="000000" w:sz="8" w:space="0"/>
            </w:tcBorders>
            <w:vAlign w:val="center"/>
          </w:tcPr>
          <w:p w14:paraId="22C20416">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《多联式空调（热泵）机组能效限定值及能源效率等级》（GB21454）</w:t>
            </w:r>
          </w:p>
        </w:tc>
      </w:tr>
      <w:tr w14:paraId="51AC14F0">
        <w:tblPrEx>
          <w:tblCellMar>
            <w:top w:w="0" w:type="dxa"/>
            <w:left w:w="108" w:type="dxa"/>
            <w:bottom w:w="0" w:type="dxa"/>
            <w:right w:w="108" w:type="dxa"/>
          </w:tblCellMar>
        </w:tblPrEx>
        <w:trPr>
          <w:trHeight w:val="735" w:hRule="atLeast"/>
        </w:trPr>
        <w:tc>
          <w:tcPr>
            <w:tcW w:w="561" w:type="dxa"/>
            <w:vMerge w:val="continue"/>
            <w:tcBorders>
              <w:top w:val="nil"/>
              <w:left w:val="single" w:color="000000" w:sz="8" w:space="0"/>
              <w:bottom w:val="single" w:color="000000" w:sz="8" w:space="0"/>
              <w:right w:val="single" w:color="000000" w:sz="8" w:space="0"/>
            </w:tcBorders>
            <w:vAlign w:val="center"/>
          </w:tcPr>
          <w:p w14:paraId="55776DA4">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14A53641">
            <w:pPr>
              <w:widowControl/>
              <w:ind w:left="-67" w:right="-32"/>
              <w:jc w:val="left"/>
              <w:rPr>
                <w:rFonts w:ascii="宋体" w:hAnsi="宋体" w:cs="宋体"/>
                <w:color w:val="auto"/>
                <w:kern w:val="0"/>
                <w:szCs w:val="21"/>
                <w:highlight w:val="none"/>
              </w:rPr>
            </w:pPr>
          </w:p>
        </w:tc>
        <w:tc>
          <w:tcPr>
            <w:tcW w:w="1662" w:type="dxa"/>
            <w:vMerge w:val="continue"/>
            <w:tcBorders>
              <w:top w:val="nil"/>
              <w:left w:val="single" w:color="000000" w:sz="8" w:space="0"/>
              <w:bottom w:val="single" w:color="000000" w:sz="8" w:space="0"/>
              <w:right w:val="single" w:color="000000" w:sz="8" w:space="0"/>
            </w:tcBorders>
            <w:vAlign w:val="center"/>
          </w:tcPr>
          <w:p w14:paraId="2BDCBACD">
            <w:pPr>
              <w:widowControl/>
              <w:ind w:left="-67" w:right="-32"/>
              <w:jc w:val="left"/>
              <w:rPr>
                <w:rFonts w:ascii="宋体" w:hAnsi="宋体" w:cs="宋体"/>
                <w:color w:val="auto"/>
                <w:kern w:val="0"/>
                <w:szCs w:val="21"/>
                <w:highlight w:val="none"/>
              </w:rPr>
            </w:pPr>
          </w:p>
        </w:tc>
        <w:tc>
          <w:tcPr>
            <w:tcW w:w="1249" w:type="dxa"/>
            <w:tcBorders>
              <w:top w:val="nil"/>
              <w:left w:val="nil"/>
              <w:bottom w:val="single" w:color="000000" w:sz="8" w:space="0"/>
              <w:right w:val="single" w:color="000000" w:sz="8" w:space="0"/>
            </w:tcBorders>
            <w:vAlign w:val="center"/>
          </w:tcPr>
          <w:p w14:paraId="23889318">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单元式空气调节机(制冷量≤14000W)</w:t>
            </w:r>
          </w:p>
        </w:tc>
        <w:tc>
          <w:tcPr>
            <w:tcW w:w="4885" w:type="dxa"/>
            <w:tcBorders>
              <w:top w:val="nil"/>
              <w:left w:val="nil"/>
              <w:bottom w:val="single" w:color="000000" w:sz="8" w:space="0"/>
              <w:right w:val="single" w:color="000000" w:sz="8" w:space="0"/>
            </w:tcBorders>
            <w:vAlign w:val="center"/>
          </w:tcPr>
          <w:p w14:paraId="4508D573">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《单元式空气调节机能效限定值及能源效率等级》（GB19576）《风管送风式空调机组能效限定值及能效等级》（GB37479）</w:t>
            </w:r>
          </w:p>
        </w:tc>
      </w:tr>
      <w:tr w14:paraId="1BDCDE3D">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156CE6CC">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38540A55">
            <w:pPr>
              <w:widowControl/>
              <w:ind w:left="-67" w:right="-32"/>
              <w:jc w:val="left"/>
              <w:rPr>
                <w:rFonts w:ascii="宋体" w:hAnsi="宋体" w:cs="宋体"/>
                <w:color w:val="auto"/>
                <w:kern w:val="0"/>
                <w:szCs w:val="21"/>
                <w:highlight w:val="none"/>
              </w:rPr>
            </w:pPr>
          </w:p>
        </w:tc>
        <w:tc>
          <w:tcPr>
            <w:tcW w:w="1662" w:type="dxa"/>
            <w:tcBorders>
              <w:top w:val="nil"/>
              <w:left w:val="nil"/>
              <w:bottom w:val="single" w:color="000000" w:sz="8" w:space="0"/>
              <w:right w:val="single" w:color="000000" w:sz="8" w:space="0"/>
            </w:tcBorders>
            <w:vAlign w:val="center"/>
          </w:tcPr>
          <w:p w14:paraId="1665A33D">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A0206180301洗衣机</w:t>
            </w:r>
          </w:p>
        </w:tc>
        <w:tc>
          <w:tcPr>
            <w:tcW w:w="1249" w:type="dxa"/>
            <w:tcBorders>
              <w:top w:val="nil"/>
              <w:left w:val="nil"/>
              <w:bottom w:val="single" w:color="000000" w:sz="8" w:space="0"/>
              <w:right w:val="single" w:color="000000" w:sz="8" w:space="0"/>
            </w:tcBorders>
            <w:vAlign w:val="center"/>
          </w:tcPr>
          <w:p w14:paraId="6D0DA79A">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110F7961">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《电动洗衣机能效水效限定值及等级》（GB12021.4）</w:t>
            </w:r>
          </w:p>
        </w:tc>
      </w:tr>
      <w:tr w14:paraId="379A2548">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72F26791">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2EBCDA0B">
            <w:pPr>
              <w:widowControl/>
              <w:ind w:left="-67" w:right="-32"/>
              <w:jc w:val="left"/>
              <w:rPr>
                <w:rFonts w:ascii="宋体" w:hAnsi="宋体" w:cs="宋体"/>
                <w:color w:val="auto"/>
                <w:kern w:val="0"/>
                <w:szCs w:val="21"/>
                <w:highlight w:val="none"/>
              </w:rPr>
            </w:pPr>
          </w:p>
        </w:tc>
        <w:tc>
          <w:tcPr>
            <w:tcW w:w="1662" w:type="dxa"/>
            <w:vMerge w:val="restart"/>
            <w:tcBorders>
              <w:top w:val="nil"/>
              <w:left w:val="single" w:color="000000" w:sz="8" w:space="0"/>
              <w:bottom w:val="single" w:color="000000" w:sz="8" w:space="0"/>
              <w:right w:val="single" w:color="000000" w:sz="8" w:space="0"/>
            </w:tcBorders>
            <w:vAlign w:val="center"/>
          </w:tcPr>
          <w:p w14:paraId="5DDE13D4">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A02061808热水器</w:t>
            </w:r>
          </w:p>
        </w:tc>
        <w:tc>
          <w:tcPr>
            <w:tcW w:w="1249" w:type="dxa"/>
            <w:tcBorders>
              <w:top w:val="nil"/>
              <w:left w:val="nil"/>
              <w:bottom w:val="single" w:color="000000" w:sz="8" w:space="0"/>
              <w:right w:val="single" w:color="000000" w:sz="8" w:space="0"/>
            </w:tcBorders>
            <w:vAlign w:val="center"/>
          </w:tcPr>
          <w:p w14:paraId="63B82A6A">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★电热水器</w:t>
            </w:r>
          </w:p>
        </w:tc>
        <w:tc>
          <w:tcPr>
            <w:tcW w:w="4885" w:type="dxa"/>
            <w:tcBorders>
              <w:top w:val="nil"/>
              <w:left w:val="nil"/>
              <w:bottom w:val="single" w:color="000000" w:sz="8" w:space="0"/>
              <w:right w:val="single" w:color="000000" w:sz="8" w:space="0"/>
            </w:tcBorders>
            <w:vAlign w:val="center"/>
          </w:tcPr>
          <w:p w14:paraId="4A49BBA8">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《储水式电热水器能效限定值及能效等级》（GB21519）</w:t>
            </w:r>
          </w:p>
        </w:tc>
      </w:tr>
      <w:tr w14:paraId="121671F3">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193D1AB3">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0372385F">
            <w:pPr>
              <w:widowControl/>
              <w:ind w:left="-67" w:right="-32"/>
              <w:jc w:val="left"/>
              <w:rPr>
                <w:rFonts w:ascii="宋体" w:hAnsi="宋体" w:cs="宋体"/>
                <w:color w:val="auto"/>
                <w:kern w:val="0"/>
                <w:szCs w:val="21"/>
                <w:highlight w:val="none"/>
              </w:rPr>
            </w:pPr>
          </w:p>
        </w:tc>
        <w:tc>
          <w:tcPr>
            <w:tcW w:w="1662" w:type="dxa"/>
            <w:vMerge w:val="continue"/>
            <w:tcBorders>
              <w:top w:val="nil"/>
              <w:left w:val="single" w:color="000000" w:sz="8" w:space="0"/>
              <w:bottom w:val="single" w:color="000000" w:sz="8" w:space="0"/>
              <w:right w:val="single" w:color="000000" w:sz="8" w:space="0"/>
            </w:tcBorders>
            <w:vAlign w:val="center"/>
          </w:tcPr>
          <w:p w14:paraId="7C863E34">
            <w:pPr>
              <w:widowControl/>
              <w:ind w:left="-67" w:right="-32"/>
              <w:jc w:val="left"/>
              <w:rPr>
                <w:rFonts w:ascii="宋体" w:hAnsi="宋体" w:cs="宋体"/>
                <w:color w:val="auto"/>
                <w:kern w:val="0"/>
                <w:szCs w:val="21"/>
                <w:highlight w:val="none"/>
              </w:rPr>
            </w:pPr>
          </w:p>
        </w:tc>
        <w:tc>
          <w:tcPr>
            <w:tcW w:w="1249" w:type="dxa"/>
            <w:tcBorders>
              <w:top w:val="nil"/>
              <w:left w:val="nil"/>
              <w:bottom w:val="single" w:color="000000" w:sz="8" w:space="0"/>
              <w:right w:val="single" w:color="000000" w:sz="8" w:space="0"/>
            </w:tcBorders>
            <w:vAlign w:val="center"/>
          </w:tcPr>
          <w:p w14:paraId="340736C8">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燃气热水器</w:t>
            </w:r>
          </w:p>
        </w:tc>
        <w:tc>
          <w:tcPr>
            <w:tcW w:w="4885" w:type="dxa"/>
            <w:tcBorders>
              <w:top w:val="nil"/>
              <w:left w:val="nil"/>
              <w:bottom w:val="single" w:color="000000" w:sz="8" w:space="0"/>
              <w:right w:val="single" w:color="000000" w:sz="8" w:space="0"/>
            </w:tcBorders>
            <w:vAlign w:val="center"/>
          </w:tcPr>
          <w:p w14:paraId="2CA9EE73">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《家用燃气快速热水器和燃气采暖热水炉能效限定值及能效等级》（GB20665）</w:t>
            </w:r>
          </w:p>
        </w:tc>
      </w:tr>
      <w:tr w14:paraId="5422C366">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4A7FC5A6">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66820378">
            <w:pPr>
              <w:widowControl/>
              <w:ind w:left="-67" w:right="-32"/>
              <w:jc w:val="left"/>
              <w:rPr>
                <w:rFonts w:ascii="宋体" w:hAnsi="宋体" w:cs="宋体"/>
                <w:color w:val="auto"/>
                <w:kern w:val="0"/>
                <w:szCs w:val="21"/>
                <w:highlight w:val="none"/>
              </w:rPr>
            </w:pPr>
          </w:p>
        </w:tc>
        <w:tc>
          <w:tcPr>
            <w:tcW w:w="1662" w:type="dxa"/>
            <w:vMerge w:val="continue"/>
            <w:tcBorders>
              <w:top w:val="nil"/>
              <w:left w:val="single" w:color="000000" w:sz="8" w:space="0"/>
              <w:bottom w:val="single" w:color="000000" w:sz="8" w:space="0"/>
              <w:right w:val="single" w:color="000000" w:sz="8" w:space="0"/>
            </w:tcBorders>
            <w:vAlign w:val="center"/>
          </w:tcPr>
          <w:p w14:paraId="69B8F6D3">
            <w:pPr>
              <w:widowControl/>
              <w:ind w:left="-67" w:right="-32"/>
              <w:jc w:val="left"/>
              <w:rPr>
                <w:rFonts w:ascii="宋体" w:hAnsi="宋体" w:cs="宋体"/>
                <w:color w:val="auto"/>
                <w:kern w:val="0"/>
                <w:szCs w:val="21"/>
                <w:highlight w:val="none"/>
              </w:rPr>
            </w:pPr>
          </w:p>
        </w:tc>
        <w:tc>
          <w:tcPr>
            <w:tcW w:w="1249" w:type="dxa"/>
            <w:tcBorders>
              <w:top w:val="nil"/>
              <w:left w:val="nil"/>
              <w:bottom w:val="single" w:color="000000" w:sz="8" w:space="0"/>
              <w:right w:val="single" w:color="000000" w:sz="8" w:space="0"/>
            </w:tcBorders>
            <w:vAlign w:val="center"/>
          </w:tcPr>
          <w:p w14:paraId="250F5D95">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热泵热水器</w:t>
            </w:r>
          </w:p>
        </w:tc>
        <w:tc>
          <w:tcPr>
            <w:tcW w:w="4885" w:type="dxa"/>
            <w:tcBorders>
              <w:top w:val="nil"/>
              <w:left w:val="nil"/>
              <w:bottom w:val="single" w:color="000000" w:sz="8" w:space="0"/>
              <w:right w:val="single" w:color="000000" w:sz="8" w:space="0"/>
            </w:tcBorders>
            <w:vAlign w:val="center"/>
          </w:tcPr>
          <w:p w14:paraId="01BA0739">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《热泵热水机（器）能效限定值及能效等级》（GB29541）</w:t>
            </w:r>
          </w:p>
        </w:tc>
      </w:tr>
      <w:tr w14:paraId="15D50BEA">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55579603">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4E8587FF">
            <w:pPr>
              <w:widowControl/>
              <w:ind w:left="-67" w:right="-32"/>
              <w:jc w:val="left"/>
              <w:rPr>
                <w:rFonts w:ascii="宋体" w:hAnsi="宋体" w:cs="宋体"/>
                <w:color w:val="auto"/>
                <w:kern w:val="0"/>
                <w:szCs w:val="21"/>
                <w:highlight w:val="none"/>
              </w:rPr>
            </w:pPr>
          </w:p>
        </w:tc>
        <w:tc>
          <w:tcPr>
            <w:tcW w:w="1662" w:type="dxa"/>
            <w:vMerge w:val="continue"/>
            <w:tcBorders>
              <w:top w:val="nil"/>
              <w:left w:val="single" w:color="000000" w:sz="8" w:space="0"/>
              <w:bottom w:val="single" w:color="000000" w:sz="8" w:space="0"/>
              <w:right w:val="single" w:color="000000" w:sz="8" w:space="0"/>
            </w:tcBorders>
            <w:vAlign w:val="center"/>
          </w:tcPr>
          <w:p w14:paraId="437A231F">
            <w:pPr>
              <w:widowControl/>
              <w:ind w:left="-67" w:right="-32"/>
              <w:jc w:val="left"/>
              <w:rPr>
                <w:rFonts w:ascii="宋体" w:hAnsi="宋体" w:cs="宋体"/>
                <w:color w:val="auto"/>
                <w:kern w:val="0"/>
                <w:szCs w:val="21"/>
                <w:highlight w:val="none"/>
              </w:rPr>
            </w:pPr>
          </w:p>
        </w:tc>
        <w:tc>
          <w:tcPr>
            <w:tcW w:w="1249" w:type="dxa"/>
            <w:tcBorders>
              <w:top w:val="nil"/>
              <w:left w:val="nil"/>
              <w:bottom w:val="single" w:color="000000" w:sz="8" w:space="0"/>
              <w:right w:val="single" w:color="000000" w:sz="8" w:space="0"/>
            </w:tcBorders>
            <w:vAlign w:val="center"/>
          </w:tcPr>
          <w:p w14:paraId="505F4EAB">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太阳能热水系统</w:t>
            </w:r>
          </w:p>
        </w:tc>
        <w:tc>
          <w:tcPr>
            <w:tcW w:w="4885" w:type="dxa"/>
            <w:tcBorders>
              <w:top w:val="nil"/>
              <w:left w:val="nil"/>
              <w:bottom w:val="single" w:color="000000" w:sz="8" w:space="0"/>
              <w:right w:val="single" w:color="000000" w:sz="8" w:space="0"/>
            </w:tcBorders>
            <w:vAlign w:val="center"/>
          </w:tcPr>
          <w:p w14:paraId="44FA82DE">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《家用太阳能热水系统能效限定值及能效等级》（GB26969）</w:t>
            </w:r>
          </w:p>
        </w:tc>
      </w:tr>
      <w:tr w14:paraId="23E4D9A1">
        <w:tblPrEx>
          <w:tblCellMar>
            <w:top w:w="0" w:type="dxa"/>
            <w:left w:w="108" w:type="dxa"/>
            <w:bottom w:w="0" w:type="dxa"/>
            <w:right w:w="108" w:type="dxa"/>
          </w:tblCellMar>
        </w:tblPrEx>
        <w:trPr>
          <w:trHeight w:val="495" w:hRule="atLeast"/>
        </w:trPr>
        <w:tc>
          <w:tcPr>
            <w:tcW w:w="561" w:type="dxa"/>
            <w:vMerge w:val="restart"/>
            <w:tcBorders>
              <w:top w:val="nil"/>
              <w:left w:val="single" w:color="000000" w:sz="8" w:space="0"/>
              <w:bottom w:val="single" w:color="000000" w:sz="8" w:space="0"/>
              <w:right w:val="single" w:color="000000" w:sz="8" w:space="0"/>
            </w:tcBorders>
            <w:vAlign w:val="center"/>
          </w:tcPr>
          <w:p w14:paraId="534510C8">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1424" w:type="dxa"/>
            <w:vMerge w:val="restart"/>
            <w:tcBorders>
              <w:top w:val="nil"/>
              <w:left w:val="single" w:color="000000" w:sz="8" w:space="0"/>
              <w:bottom w:val="single" w:color="000000" w:sz="8" w:space="0"/>
              <w:right w:val="single" w:color="000000" w:sz="8" w:space="0"/>
            </w:tcBorders>
            <w:vAlign w:val="center"/>
          </w:tcPr>
          <w:p w14:paraId="3DEF9080">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A020619照明设备</w:t>
            </w:r>
          </w:p>
        </w:tc>
        <w:tc>
          <w:tcPr>
            <w:tcW w:w="1662" w:type="dxa"/>
            <w:tcBorders>
              <w:top w:val="nil"/>
              <w:left w:val="nil"/>
              <w:bottom w:val="single" w:color="000000" w:sz="8" w:space="0"/>
              <w:right w:val="single" w:color="000000" w:sz="8" w:space="0"/>
            </w:tcBorders>
            <w:vAlign w:val="center"/>
          </w:tcPr>
          <w:p w14:paraId="32F0E4EE">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★普通照明用双端荧光灯</w:t>
            </w:r>
          </w:p>
        </w:tc>
        <w:tc>
          <w:tcPr>
            <w:tcW w:w="1249" w:type="dxa"/>
            <w:tcBorders>
              <w:top w:val="nil"/>
              <w:left w:val="nil"/>
              <w:bottom w:val="single" w:color="000000" w:sz="8" w:space="0"/>
              <w:right w:val="single" w:color="000000" w:sz="8" w:space="0"/>
            </w:tcBorders>
            <w:vAlign w:val="center"/>
          </w:tcPr>
          <w:p w14:paraId="300EAAFC">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69638740">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《普通照明用双端荧光灯能效限定值及能效等级》（GB19043）</w:t>
            </w:r>
          </w:p>
        </w:tc>
      </w:tr>
      <w:tr w14:paraId="6B236768">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422DDF12">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7AC3E6B7">
            <w:pPr>
              <w:widowControl/>
              <w:ind w:left="-67" w:right="-32"/>
              <w:jc w:val="left"/>
              <w:rPr>
                <w:rFonts w:ascii="宋体" w:hAnsi="宋体" w:cs="宋体"/>
                <w:color w:val="auto"/>
                <w:kern w:val="0"/>
                <w:szCs w:val="21"/>
                <w:highlight w:val="none"/>
              </w:rPr>
            </w:pPr>
          </w:p>
        </w:tc>
        <w:tc>
          <w:tcPr>
            <w:tcW w:w="1662" w:type="dxa"/>
            <w:tcBorders>
              <w:top w:val="nil"/>
              <w:left w:val="nil"/>
              <w:bottom w:val="single" w:color="000000" w:sz="8" w:space="0"/>
              <w:right w:val="single" w:color="000000" w:sz="8" w:space="0"/>
            </w:tcBorders>
            <w:vAlign w:val="center"/>
          </w:tcPr>
          <w:p w14:paraId="7AFA2439">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LED道路/隧道照明产品</w:t>
            </w:r>
          </w:p>
        </w:tc>
        <w:tc>
          <w:tcPr>
            <w:tcW w:w="1249" w:type="dxa"/>
            <w:tcBorders>
              <w:top w:val="nil"/>
              <w:left w:val="nil"/>
              <w:bottom w:val="single" w:color="000000" w:sz="8" w:space="0"/>
              <w:right w:val="single" w:color="000000" w:sz="8" w:space="0"/>
            </w:tcBorders>
            <w:vAlign w:val="center"/>
          </w:tcPr>
          <w:p w14:paraId="1480E353">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095F482C">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《道路和隧道照明用LED灯具能效限定值及能效等级》（GB37478）</w:t>
            </w:r>
          </w:p>
        </w:tc>
      </w:tr>
      <w:tr w14:paraId="5E4AB210">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20B1A39D">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64F54158">
            <w:pPr>
              <w:widowControl/>
              <w:ind w:left="-67" w:right="-32"/>
              <w:jc w:val="left"/>
              <w:rPr>
                <w:rFonts w:ascii="宋体" w:hAnsi="宋体" w:cs="宋体"/>
                <w:color w:val="auto"/>
                <w:kern w:val="0"/>
                <w:szCs w:val="21"/>
                <w:highlight w:val="none"/>
              </w:rPr>
            </w:pPr>
          </w:p>
        </w:tc>
        <w:tc>
          <w:tcPr>
            <w:tcW w:w="1662" w:type="dxa"/>
            <w:tcBorders>
              <w:top w:val="nil"/>
              <w:left w:val="nil"/>
              <w:bottom w:val="single" w:color="000000" w:sz="8" w:space="0"/>
              <w:right w:val="single" w:color="000000" w:sz="8" w:space="0"/>
            </w:tcBorders>
            <w:vAlign w:val="center"/>
          </w:tcPr>
          <w:p w14:paraId="488BEE2E">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LED筒灯</w:t>
            </w:r>
          </w:p>
        </w:tc>
        <w:tc>
          <w:tcPr>
            <w:tcW w:w="1249" w:type="dxa"/>
            <w:tcBorders>
              <w:top w:val="nil"/>
              <w:left w:val="nil"/>
              <w:bottom w:val="single" w:color="000000" w:sz="8" w:space="0"/>
              <w:right w:val="single" w:color="000000" w:sz="8" w:space="0"/>
            </w:tcBorders>
            <w:vAlign w:val="center"/>
          </w:tcPr>
          <w:p w14:paraId="3C0EA304">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7DA3B80D">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《室内照明用LED产品能效限定值及能效等级》（GB30255）</w:t>
            </w:r>
          </w:p>
        </w:tc>
      </w:tr>
      <w:tr w14:paraId="0C96F734">
        <w:tblPrEx>
          <w:tblCellMar>
            <w:top w:w="0" w:type="dxa"/>
            <w:left w:w="108" w:type="dxa"/>
            <w:bottom w:w="0" w:type="dxa"/>
            <w:right w:w="108" w:type="dxa"/>
          </w:tblCellMar>
        </w:tblPrEx>
        <w:trPr>
          <w:trHeight w:val="515" w:hRule="atLeast"/>
        </w:trPr>
        <w:tc>
          <w:tcPr>
            <w:tcW w:w="561" w:type="dxa"/>
            <w:vMerge w:val="continue"/>
            <w:tcBorders>
              <w:top w:val="nil"/>
              <w:left w:val="single" w:color="000000" w:sz="8" w:space="0"/>
              <w:bottom w:val="single" w:color="000000" w:sz="8" w:space="0"/>
              <w:right w:val="single" w:color="000000" w:sz="8" w:space="0"/>
            </w:tcBorders>
            <w:vAlign w:val="center"/>
          </w:tcPr>
          <w:p w14:paraId="04D341E4">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14B536FE">
            <w:pPr>
              <w:widowControl/>
              <w:ind w:left="-67" w:right="-32"/>
              <w:jc w:val="left"/>
              <w:rPr>
                <w:rFonts w:ascii="宋体" w:hAnsi="宋体" w:cs="宋体"/>
                <w:color w:val="auto"/>
                <w:kern w:val="0"/>
                <w:szCs w:val="21"/>
                <w:highlight w:val="none"/>
              </w:rPr>
            </w:pPr>
          </w:p>
        </w:tc>
        <w:tc>
          <w:tcPr>
            <w:tcW w:w="1662" w:type="dxa"/>
            <w:tcBorders>
              <w:top w:val="nil"/>
              <w:left w:val="nil"/>
              <w:bottom w:val="single" w:color="000000" w:sz="8" w:space="0"/>
              <w:right w:val="single" w:color="000000" w:sz="8" w:space="0"/>
            </w:tcBorders>
            <w:vAlign w:val="center"/>
          </w:tcPr>
          <w:p w14:paraId="0FC953DB">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普通照明用非定向自镇流LED灯</w:t>
            </w:r>
          </w:p>
        </w:tc>
        <w:tc>
          <w:tcPr>
            <w:tcW w:w="1249" w:type="dxa"/>
            <w:tcBorders>
              <w:top w:val="nil"/>
              <w:left w:val="nil"/>
              <w:bottom w:val="single" w:color="000000" w:sz="8" w:space="0"/>
              <w:right w:val="single" w:color="000000" w:sz="8" w:space="0"/>
            </w:tcBorders>
            <w:vAlign w:val="center"/>
          </w:tcPr>
          <w:p w14:paraId="750CF3B1">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26B4FDBB">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《室内照明用LED产品能效限定值及能效等级》（GB30255）</w:t>
            </w:r>
          </w:p>
        </w:tc>
      </w:tr>
      <w:tr w14:paraId="08D4036A">
        <w:tblPrEx>
          <w:tblCellMar>
            <w:top w:w="0" w:type="dxa"/>
            <w:left w:w="108" w:type="dxa"/>
            <w:bottom w:w="0" w:type="dxa"/>
            <w:right w:w="108" w:type="dxa"/>
          </w:tblCellMar>
        </w:tblPrEx>
        <w:trPr>
          <w:trHeight w:val="610" w:hRule="atLeast"/>
        </w:trPr>
        <w:tc>
          <w:tcPr>
            <w:tcW w:w="561" w:type="dxa"/>
            <w:tcBorders>
              <w:top w:val="nil"/>
              <w:left w:val="single" w:color="000000" w:sz="8" w:space="0"/>
              <w:bottom w:val="single" w:color="000000" w:sz="8" w:space="0"/>
              <w:right w:val="single" w:color="000000" w:sz="8" w:space="0"/>
            </w:tcBorders>
            <w:vAlign w:val="center"/>
          </w:tcPr>
          <w:p w14:paraId="5C587B76">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1424" w:type="dxa"/>
            <w:tcBorders>
              <w:top w:val="nil"/>
              <w:left w:val="nil"/>
              <w:bottom w:val="single" w:color="000000" w:sz="8" w:space="0"/>
              <w:right w:val="single" w:color="000000" w:sz="8" w:space="0"/>
            </w:tcBorders>
            <w:vAlign w:val="center"/>
          </w:tcPr>
          <w:p w14:paraId="2E93E7A6">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★A020910电视设备</w:t>
            </w:r>
          </w:p>
        </w:tc>
        <w:tc>
          <w:tcPr>
            <w:tcW w:w="1662" w:type="dxa"/>
            <w:tcBorders>
              <w:top w:val="nil"/>
              <w:left w:val="nil"/>
              <w:bottom w:val="single" w:color="000000" w:sz="8" w:space="0"/>
              <w:right w:val="single" w:color="000000" w:sz="8" w:space="0"/>
            </w:tcBorders>
            <w:vAlign w:val="center"/>
          </w:tcPr>
          <w:p w14:paraId="2ED36D59">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A02091001普通电视设备（电视机）</w:t>
            </w:r>
          </w:p>
        </w:tc>
        <w:tc>
          <w:tcPr>
            <w:tcW w:w="1249" w:type="dxa"/>
            <w:tcBorders>
              <w:top w:val="nil"/>
              <w:left w:val="nil"/>
              <w:bottom w:val="single" w:color="000000" w:sz="8" w:space="0"/>
              <w:right w:val="single" w:color="000000" w:sz="8" w:space="0"/>
            </w:tcBorders>
            <w:vAlign w:val="center"/>
          </w:tcPr>
          <w:p w14:paraId="11839B92">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31DBAC16">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《平板电视能效限定值及能效等级》（GB24850）</w:t>
            </w:r>
          </w:p>
        </w:tc>
      </w:tr>
      <w:tr w14:paraId="7D427824">
        <w:tblPrEx>
          <w:tblCellMar>
            <w:top w:w="0" w:type="dxa"/>
            <w:left w:w="108" w:type="dxa"/>
            <w:bottom w:w="0" w:type="dxa"/>
            <w:right w:w="108" w:type="dxa"/>
          </w:tblCellMar>
        </w:tblPrEx>
        <w:trPr>
          <w:trHeight w:val="975" w:hRule="atLeast"/>
        </w:trPr>
        <w:tc>
          <w:tcPr>
            <w:tcW w:w="561" w:type="dxa"/>
            <w:tcBorders>
              <w:top w:val="nil"/>
              <w:left w:val="single" w:color="000000" w:sz="8" w:space="0"/>
              <w:bottom w:val="single" w:color="000000" w:sz="8" w:space="0"/>
              <w:right w:val="single" w:color="000000" w:sz="8" w:space="0"/>
            </w:tcBorders>
            <w:vAlign w:val="center"/>
          </w:tcPr>
          <w:p w14:paraId="77437E8C">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1424" w:type="dxa"/>
            <w:tcBorders>
              <w:top w:val="nil"/>
              <w:left w:val="nil"/>
              <w:bottom w:val="single" w:color="000000" w:sz="8" w:space="0"/>
              <w:right w:val="single" w:color="000000" w:sz="8" w:space="0"/>
            </w:tcBorders>
            <w:vAlign w:val="center"/>
          </w:tcPr>
          <w:p w14:paraId="58CFA612">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★A020911视频设备</w:t>
            </w:r>
          </w:p>
        </w:tc>
        <w:tc>
          <w:tcPr>
            <w:tcW w:w="1662" w:type="dxa"/>
            <w:tcBorders>
              <w:top w:val="nil"/>
              <w:left w:val="nil"/>
              <w:bottom w:val="single" w:color="000000" w:sz="8" w:space="0"/>
              <w:right w:val="single" w:color="000000" w:sz="8" w:space="0"/>
            </w:tcBorders>
            <w:vAlign w:val="center"/>
          </w:tcPr>
          <w:p w14:paraId="70B39EAF">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A02091107视频监控设备</w:t>
            </w:r>
          </w:p>
        </w:tc>
        <w:tc>
          <w:tcPr>
            <w:tcW w:w="1249" w:type="dxa"/>
            <w:tcBorders>
              <w:top w:val="nil"/>
              <w:left w:val="nil"/>
              <w:bottom w:val="single" w:color="000000" w:sz="8" w:space="0"/>
              <w:right w:val="single" w:color="000000" w:sz="8" w:space="0"/>
            </w:tcBorders>
            <w:vAlign w:val="center"/>
          </w:tcPr>
          <w:p w14:paraId="559B0C5B">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监视器</w:t>
            </w:r>
          </w:p>
        </w:tc>
        <w:tc>
          <w:tcPr>
            <w:tcW w:w="4885" w:type="dxa"/>
            <w:tcBorders>
              <w:top w:val="nil"/>
              <w:left w:val="nil"/>
              <w:bottom w:val="single" w:color="000000" w:sz="8" w:space="0"/>
              <w:right w:val="single" w:color="000000" w:sz="8" w:space="0"/>
            </w:tcBorders>
            <w:vAlign w:val="center"/>
          </w:tcPr>
          <w:p w14:paraId="208172F1">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以射频信号为主要信号输入的监视器应符合《平板电视能效限定值及能效等级》（GB24850），以数字信号为主要信号输入的监视器应符合《计算机显示器能效限定值及能效等级》（GB21520）</w:t>
            </w:r>
          </w:p>
        </w:tc>
      </w:tr>
      <w:tr w14:paraId="77B610D8">
        <w:tblPrEx>
          <w:tblCellMar>
            <w:top w:w="0" w:type="dxa"/>
            <w:left w:w="108" w:type="dxa"/>
            <w:bottom w:w="0" w:type="dxa"/>
            <w:right w:w="108" w:type="dxa"/>
          </w:tblCellMar>
        </w:tblPrEx>
        <w:trPr>
          <w:trHeight w:val="495" w:hRule="atLeast"/>
        </w:trPr>
        <w:tc>
          <w:tcPr>
            <w:tcW w:w="561" w:type="dxa"/>
            <w:tcBorders>
              <w:top w:val="nil"/>
              <w:left w:val="single" w:color="000000" w:sz="8" w:space="0"/>
              <w:bottom w:val="single" w:color="000000" w:sz="8" w:space="0"/>
              <w:right w:val="single" w:color="000000" w:sz="8" w:space="0"/>
            </w:tcBorders>
            <w:vAlign w:val="center"/>
          </w:tcPr>
          <w:p w14:paraId="4F75E966">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1424" w:type="dxa"/>
            <w:tcBorders>
              <w:top w:val="nil"/>
              <w:left w:val="nil"/>
              <w:bottom w:val="single" w:color="000000" w:sz="8" w:space="0"/>
              <w:right w:val="single" w:color="000000" w:sz="8" w:space="0"/>
            </w:tcBorders>
            <w:vAlign w:val="center"/>
          </w:tcPr>
          <w:p w14:paraId="15FB0CAC">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A031210饮食炊事机械</w:t>
            </w:r>
          </w:p>
        </w:tc>
        <w:tc>
          <w:tcPr>
            <w:tcW w:w="1662" w:type="dxa"/>
            <w:tcBorders>
              <w:top w:val="nil"/>
              <w:left w:val="nil"/>
              <w:bottom w:val="single" w:color="000000" w:sz="8" w:space="0"/>
              <w:right w:val="single" w:color="000000" w:sz="8" w:space="0"/>
            </w:tcBorders>
            <w:vAlign w:val="center"/>
          </w:tcPr>
          <w:p w14:paraId="095F0112">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商用燃气灶具</w:t>
            </w:r>
          </w:p>
        </w:tc>
        <w:tc>
          <w:tcPr>
            <w:tcW w:w="1249" w:type="dxa"/>
            <w:tcBorders>
              <w:top w:val="nil"/>
              <w:left w:val="nil"/>
              <w:bottom w:val="single" w:color="000000" w:sz="8" w:space="0"/>
              <w:right w:val="single" w:color="000000" w:sz="8" w:space="0"/>
            </w:tcBorders>
            <w:vAlign w:val="center"/>
          </w:tcPr>
          <w:p w14:paraId="207262C9">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037C27CA">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《商用燃气灶具能效限定值及能效等级》（GB30531）</w:t>
            </w:r>
          </w:p>
        </w:tc>
      </w:tr>
      <w:tr w14:paraId="12709B99">
        <w:tblPrEx>
          <w:tblCellMar>
            <w:top w:w="0" w:type="dxa"/>
            <w:left w:w="108" w:type="dxa"/>
            <w:bottom w:w="0" w:type="dxa"/>
            <w:right w:w="108" w:type="dxa"/>
          </w:tblCellMar>
        </w:tblPrEx>
        <w:trPr>
          <w:trHeight w:val="285" w:hRule="atLeast"/>
        </w:trPr>
        <w:tc>
          <w:tcPr>
            <w:tcW w:w="561" w:type="dxa"/>
            <w:vMerge w:val="restart"/>
            <w:tcBorders>
              <w:top w:val="nil"/>
              <w:left w:val="single" w:color="000000" w:sz="8" w:space="0"/>
              <w:bottom w:val="single" w:color="000000" w:sz="8" w:space="0"/>
              <w:right w:val="single" w:color="000000" w:sz="8" w:space="0"/>
            </w:tcBorders>
            <w:vAlign w:val="center"/>
          </w:tcPr>
          <w:p w14:paraId="60890C9F">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1424" w:type="dxa"/>
            <w:vMerge w:val="restart"/>
            <w:tcBorders>
              <w:top w:val="nil"/>
              <w:left w:val="single" w:color="000000" w:sz="8" w:space="0"/>
              <w:bottom w:val="single" w:color="000000" w:sz="8" w:space="0"/>
              <w:right w:val="single" w:color="000000" w:sz="8" w:space="0"/>
            </w:tcBorders>
            <w:vAlign w:val="center"/>
          </w:tcPr>
          <w:p w14:paraId="73F81047">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★A060805便器</w:t>
            </w:r>
          </w:p>
        </w:tc>
        <w:tc>
          <w:tcPr>
            <w:tcW w:w="1662" w:type="dxa"/>
            <w:tcBorders>
              <w:top w:val="nil"/>
              <w:left w:val="nil"/>
              <w:bottom w:val="single" w:color="000000" w:sz="8" w:space="0"/>
              <w:right w:val="single" w:color="000000" w:sz="8" w:space="0"/>
            </w:tcBorders>
            <w:vAlign w:val="center"/>
          </w:tcPr>
          <w:p w14:paraId="2FFA01DF">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坐便器</w:t>
            </w:r>
          </w:p>
        </w:tc>
        <w:tc>
          <w:tcPr>
            <w:tcW w:w="1249" w:type="dxa"/>
            <w:tcBorders>
              <w:top w:val="nil"/>
              <w:left w:val="nil"/>
              <w:bottom w:val="single" w:color="000000" w:sz="8" w:space="0"/>
              <w:right w:val="single" w:color="000000" w:sz="8" w:space="0"/>
            </w:tcBorders>
            <w:vAlign w:val="center"/>
          </w:tcPr>
          <w:p w14:paraId="6C5DDAE7">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5ED18902">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《坐便器水效限定值及水效等级》（GB25502）</w:t>
            </w:r>
          </w:p>
        </w:tc>
      </w:tr>
      <w:tr w14:paraId="3356E3AC">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715F0336">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5AD85CE7">
            <w:pPr>
              <w:widowControl/>
              <w:ind w:left="-67" w:right="-32"/>
              <w:jc w:val="left"/>
              <w:rPr>
                <w:rFonts w:ascii="宋体" w:hAnsi="宋体" w:cs="宋体"/>
                <w:color w:val="auto"/>
                <w:kern w:val="0"/>
                <w:szCs w:val="21"/>
                <w:highlight w:val="none"/>
              </w:rPr>
            </w:pPr>
          </w:p>
        </w:tc>
        <w:tc>
          <w:tcPr>
            <w:tcW w:w="1662" w:type="dxa"/>
            <w:tcBorders>
              <w:top w:val="nil"/>
              <w:left w:val="nil"/>
              <w:bottom w:val="single" w:color="000000" w:sz="8" w:space="0"/>
              <w:right w:val="single" w:color="000000" w:sz="8" w:space="0"/>
            </w:tcBorders>
            <w:vAlign w:val="center"/>
          </w:tcPr>
          <w:p w14:paraId="15686917">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蹲便器</w:t>
            </w:r>
          </w:p>
        </w:tc>
        <w:tc>
          <w:tcPr>
            <w:tcW w:w="1249" w:type="dxa"/>
            <w:tcBorders>
              <w:top w:val="nil"/>
              <w:left w:val="nil"/>
              <w:bottom w:val="single" w:color="000000" w:sz="8" w:space="0"/>
              <w:right w:val="single" w:color="000000" w:sz="8" w:space="0"/>
            </w:tcBorders>
            <w:vAlign w:val="center"/>
          </w:tcPr>
          <w:p w14:paraId="13703DAF">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1063276A">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《蹲便器用水效率限定值及用水效率等级》（GB30717）</w:t>
            </w:r>
          </w:p>
        </w:tc>
      </w:tr>
      <w:tr w14:paraId="0231041C">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2A701135">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08A87A76">
            <w:pPr>
              <w:widowControl/>
              <w:ind w:left="-67" w:right="-32"/>
              <w:jc w:val="left"/>
              <w:rPr>
                <w:rFonts w:ascii="宋体" w:hAnsi="宋体" w:cs="宋体"/>
                <w:color w:val="auto"/>
                <w:kern w:val="0"/>
                <w:szCs w:val="21"/>
                <w:highlight w:val="none"/>
              </w:rPr>
            </w:pPr>
          </w:p>
        </w:tc>
        <w:tc>
          <w:tcPr>
            <w:tcW w:w="1662" w:type="dxa"/>
            <w:tcBorders>
              <w:top w:val="nil"/>
              <w:left w:val="nil"/>
              <w:bottom w:val="single" w:color="000000" w:sz="8" w:space="0"/>
              <w:right w:val="single" w:color="000000" w:sz="8" w:space="0"/>
            </w:tcBorders>
            <w:vAlign w:val="center"/>
          </w:tcPr>
          <w:p w14:paraId="3BBA259C">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小便器</w:t>
            </w:r>
          </w:p>
        </w:tc>
        <w:tc>
          <w:tcPr>
            <w:tcW w:w="1249" w:type="dxa"/>
            <w:tcBorders>
              <w:top w:val="nil"/>
              <w:left w:val="nil"/>
              <w:bottom w:val="single" w:color="000000" w:sz="8" w:space="0"/>
              <w:right w:val="single" w:color="000000" w:sz="8" w:space="0"/>
            </w:tcBorders>
            <w:vAlign w:val="center"/>
          </w:tcPr>
          <w:p w14:paraId="7FBBE58B">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26BDFA71">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《小便器用水效率限定值及用水效率等级（GB28377）</w:t>
            </w:r>
          </w:p>
        </w:tc>
      </w:tr>
      <w:tr w14:paraId="3485C707">
        <w:tblPrEx>
          <w:tblCellMar>
            <w:top w:w="0" w:type="dxa"/>
            <w:left w:w="108" w:type="dxa"/>
            <w:bottom w:w="0" w:type="dxa"/>
            <w:right w:w="108" w:type="dxa"/>
          </w:tblCellMar>
        </w:tblPrEx>
        <w:trPr>
          <w:trHeight w:val="495" w:hRule="atLeast"/>
        </w:trPr>
        <w:tc>
          <w:tcPr>
            <w:tcW w:w="561" w:type="dxa"/>
            <w:tcBorders>
              <w:top w:val="nil"/>
              <w:left w:val="single" w:color="000000" w:sz="8" w:space="0"/>
              <w:bottom w:val="single" w:color="000000" w:sz="8" w:space="0"/>
              <w:right w:val="single" w:color="000000" w:sz="8" w:space="0"/>
            </w:tcBorders>
            <w:vAlign w:val="center"/>
          </w:tcPr>
          <w:p w14:paraId="33650F51">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1424" w:type="dxa"/>
            <w:tcBorders>
              <w:top w:val="nil"/>
              <w:left w:val="nil"/>
              <w:bottom w:val="single" w:color="000000" w:sz="8" w:space="0"/>
              <w:right w:val="single" w:color="000000" w:sz="8" w:space="0"/>
            </w:tcBorders>
            <w:vAlign w:val="center"/>
          </w:tcPr>
          <w:p w14:paraId="28E5252B">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★A060806水嘴</w:t>
            </w:r>
          </w:p>
        </w:tc>
        <w:tc>
          <w:tcPr>
            <w:tcW w:w="1662" w:type="dxa"/>
            <w:tcBorders>
              <w:top w:val="nil"/>
              <w:left w:val="nil"/>
              <w:bottom w:val="single" w:color="000000" w:sz="8" w:space="0"/>
              <w:right w:val="single" w:color="000000" w:sz="8" w:space="0"/>
            </w:tcBorders>
            <w:vAlign w:val="center"/>
          </w:tcPr>
          <w:p w14:paraId="41FD80F7">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249" w:type="dxa"/>
            <w:tcBorders>
              <w:top w:val="nil"/>
              <w:left w:val="nil"/>
              <w:bottom w:val="single" w:color="000000" w:sz="8" w:space="0"/>
              <w:right w:val="single" w:color="000000" w:sz="8" w:space="0"/>
            </w:tcBorders>
            <w:vAlign w:val="center"/>
          </w:tcPr>
          <w:p w14:paraId="68CAEBA8">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32BCCA44">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《水嘴用水效率限定值及用水效率等级》（GB 25501）</w:t>
            </w:r>
          </w:p>
        </w:tc>
      </w:tr>
      <w:tr w14:paraId="28691064">
        <w:tblPrEx>
          <w:tblCellMar>
            <w:top w:w="0" w:type="dxa"/>
            <w:left w:w="108" w:type="dxa"/>
            <w:bottom w:w="0" w:type="dxa"/>
            <w:right w:w="108" w:type="dxa"/>
          </w:tblCellMar>
        </w:tblPrEx>
        <w:trPr>
          <w:trHeight w:val="495" w:hRule="atLeast"/>
        </w:trPr>
        <w:tc>
          <w:tcPr>
            <w:tcW w:w="561" w:type="dxa"/>
            <w:tcBorders>
              <w:top w:val="nil"/>
              <w:left w:val="single" w:color="000000" w:sz="8" w:space="0"/>
              <w:bottom w:val="single" w:color="000000" w:sz="8" w:space="0"/>
              <w:right w:val="single" w:color="000000" w:sz="8" w:space="0"/>
            </w:tcBorders>
            <w:vAlign w:val="center"/>
          </w:tcPr>
          <w:p w14:paraId="5F614F4D">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1424" w:type="dxa"/>
            <w:tcBorders>
              <w:top w:val="nil"/>
              <w:left w:val="nil"/>
              <w:bottom w:val="single" w:color="000000" w:sz="8" w:space="0"/>
              <w:right w:val="single" w:color="000000" w:sz="8" w:space="0"/>
            </w:tcBorders>
            <w:vAlign w:val="center"/>
          </w:tcPr>
          <w:p w14:paraId="29B33307">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A060807便器冲洗阀</w:t>
            </w:r>
          </w:p>
        </w:tc>
        <w:tc>
          <w:tcPr>
            <w:tcW w:w="1662" w:type="dxa"/>
            <w:tcBorders>
              <w:top w:val="nil"/>
              <w:left w:val="nil"/>
              <w:bottom w:val="single" w:color="000000" w:sz="8" w:space="0"/>
              <w:right w:val="single" w:color="000000" w:sz="8" w:space="0"/>
            </w:tcBorders>
            <w:vAlign w:val="center"/>
          </w:tcPr>
          <w:p w14:paraId="0B8A79B5">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249" w:type="dxa"/>
            <w:tcBorders>
              <w:top w:val="nil"/>
              <w:left w:val="nil"/>
              <w:bottom w:val="single" w:color="000000" w:sz="8" w:space="0"/>
              <w:right w:val="single" w:color="000000" w:sz="8" w:space="0"/>
            </w:tcBorders>
            <w:vAlign w:val="center"/>
          </w:tcPr>
          <w:p w14:paraId="4C2D7CD2">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216188B5">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《便器冲洗阀用水效率限定值及用水效率等级》（GB28379）</w:t>
            </w:r>
          </w:p>
        </w:tc>
      </w:tr>
      <w:tr w14:paraId="5C540CDE">
        <w:tblPrEx>
          <w:tblCellMar>
            <w:top w:w="0" w:type="dxa"/>
            <w:left w:w="108" w:type="dxa"/>
            <w:bottom w:w="0" w:type="dxa"/>
            <w:right w:w="108" w:type="dxa"/>
          </w:tblCellMar>
        </w:tblPrEx>
        <w:trPr>
          <w:trHeight w:val="495" w:hRule="atLeast"/>
        </w:trPr>
        <w:tc>
          <w:tcPr>
            <w:tcW w:w="561" w:type="dxa"/>
            <w:tcBorders>
              <w:top w:val="nil"/>
              <w:left w:val="single" w:color="000000" w:sz="8" w:space="0"/>
              <w:bottom w:val="single" w:color="000000" w:sz="8" w:space="0"/>
              <w:right w:val="single" w:color="000000" w:sz="8" w:space="0"/>
            </w:tcBorders>
            <w:vAlign w:val="center"/>
          </w:tcPr>
          <w:p w14:paraId="7FE419ED">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18</w:t>
            </w:r>
          </w:p>
        </w:tc>
        <w:tc>
          <w:tcPr>
            <w:tcW w:w="1424" w:type="dxa"/>
            <w:tcBorders>
              <w:top w:val="nil"/>
              <w:left w:val="nil"/>
              <w:bottom w:val="single" w:color="000000" w:sz="8" w:space="0"/>
              <w:right w:val="single" w:color="000000" w:sz="8" w:space="0"/>
            </w:tcBorders>
            <w:vAlign w:val="center"/>
          </w:tcPr>
          <w:p w14:paraId="2234F59A">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A060810淋浴器</w:t>
            </w:r>
          </w:p>
        </w:tc>
        <w:tc>
          <w:tcPr>
            <w:tcW w:w="1662" w:type="dxa"/>
            <w:tcBorders>
              <w:top w:val="nil"/>
              <w:left w:val="nil"/>
              <w:bottom w:val="single" w:color="000000" w:sz="8" w:space="0"/>
              <w:right w:val="single" w:color="000000" w:sz="8" w:space="0"/>
            </w:tcBorders>
            <w:vAlign w:val="center"/>
          </w:tcPr>
          <w:p w14:paraId="5D3CA497">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249" w:type="dxa"/>
            <w:tcBorders>
              <w:top w:val="nil"/>
              <w:left w:val="nil"/>
              <w:bottom w:val="single" w:color="000000" w:sz="8" w:space="0"/>
              <w:right w:val="single" w:color="000000" w:sz="8" w:space="0"/>
            </w:tcBorders>
            <w:vAlign w:val="center"/>
          </w:tcPr>
          <w:p w14:paraId="67DA32C7">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37DD38E5">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《淋浴器用水效率限定值及用水效率等级》（GB28378）</w:t>
            </w:r>
          </w:p>
        </w:tc>
      </w:tr>
    </w:tbl>
    <w:p w14:paraId="3773FFAA">
      <w:pPr>
        <w:spacing w:after="120" w:line="360" w:lineRule="auto"/>
        <w:ind w:left="-67" w:right="-32" w:firstLine="468"/>
        <w:rPr>
          <w:rFonts w:ascii="宋体" w:hAnsi="宋体"/>
          <w:color w:val="auto"/>
          <w:spacing w:val="-3"/>
          <w:szCs w:val="21"/>
          <w:highlight w:val="none"/>
        </w:rPr>
      </w:pPr>
    </w:p>
    <w:p w14:paraId="2A9F7819">
      <w:pPr>
        <w:spacing w:after="120" w:line="360" w:lineRule="auto"/>
        <w:ind w:left="-67" w:right="-32" w:firstLine="468"/>
        <w:rPr>
          <w:rFonts w:ascii="宋体" w:hAnsi="宋体"/>
          <w:color w:val="auto"/>
          <w:szCs w:val="21"/>
          <w:highlight w:val="none"/>
        </w:rPr>
      </w:pPr>
      <w:r>
        <w:rPr>
          <w:rFonts w:hint="eastAsia" w:ascii="宋体" w:hAnsi="宋体"/>
          <w:color w:val="auto"/>
          <w:spacing w:val="-3"/>
          <w:szCs w:val="21"/>
          <w:highlight w:val="none"/>
        </w:rPr>
        <w:t>注：1.节能产品认证应依据相关国家标准的最新版本，依据国家标准中二级能效（水效）</w:t>
      </w:r>
      <w:r>
        <w:rPr>
          <w:rFonts w:hint="eastAsia" w:ascii="宋体" w:hAnsi="宋体"/>
          <w:color w:val="auto"/>
          <w:szCs w:val="21"/>
          <w:highlight w:val="none"/>
        </w:rPr>
        <w:t>指标。</w:t>
      </w:r>
    </w:p>
    <w:p w14:paraId="24154E91">
      <w:pPr>
        <w:spacing w:after="120" w:line="360" w:lineRule="auto"/>
        <w:ind w:left="-67" w:right="-32"/>
        <w:rPr>
          <w:rFonts w:ascii="宋体" w:hAnsi="宋体"/>
          <w:b/>
          <w:bCs/>
          <w:color w:val="auto"/>
          <w:szCs w:val="21"/>
          <w:highlight w:val="none"/>
        </w:rPr>
      </w:pPr>
      <w:r>
        <w:rPr>
          <w:rFonts w:hint="eastAsia" w:ascii="宋体" w:hAnsi="宋体"/>
          <w:color w:val="auto"/>
          <w:szCs w:val="21"/>
          <w:highlight w:val="none"/>
        </w:rPr>
        <w:t>2</w:t>
      </w:r>
      <w:r>
        <w:rPr>
          <w:rFonts w:ascii="宋体" w:hAnsi="宋体"/>
          <w:b/>
          <w:bCs/>
          <w:color w:val="auto"/>
          <w:szCs w:val="21"/>
          <w:highlight w:val="none"/>
        </w:rPr>
        <w:t>.</w:t>
      </w:r>
      <w:r>
        <w:rPr>
          <w:rFonts w:hint="eastAsia" w:ascii="宋体" w:hAnsi="宋体"/>
          <w:b/>
          <w:bCs/>
          <w:color w:val="auto"/>
          <w:szCs w:val="21"/>
          <w:highlight w:val="none"/>
        </w:rPr>
        <w:t>以</w:t>
      </w:r>
      <w:r>
        <w:rPr>
          <w:rFonts w:ascii="宋体" w:hAnsi="宋体"/>
          <w:b/>
          <w:bCs/>
          <w:color w:val="auto"/>
          <w:szCs w:val="21"/>
          <w:highlight w:val="none"/>
        </w:rPr>
        <w:t>“</w:t>
      </w:r>
      <w:r>
        <w:rPr>
          <w:rFonts w:hint="eastAsia" w:ascii="宋体" w:hAnsi="宋体"/>
          <w:b/>
          <w:bCs/>
          <w:color w:val="auto"/>
          <w:szCs w:val="21"/>
          <w:highlight w:val="none"/>
        </w:rPr>
        <w:t>★</w:t>
      </w:r>
      <w:r>
        <w:rPr>
          <w:rFonts w:ascii="宋体" w:hAnsi="宋体"/>
          <w:b/>
          <w:bCs/>
          <w:color w:val="auto"/>
          <w:szCs w:val="21"/>
          <w:highlight w:val="none"/>
        </w:rPr>
        <w:t>”</w:t>
      </w:r>
      <w:r>
        <w:rPr>
          <w:rFonts w:hint="eastAsia" w:ascii="宋体" w:hAnsi="宋体"/>
          <w:b/>
          <w:bCs/>
          <w:color w:val="auto"/>
          <w:szCs w:val="21"/>
          <w:highlight w:val="none"/>
        </w:rPr>
        <w:t>标注的为政府强制采购产品。</w:t>
      </w:r>
    </w:p>
    <w:p w14:paraId="576A7BBE">
      <w:pPr>
        <w:rPr>
          <w:rFonts w:ascii="宋体" w:hAnsi="宋体"/>
          <w:color w:val="auto"/>
          <w:highlight w:val="none"/>
        </w:rPr>
      </w:pPr>
    </w:p>
    <w:p w14:paraId="5A2043E8">
      <w:pPr>
        <w:pStyle w:val="2"/>
        <w:keepNext w:val="0"/>
        <w:keepLines w:val="0"/>
        <w:spacing w:before="0" w:after="0"/>
        <w:jc w:val="center"/>
        <w:rPr>
          <w:rFonts w:ascii="宋体" w:hAnsi="宋体" w:eastAsia="宋体"/>
          <w:color w:val="auto"/>
          <w:highlight w:val="none"/>
        </w:rPr>
      </w:pPr>
    </w:p>
    <w:p w14:paraId="7D1057E7">
      <w:pPr>
        <w:rPr>
          <w:color w:val="auto"/>
          <w:highlight w:val="none"/>
        </w:rPr>
      </w:pPr>
    </w:p>
    <w:p w14:paraId="2B48F2F0">
      <w:pPr>
        <w:rPr>
          <w:color w:val="auto"/>
          <w:highlight w:val="none"/>
        </w:rPr>
      </w:pPr>
    </w:p>
    <w:p w14:paraId="7A9E5700">
      <w:pPr>
        <w:rPr>
          <w:color w:val="auto"/>
          <w:highlight w:val="none"/>
        </w:rPr>
      </w:pPr>
    </w:p>
    <w:p w14:paraId="3B7F6DF9">
      <w:pPr>
        <w:rPr>
          <w:color w:val="auto"/>
          <w:highlight w:val="none"/>
        </w:rPr>
      </w:pPr>
    </w:p>
    <w:p w14:paraId="748BF7D3">
      <w:pPr>
        <w:rPr>
          <w:color w:val="auto"/>
          <w:highlight w:val="none"/>
        </w:rPr>
      </w:pPr>
    </w:p>
    <w:p w14:paraId="7130AFED">
      <w:pPr>
        <w:rPr>
          <w:color w:val="auto"/>
          <w:highlight w:val="none"/>
        </w:rPr>
      </w:pPr>
    </w:p>
    <w:p w14:paraId="0530C9EF">
      <w:pPr>
        <w:rPr>
          <w:color w:val="auto"/>
          <w:highlight w:val="none"/>
        </w:rPr>
      </w:pPr>
    </w:p>
    <w:p w14:paraId="635ED76D">
      <w:pPr>
        <w:rPr>
          <w:color w:val="auto"/>
          <w:highlight w:val="none"/>
        </w:rPr>
      </w:pPr>
    </w:p>
    <w:p w14:paraId="49CC8A1F">
      <w:pPr>
        <w:rPr>
          <w:color w:val="auto"/>
          <w:highlight w:val="none"/>
        </w:rPr>
      </w:pPr>
    </w:p>
    <w:p w14:paraId="72DC2B13">
      <w:pPr>
        <w:rPr>
          <w:color w:val="auto"/>
          <w:highlight w:val="none"/>
        </w:rPr>
      </w:pPr>
    </w:p>
    <w:p w14:paraId="44DAF910">
      <w:pPr>
        <w:rPr>
          <w:color w:val="auto"/>
          <w:highlight w:val="none"/>
        </w:rPr>
      </w:pPr>
    </w:p>
    <w:p w14:paraId="539E4D42">
      <w:pPr>
        <w:rPr>
          <w:color w:val="auto"/>
          <w:highlight w:val="none"/>
        </w:rPr>
      </w:pPr>
    </w:p>
    <w:p w14:paraId="0FA23EC9">
      <w:pPr>
        <w:rPr>
          <w:color w:val="auto"/>
          <w:highlight w:val="none"/>
        </w:rPr>
      </w:pPr>
    </w:p>
    <w:p w14:paraId="06D03C87">
      <w:pPr>
        <w:rPr>
          <w:color w:val="auto"/>
          <w:highlight w:val="none"/>
        </w:rPr>
      </w:pPr>
    </w:p>
    <w:p w14:paraId="3FFEE318">
      <w:pPr>
        <w:rPr>
          <w:color w:val="auto"/>
          <w:highlight w:val="none"/>
        </w:rPr>
      </w:pPr>
    </w:p>
    <w:p w14:paraId="5976F958">
      <w:pPr>
        <w:rPr>
          <w:color w:val="auto"/>
          <w:highlight w:val="none"/>
        </w:rPr>
      </w:pPr>
    </w:p>
    <w:p w14:paraId="26EC0FD4">
      <w:pPr>
        <w:rPr>
          <w:color w:val="auto"/>
          <w:highlight w:val="none"/>
        </w:rPr>
      </w:pPr>
    </w:p>
    <w:p w14:paraId="1434E2B9">
      <w:pPr>
        <w:rPr>
          <w:color w:val="auto"/>
          <w:highlight w:val="none"/>
        </w:rPr>
      </w:pPr>
    </w:p>
    <w:p w14:paraId="11F80FC3">
      <w:pPr>
        <w:rPr>
          <w:color w:val="auto"/>
          <w:highlight w:val="none"/>
        </w:rPr>
      </w:pPr>
    </w:p>
    <w:p w14:paraId="6181DCB6">
      <w:pPr>
        <w:rPr>
          <w:color w:val="auto"/>
          <w:highlight w:val="none"/>
        </w:rPr>
      </w:pPr>
    </w:p>
    <w:p w14:paraId="7825BB87">
      <w:pPr>
        <w:rPr>
          <w:color w:val="auto"/>
          <w:highlight w:val="none"/>
        </w:rPr>
      </w:pPr>
    </w:p>
    <w:p w14:paraId="6991BE9F">
      <w:pPr>
        <w:rPr>
          <w:color w:val="auto"/>
          <w:highlight w:val="none"/>
        </w:rPr>
      </w:pPr>
    </w:p>
    <w:p w14:paraId="3D5B140F">
      <w:pPr>
        <w:rPr>
          <w:color w:val="auto"/>
          <w:highlight w:val="none"/>
        </w:rPr>
      </w:pPr>
    </w:p>
    <w:p w14:paraId="18C8486E">
      <w:pPr>
        <w:rPr>
          <w:color w:val="auto"/>
          <w:highlight w:val="none"/>
        </w:rPr>
      </w:pPr>
    </w:p>
    <w:p w14:paraId="74EA85F8">
      <w:pPr>
        <w:rPr>
          <w:color w:val="auto"/>
          <w:highlight w:val="none"/>
        </w:rPr>
      </w:pPr>
    </w:p>
    <w:p w14:paraId="0BD12846">
      <w:pPr>
        <w:rPr>
          <w:color w:val="auto"/>
          <w:highlight w:val="none"/>
        </w:rPr>
      </w:pPr>
    </w:p>
    <w:p w14:paraId="4A9D1EF9">
      <w:pPr>
        <w:rPr>
          <w:color w:val="auto"/>
          <w:highlight w:val="none"/>
        </w:rPr>
      </w:pPr>
    </w:p>
    <w:p w14:paraId="5959B414">
      <w:pPr>
        <w:rPr>
          <w:color w:val="auto"/>
          <w:highlight w:val="none"/>
        </w:rPr>
      </w:pPr>
    </w:p>
    <w:p w14:paraId="126DACB8">
      <w:pPr>
        <w:rPr>
          <w:color w:val="auto"/>
          <w:highlight w:val="none"/>
        </w:rPr>
      </w:pPr>
    </w:p>
    <w:p w14:paraId="17A94830">
      <w:pPr>
        <w:rPr>
          <w:color w:val="auto"/>
          <w:highlight w:val="none"/>
        </w:rPr>
      </w:pPr>
    </w:p>
    <w:p w14:paraId="331211C1">
      <w:pPr>
        <w:rPr>
          <w:color w:val="auto"/>
          <w:highlight w:val="none"/>
        </w:rPr>
      </w:pPr>
    </w:p>
    <w:p w14:paraId="386DAEE5">
      <w:pPr>
        <w:rPr>
          <w:color w:val="auto"/>
          <w:highlight w:val="none"/>
        </w:rPr>
      </w:pPr>
    </w:p>
    <w:p w14:paraId="35310E0D">
      <w:pPr>
        <w:rPr>
          <w:color w:val="auto"/>
          <w:highlight w:val="none"/>
        </w:rPr>
      </w:pPr>
    </w:p>
    <w:p w14:paraId="797317FD">
      <w:pPr>
        <w:rPr>
          <w:color w:val="auto"/>
          <w:highlight w:val="none"/>
        </w:rPr>
      </w:pPr>
    </w:p>
    <w:p w14:paraId="14B03543">
      <w:pPr>
        <w:rPr>
          <w:color w:val="auto"/>
          <w:highlight w:val="none"/>
        </w:rPr>
      </w:pPr>
    </w:p>
    <w:p w14:paraId="658043B6">
      <w:pPr>
        <w:rPr>
          <w:color w:val="auto"/>
          <w:highlight w:val="none"/>
        </w:rPr>
      </w:pPr>
    </w:p>
    <w:p w14:paraId="3772AFCF">
      <w:pPr>
        <w:rPr>
          <w:color w:val="auto"/>
          <w:highlight w:val="none"/>
        </w:rPr>
      </w:pPr>
    </w:p>
    <w:p w14:paraId="35F07BA1">
      <w:pPr>
        <w:rPr>
          <w:color w:val="auto"/>
          <w:highlight w:val="none"/>
        </w:rPr>
      </w:pPr>
    </w:p>
    <w:p w14:paraId="46F0668D">
      <w:pPr>
        <w:rPr>
          <w:color w:val="auto"/>
          <w:highlight w:val="none"/>
        </w:rPr>
      </w:pPr>
    </w:p>
    <w:p w14:paraId="565380E5">
      <w:pPr>
        <w:rPr>
          <w:color w:val="auto"/>
          <w:highlight w:val="none"/>
        </w:rPr>
      </w:pPr>
    </w:p>
    <w:p w14:paraId="0BA2D7F9">
      <w:pPr>
        <w:rPr>
          <w:color w:val="auto"/>
          <w:highlight w:val="none"/>
        </w:rPr>
      </w:pPr>
    </w:p>
    <w:p w14:paraId="19A0F3F9">
      <w:pPr>
        <w:rPr>
          <w:color w:val="auto"/>
          <w:highlight w:val="none"/>
        </w:rPr>
      </w:pPr>
    </w:p>
    <w:p w14:paraId="543F8026">
      <w:pPr>
        <w:rPr>
          <w:color w:val="auto"/>
          <w:highlight w:val="none"/>
        </w:rPr>
      </w:pPr>
    </w:p>
    <w:p w14:paraId="2A64ABDC">
      <w:pPr>
        <w:pStyle w:val="2"/>
        <w:keepNext w:val="0"/>
        <w:keepLines w:val="0"/>
        <w:spacing w:before="0" w:after="0"/>
        <w:jc w:val="center"/>
        <w:rPr>
          <w:rFonts w:ascii="宋体" w:hAnsi="宋体" w:eastAsia="宋体"/>
          <w:color w:val="auto"/>
          <w:highlight w:val="none"/>
        </w:rPr>
      </w:pPr>
      <w:bookmarkStart w:id="46" w:name="_Toc3534"/>
      <w:r>
        <w:rPr>
          <w:rFonts w:hint="eastAsia" w:ascii="宋体" w:hAnsi="宋体" w:eastAsia="宋体"/>
          <w:color w:val="auto"/>
          <w:highlight w:val="none"/>
        </w:rPr>
        <w:t>第三章  投标人须知</w:t>
      </w:r>
      <w:bookmarkEnd w:id="46"/>
    </w:p>
    <w:p w14:paraId="4362FF1D">
      <w:pPr>
        <w:jc w:val="center"/>
        <w:rPr>
          <w:rFonts w:ascii="宋体" w:hAnsi="宋体"/>
          <w:color w:val="auto"/>
          <w:sz w:val="36"/>
          <w:szCs w:val="36"/>
          <w:highlight w:val="none"/>
        </w:rPr>
      </w:pPr>
      <w:bookmarkStart w:id="47" w:name="_Toc254970667"/>
      <w:bookmarkStart w:id="48" w:name="_Toc254970526"/>
    </w:p>
    <w:p w14:paraId="5A12F47F">
      <w:pPr>
        <w:jc w:val="center"/>
        <w:rPr>
          <w:rFonts w:ascii="宋体" w:hAnsi="宋体"/>
          <w:color w:val="auto"/>
          <w:sz w:val="36"/>
          <w:szCs w:val="36"/>
          <w:highlight w:val="none"/>
        </w:rPr>
      </w:pPr>
      <w:r>
        <w:rPr>
          <w:rFonts w:hint="eastAsia" w:ascii="宋体" w:hAnsi="宋体"/>
          <w:color w:val="auto"/>
          <w:sz w:val="36"/>
          <w:szCs w:val="36"/>
          <w:highlight w:val="none"/>
        </w:rPr>
        <w:t>投标人须知前附表</w:t>
      </w:r>
      <w:bookmarkEnd w:id="47"/>
      <w:bookmarkEnd w:id="48"/>
    </w:p>
    <w:p w14:paraId="24912C3D">
      <w:pPr>
        <w:jc w:val="center"/>
        <w:rPr>
          <w:rFonts w:ascii="宋体" w:hAnsi="宋体"/>
          <w:color w:val="auto"/>
          <w:sz w:val="36"/>
          <w:szCs w:val="36"/>
          <w:highlight w:val="none"/>
        </w:rPr>
      </w:pPr>
    </w:p>
    <w:tbl>
      <w:tblPr>
        <w:tblStyle w:val="49"/>
        <w:tblW w:w="96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708"/>
      </w:tblGrid>
      <w:tr w14:paraId="228685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9FC1C45">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条款号</w:t>
            </w:r>
          </w:p>
        </w:tc>
        <w:tc>
          <w:tcPr>
            <w:tcW w:w="8708" w:type="dxa"/>
            <w:tcBorders>
              <w:top w:val="single" w:color="auto" w:sz="4" w:space="0"/>
              <w:left w:val="single" w:color="auto" w:sz="4" w:space="0"/>
              <w:bottom w:val="single" w:color="auto" w:sz="4" w:space="0"/>
              <w:right w:val="single" w:color="auto" w:sz="4" w:space="0"/>
            </w:tcBorders>
            <w:vAlign w:val="center"/>
          </w:tcPr>
          <w:p w14:paraId="65155DDF">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编列内容</w:t>
            </w:r>
          </w:p>
        </w:tc>
      </w:tr>
      <w:tr w14:paraId="79F88B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4B373BA">
            <w:pPr>
              <w:spacing w:line="400" w:lineRule="exact"/>
              <w:jc w:val="center"/>
              <w:rPr>
                <w:rFonts w:ascii="宋体" w:hAnsi="宋体"/>
                <w:color w:val="auto"/>
                <w:szCs w:val="21"/>
                <w:highlight w:val="none"/>
              </w:rPr>
            </w:pPr>
            <w:r>
              <w:rPr>
                <w:rFonts w:hint="eastAsia" w:ascii="宋体" w:hAnsi="宋体"/>
                <w:color w:val="auto"/>
                <w:szCs w:val="21"/>
                <w:highlight w:val="none"/>
              </w:rPr>
              <w:t>3</w:t>
            </w:r>
          </w:p>
        </w:tc>
        <w:tc>
          <w:tcPr>
            <w:tcW w:w="8708" w:type="dxa"/>
            <w:tcBorders>
              <w:top w:val="single" w:color="auto" w:sz="4" w:space="0"/>
              <w:left w:val="single" w:color="auto" w:sz="4" w:space="0"/>
              <w:bottom w:val="single" w:color="auto" w:sz="4" w:space="0"/>
              <w:right w:val="single" w:color="auto" w:sz="4" w:space="0"/>
            </w:tcBorders>
            <w:vAlign w:val="center"/>
          </w:tcPr>
          <w:p w14:paraId="3D38D59E">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投标人的资格要求：详见招标公告。</w:t>
            </w:r>
          </w:p>
        </w:tc>
      </w:tr>
      <w:tr w14:paraId="202C2C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5986069">
            <w:pPr>
              <w:spacing w:line="400" w:lineRule="exact"/>
              <w:jc w:val="center"/>
              <w:rPr>
                <w:rFonts w:ascii="宋体" w:hAnsi="宋体"/>
                <w:color w:val="auto"/>
                <w:szCs w:val="21"/>
                <w:highlight w:val="none"/>
              </w:rPr>
            </w:pPr>
            <w:bookmarkStart w:id="49" w:name="_5"/>
            <w:bookmarkEnd w:id="49"/>
            <w:bookmarkStart w:id="50" w:name="_8.1"/>
            <w:bookmarkEnd w:id="50"/>
            <w:bookmarkStart w:id="51" w:name="_9.2"/>
            <w:bookmarkEnd w:id="51"/>
            <w:r>
              <w:rPr>
                <w:rFonts w:hint="eastAsia" w:ascii="宋体" w:hAnsi="宋体"/>
                <w:color w:val="auto"/>
                <w:szCs w:val="21"/>
                <w:highlight w:val="none"/>
              </w:rPr>
              <w:t>6.1</w:t>
            </w:r>
          </w:p>
        </w:tc>
        <w:tc>
          <w:tcPr>
            <w:tcW w:w="8708" w:type="dxa"/>
            <w:tcBorders>
              <w:top w:val="single" w:color="auto" w:sz="4" w:space="0"/>
              <w:left w:val="single" w:color="auto" w:sz="4" w:space="0"/>
              <w:bottom w:val="single" w:color="auto" w:sz="4" w:space="0"/>
              <w:right w:val="single" w:color="auto" w:sz="4" w:space="0"/>
            </w:tcBorders>
            <w:vAlign w:val="center"/>
          </w:tcPr>
          <w:p w14:paraId="35AE6327">
            <w:pPr>
              <w:pStyle w:val="17"/>
              <w:spacing w:line="400" w:lineRule="exact"/>
              <w:rPr>
                <w:rFonts w:ascii="宋体" w:hAnsi="宋体"/>
                <w:color w:val="auto"/>
                <w:szCs w:val="21"/>
                <w:highlight w:val="none"/>
              </w:rPr>
            </w:pPr>
            <w:r>
              <w:rPr>
                <w:rFonts w:hint="eastAsia" w:ascii="宋体" w:hAnsi="宋体"/>
                <w:color w:val="auto"/>
                <w:szCs w:val="21"/>
                <w:highlight w:val="none"/>
              </w:rPr>
              <w:t>本项目是否接受联合体投标：详见招标公告。</w:t>
            </w:r>
          </w:p>
        </w:tc>
      </w:tr>
      <w:tr w14:paraId="36A124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4FC95D5">
            <w:pPr>
              <w:spacing w:line="400" w:lineRule="exact"/>
              <w:jc w:val="center"/>
              <w:rPr>
                <w:rFonts w:ascii="宋体" w:hAnsi="宋体"/>
                <w:color w:val="auto"/>
                <w:szCs w:val="21"/>
                <w:highlight w:val="none"/>
              </w:rPr>
            </w:pPr>
            <w:r>
              <w:rPr>
                <w:rFonts w:hint="eastAsia" w:ascii="宋体" w:hAnsi="宋体"/>
                <w:color w:val="auto"/>
                <w:szCs w:val="21"/>
                <w:highlight w:val="none"/>
              </w:rPr>
              <w:t>7.2</w:t>
            </w:r>
          </w:p>
        </w:tc>
        <w:tc>
          <w:tcPr>
            <w:tcW w:w="8708" w:type="dxa"/>
            <w:tcBorders>
              <w:top w:val="single" w:color="auto" w:sz="4" w:space="0"/>
              <w:left w:val="single" w:color="auto" w:sz="4" w:space="0"/>
              <w:bottom w:val="single" w:color="auto" w:sz="4" w:space="0"/>
              <w:right w:val="single" w:color="auto" w:sz="4" w:space="0"/>
            </w:tcBorders>
            <w:vAlign w:val="center"/>
          </w:tcPr>
          <w:p w14:paraId="495F9861">
            <w:pPr>
              <w:pStyle w:val="17"/>
              <w:spacing w:line="400" w:lineRule="exact"/>
              <w:rPr>
                <w:rFonts w:ascii="宋体" w:hAnsi="宋体"/>
                <w:color w:val="auto"/>
                <w:szCs w:val="21"/>
                <w:highlight w:val="none"/>
              </w:rPr>
            </w:pPr>
            <w:r>
              <w:rPr>
                <w:rFonts w:hint="eastAsia" w:ascii="宋体" w:hAnsi="宋体"/>
                <w:color w:val="auto"/>
                <w:szCs w:val="21"/>
                <w:highlight w:val="none"/>
              </w:rPr>
              <w:t>本项目不允许分包。</w:t>
            </w:r>
          </w:p>
        </w:tc>
      </w:tr>
      <w:tr w14:paraId="78C1B0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restart"/>
            <w:tcBorders>
              <w:top w:val="single" w:color="auto" w:sz="4" w:space="0"/>
              <w:left w:val="single" w:color="auto" w:sz="4" w:space="0"/>
              <w:right w:val="single" w:color="auto" w:sz="4" w:space="0"/>
            </w:tcBorders>
            <w:vAlign w:val="center"/>
          </w:tcPr>
          <w:p w14:paraId="4776FC4E">
            <w:pPr>
              <w:spacing w:line="400" w:lineRule="exact"/>
              <w:jc w:val="cente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5</w:t>
            </w:r>
          </w:p>
        </w:tc>
        <w:tc>
          <w:tcPr>
            <w:tcW w:w="8708" w:type="dxa"/>
            <w:tcBorders>
              <w:top w:val="single" w:color="auto" w:sz="4" w:space="0"/>
              <w:left w:val="single" w:color="auto" w:sz="4" w:space="0"/>
              <w:bottom w:val="single" w:color="auto" w:sz="4" w:space="0"/>
              <w:right w:val="single" w:color="auto" w:sz="4" w:space="0"/>
            </w:tcBorders>
            <w:vAlign w:val="center"/>
          </w:tcPr>
          <w:p w14:paraId="0487CB3D">
            <w:pPr>
              <w:snapToGrid w:val="0"/>
              <w:spacing w:line="400" w:lineRule="exact"/>
              <w:rPr>
                <w:rFonts w:ascii="宋体" w:hAnsi="宋体"/>
                <w:color w:val="auto"/>
                <w:szCs w:val="21"/>
                <w:highlight w:val="none"/>
              </w:rPr>
            </w:pPr>
            <w:r>
              <w:rPr>
                <w:rFonts w:hint="eastAsia" w:ascii="宋体" w:hAnsi="宋体"/>
                <w:color w:val="auto"/>
                <w:szCs w:val="21"/>
                <w:highlight w:val="none"/>
              </w:rPr>
              <w:t>本项目不组织现场考察。</w:t>
            </w:r>
          </w:p>
        </w:tc>
      </w:tr>
      <w:tr w14:paraId="21A2CC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bottom w:val="single" w:color="auto" w:sz="4" w:space="0"/>
              <w:right w:val="single" w:color="auto" w:sz="4" w:space="0"/>
            </w:tcBorders>
            <w:vAlign w:val="center"/>
          </w:tcPr>
          <w:p w14:paraId="4A019186">
            <w:pPr>
              <w:spacing w:line="400" w:lineRule="exact"/>
              <w:jc w:val="center"/>
              <w:rPr>
                <w:rFonts w:ascii="宋体" w:hAnsi="宋体"/>
                <w:color w:val="auto"/>
                <w:szCs w:val="21"/>
                <w:highlight w:val="none"/>
              </w:rPr>
            </w:pPr>
          </w:p>
        </w:tc>
        <w:tc>
          <w:tcPr>
            <w:tcW w:w="8708" w:type="dxa"/>
            <w:tcBorders>
              <w:top w:val="single" w:color="auto" w:sz="4" w:space="0"/>
              <w:left w:val="single" w:color="auto" w:sz="4" w:space="0"/>
              <w:bottom w:val="single" w:color="auto" w:sz="4" w:space="0"/>
              <w:right w:val="single" w:color="auto" w:sz="4" w:space="0"/>
            </w:tcBorders>
            <w:vAlign w:val="center"/>
          </w:tcPr>
          <w:p w14:paraId="1BF2D26A">
            <w:pPr>
              <w:snapToGrid w:val="0"/>
              <w:spacing w:line="400" w:lineRule="exact"/>
              <w:rPr>
                <w:rFonts w:ascii="宋体" w:hAnsi="宋体"/>
                <w:color w:val="auto"/>
                <w:szCs w:val="21"/>
                <w:highlight w:val="none"/>
              </w:rPr>
            </w:pPr>
            <w:r>
              <w:rPr>
                <w:rFonts w:hint="eastAsia" w:ascii="宋体" w:hAnsi="宋体"/>
                <w:color w:val="auto"/>
                <w:szCs w:val="21"/>
                <w:highlight w:val="none"/>
              </w:rPr>
              <w:t>本项目不组织召开开标前答疑会。</w:t>
            </w:r>
          </w:p>
        </w:tc>
      </w:tr>
      <w:tr w14:paraId="6BA64D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restart"/>
            <w:tcBorders>
              <w:top w:val="single" w:color="auto" w:sz="4" w:space="0"/>
              <w:left w:val="single" w:color="auto" w:sz="4" w:space="0"/>
              <w:right w:val="single" w:color="auto" w:sz="4" w:space="0"/>
            </w:tcBorders>
            <w:vAlign w:val="center"/>
          </w:tcPr>
          <w:p w14:paraId="40DEFEA0">
            <w:pPr>
              <w:spacing w:line="400" w:lineRule="exact"/>
              <w:jc w:val="center"/>
              <w:rPr>
                <w:rFonts w:ascii="宋体" w:hAnsi="宋体"/>
                <w:color w:val="auto"/>
                <w:szCs w:val="21"/>
                <w:highlight w:val="none"/>
              </w:rPr>
            </w:pPr>
            <w:bookmarkStart w:id="52" w:name="_13.1"/>
            <w:bookmarkEnd w:id="52"/>
            <w:r>
              <w:rPr>
                <w:rFonts w:hint="eastAsia" w:ascii="宋体" w:hAnsi="宋体"/>
                <w:color w:val="auto"/>
                <w:szCs w:val="21"/>
                <w:highlight w:val="none"/>
              </w:rPr>
              <w:t>13.</w:t>
            </w:r>
            <w:bookmarkStart w:id="53" w:name="_Hlt19632543"/>
            <w:r>
              <w:rPr>
                <w:rFonts w:hint="eastAsia" w:ascii="宋体" w:hAnsi="宋体"/>
                <w:color w:val="auto"/>
                <w:szCs w:val="21"/>
                <w:highlight w:val="none"/>
              </w:rPr>
              <w:t>1</w:t>
            </w:r>
            <w:bookmarkEnd w:id="53"/>
          </w:p>
        </w:tc>
        <w:tc>
          <w:tcPr>
            <w:tcW w:w="8708" w:type="dxa"/>
            <w:tcBorders>
              <w:top w:val="single" w:color="auto" w:sz="4" w:space="0"/>
              <w:left w:val="single" w:color="auto" w:sz="4" w:space="0"/>
              <w:bottom w:val="single" w:color="auto" w:sz="4" w:space="0"/>
              <w:right w:val="single" w:color="auto" w:sz="4" w:space="0"/>
            </w:tcBorders>
            <w:vAlign w:val="center"/>
          </w:tcPr>
          <w:p w14:paraId="5E1975B6">
            <w:pPr>
              <w:snapToGrid w:val="0"/>
              <w:spacing w:line="400" w:lineRule="exact"/>
              <w:jc w:val="left"/>
              <w:rPr>
                <w:rFonts w:ascii="宋体" w:hAnsi="宋体" w:cs="Courier New"/>
                <w:b/>
                <w:color w:val="auto"/>
                <w:szCs w:val="21"/>
                <w:highlight w:val="none"/>
              </w:rPr>
            </w:pPr>
            <w:r>
              <w:rPr>
                <w:rFonts w:hint="eastAsia" w:ascii="宋体" w:hAnsi="宋体" w:cs="Courier New"/>
                <w:b/>
                <w:color w:val="auto"/>
                <w:szCs w:val="21"/>
                <w:highlight w:val="none"/>
              </w:rPr>
              <w:t>报价文件:</w:t>
            </w:r>
          </w:p>
          <w:p w14:paraId="7D8562B5">
            <w:pPr>
              <w:tabs>
                <w:tab w:val="left" w:pos="459"/>
              </w:tabs>
              <w:snapToGrid w:val="0"/>
              <w:spacing w:line="400" w:lineRule="exact"/>
              <w:jc w:val="left"/>
              <w:rPr>
                <w:rFonts w:ascii="宋体" w:hAnsi="宋体"/>
                <w:color w:val="auto"/>
                <w:szCs w:val="21"/>
                <w:highlight w:val="none"/>
              </w:rPr>
            </w:pPr>
            <w:r>
              <w:rPr>
                <w:rFonts w:hint="eastAsia" w:ascii="宋体" w:hAnsi="宋体"/>
                <w:color w:val="auto"/>
                <w:szCs w:val="21"/>
                <w:highlight w:val="none"/>
              </w:rPr>
              <w:t>1、投标函（格式后附）；</w:t>
            </w:r>
            <w:r>
              <w:rPr>
                <w:rFonts w:hint="eastAsia" w:ascii="宋体" w:hAnsi="宋体"/>
                <w:b/>
                <w:color w:val="auto"/>
                <w:szCs w:val="21"/>
                <w:highlight w:val="none"/>
              </w:rPr>
              <w:t>（必须提供，否则按无效投标处理）</w:t>
            </w:r>
          </w:p>
          <w:p w14:paraId="2D2FC70C">
            <w:pPr>
              <w:tabs>
                <w:tab w:val="left" w:pos="459"/>
              </w:tabs>
              <w:snapToGrid w:val="0"/>
              <w:spacing w:line="400" w:lineRule="exact"/>
              <w:jc w:val="left"/>
              <w:rPr>
                <w:rFonts w:ascii="宋体" w:hAnsi="宋体"/>
                <w:color w:val="auto"/>
                <w:szCs w:val="21"/>
                <w:highlight w:val="none"/>
              </w:rPr>
            </w:pPr>
            <w:bookmarkStart w:id="54" w:name="_Hlk71299233"/>
            <w:r>
              <w:rPr>
                <w:rFonts w:hint="eastAsia" w:ascii="宋体" w:hAnsi="宋体"/>
                <w:color w:val="auto"/>
                <w:szCs w:val="21"/>
                <w:highlight w:val="none"/>
              </w:rPr>
              <w:t>2、开标一览表</w:t>
            </w:r>
            <w:bookmarkEnd w:id="54"/>
            <w:r>
              <w:rPr>
                <w:rFonts w:hint="eastAsia" w:ascii="宋体" w:hAnsi="宋体"/>
                <w:color w:val="auto"/>
                <w:szCs w:val="21"/>
                <w:highlight w:val="none"/>
              </w:rPr>
              <w:t>（格式后附）； （</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7BB8054">
            <w:pPr>
              <w:tabs>
                <w:tab w:val="left" w:pos="459"/>
              </w:tabs>
              <w:snapToGrid w:val="0"/>
              <w:spacing w:line="400" w:lineRule="exact"/>
              <w:jc w:val="left"/>
              <w:rPr>
                <w:rFonts w:ascii="宋体" w:hAnsi="宋体"/>
                <w:color w:val="auto"/>
                <w:szCs w:val="21"/>
                <w:highlight w:val="none"/>
              </w:rPr>
            </w:pPr>
            <w:r>
              <w:rPr>
                <w:rFonts w:hint="eastAsia" w:ascii="宋体" w:hAnsi="宋体"/>
                <w:color w:val="auto"/>
                <w:szCs w:val="21"/>
                <w:highlight w:val="none"/>
              </w:rPr>
              <w:t>3、投标人针对报价需要说明的其他文件和说明（格式自拟）。</w:t>
            </w:r>
          </w:p>
          <w:p w14:paraId="2CB38246">
            <w:pPr>
              <w:snapToGrid w:val="0"/>
              <w:spacing w:line="400" w:lineRule="exact"/>
              <w:ind w:firstLine="420"/>
              <w:jc w:val="left"/>
              <w:rPr>
                <w:rFonts w:ascii="宋体" w:hAnsi="宋体"/>
                <w:color w:val="auto"/>
                <w:szCs w:val="21"/>
                <w:highlight w:val="none"/>
              </w:rPr>
            </w:pPr>
            <w:r>
              <w:rPr>
                <w:rFonts w:hint="eastAsia" w:ascii="宋体" w:hAnsi="宋体"/>
                <w:b/>
                <w:bCs/>
                <w:color w:val="auto"/>
                <w:szCs w:val="21"/>
                <w:highlight w:val="none"/>
              </w:rPr>
              <w:t>注：投标函、开标一览表必须由法定代表人或者委托代理人在规定签章处逐一签字并加盖投标人公章，否则按无效投标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16F202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5C303219">
            <w:pPr>
              <w:spacing w:line="400" w:lineRule="exact"/>
              <w:rPr>
                <w:rFonts w:ascii="宋体" w:hAnsi="宋体"/>
                <w:color w:val="auto"/>
                <w:szCs w:val="21"/>
                <w:highlight w:val="none"/>
              </w:rPr>
            </w:pPr>
            <w:bookmarkStart w:id="55" w:name="_13.2"/>
            <w:bookmarkEnd w:id="55"/>
          </w:p>
        </w:tc>
        <w:tc>
          <w:tcPr>
            <w:tcW w:w="8708" w:type="dxa"/>
            <w:tcBorders>
              <w:top w:val="single" w:color="auto" w:sz="4" w:space="0"/>
              <w:left w:val="single" w:color="auto" w:sz="4" w:space="0"/>
              <w:bottom w:val="single" w:color="auto" w:sz="4" w:space="0"/>
              <w:right w:val="single" w:color="auto" w:sz="4" w:space="0"/>
            </w:tcBorders>
            <w:vAlign w:val="center"/>
          </w:tcPr>
          <w:p w14:paraId="10FC228E">
            <w:pPr>
              <w:snapToGrid w:val="0"/>
              <w:spacing w:line="400" w:lineRule="exact"/>
              <w:jc w:val="left"/>
              <w:rPr>
                <w:rFonts w:ascii="宋体" w:hAnsi="宋体" w:cs="Courier New"/>
                <w:b/>
                <w:color w:val="auto"/>
                <w:szCs w:val="21"/>
                <w:highlight w:val="none"/>
              </w:rPr>
            </w:pPr>
            <w:r>
              <w:rPr>
                <w:rFonts w:hint="eastAsia" w:ascii="宋体" w:hAnsi="宋体" w:cs="Courier New"/>
                <w:b/>
                <w:color w:val="auto"/>
                <w:szCs w:val="21"/>
                <w:highlight w:val="none"/>
              </w:rPr>
              <w:t>资格证明文件:</w:t>
            </w:r>
          </w:p>
          <w:p w14:paraId="3CD05478">
            <w:pPr>
              <w:autoSpaceDE w:val="0"/>
              <w:autoSpaceDN w:val="0"/>
              <w:snapToGrid w:val="0"/>
              <w:spacing w:line="400" w:lineRule="exact"/>
              <w:textAlignment w:val="bottom"/>
              <w:rPr>
                <w:rFonts w:ascii="宋体" w:hAnsi="宋体"/>
                <w:b/>
                <w:color w:val="auto"/>
                <w:szCs w:val="21"/>
                <w:highlight w:val="none"/>
              </w:rPr>
            </w:pPr>
            <w:r>
              <w:rPr>
                <w:rFonts w:hint="eastAsia" w:ascii="宋体" w:hAnsi="宋体" w:cs="宋体"/>
                <w:color w:val="auto"/>
                <w:szCs w:val="21"/>
                <w:highlight w:val="none"/>
              </w:rPr>
              <w:t>1、供应商为法人或者其他组织的，</w:t>
            </w:r>
            <w:r>
              <w:rPr>
                <w:rFonts w:hint="eastAsia" w:ascii="宋体" w:hAnsi="宋体"/>
                <w:color w:val="auto"/>
                <w:szCs w:val="21"/>
                <w:highlight w:val="none"/>
              </w:rPr>
              <w:t>证明文件为其营业执照复印件（如营业执照或者事业单位法人证书或者执业许可证等）；供应商为自然人的，证明文件为其身份证复印件；</w:t>
            </w:r>
            <w:r>
              <w:rPr>
                <w:rFonts w:hint="eastAsia" w:ascii="宋体" w:hAnsi="宋体"/>
                <w:b/>
                <w:color w:val="auto"/>
                <w:szCs w:val="21"/>
                <w:highlight w:val="none"/>
              </w:rPr>
              <w:t>（必须提供，否则投标文件按无效响应处理</w:t>
            </w:r>
            <w:r>
              <w:rPr>
                <w:rFonts w:ascii="宋体" w:hAnsi="宋体"/>
                <w:b/>
                <w:color w:val="auto"/>
                <w:szCs w:val="21"/>
                <w:highlight w:val="none"/>
              </w:rPr>
              <w:t>）</w:t>
            </w:r>
          </w:p>
          <w:p w14:paraId="26607FEB">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color w:val="auto"/>
                <w:szCs w:val="21"/>
                <w:highlight w:val="none"/>
              </w:rPr>
              <w:t>2、投标人依法缴纳税收的相关材料（202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月至202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月内连续3个月的依法缴纳税收的凭据复印件；依法免税的供应商，必须提供相应文件证明其依法免税。从</w:t>
            </w:r>
            <w:r>
              <w:rPr>
                <w:rFonts w:ascii="宋体" w:hAnsi="宋体" w:cs="宋体"/>
                <w:color w:val="auto"/>
                <w:szCs w:val="21"/>
                <w:highlight w:val="none"/>
              </w:rPr>
              <w:t>成立</w:t>
            </w:r>
            <w:r>
              <w:rPr>
                <w:rFonts w:hint="eastAsia" w:ascii="宋体" w:hAnsi="宋体" w:cs="宋体"/>
                <w:color w:val="auto"/>
                <w:szCs w:val="21"/>
                <w:highlight w:val="none"/>
              </w:rPr>
              <w:t>之日起到投标文件提交截止时间止不足要求月数的，只需提供从</w:t>
            </w:r>
            <w:r>
              <w:rPr>
                <w:rFonts w:ascii="宋体" w:hAnsi="宋体" w:cs="宋体"/>
                <w:color w:val="auto"/>
                <w:szCs w:val="21"/>
                <w:highlight w:val="none"/>
              </w:rPr>
              <w:t>成立</w:t>
            </w:r>
            <w:r>
              <w:rPr>
                <w:rFonts w:hint="eastAsia" w:ascii="宋体" w:hAnsi="宋体" w:cs="宋体"/>
                <w:color w:val="auto"/>
                <w:szCs w:val="21"/>
                <w:highlight w:val="none"/>
              </w:rPr>
              <w:t>之日起的依法缴纳税收相应证明文件）；</w:t>
            </w:r>
            <w:r>
              <w:rPr>
                <w:rFonts w:hint="eastAsia" w:ascii="宋体" w:hAnsi="宋体" w:cs="宋体"/>
                <w:b/>
                <w:color w:val="auto"/>
                <w:szCs w:val="21"/>
                <w:highlight w:val="none"/>
              </w:rPr>
              <w:t>（必须提供，否则按无效投标处理）</w:t>
            </w:r>
          </w:p>
          <w:p w14:paraId="70FA046C">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color w:val="auto"/>
                <w:szCs w:val="21"/>
                <w:highlight w:val="none"/>
              </w:rPr>
              <w:t>3、投标人依法缴纳社会保障资金的相关材料[202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月至202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月内连续3个月的的依法缴纳社会保障资金的缴费凭证（专用收据或者社会保险缴纳清单）复印件；依法不需要缴纳社会保障资金的供应商，必须提供相应文件证明不需要缴纳社会保障资金。从</w:t>
            </w:r>
            <w:r>
              <w:rPr>
                <w:rFonts w:ascii="宋体" w:hAnsi="宋体" w:cs="宋体"/>
                <w:color w:val="auto"/>
                <w:szCs w:val="21"/>
                <w:highlight w:val="none"/>
              </w:rPr>
              <w:t>成立</w:t>
            </w:r>
            <w:r>
              <w:rPr>
                <w:rFonts w:hint="eastAsia" w:ascii="宋体" w:hAnsi="宋体" w:cs="宋体"/>
                <w:color w:val="auto"/>
                <w:szCs w:val="21"/>
                <w:highlight w:val="none"/>
              </w:rPr>
              <w:t>之日起到投标文件提交截止时间止不足要求月数的只需提供从</w:t>
            </w:r>
            <w:r>
              <w:rPr>
                <w:rFonts w:ascii="宋体" w:hAnsi="宋体" w:cs="宋体"/>
                <w:color w:val="auto"/>
                <w:szCs w:val="21"/>
                <w:highlight w:val="none"/>
              </w:rPr>
              <w:t>成立</w:t>
            </w:r>
            <w:r>
              <w:rPr>
                <w:rFonts w:hint="eastAsia" w:ascii="宋体" w:hAnsi="宋体" w:cs="宋体"/>
                <w:color w:val="auto"/>
                <w:szCs w:val="21"/>
                <w:highlight w:val="none"/>
              </w:rPr>
              <w:t>之日起的依法缴纳社会保障资金的相应证明文件]；</w:t>
            </w:r>
            <w:r>
              <w:rPr>
                <w:rFonts w:hint="eastAsia" w:ascii="宋体" w:hAnsi="宋体" w:cs="宋体"/>
                <w:b/>
                <w:color w:val="auto"/>
                <w:szCs w:val="21"/>
                <w:highlight w:val="none"/>
              </w:rPr>
              <w:t>（必须提供，否则按无效投标处理）</w:t>
            </w:r>
          </w:p>
          <w:p w14:paraId="5C5FA11D">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color w:val="auto"/>
                <w:szCs w:val="21"/>
                <w:highlight w:val="none"/>
              </w:rPr>
              <w:t>4、投标人财务状况报告（202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年度财务报表复印件或者银行出具的资信证明；投标人属于成立</w:t>
            </w:r>
            <w:r>
              <w:rPr>
                <w:rFonts w:ascii="宋体" w:hAnsi="宋体" w:cs="宋体"/>
                <w:color w:val="auto"/>
                <w:szCs w:val="21"/>
                <w:highlight w:val="none"/>
              </w:rPr>
              <w:t>时间</w:t>
            </w:r>
            <w:r>
              <w:rPr>
                <w:rFonts w:hint="eastAsia" w:ascii="宋体" w:hAnsi="宋体" w:cs="宋体"/>
                <w:color w:val="auto"/>
                <w:szCs w:val="21"/>
                <w:highlight w:val="none"/>
              </w:rPr>
              <w:t>在规定年度之后</w:t>
            </w:r>
            <w:r>
              <w:rPr>
                <w:rFonts w:ascii="宋体" w:hAnsi="宋体" w:cs="宋体"/>
                <w:color w:val="auto"/>
                <w:szCs w:val="21"/>
                <w:highlight w:val="none"/>
              </w:rPr>
              <w:t>的</w:t>
            </w:r>
            <w:r>
              <w:rPr>
                <w:rFonts w:hint="eastAsia" w:ascii="宋体" w:hAnsi="宋体" w:cs="宋体"/>
                <w:color w:val="auto"/>
                <w:szCs w:val="21"/>
                <w:highlight w:val="none"/>
              </w:rPr>
              <w:t>法人或其他组织</w:t>
            </w:r>
            <w:r>
              <w:rPr>
                <w:rFonts w:ascii="宋体" w:hAnsi="宋体" w:cs="宋体"/>
                <w:color w:val="auto"/>
                <w:szCs w:val="21"/>
                <w:highlight w:val="none"/>
              </w:rPr>
              <w:t>，需提供成立</w:t>
            </w:r>
            <w:r>
              <w:rPr>
                <w:rFonts w:hint="eastAsia" w:ascii="宋体" w:hAnsi="宋体" w:cs="宋体"/>
                <w:color w:val="auto"/>
                <w:szCs w:val="21"/>
                <w:highlight w:val="none"/>
              </w:rPr>
              <w:t>之日起至投标截止时间前</w:t>
            </w:r>
            <w:r>
              <w:rPr>
                <w:rFonts w:ascii="宋体" w:hAnsi="宋体" w:cs="宋体"/>
                <w:color w:val="auto"/>
                <w:szCs w:val="21"/>
                <w:highlight w:val="none"/>
              </w:rPr>
              <w:t>的月报表</w:t>
            </w:r>
            <w:r>
              <w:rPr>
                <w:rFonts w:hint="eastAsia" w:ascii="宋体" w:hAnsi="宋体" w:cs="宋体"/>
                <w:color w:val="auto"/>
                <w:szCs w:val="21"/>
                <w:highlight w:val="none"/>
              </w:rPr>
              <w:t>或银行出具的资信证明；资信证明应在有效期内，未注明有效期的，银行出具时间至投标截止时间不超过一年）；</w:t>
            </w:r>
            <w:r>
              <w:rPr>
                <w:rFonts w:hint="eastAsia" w:ascii="宋体" w:hAnsi="宋体" w:cs="宋体"/>
                <w:b/>
                <w:color w:val="auto"/>
                <w:szCs w:val="21"/>
                <w:highlight w:val="none"/>
              </w:rPr>
              <w:t>（除自然人外必须提供，否则按无效投标处理）</w:t>
            </w:r>
          </w:p>
          <w:p w14:paraId="656FA41E">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color w:val="auto"/>
                <w:szCs w:val="21"/>
                <w:highlight w:val="none"/>
              </w:rPr>
              <w:t>5、投标人直接控股、管理关系信息表（格式后附）；</w:t>
            </w:r>
            <w:r>
              <w:rPr>
                <w:rFonts w:hint="eastAsia" w:ascii="宋体" w:hAnsi="宋体" w:cs="宋体"/>
                <w:b/>
                <w:color w:val="auto"/>
                <w:szCs w:val="21"/>
                <w:highlight w:val="none"/>
              </w:rPr>
              <w:t>（必须提供，否则按无效投标处理）</w:t>
            </w:r>
          </w:p>
          <w:p w14:paraId="0C223826">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6、投标声明（格式后附）；</w:t>
            </w:r>
            <w:r>
              <w:rPr>
                <w:rFonts w:hint="eastAsia" w:ascii="宋体" w:hAnsi="宋体" w:cs="宋体"/>
                <w:b/>
                <w:color w:val="auto"/>
                <w:szCs w:val="21"/>
                <w:highlight w:val="none"/>
              </w:rPr>
              <w:t>（必须提供，否则按无效投标处理）</w:t>
            </w:r>
          </w:p>
          <w:p w14:paraId="2E407E7B">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、联合体协议书（格式后附）；（联合体投标时必须提供，否则按无效投标处理）</w:t>
            </w:r>
          </w:p>
          <w:p w14:paraId="7C1FCB46">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、中小企业声明函（格式后附）；</w:t>
            </w:r>
          </w:p>
          <w:p w14:paraId="6C6A3B0B">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、除招标文件规定必须提供以外，投标人认为需要提供的其他证明材料。</w:t>
            </w:r>
          </w:p>
          <w:p w14:paraId="225F58F3">
            <w:pPr>
              <w:snapToGrid w:val="0"/>
              <w:spacing w:line="400" w:lineRule="exact"/>
              <w:jc w:val="left"/>
              <w:rPr>
                <w:rFonts w:ascii="宋体" w:hAnsi="宋体"/>
                <w:b/>
                <w:bCs/>
                <w:color w:val="auto"/>
                <w:szCs w:val="21"/>
                <w:highlight w:val="none"/>
              </w:rPr>
            </w:pPr>
            <w:r>
              <w:rPr>
                <w:rFonts w:hint="eastAsia" w:ascii="宋体" w:hAnsi="宋体"/>
                <w:b/>
                <w:bCs/>
                <w:color w:val="auto"/>
                <w:szCs w:val="21"/>
                <w:highlight w:val="none"/>
              </w:rPr>
              <w:t>注：</w:t>
            </w:r>
          </w:p>
          <w:p w14:paraId="0F0281A8">
            <w:pPr>
              <w:snapToGrid w:val="0"/>
              <w:spacing w:line="400" w:lineRule="exact"/>
              <w:ind w:firstLine="422" w:firstLineChars="200"/>
              <w:jc w:val="left"/>
              <w:rPr>
                <w:rFonts w:ascii="宋体" w:hAnsi="宋体" w:cs="Courier New"/>
                <w:b/>
                <w:color w:val="auto"/>
                <w:szCs w:val="21"/>
                <w:highlight w:val="none"/>
              </w:rPr>
            </w:pPr>
            <w:r>
              <w:rPr>
                <w:rFonts w:hint="eastAsia" w:ascii="宋体" w:hAnsi="宋体"/>
                <w:b/>
                <w:bCs/>
                <w:color w:val="auto"/>
                <w:szCs w:val="21"/>
                <w:highlight w:val="none"/>
              </w:rPr>
              <w:t>1、以上标明“必须提供”的材料属于复印件的，必须加盖投标人公章，否则按无效投标</w:t>
            </w:r>
            <w:r>
              <w:rPr>
                <w:rFonts w:hint="eastAsia" w:ascii="宋体" w:hAnsi="宋体" w:cs="Courier New"/>
                <w:b/>
                <w:color w:val="auto"/>
                <w:szCs w:val="21"/>
                <w:highlight w:val="none"/>
              </w:rPr>
              <w:t>处理。</w:t>
            </w:r>
          </w:p>
          <w:p w14:paraId="7F812B33">
            <w:pPr>
              <w:snapToGrid w:val="0"/>
              <w:spacing w:line="400" w:lineRule="exact"/>
              <w:ind w:firstLine="422" w:firstLineChars="200"/>
              <w:jc w:val="left"/>
              <w:rPr>
                <w:rFonts w:ascii="宋体" w:hAnsi="宋体"/>
                <w:b/>
                <w:bCs/>
                <w:color w:val="auto"/>
                <w:szCs w:val="21"/>
                <w:highlight w:val="none"/>
              </w:rPr>
            </w:pPr>
            <w:r>
              <w:rPr>
                <w:rFonts w:hint="eastAsia" w:ascii="宋体" w:hAnsi="宋体" w:cs="Courier New"/>
                <w:b/>
                <w:color w:val="auto"/>
                <w:szCs w:val="21"/>
                <w:highlight w:val="none"/>
              </w:rPr>
              <w:t>2、</w:t>
            </w:r>
            <w:r>
              <w:rPr>
                <w:rFonts w:hint="eastAsia" w:ascii="宋体" w:hAnsi="宋体"/>
                <w:b/>
                <w:bCs/>
                <w:color w:val="auto"/>
                <w:szCs w:val="21"/>
                <w:highlight w:val="none"/>
              </w:rPr>
              <w:t>投标声明必须由法定代表人在规定签章处签字并加盖投标人公章，否则按无效投标处理。</w:t>
            </w:r>
          </w:p>
          <w:p w14:paraId="73BF61B4">
            <w:pPr>
              <w:snapToGrid w:val="0"/>
              <w:spacing w:line="400" w:lineRule="exact"/>
              <w:ind w:firstLine="422" w:firstLineChars="200"/>
              <w:jc w:val="left"/>
              <w:rPr>
                <w:rFonts w:ascii="宋体" w:hAnsi="宋体"/>
                <w:b/>
                <w:bCs/>
                <w:color w:val="auto"/>
                <w:szCs w:val="21"/>
                <w:highlight w:val="none"/>
              </w:rPr>
            </w:pPr>
            <w:r>
              <w:rPr>
                <w:rFonts w:hint="eastAsia" w:ascii="宋体" w:hAnsi="宋体"/>
                <w:b/>
                <w:bCs/>
                <w:color w:val="auto"/>
                <w:szCs w:val="21"/>
                <w:highlight w:val="none"/>
              </w:rPr>
              <w:t>3、投标人直接控股、管理关系信息表必须由法定代表人或者委托代理人在规定签章处签字并加盖投标人公章，否则按无效投标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p w14:paraId="474178ED">
            <w:pPr>
              <w:snapToGrid w:val="0"/>
              <w:spacing w:line="400" w:lineRule="exact"/>
              <w:ind w:firstLine="422" w:firstLineChars="200"/>
              <w:jc w:val="left"/>
              <w:rPr>
                <w:rFonts w:ascii="宋体" w:hAnsi="宋体"/>
                <w:b/>
                <w:bCs/>
                <w:color w:val="auto"/>
                <w:szCs w:val="21"/>
                <w:highlight w:val="none"/>
              </w:rPr>
            </w:pPr>
            <w:r>
              <w:rPr>
                <w:rFonts w:hint="eastAsia" w:ascii="宋体" w:hAnsi="宋体"/>
                <w:b/>
                <w:bCs/>
                <w:color w:val="auto"/>
                <w:szCs w:val="21"/>
                <w:highlight w:val="none"/>
              </w:rPr>
              <w:t>4、联合体投标时，第1-5项资格证明文件联合体各方均必须分别提供，联合体各方分别盖章和签字，否则按无效投标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4BC469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341972B5">
            <w:pPr>
              <w:spacing w:line="400" w:lineRule="exact"/>
              <w:rPr>
                <w:rFonts w:ascii="宋体" w:hAnsi="宋体"/>
                <w:color w:val="auto"/>
                <w:szCs w:val="21"/>
                <w:highlight w:val="none"/>
              </w:rPr>
            </w:pPr>
            <w:bookmarkStart w:id="56" w:name="_13.3"/>
            <w:bookmarkEnd w:id="56"/>
          </w:p>
        </w:tc>
        <w:tc>
          <w:tcPr>
            <w:tcW w:w="8708" w:type="dxa"/>
            <w:tcBorders>
              <w:top w:val="single" w:color="auto" w:sz="4" w:space="0"/>
              <w:left w:val="single" w:color="auto" w:sz="4" w:space="0"/>
              <w:bottom w:val="single" w:color="auto" w:sz="4" w:space="0"/>
              <w:right w:val="single" w:color="auto" w:sz="4" w:space="0"/>
            </w:tcBorders>
            <w:vAlign w:val="center"/>
          </w:tcPr>
          <w:p w14:paraId="43DDBF68">
            <w:pPr>
              <w:snapToGrid w:val="0"/>
              <w:spacing w:line="400" w:lineRule="exact"/>
              <w:jc w:val="left"/>
              <w:rPr>
                <w:rFonts w:ascii="宋体" w:hAnsi="宋体" w:cs="Courier New"/>
                <w:b/>
                <w:color w:val="auto"/>
                <w:szCs w:val="21"/>
                <w:highlight w:val="none"/>
              </w:rPr>
            </w:pPr>
            <w:r>
              <w:rPr>
                <w:rFonts w:hint="eastAsia" w:ascii="宋体" w:hAnsi="宋体" w:cs="Courier New"/>
                <w:b/>
                <w:color w:val="auto"/>
                <w:szCs w:val="21"/>
                <w:highlight w:val="none"/>
              </w:rPr>
              <w:t>商务文件：</w:t>
            </w:r>
          </w:p>
          <w:p w14:paraId="0B090858">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1、无串通投标行为的承诺函（格式后附）；（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12D04D5">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2、投标保证金提交凭证；（</w:t>
            </w:r>
            <w:r>
              <w:rPr>
                <w:rFonts w:hint="eastAsia" w:ascii="宋体" w:hAnsi="宋体"/>
                <w:b/>
                <w:bCs/>
                <w:color w:val="auto"/>
                <w:highlight w:val="none"/>
              </w:rPr>
              <w:t>如要求提交投标保证金的则必须提供</w:t>
            </w:r>
            <w:r>
              <w:rPr>
                <w:rFonts w:hint="eastAsia" w:ascii="宋体" w:hAnsi="宋体"/>
                <w:b/>
                <w:color w:val="auto"/>
                <w:szCs w:val="21"/>
                <w:highlight w:val="none"/>
              </w:rPr>
              <w:t>，否则按无效投标处理</w:t>
            </w:r>
            <w:r>
              <w:rPr>
                <w:rFonts w:hint="eastAsia" w:ascii="宋体" w:hAnsi="宋体"/>
                <w:color w:val="auto"/>
                <w:szCs w:val="21"/>
                <w:highlight w:val="none"/>
              </w:rPr>
              <w:t>）</w:t>
            </w:r>
          </w:p>
          <w:p w14:paraId="75D0FCDC">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3、法定代表人身份证明及法定代表人有效身份证正反面复印件（格式后附）；（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BB0B5B5">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4、授权委托书及委托代理人有效身份证正反面复印件（格式后附）；（</w:t>
            </w:r>
            <w:r>
              <w:rPr>
                <w:rFonts w:hint="eastAsia" w:ascii="宋体" w:hAnsi="宋体"/>
                <w:b/>
                <w:color w:val="auto"/>
                <w:szCs w:val="21"/>
                <w:highlight w:val="none"/>
              </w:rPr>
              <w:t>委托时必须提供，否则按无效投标处理</w:t>
            </w:r>
            <w:r>
              <w:rPr>
                <w:rFonts w:hint="eastAsia" w:ascii="宋体" w:hAnsi="宋体"/>
                <w:color w:val="auto"/>
                <w:szCs w:val="21"/>
                <w:highlight w:val="none"/>
              </w:rPr>
              <w:t>）</w:t>
            </w:r>
          </w:p>
          <w:p w14:paraId="627F20E6">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5、商务要求偏离表（格式后附）；（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8FDC55A">
            <w:pPr>
              <w:snapToGrid w:val="0"/>
              <w:spacing w:line="400" w:lineRule="exact"/>
              <w:jc w:val="left"/>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、售后服务承诺（格式自拟）；（</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AF89BEE">
            <w:pPr>
              <w:snapToGrid w:val="0"/>
              <w:spacing w:line="400" w:lineRule="exact"/>
              <w:jc w:val="left"/>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、投标人情况介绍（格式自拟）；</w:t>
            </w:r>
          </w:p>
          <w:p w14:paraId="3E31F91F">
            <w:pPr>
              <w:snapToGrid w:val="0"/>
              <w:spacing w:line="400" w:lineRule="exact"/>
              <w:jc w:val="left"/>
              <w:rPr>
                <w:rFonts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、联合体协议书（格式后附）；（</w:t>
            </w:r>
            <w:r>
              <w:rPr>
                <w:rFonts w:hint="eastAsia" w:ascii="宋体" w:hAnsi="宋体"/>
                <w:b/>
                <w:color w:val="auto"/>
                <w:szCs w:val="21"/>
                <w:highlight w:val="none"/>
              </w:rPr>
              <w:t>联合体投标时必须提供，否则按无效投标处理</w:t>
            </w:r>
            <w:r>
              <w:rPr>
                <w:rFonts w:hint="eastAsia" w:ascii="宋体" w:hAnsi="宋体"/>
                <w:color w:val="auto"/>
                <w:szCs w:val="21"/>
                <w:highlight w:val="none"/>
              </w:rPr>
              <w:t>）</w:t>
            </w:r>
          </w:p>
          <w:p w14:paraId="74393150">
            <w:pPr>
              <w:snapToGrid w:val="0"/>
              <w:spacing w:line="400" w:lineRule="exact"/>
              <w:jc w:val="left"/>
              <w:rPr>
                <w:rFonts w:ascii="宋体" w:hAnsi="宋体"/>
                <w:color w:val="auto"/>
                <w:szCs w:val="21"/>
                <w:highlight w:val="none"/>
              </w:rPr>
            </w:pPr>
            <w:r>
              <w:rPr>
                <w:rFonts w:ascii="宋体" w:hAnsi="宋体"/>
                <w:color w:val="auto"/>
                <w:szCs w:val="21"/>
                <w:highlight w:val="none"/>
              </w:rPr>
              <w:t>9</w:t>
            </w:r>
            <w:r>
              <w:rPr>
                <w:rFonts w:hint="eastAsia" w:ascii="宋体" w:hAnsi="宋体"/>
                <w:color w:val="auto"/>
                <w:szCs w:val="21"/>
                <w:highlight w:val="none"/>
              </w:rPr>
              <w:t>、除招标文件规定必须提供以外，投标人认为需要提供的其他证明材料（格式自拟）。（投标人根据“第二章 采购需求”及“第四章 评标方法及评标标准”提供有关证明材料）。</w:t>
            </w:r>
          </w:p>
          <w:p w14:paraId="1EF73209">
            <w:pPr>
              <w:snapToGrid w:val="0"/>
              <w:spacing w:line="400" w:lineRule="exact"/>
              <w:jc w:val="left"/>
              <w:rPr>
                <w:rFonts w:ascii="宋体" w:hAnsi="宋体"/>
                <w:color w:val="auto"/>
                <w:szCs w:val="21"/>
                <w:highlight w:val="none"/>
              </w:rPr>
            </w:pPr>
            <w:r>
              <w:rPr>
                <w:rFonts w:hint="eastAsia" w:ascii="宋体" w:hAnsi="宋体"/>
                <w:b/>
                <w:bCs/>
                <w:color w:val="auto"/>
                <w:szCs w:val="21"/>
                <w:highlight w:val="none"/>
              </w:rPr>
              <w:t>注：以上标明“必须提供”的材料属于复印件的，必须加盖投标人公章，否则按无效投标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1408B6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bottom w:val="single" w:color="auto" w:sz="4" w:space="0"/>
              <w:right w:val="single" w:color="auto" w:sz="4" w:space="0"/>
            </w:tcBorders>
            <w:vAlign w:val="center"/>
          </w:tcPr>
          <w:p w14:paraId="5D921D00">
            <w:pPr>
              <w:spacing w:line="400" w:lineRule="exact"/>
              <w:rPr>
                <w:rFonts w:ascii="宋体" w:hAnsi="宋体"/>
                <w:color w:val="auto"/>
                <w:szCs w:val="21"/>
                <w:highlight w:val="none"/>
              </w:rPr>
            </w:pPr>
            <w:bookmarkStart w:id="57" w:name="_13.4"/>
            <w:bookmarkEnd w:id="57"/>
          </w:p>
        </w:tc>
        <w:tc>
          <w:tcPr>
            <w:tcW w:w="8708" w:type="dxa"/>
            <w:tcBorders>
              <w:top w:val="single" w:color="auto" w:sz="4" w:space="0"/>
              <w:left w:val="single" w:color="auto" w:sz="4" w:space="0"/>
              <w:bottom w:val="single" w:color="auto" w:sz="4" w:space="0"/>
              <w:right w:val="single" w:color="auto" w:sz="4" w:space="0"/>
            </w:tcBorders>
            <w:vAlign w:val="center"/>
          </w:tcPr>
          <w:p w14:paraId="207ADC36">
            <w:pPr>
              <w:snapToGrid w:val="0"/>
              <w:spacing w:line="400" w:lineRule="exact"/>
              <w:jc w:val="left"/>
              <w:rPr>
                <w:rFonts w:ascii="宋体" w:hAnsi="宋体" w:cs="Courier New"/>
                <w:b/>
                <w:i/>
                <w:color w:val="auto"/>
                <w:szCs w:val="21"/>
                <w:highlight w:val="none"/>
              </w:rPr>
            </w:pPr>
            <w:r>
              <w:rPr>
                <w:rFonts w:hint="eastAsia" w:ascii="宋体" w:hAnsi="宋体" w:cs="Courier New"/>
                <w:b/>
                <w:color w:val="auto"/>
                <w:szCs w:val="21"/>
                <w:highlight w:val="none"/>
              </w:rPr>
              <w:t>技术文件：</w:t>
            </w:r>
          </w:p>
          <w:p w14:paraId="5AF4DCCC">
            <w:pPr>
              <w:snapToGrid w:val="0"/>
              <w:spacing w:line="400" w:lineRule="exact"/>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、技术要求偏离表（格式后附）；（必须提供，否则按无效投标处理）</w:t>
            </w:r>
          </w:p>
          <w:p w14:paraId="535940A6">
            <w:pPr>
              <w:snapToGrid w:val="0"/>
              <w:spacing w:line="400" w:lineRule="exact"/>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 xml:space="preserve">、服务方案（格式自拟）； </w:t>
            </w:r>
          </w:p>
          <w:p w14:paraId="7FF64DEE">
            <w:pPr>
              <w:snapToGrid w:val="0"/>
              <w:spacing w:line="400" w:lineRule="exact"/>
              <w:jc w:val="left"/>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 xml:space="preserve">、项目实施人员一览表（格式后附）； </w:t>
            </w:r>
          </w:p>
          <w:p w14:paraId="58335408">
            <w:pPr>
              <w:snapToGrid w:val="0"/>
              <w:spacing w:line="400" w:lineRule="exact"/>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、投标人对本项目的合理化建议和改进措施（格式自拟）；</w:t>
            </w:r>
          </w:p>
          <w:p w14:paraId="142DB5D6">
            <w:pPr>
              <w:snapToGrid w:val="0"/>
              <w:spacing w:line="400" w:lineRule="exact"/>
              <w:jc w:val="left"/>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、除招标文件规定必须提供以外，投标人需要说明的其他文件和说明（格式自拟）。</w:t>
            </w:r>
          </w:p>
          <w:p w14:paraId="4663CE30">
            <w:pPr>
              <w:snapToGrid w:val="0"/>
              <w:spacing w:line="400" w:lineRule="exact"/>
              <w:ind w:firstLine="316" w:firstLineChars="150"/>
              <w:jc w:val="left"/>
              <w:rPr>
                <w:rFonts w:ascii="宋体" w:hAnsi="宋体"/>
                <w:b/>
                <w:bCs/>
                <w:color w:val="auto"/>
                <w:szCs w:val="21"/>
                <w:highlight w:val="none"/>
              </w:rPr>
            </w:pPr>
            <w:r>
              <w:rPr>
                <w:rFonts w:hint="eastAsia" w:ascii="宋体" w:hAnsi="宋体"/>
                <w:b/>
                <w:bCs/>
                <w:color w:val="auto"/>
                <w:szCs w:val="21"/>
                <w:highlight w:val="none"/>
              </w:rPr>
              <w:t>注：以上标明“必须提供”的材料属于复印件的，必须加盖投标人公章，否则按无效投标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1731B1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1999E47">
            <w:pPr>
              <w:spacing w:line="400" w:lineRule="exact"/>
              <w:jc w:val="center"/>
              <w:rPr>
                <w:rFonts w:ascii="宋体" w:hAnsi="宋体"/>
                <w:color w:val="auto"/>
                <w:szCs w:val="21"/>
                <w:highlight w:val="none"/>
              </w:rPr>
            </w:pPr>
            <w:bookmarkStart w:id="58" w:name="_13.5"/>
            <w:bookmarkEnd w:id="58"/>
            <w:bookmarkStart w:id="59" w:name="_16.2"/>
            <w:bookmarkEnd w:id="59"/>
            <w:r>
              <w:rPr>
                <w:rFonts w:hint="eastAsia" w:ascii="宋体" w:hAnsi="宋体"/>
                <w:color w:val="auto"/>
                <w:szCs w:val="21"/>
                <w:highlight w:val="none"/>
              </w:rPr>
              <w:t>16</w:t>
            </w:r>
            <w:bookmarkStart w:id="60" w:name="_Hlt19194067"/>
            <w:bookmarkStart w:id="61" w:name="_Hlt19693758"/>
            <w:bookmarkStart w:id="62" w:name="_Hlt19194066"/>
            <w:bookmarkStart w:id="63" w:name="_Hlt19693759"/>
            <w:r>
              <w:rPr>
                <w:rFonts w:hint="eastAsia" w:ascii="宋体" w:hAnsi="宋体"/>
                <w:color w:val="auto"/>
                <w:szCs w:val="21"/>
                <w:highlight w:val="none"/>
              </w:rPr>
              <w:t>.</w:t>
            </w:r>
            <w:bookmarkEnd w:id="60"/>
            <w:bookmarkEnd w:id="61"/>
            <w:bookmarkEnd w:id="62"/>
            <w:bookmarkEnd w:id="63"/>
            <w:r>
              <w:rPr>
                <w:rFonts w:hint="eastAsia" w:ascii="宋体" w:hAnsi="宋体"/>
                <w:color w:val="auto"/>
                <w:szCs w:val="21"/>
                <w:highlight w:val="none"/>
              </w:rPr>
              <w:t>2</w:t>
            </w:r>
          </w:p>
        </w:tc>
        <w:tc>
          <w:tcPr>
            <w:tcW w:w="8708" w:type="dxa"/>
            <w:tcBorders>
              <w:top w:val="single" w:color="auto" w:sz="4" w:space="0"/>
              <w:left w:val="single" w:color="auto" w:sz="4" w:space="0"/>
              <w:bottom w:val="single" w:color="auto" w:sz="4" w:space="0"/>
              <w:right w:val="single" w:color="auto" w:sz="4" w:space="0"/>
            </w:tcBorders>
            <w:vAlign w:val="center"/>
          </w:tcPr>
          <w:p w14:paraId="71FDB662">
            <w:pPr>
              <w:snapToGrid w:val="0"/>
              <w:spacing w:line="360" w:lineRule="auto"/>
              <w:rPr>
                <w:rFonts w:ascii="宋体" w:hAnsi="宋体"/>
                <w:b/>
                <w:color w:val="auto"/>
                <w:szCs w:val="21"/>
                <w:highlight w:val="none"/>
              </w:rPr>
            </w:pPr>
            <w:r>
              <w:rPr>
                <w:rFonts w:hint="eastAsia" w:ascii="宋体" w:hAnsi="宋体"/>
                <w:color w:val="auto"/>
                <w:szCs w:val="21"/>
                <w:highlight w:val="none"/>
              </w:rPr>
              <w:t>投标报价是履行合同的最终价格，</w:t>
            </w:r>
            <w:r>
              <w:rPr>
                <w:rFonts w:hint="eastAsia" w:ascii="宋体" w:hAnsi="宋体" w:cs="宋体"/>
                <w:color w:val="auto"/>
                <w:szCs w:val="21"/>
                <w:highlight w:val="none"/>
              </w:rPr>
              <w:t>即满足全部采购需求所应提供的服务的价格；包括投标服务的成本、运输（含保险）（如有）、技术服务、培训、税费等所有费用。</w:t>
            </w:r>
          </w:p>
        </w:tc>
      </w:tr>
      <w:tr w14:paraId="124139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3DA6822">
            <w:pPr>
              <w:spacing w:line="400" w:lineRule="exact"/>
              <w:jc w:val="center"/>
              <w:rPr>
                <w:rFonts w:ascii="宋体" w:hAnsi="宋体"/>
                <w:color w:val="auto"/>
                <w:szCs w:val="21"/>
                <w:highlight w:val="none"/>
              </w:rPr>
            </w:pPr>
            <w:bookmarkStart w:id="64" w:name="_17.1"/>
            <w:bookmarkEnd w:id="64"/>
            <w:r>
              <w:rPr>
                <w:rFonts w:hint="eastAsia" w:ascii="宋体" w:hAnsi="宋体"/>
                <w:color w:val="auto"/>
                <w:szCs w:val="21"/>
                <w:highlight w:val="none"/>
              </w:rPr>
              <w:t>17.</w:t>
            </w:r>
            <w:r>
              <w:rPr>
                <w:rFonts w:ascii="宋体" w:hAnsi="宋体"/>
                <w:color w:val="auto"/>
                <w:szCs w:val="21"/>
                <w:highlight w:val="none"/>
              </w:rPr>
              <w:t>2</w:t>
            </w:r>
          </w:p>
        </w:tc>
        <w:tc>
          <w:tcPr>
            <w:tcW w:w="8708" w:type="dxa"/>
            <w:tcBorders>
              <w:top w:val="single" w:color="auto" w:sz="4" w:space="0"/>
              <w:left w:val="single" w:color="auto" w:sz="4" w:space="0"/>
              <w:bottom w:val="single" w:color="auto" w:sz="4" w:space="0"/>
              <w:right w:val="single" w:color="auto" w:sz="4" w:space="0"/>
            </w:tcBorders>
            <w:vAlign w:val="center"/>
          </w:tcPr>
          <w:p w14:paraId="7FE338B1">
            <w:pPr>
              <w:snapToGrid w:val="0"/>
              <w:spacing w:line="400" w:lineRule="exact"/>
              <w:rPr>
                <w:rFonts w:ascii="宋体" w:hAnsi="宋体"/>
                <w:color w:val="auto"/>
                <w:szCs w:val="21"/>
                <w:highlight w:val="none"/>
              </w:rPr>
            </w:pPr>
            <w:r>
              <w:rPr>
                <w:rFonts w:hint="eastAsia" w:ascii="宋体" w:hAnsi="宋体"/>
                <w:color w:val="auto"/>
                <w:szCs w:val="21"/>
                <w:highlight w:val="none"/>
              </w:rPr>
              <w:t>投标有效期：投标截止之日起60天内。</w:t>
            </w:r>
          </w:p>
        </w:tc>
      </w:tr>
      <w:tr w14:paraId="70AA60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32002AB">
            <w:pPr>
              <w:spacing w:line="400" w:lineRule="exact"/>
              <w:jc w:val="center"/>
              <w:rPr>
                <w:rFonts w:ascii="宋体" w:hAnsi="宋体"/>
                <w:color w:val="auto"/>
                <w:szCs w:val="21"/>
                <w:highlight w:val="none"/>
              </w:rPr>
            </w:pPr>
            <w:bookmarkStart w:id="65" w:name="_18"/>
            <w:bookmarkEnd w:id="65"/>
            <w:r>
              <w:rPr>
                <w:rFonts w:hint="eastAsia" w:ascii="宋体" w:hAnsi="宋体"/>
                <w:color w:val="auto"/>
                <w:szCs w:val="21"/>
                <w:highlight w:val="none"/>
              </w:rPr>
              <w:t>18</w:t>
            </w:r>
            <w:r>
              <w:rPr>
                <w:rFonts w:ascii="宋体" w:hAnsi="宋体"/>
                <w:color w:val="auto"/>
                <w:szCs w:val="21"/>
                <w:highlight w:val="none"/>
              </w:rPr>
              <w:t>.1</w:t>
            </w:r>
          </w:p>
        </w:tc>
        <w:tc>
          <w:tcPr>
            <w:tcW w:w="8708" w:type="dxa"/>
            <w:tcBorders>
              <w:top w:val="single" w:color="auto" w:sz="4" w:space="0"/>
              <w:left w:val="single" w:color="auto" w:sz="4" w:space="0"/>
              <w:bottom w:val="single" w:color="auto" w:sz="4" w:space="0"/>
              <w:right w:val="single" w:color="auto" w:sz="4" w:space="0"/>
            </w:tcBorders>
            <w:vAlign w:val="center"/>
          </w:tcPr>
          <w:p w14:paraId="02B58AE4">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□本项目不收取投标保证金。</w:t>
            </w:r>
          </w:p>
          <w:p w14:paraId="3807F22B">
            <w:pPr>
              <w:snapToGrid w:val="0"/>
              <w:spacing w:line="400" w:lineRule="exact"/>
              <w:rPr>
                <w:rFonts w:ascii="宋体" w:hAnsi="宋体"/>
                <w:color w:val="auto"/>
                <w:szCs w:val="21"/>
                <w:highlight w:val="none"/>
              </w:rPr>
            </w:pPr>
            <w:r>
              <w:rPr>
                <w:rFonts w:hint="eastAsia" w:ascii="宋体" w:hAnsi="宋体" w:eastAsia="MS Mincho" w:cs="MS Mincho"/>
                <w:color w:val="auto"/>
                <w:szCs w:val="21"/>
                <w:highlight w:val="none"/>
              </w:rPr>
              <w:t>☑</w:t>
            </w:r>
            <w:r>
              <w:rPr>
                <w:rFonts w:hint="eastAsia" w:ascii="宋体" w:hAnsi="宋体"/>
                <w:color w:val="auto"/>
                <w:szCs w:val="21"/>
                <w:highlight w:val="none"/>
              </w:rPr>
              <w:t>本项目收取投标保证金，具体规定如下：</w:t>
            </w:r>
          </w:p>
          <w:p w14:paraId="61B4EC5A">
            <w:pPr>
              <w:snapToGri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投标保证金金额：</w:t>
            </w:r>
            <w:r>
              <w:rPr>
                <w:rFonts w:hint="eastAsia" w:ascii="宋体" w:hAnsi="宋体" w:cs="宋体"/>
                <w:color w:val="auto"/>
                <w:kern w:val="0"/>
                <w:szCs w:val="21"/>
                <w:highlight w:val="none"/>
                <w:lang w:val="en-US" w:eastAsia="zh-CN"/>
              </w:rPr>
              <w:t>捌万陆仟元整（￥86000.00）</w:t>
            </w:r>
            <w:r>
              <w:rPr>
                <w:rFonts w:hint="eastAsia" w:ascii="宋体" w:hAnsi="宋体" w:cs="宋体"/>
                <w:color w:val="auto"/>
                <w:kern w:val="0"/>
                <w:szCs w:val="21"/>
                <w:highlight w:val="none"/>
              </w:rPr>
              <w:t>。</w:t>
            </w:r>
          </w:p>
          <w:p w14:paraId="31D7F6DB">
            <w:pPr>
              <w:snapToGrid w:val="0"/>
              <w:spacing w:line="400" w:lineRule="exact"/>
              <w:rPr>
                <w:rFonts w:ascii="宋体" w:hAnsi="宋体"/>
                <w:color w:val="auto"/>
                <w:szCs w:val="21"/>
                <w:highlight w:val="none"/>
              </w:rPr>
            </w:pPr>
            <w:r>
              <w:rPr>
                <w:rFonts w:hint="eastAsia" w:ascii="宋体" w:hAnsi="宋体" w:cs="宋体"/>
                <w:color w:val="auto"/>
                <w:kern w:val="0"/>
                <w:szCs w:val="21"/>
                <w:highlight w:val="none"/>
              </w:rPr>
              <w:t>投标保证金的交纳方式：银行转账、支票、汇票、本票或者金融、担保机构出具的保函，禁止采用现钞方式。采用银行转账方式的，在投标截止时间前交至指定账户并且到账（</w:t>
            </w:r>
            <w:r>
              <w:rPr>
                <w:rFonts w:hint="eastAsia" w:ascii="宋体" w:hAnsi="宋体" w:cs="宋体"/>
                <w:color w:val="auto"/>
                <w:szCs w:val="21"/>
                <w:highlight w:val="none"/>
              </w:rPr>
              <w:t>开户名称：广西科文招标有限公司，开户银行：广西北部湾银行南宁分行营业部，银行账号：0101012090615689</w:t>
            </w:r>
            <w:r>
              <w:rPr>
                <w:rFonts w:hint="eastAsia" w:ascii="宋体" w:hAnsi="宋体" w:cs="宋体"/>
                <w:color w:val="auto"/>
                <w:kern w:val="0"/>
                <w:szCs w:val="21"/>
                <w:highlight w:val="none"/>
              </w:rPr>
              <w:t>）。</w:t>
            </w:r>
          </w:p>
          <w:p w14:paraId="1DD01E85">
            <w:pPr>
              <w:snapToGrid w:val="0"/>
              <w:spacing w:line="400" w:lineRule="exact"/>
              <w:rPr>
                <w:rFonts w:ascii="宋体" w:hAnsi="宋体"/>
                <w:color w:val="auto"/>
                <w:szCs w:val="21"/>
                <w:highlight w:val="none"/>
              </w:rPr>
            </w:pPr>
            <w:r>
              <w:rPr>
                <w:rFonts w:hint="eastAsia" w:ascii="宋体" w:hAnsi="宋体"/>
                <w:color w:val="auto"/>
                <w:szCs w:val="21"/>
                <w:highlight w:val="none"/>
              </w:rPr>
              <w:t>相关要求：</w:t>
            </w:r>
          </w:p>
          <w:p w14:paraId="7B09F1FD">
            <w:pPr>
              <w:pStyle w:val="17"/>
              <w:spacing w:line="400" w:lineRule="exact"/>
              <w:rPr>
                <w:rFonts w:ascii="宋体" w:hAnsi="宋体"/>
                <w:color w:val="auto"/>
                <w:szCs w:val="21"/>
                <w:highlight w:val="none"/>
              </w:rPr>
            </w:pPr>
            <w:r>
              <w:rPr>
                <w:rFonts w:hint="eastAsia" w:ascii="宋体" w:hAnsi="宋体"/>
                <w:color w:val="auto"/>
                <w:szCs w:val="21"/>
                <w:highlight w:val="none"/>
              </w:rPr>
              <w:t>1、投标保证金采用银行转账交纳方式的，在投标截止时间前交至指定账户并且到账，投标人应将银行转账底单的复印件作为投标保证金提交凭证，</w:t>
            </w:r>
            <w:r>
              <w:rPr>
                <w:rFonts w:ascii="宋体" w:hAnsi="宋体"/>
                <w:color w:val="auto"/>
                <w:szCs w:val="21"/>
                <w:highlight w:val="none"/>
              </w:rPr>
              <w:t>放置于</w:t>
            </w:r>
            <w:r>
              <w:rPr>
                <w:rFonts w:hint="eastAsia" w:ascii="宋体" w:hAnsi="宋体"/>
                <w:color w:val="auto"/>
                <w:szCs w:val="21"/>
                <w:highlight w:val="none"/>
              </w:rPr>
              <w:t>商务文件</w:t>
            </w:r>
            <w:r>
              <w:rPr>
                <w:rFonts w:ascii="宋体" w:hAnsi="宋体"/>
                <w:color w:val="auto"/>
                <w:szCs w:val="21"/>
                <w:highlight w:val="none"/>
              </w:rPr>
              <w:t>中</w:t>
            </w:r>
            <w:r>
              <w:rPr>
                <w:rFonts w:hint="eastAsia" w:ascii="宋体" w:hAnsi="宋体"/>
                <w:color w:val="auto"/>
                <w:szCs w:val="21"/>
                <w:highlight w:val="none"/>
              </w:rPr>
              <w:t>，</w:t>
            </w:r>
            <w:r>
              <w:rPr>
                <w:rFonts w:hint="eastAsia" w:ascii="宋体" w:hAnsi="宋体"/>
                <w:b/>
                <w:color w:val="auto"/>
                <w:szCs w:val="21"/>
                <w:highlight w:val="none"/>
              </w:rPr>
              <w:t>否则投标无效</w:t>
            </w:r>
            <w:r>
              <w:rPr>
                <w:rFonts w:hint="eastAsia" w:ascii="宋体" w:hAnsi="宋体"/>
                <w:color w:val="auto"/>
                <w:szCs w:val="21"/>
                <w:highlight w:val="none"/>
              </w:rPr>
              <w:t>。</w:t>
            </w:r>
          </w:p>
          <w:p w14:paraId="1274285C">
            <w:pPr>
              <w:snapToGrid w:val="0"/>
              <w:spacing w:line="400" w:lineRule="exact"/>
              <w:rPr>
                <w:rFonts w:ascii="宋体" w:hAnsi="宋体"/>
                <w:b/>
                <w:color w:val="auto"/>
                <w:szCs w:val="21"/>
                <w:highlight w:val="none"/>
              </w:rPr>
            </w:pPr>
            <w:r>
              <w:rPr>
                <w:rFonts w:hint="eastAsia" w:ascii="宋体" w:hAnsi="宋体"/>
                <w:color w:val="auto"/>
                <w:szCs w:val="21"/>
                <w:highlight w:val="none"/>
              </w:rPr>
              <w:t>2、投标保证金采用支票、汇票、本票或者金融、担保机构出具的保函交纳方式的，投标人应将支票、汇票、本票或者金融、担保机构出具的保函的复印件作为投标保证金提交凭证，放置于商务文件中，</w:t>
            </w:r>
            <w:r>
              <w:rPr>
                <w:rFonts w:hint="eastAsia" w:ascii="宋体" w:hAnsi="宋体"/>
                <w:b/>
                <w:color w:val="auto"/>
                <w:szCs w:val="21"/>
                <w:highlight w:val="none"/>
              </w:rPr>
              <w:t>否则投标无效</w:t>
            </w:r>
            <w:r>
              <w:rPr>
                <w:rFonts w:hint="eastAsia" w:ascii="宋体" w:hAnsi="宋体"/>
                <w:color w:val="auto"/>
                <w:szCs w:val="21"/>
                <w:highlight w:val="none"/>
              </w:rPr>
              <w:t>。</w:t>
            </w:r>
          </w:p>
          <w:p w14:paraId="398295F8">
            <w:pPr>
              <w:snapToGrid w:val="0"/>
              <w:spacing w:line="400" w:lineRule="exact"/>
              <w:rPr>
                <w:rFonts w:ascii="宋体" w:hAnsi="宋体"/>
                <w:color w:val="auto"/>
                <w:szCs w:val="21"/>
                <w:highlight w:val="none"/>
              </w:rPr>
            </w:pPr>
            <w:r>
              <w:rPr>
                <w:rFonts w:hint="eastAsia" w:ascii="宋体" w:hAnsi="宋体" w:cs="宋体"/>
                <w:color w:val="auto"/>
                <w:szCs w:val="21"/>
                <w:highlight w:val="none"/>
              </w:rPr>
              <w:t>3、投标人为联合体的，可以由联合体中的一方或者多方共同交纳投标保证金，其交纳的保证金对联合体各方均具有约束力。</w:t>
            </w:r>
          </w:p>
          <w:p w14:paraId="729B323C">
            <w:pPr>
              <w:snapToGrid w:val="0"/>
              <w:spacing w:line="400" w:lineRule="exact"/>
              <w:rPr>
                <w:rFonts w:ascii="宋体" w:hAnsi="宋体"/>
                <w:b/>
                <w:color w:val="auto"/>
                <w:szCs w:val="21"/>
                <w:highlight w:val="none"/>
              </w:rPr>
            </w:pPr>
            <w:r>
              <w:rPr>
                <w:rFonts w:hint="eastAsia" w:ascii="宋体" w:hAnsi="宋体"/>
                <w:b/>
                <w:color w:val="auto"/>
                <w:szCs w:val="21"/>
                <w:highlight w:val="none"/>
              </w:rPr>
              <w:t xml:space="preserve">备注： </w:t>
            </w:r>
          </w:p>
          <w:p w14:paraId="068219E0">
            <w:pPr>
              <w:snapToGrid w:val="0"/>
              <w:spacing w:line="400" w:lineRule="exact"/>
              <w:rPr>
                <w:rFonts w:ascii="宋体" w:hAnsi="宋体"/>
                <w:b/>
                <w:color w:val="auto"/>
                <w:szCs w:val="21"/>
                <w:highlight w:val="none"/>
              </w:rPr>
            </w:pPr>
            <w:r>
              <w:rPr>
                <w:rFonts w:hint="eastAsia" w:ascii="宋体" w:hAnsi="宋体"/>
                <w:b/>
                <w:color w:val="auto"/>
                <w:szCs w:val="21"/>
                <w:highlight w:val="none"/>
              </w:rPr>
              <w:t>1、投标保证金在投标截止时间后提交的，或者不按规定交纳方式交纳的，或者未足额交纳的（包含保函额度不足的），视为无效投标保证金。</w:t>
            </w:r>
          </w:p>
          <w:p w14:paraId="67A77476">
            <w:pPr>
              <w:snapToGrid w:val="0"/>
              <w:spacing w:line="400" w:lineRule="exact"/>
              <w:rPr>
                <w:rFonts w:ascii="宋体" w:hAnsi="宋体"/>
                <w:b/>
                <w:color w:val="auto"/>
                <w:szCs w:val="21"/>
                <w:highlight w:val="none"/>
              </w:rPr>
            </w:pPr>
            <w:r>
              <w:rPr>
                <w:rFonts w:hint="eastAsia" w:ascii="宋体" w:hAnsi="宋体"/>
                <w:b/>
                <w:color w:val="auto"/>
                <w:szCs w:val="21"/>
                <w:highlight w:val="none"/>
              </w:rPr>
              <w:t>2、投标人采用现钞方式或者从个人账户（自然人投标除外）转出的投标保证金，视为无效投标保证金。</w:t>
            </w:r>
          </w:p>
          <w:p w14:paraId="13671BB6">
            <w:pPr>
              <w:snapToGrid w:val="0"/>
              <w:spacing w:line="400" w:lineRule="exact"/>
              <w:rPr>
                <w:rFonts w:ascii="宋体" w:hAnsi="宋体"/>
                <w:b/>
                <w:color w:val="auto"/>
                <w:szCs w:val="21"/>
                <w:highlight w:val="none"/>
              </w:rPr>
            </w:pPr>
            <w:r>
              <w:rPr>
                <w:rFonts w:hint="eastAsia" w:ascii="宋体" w:hAnsi="宋体"/>
                <w:b/>
                <w:color w:val="auto"/>
                <w:szCs w:val="21"/>
                <w:highlight w:val="none"/>
              </w:rPr>
              <w:t>3、支票、汇票或者本票出现无效或者背书情形的，视为无效投标保证金。</w:t>
            </w:r>
          </w:p>
          <w:p w14:paraId="3B098730">
            <w:pPr>
              <w:snapToGrid w:val="0"/>
              <w:spacing w:line="400" w:lineRule="exact"/>
              <w:rPr>
                <w:rFonts w:ascii="宋体" w:hAnsi="宋体"/>
                <w:b/>
                <w:color w:val="auto"/>
                <w:szCs w:val="21"/>
                <w:highlight w:val="none"/>
              </w:rPr>
            </w:pPr>
            <w:r>
              <w:rPr>
                <w:rFonts w:hint="eastAsia" w:ascii="宋体" w:hAnsi="宋体"/>
                <w:b/>
                <w:color w:val="auto"/>
                <w:szCs w:val="21"/>
                <w:highlight w:val="none"/>
              </w:rPr>
              <w:t>4、保函有效期低于投标有效期的，视为无效投标保证金。</w:t>
            </w:r>
          </w:p>
          <w:p w14:paraId="389905E0">
            <w:pPr>
              <w:snapToGrid w:val="0"/>
              <w:spacing w:line="400" w:lineRule="exact"/>
              <w:rPr>
                <w:rFonts w:ascii="宋体" w:hAnsi="宋体"/>
                <w:b/>
                <w:color w:val="auto"/>
                <w:szCs w:val="21"/>
                <w:highlight w:val="none"/>
              </w:rPr>
            </w:pPr>
            <w:r>
              <w:rPr>
                <w:rFonts w:hint="eastAsia" w:ascii="宋体" w:hAnsi="宋体"/>
                <w:b/>
                <w:color w:val="auto"/>
                <w:szCs w:val="21"/>
                <w:highlight w:val="none"/>
              </w:rPr>
              <w:t>5、采用金融、担保机构出具保函的，必须为无条件保函，否则视为无效投标保证金。</w:t>
            </w:r>
          </w:p>
        </w:tc>
      </w:tr>
      <w:tr w14:paraId="631A7B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0357561">
            <w:pPr>
              <w:spacing w:line="400" w:lineRule="exact"/>
              <w:jc w:val="center"/>
              <w:rPr>
                <w:rFonts w:ascii="宋体" w:hAnsi="宋体"/>
                <w:color w:val="auto"/>
                <w:szCs w:val="21"/>
                <w:highlight w:val="none"/>
              </w:rPr>
            </w:pPr>
            <w:bookmarkStart w:id="66" w:name="_19.2"/>
            <w:bookmarkEnd w:id="66"/>
            <w:r>
              <w:rPr>
                <w:rFonts w:hint="eastAsia" w:ascii="宋体" w:hAnsi="宋体"/>
                <w:color w:val="auto"/>
                <w:szCs w:val="21"/>
                <w:highlight w:val="none"/>
              </w:rPr>
              <w:t>19.2</w:t>
            </w:r>
          </w:p>
        </w:tc>
        <w:tc>
          <w:tcPr>
            <w:tcW w:w="8708" w:type="dxa"/>
            <w:tcBorders>
              <w:top w:val="single" w:color="auto" w:sz="4" w:space="0"/>
              <w:left w:val="single" w:color="auto" w:sz="4" w:space="0"/>
              <w:bottom w:val="single" w:color="auto" w:sz="4" w:space="0"/>
              <w:right w:val="single" w:color="auto" w:sz="4" w:space="0"/>
            </w:tcBorders>
            <w:vAlign w:val="center"/>
          </w:tcPr>
          <w:p w14:paraId="2176190C">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投标文件应按报价文件、资格证明文件、商务文件、技术文件分别编制，</w:t>
            </w:r>
            <w:r>
              <w:rPr>
                <w:rFonts w:hint="eastAsia" w:ascii="宋体" w:hAnsi="宋体" w:cs="宋体"/>
                <w:color w:val="auto"/>
                <w:szCs w:val="21"/>
                <w:highlight w:val="none"/>
              </w:rPr>
              <w:t>并按广西政府采购云平台的要求编制、加密、上传。</w:t>
            </w:r>
          </w:p>
        </w:tc>
      </w:tr>
      <w:tr w14:paraId="712048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C0E0A32">
            <w:pPr>
              <w:spacing w:line="400" w:lineRule="exact"/>
              <w:jc w:val="center"/>
              <w:rPr>
                <w:rFonts w:ascii="宋体" w:hAnsi="宋体"/>
                <w:color w:val="auto"/>
                <w:szCs w:val="21"/>
                <w:highlight w:val="none"/>
              </w:rPr>
            </w:pPr>
            <w:r>
              <w:rPr>
                <w:rFonts w:hint="eastAsia" w:ascii="宋体" w:hAnsi="宋体"/>
                <w:color w:val="auto"/>
                <w:szCs w:val="21"/>
                <w:highlight w:val="none"/>
              </w:rPr>
              <w:t>20.1</w:t>
            </w:r>
          </w:p>
        </w:tc>
        <w:tc>
          <w:tcPr>
            <w:tcW w:w="8708" w:type="dxa"/>
            <w:tcBorders>
              <w:top w:val="single" w:color="auto" w:sz="4" w:space="0"/>
              <w:left w:val="single" w:color="auto" w:sz="4" w:space="0"/>
              <w:bottom w:val="single" w:color="auto" w:sz="4" w:space="0"/>
              <w:right w:val="single" w:color="auto" w:sz="4" w:space="0"/>
            </w:tcBorders>
            <w:vAlign w:val="center"/>
          </w:tcPr>
          <w:p w14:paraId="7B211465">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电子投标文件应在制作完成后，投标人应按广西政府采购云平台的要求进行加密，并在规定时间内解密，否则，由此产生的后果由投标人自行负责。</w:t>
            </w:r>
          </w:p>
        </w:tc>
      </w:tr>
      <w:tr w14:paraId="7AF070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0A966153">
            <w:pPr>
              <w:spacing w:line="400" w:lineRule="exact"/>
              <w:jc w:val="center"/>
              <w:rPr>
                <w:rFonts w:ascii="宋体" w:hAnsi="宋体"/>
                <w:color w:val="auto"/>
                <w:szCs w:val="21"/>
                <w:highlight w:val="none"/>
              </w:rPr>
            </w:pPr>
            <w:bookmarkStart w:id="67" w:name="_21.1"/>
            <w:bookmarkEnd w:id="67"/>
            <w:r>
              <w:rPr>
                <w:rFonts w:hint="eastAsia" w:ascii="宋体" w:hAnsi="宋体"/>
                <w:color w:val="auto"/>
                <w:szCs w:val="21"/>
                <w:highlight w:val="none"/>
              </w:rPr>
              <w:t>21.1</w:t>
            </w:r>
          </w:p>
        </w:tc>
        <w:tc>
          <w:tcPr>
            <w:tcW w:w="8708" w:type="dxa"/>
            <w:tcBorders>
              <w:top w:val="single" w:color="auto" w:sz="4" w:space="0"/>
              <w:left w:val="single" w:color="auto" w:sz="4" w:space="0"/>
              <w:bottom w:val="single" w:color="auto" w:sz="4" w:space="0"/>
              <w:right w:val="single" w:color="auto" w:sz="4" w:space="0"/>
            </w:tcBorders>
            <w:vAlign w:val="center"/>
          </w:tcPr>
          <w:p w14:paraId="6A9CE103">
            <w:pPr>
              <w:snapToGrid w:val="0"/>
              <w:spacing w:line="400" w:lineRule="exact"/>
              <w:rPr>
                <w:rFonts w:ascii="宋体" w:hAnsi="宋体"/>
                <w:color w:val="auto"/>
                <w:szCs w:val="21"/>
                <w:highlight w:val="none"/>
                <w:u w:val="single"/>
              </w:rPr>
            </w:pPr>
            <w:r>
              <w:rPr>
                <w:rFonts w:hint="eastAsia" w:ascii="宋体" w:hAnsi="宋体"/>
                <w:color w:val="auto"/>
                <w:szCs w:val="21"/>
                <w:highlight w:val="none"/>
              </w:rPr>
              <w:t>1、投标截止时间：详见招标公告</w:t>
            </w:r>
          </w:p>
          <w:p w14:paraId="5C09FABA">
            <w:pPr>
              <w:snapToGrid w:val="0"/>
              <w:spacing w:line="400" w:lineRule="exact"/>
              <w:rPr>
                <w:rFonts w:ascii="宋体" w:hAnsi="宋体"/>
                <w:color w:val="auto"/>
                <w:szCs w:val="21"/>
                <w:highlight w:val="none"/>
              </w:rPr>
            </w:pPr>
            <w:r>
              <w:rPr>
                <w:rFonts w:hint="eastAsia" w:ascii="宋体" w:hAnsi="宋体"/>
                <w:color w:val="auto"/>
                <w:szCs w:val="21"/>
                <w:highlight w:val="none"/>
              </w:rPr>
              <w:t>2、投标地点：详见招标公告</w:t>
            </w:r>
          </w:p>
        </w:tc>
      </w:tr>
      <w:tr w14:paraId="45AE51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99B01F4">
            <w:pPr>
              <w:spacing w:line="400" w:lineRule="exact"/>
              <w:jc w:val="center"/>
              <w:rPr>
                <w:rFonts w:ascii="宋体" w:hAnsi="宋体"/>
                <w:color w:val="auto"/>
                <w:szCs w:val="21"/>
                <w:highlight w:val="none"/>
              </w:rPr>
            </w:pPr>
            <w:bookmarkStart w:id="68" w:name="_23"/>
            <w:bookmarkEnd w:id="68"/>
            <w:r>
              <w:rPr>
                <w:rFonts w:hint="eastAsia" w:ascii="宋体" w:hAnsi="宋体"/>
                <w:color w:val="auto"/>
                <w:szCs w:val="21"/>
                <w:highlight w:val="none"/>
              </w:rPr>
              <w:t>23</w:t>
            </w:r>
          </w:p>
        </w:tc>
        <w:tc>
          <w:tcPr>
            <w:tcW w:w="8708" w:type="dxa"/>
            <w:tcBorders>
              <w:top w:val="single" w:color="auto" w:sz="4" w:space="0"/>
              <w:left w:val="single" w:color="auto" w:sz="4" w:space="0"/>
              <w:bottom w:val="single" w:color="auto" w:sz="4" w:space="0"/>
              <w:right w:val="single" w:color="auto" w:sz="4" w:space="0"/>
            </w:tcBorders>
            <w:vAlign w:val="center"/>
          </w:tcPr>
          <w:p w14:paraId="19FBD27D">
            <w:pPr>
              <w:snapToGrid w:val="0"/>
              <w:spacing w:line="400" w:lineRule="exact"/>
              <w:rPr>
                <w:rFonts w:ascii="宋体" w:hAnsi="宋体"/>
                <w:color w:val="auto"/>
                <w:szCs w:val="21"/>
                <w:highlight w:val="none"/>
              </w:rPr>
            </w:pPr>
            <w:r>
              <w:rPr>
                <w:rFonts w:hint="eastAsia" w:ascii="宋体" w:hAnsi="宋体"/>
                <w:color w:val="auto"/>
                <w:szCs w:val="21"/>
                <w:highlight w:val="none"/>
              </w:rPr>
              <w:t>1、开标时间：详见招标公告</w:t>
            </w:r>
          </w:p>
          <w:p w14:paraId="79E5D89A">
            <w:pPr>
              <w:snapToGrid w:val="0"/>
              <w:spacing w:line="400" w:lineRule="exact"/>
              <w:rPr>
                <w:rFonts w:ascii="宋体" w:hAnsi="宋体"/>
                <w:color w:val="auto"/>
                <w:szCs w:val="21"/>
                <w:highlight w:val="none"/>
              </w:rPr>
            </w:pPr>
            <w:r>
              <w:rPr>
                <w:rFonts w:hint="eastAsia" w:ascii="宋体" w:hAnsi="宋体"/>
                <w:color w:val="auto"/>
                <w:szCs w:val="21"/>
                <w:highlight w:val="none"/>
              </w:rPr>
              <w:t>2、开标地点：详见招标公告</w:t>
            </w:r>
          </w:p>
        </w:tc>
      </w:tr>
      <w:tr w14:paraId="31F598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F2666EA">
            <w:pPr>
              <w:spacing w:line="400" w:lineRule="exact"/>
              <w:jc w:val="center"/>
              <w:rPr>
                <w:rFonts w:ascii="宋体" w:hAnsi="宋体"/>
                <w:color w:val="auto"/>
                <w:szCs w:val="21"/>
                <w:highlight w:val="none"/>
              </w:rPr>
            </w:pPr>
            <w:r>
              <w:rPr>
                <w:rFonts w:hint="eastAsia" w:ascii="宋体" w:hAnsi="宋体"/>
                <w:bCs/>
                <w:color w:val="auto"/>
                <w:szCs w:val="21"/>
                <w:highlight w:val="none"/>
              </w:rPr>
              <w:t>24.2</w:t>
            </w:r>
          </w:p>
        </w:tc>
        <w:tc>
          <w:tcPr>
            <w:tcW w:w="8708" w:type="dxa"/>
            <w:tcBorders>
              <w:top w:val="single" w:color="auto" w:sz="4" w:space="0"/>
              <w:left w:val="single" w:color="auto" w:sz="4" w:space="0"/>
              <w:bottom w:val="single" w:color="auto" w:sz="4" w:space="0"/>
              <w:right w:val="single" w:color="auto" w:sz="4" w:space="0"/>
            </w:tcBorders>
            <w:vAlign w:val="center"/>
          </w:tcPr>
          <w:p w14:paraId="173609DB">
            <w:pPr>
              <w:snapToGrid w:val="0"/>
              <w:spacing w:line="400" w:lineRule="exact"/>
              <w:rPr>
                <w:rFonts w:ascii="宋体" w:hAnsi="宋体"/>
                <w:color w:val="auto"/>
                <w:szCs w:val="21"/>
                <w:highlight w:val="none"/>
              </w:rPr>
            </w:pPr>
            <w:r>
              <w:rPr>
                <w:rFonts w:hint="eastAsia" w:ascii="宋体" w:hAnsi="宋体"/>
                <w:bCs/>
                <w:color w:val="auto"/>
                <w:szCs w:val="21"/>
                <w:highlight w:val="none"/>
              </w:rPr>
              <w:t>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b/>
                <w:bCs/>
                <w:color w:val="auto"/>
                <w:szCs w:val="21"/>
                <w:highlight w:val="none"/>
              </w:rPr>
              <w:t>投标人的法定代表人或其委托代理人须携带加密时所用的CA锁准时登录到广西政府采购云平台电子开标大厅签到</w:t>
            </w:r>
            <w:r>
              <w:rPr>
                <w:rFonts w:hint="eastAsia" w:ascii="宋体" w:hAnsi="宋体" w:cs="宋体"/>
                <w:b/>
                <w:color w:val="auto"/>
                <w:szCs w:val="21"/>
                <w:highlight w:val="none"/>
              </w:rPr>
              <w:t>并在发起解密</w:t>
            </w:r>
            <w:r>
              <w:rPr>
                <w:rFonts w:hint="eastAsia" w:ascii="宋体" w:hAnsi="宋体"/>
                <w:b/>
                <w:bCs/>
                <w:color w:val="auto"/>
                <w:szCs w:val="21"/>
                <w:highlight w:val="none"/>
              </w:rPr>
              <w:t>通知</w:t>
            </w:r>
            <w:r>
              <w:rPr>
                <w:rFonts w:hint="eastAsia" w:ascii="宋体" w:hAnsi="宋体" w:cs="宋体"/>
                <w:b/>
                <w:color w:val="auto"/>
                <w:szCs w:val="21"/>
                <w:highlight w:val="none"/>
              </w:rPr>
              <w:t>之时起30分钟内完成</w:t>
            </w:r>
            <w:r>
              <w:rPr>
                <w:rFonts w:hint="eastAsia" w:ascii="宋体" w:hAnsi="宋体"/>
                <w:b/>
                <w:bCs/>
                <w:color w:val="auto"/>
                <w:szCs w:val="21"/>
                <w:highlight w:val="none"/>
              </w:rPr>
              <w:t>对电子投标文件解密。投标文件未按时解密的，视为无效投标。</w:t>
            </w:r>
          </w:p>
        </w:tc>
      </w:tr>
      <w:tr w14:paraId="660415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03A5B6E">
            <w:pPr>
              <w:spacing w:line="400" w:lineRule="exact"/>
              <w:jc w:val="center"/>
              <w:rPr>
                <w:rFonts w:ascii="宋体" w:hAnsi="宋体"/>
                <w:color w:val="auto"/>
                <w:szCs w:val="21"/>
                <w:highlight w:val="none"/>
              </w:rPr>
            </w:pPr>
            <w:bookmarkStart w:id="69" w:name="_25.3"/>
            <w:bookmarkEnd w:id="69"/>
            <w:r>
              <w:rPr>
                <w:rFonts w:hint="eastAsia" w:ascii="宋体" w:hAnsi="宋体"/>
                <w:color w:val="auto"/>
                <w:szCs w:val="21"/>
                <w:highlight w:val="none"/>
              </w:rPr>
              <w:t>25.3（3）</w:t>
            </w:r>
          </w:p>
        </w:tc>
        <w:tc>
          <w:tcPr>
            <w:tcW w:w="8708" w:type="dxa"/>
            <w:tcBorders>
              <w:top w:val="single" w:color="auto" w:sz="4" w:space="0"/>
              <w:left w:val="single" w:color="auto" w:sz="4" w:space="0"/>
              <w:bottom w:val="single" w:color="auto" w:sz="4" w:space="0"/>
              <w:right w:val="single" w:color="auto" w:sz="4" w:space="0"/>
            </w:tcBorders>
            <w:vAlign w:val="center"/>
          </w:tcPr>
          <w:p w14:paraId="1887702F">
            <w:pPr>
              <w:snapToGrid w:val="0"/>
              <w:spacing w:line="400" w:lineRule="exact"/>
              <w:rPr>
                <w:rFonts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5F1B0A37">
            <w:pPr>
              <w:snapToGrid w:val="0"/>
              <w:spacing w:line="400" w:lineRule="exact"/>
              <w:rPr>
                <w:rFonts w:ascii="宋体" w:hAnsi="宋体"/>
                <w:color w:val="auto"/>
                <w:szCs w:val="21"/>
                <w:highlight w:val="none"/>
              </w:rPr>
            </w:pPr>
            <w:r>
              <w:rPr>
                <w:rFonts w:hint="eastAsia" w:ascii="宋体" w:hAnsi="宋体"/>
                <w:color w:val="auto"/>
                <w:szCs w:val="21"/>
                <w:highlight w:val="none"/>
              </w:rPr>
              <w:t>查询渠道：</w:t>
            </w:r>
            <w:r>
              <w:rPr>
                <w:rFonts w:ascii="宋体" w:hAnsi="宋体"/>
                <w:color w:val="auto"/>
                <w:szCs w:val="21"/>
                <w:highlight w:val="none"/>
              </w:rPr>
              <w:t>“信用中国”网站（www.creditchina.gov.cn）、中国政府采购网（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55"/>
                <w:rFonts w:ascii="宋体" w:hAnsi="宋体"/>
                <w:color w:val="auto"/>
                <w:szCs w:val="21"/>
                <w:highlight w:val="none"/>
              </w:rPr>
              <w:t>www.ccgp.gov.cn</w:t>
            </w:r>
            <w:r>
              <w:rPr>
                <w:rStyle w:val="55"/>
                <w:rFonts w:ascii="宋体" w:hAnsi="宋体"/>
                <w:color w:val="auto"/>
                <w:szCs w:val="21"/>
                <w:highlight w:val="none"/>
              </w:rPr>
              <w:fldChar w:fldCharType="end"/>
            </w:r>
            <w:r>
              <w:rPr>
                <w:rFonts w:ascii="宋体" w:hAnsi="宋体"/>
                <w:color w:val="auto"/>
                <w:szCs w:val="21"/>
                <w:highlight w:val="none"/>
              </w:rPr>
              <w:t>）</w:t>
            </w:r>
            <w:r>
              <w:rPr>
                <w:rFonts w:hint="eastAsia" w:ascii="宋体" w:hAnsi="宋体"/>
                <w:color w:val="auto"/>
                <w:szCs w:val="21"/>
                <w:highlight w:val="none"/>
              </w:rPr>
              <w:t>。</w:t>
            </w:r>
          </w:p>
          <w:p w14:paraId="0E459D3B">
            <w:pPr>
              <w:snapToGrid w:val="0"/>
              <w:spacing w:line="400" w:lineRule="exact"/>
              <w:rPr>
                <w:rFonts w:ascii="宋体" w:hAnsi="宋体"/>
                <w:color w:val="auto"/>
                <w:szCs w:val="21"/>
                <w:highlight w:val="none"/>
              </w:rPr>
            </w:pPr>
            <w:r>
              <w:rPr>
                <w:rFonts w:hint="eastAsia" w:ascii="宋体" w:hAnsi="宋体"/>
                <w:color w:val="auto"/>
                <w:szCs w:val="21"/>
                <w:highlight w:val="none"/>
              </w:rPr>
              <w:t>信用查询截止时点：</w:t>
            </w:r>
            <w:r>
              <w:rPr>
                <w:rFonts w:ascii="宋体" w:hAnsi="宋体" w:cs="宋体"/>
                <w:color w:val="auto"/>
                <w:szCs w:val="21"/>
                <w:highlight w:val="none"/>
              </w:rPr>
              <w:t>资格审查结束前</w:t>
            </w:r>
            <w:r>
              <w:rPr>
                <w:rFonts w:hint="eastAsia" w:ascii="宋体" w:hAnsi="宋体" w:cs="宋体"/>
                <w:color w:val="auto"/>
                <w:szCs w:val="21"/>
                <w:highlight w:val="none"/>
              </w:rPr>
              <w:t>。</w:t>
            </w:r>
          </w:p>
          <w:p w14:paraId="7A4EC488">
            <w:pPr>
              <w:snapToGrid w:val="0"/>
              <w:spacing w:line="400" w:lineRule="exact"/>
              <w:rPr>
                <w:rFonts w:ascii="宋体" w:hAnsi="宋体"/>
                <w:color w:val="auto"/>
                <w:szCs w:val="21"/>
                <w:highlight w:val="none"/>
              </w:rPr>
            </w:pPr>
            <w:r>
              <w:rPr>
                <w:rFonts w:hint="eastAsia" w:ascii="宋体" w:hAnsi="宋体"/>
                <w:color w:val="auto"/>
                <w:szCs w:val="21"/>
                <w:highlight w:val="none"/>
              </w:rPr>
              <w:t>查询记录和证据留存方式：</w:t>
            </w:r>
            <w:r>
              <w:rPr>
                <w:rFonts w:hint="eastAsia" w:ascii="宋体" w:hAnsi="宋体" w:cs="宋体"/>
                <w:color w:val="auto"/>
                <w:szCs w:val="21"/>
                <w:highlight w:val="none"/>
              </w:rPr>
              <w:t>将查询网站中的查询记录截图并作为评审资料保存。</w:t>
            </w:r>
          </w:p>
          <w:p w14:paraId="10A33735">
            <w:pPr>
              <w:snapToGrid w:val="0"/>
              <w:spacing w:line="400" w:lineRule="exact"/>
              <w:rPr>
                <w:rFonts w:ascii="宋体" w:hAnsi="宋体"/>
                <w:b/>
                <w:color w:val="auto"/>
                <w:szCs w:val="21"/>
                <w:highlight w:val="none"/>
              </w:rPr>
            </w:pPr>
            <w:r>
              <w:rPr>
                <w:rFonts w:hint="eastAsia" w:ascii="宋体" w:hAnsi="宋体"/>
                <w:color w:val="auto"/>
                <w:szCs w:val="21"/>
                <w:highlight w:val="none"/>
              </w:rPr>
              <w:t>信用信息使用规则：根据财政部《关于在政府采购活动中查询及使用信用记录有关问题的通知》（财库〔2016〕125号）的规定，</w:t>
            </w:r>
            <w:r>
              <w:rPr>
                <w:rFonts w:hint="eastAsia" w:ascii="宋体" w:hAnsi="宋体" w:cs="宋体"/>
                <w:color w:val="auto"/>
                <w:szCs w:val="21"/>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69519E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F004E66">
            <w:pPr>
              <w:spacing w:line="400" w:lineRule="exact"/>
              <w:jc w:val="center"/>
              <w:rPr>
                <w:rFonts w:ascii="宋体" w:hAnsi="宋体"/>
                <w:color w:val="auto"/>
                <w:szCs w:val="21"/>
                <w:highlight w:val="none"/>
              </w:rPr>
            </w:pPr>
            <w:bookmarkStart w:id="70" w:name="_26"/>
            <w:bookmarkEnd w:id="70"/>
            <w:r>
              <w:rPr>
                <w:rFonts w:hint="eastAsia" w:ascii="宋体" w:hAnsi="宋体"/>
                <w:color w:val="auto"/>
                <w:szCs w:val="21"/>
                <w:highlight w:val="none"/>
              </w:rPr>
              <w:t>26</w:t>
            </w:r>
          </w:p>
        </w:tc>
        <w:tc>
          <w:tcPr>
            <w:tcW w:w="8708" w:type="dxa"/>
            <w:tcBorders>
              <w:top w:val="single" w:color="auto" w:sz="4" w:space="0"/>
              <w:left w:val="single" w:color="auto" w:sz="4" w:space="0"/>
              <w:bottom w:val="single" w:color="auto" w:sz="4" w:space="0"/>
              <w:right w:val="single" w:color="auto" w:sz="4" w:space="0"/>
            </w:tcBorders>
            <w:vAlign w:val="center"/>
          </w:tcPr>
          <w:p w14:paraId="34094C75">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评标委员会的人数：5人或5人以上单数</w:t>
            </w:r>
            <w:r>
              <w:rPr>
                <w:rFonts w:hint="eastAsia" w:ascii="宋体" w:hAnsi="宋体"/>
                <w:color w:val="auto"/>
                <w:highlight w:val="none"/>
              </w:rPr>
              <w:t>。</w:t>
            </w:r>
          </w:p>
        </w:tc>
      </w:tr>
      <w:tr w14:paraId="75E53D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7653C5C">
            <w:pPr>
              <w:spacing w:line="400" w:lineRule="exact"/>
              <w:jc w:val="center"/>
              <w:rPr>
                <w:rFonts w:ascii="宋体" w:hAnsi="宋体"/>
                <w:color w:val="auto"/>
                <w:szCs w:val="21"/>
                <w:highlight w:val="none"/>
              </w:rPr>
            </w:pPr>
            <w:bookmarkStart w:id="71" w:name="_28.3"/>
            <w:bookmarkEnd w:id="71"/>
            <w:r>
              <w:rPr>
                <w:rFonts w:ascii="宋体" w:hAnsi="宋体"/>
                <w:color w:val="auto"/>
                <w:szCs w:val="21"/>
                <w:highlight w:val="none"/>
              </w:rPr>
              <w:t>29.1</w:t>
            </w:r>
          </w:p>
        </w:tc>
        <w:tc>
          <w:tcPr>
            <w:tcW w:w="8708" w:type="dxa"/>
            <w:tcBorders>
              <w:top w:val="single" w:color="auto" w:sz="4" w:space="0"/>
              <w:left w:val="single" w:color="auto" w:sz="4" w:space="0"/>
              <w:bottom w:val="single" w:color="auto" w:sz="4" w:space="0"/>
              <w:right w:val="single" w:color="auto" w:sz="4" w:space="0"/>
            </w:tcBorders>
            <w:vAlign w:val="center"/>
          </w:tcPr>
          <w:p w14:paraId="1A55AD7E">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评标方法：综合评分法</w:t>
            </w:r>
          </w:p>
        </w:tc>
      </w:tr>
      <w:tr w14:paraId="3534F8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restart"/>
            <w:tcBorders>
              <w:top w:val="single" w:color="auto" w:sz="4" w:space="0"/>
              <w:left w:val="single" w:color="auto" w:sz="4" w:space="0"/>
              <w:right w:val="single" w:color="auto" w:sz="4" w:space="0"/>
            </w:tcBorders>
            <w:vAlign w:val="center"/>
          </w:tcPr>
          <w:p w14:paraId="323D3D8F">
            <w:pPr>
              <w:spacing w:line="400" w:lineRule="exact"/>
              <w:jc w:val="center"/>
              <w:rPr>
                <w:rFonts w:ascii="宋体" w:hAnsi="宋体"/>
                <w:color w:val="auto"/>
                <w:szCs w:val="21"/>
                <w:highlight w:val="none"/>
              </w:rPr>
            </w:pPr>
            <w:bookmarkStart w:id="72" w:name="_29.2.2（2）"/>
            <w:bookmarkEnd w:id="72"/>
            <w:r>
              <w:rPr>
                <w:rFonts w:hint="eastAsia" w:ascii="宋体" w:hAnsi="宋体"/>
                <w:color w:val="auto"/>
                <w:szCs w:val="21"/>
                <w:highlight w:val="none"/>
              </w:rPr>
              <w:t>29</w:t>
            </w:r>
            <w:r>
              <w:rPr>
                <w:rFonts w:ascii="宋体" w:hAnsi="宋体"/>
                <w:color w:val="auto"/>
                <w:szCs w:val="21"/>
                <w:highlight w:val="none"/>
              </w:rPr>
              <w:t>.2</w:t>
            </w:r>
          </w:p>
        </w:tc>
        <w:tc>
          <w:tcPr>
            <w:tcW w:w="8708" w:type="dxa"/>
            <w:tcBorders>
              <w:top w:val="single" w:color="auto" w:sz="4" w:space="0"/>
              <w:left w:val="single" w:color="auto" w:sz="4" w:space="0"/>
              <w:right w:val="single" w:color="auto" w:sz="4" w:space="0"/>
            </w:tcBorders>
            <w:vAlign w:val="center"/>
          </w:tcPr>
          <w:p w14:paraId="15D5980D">
            <w:pPr>
              <w:snapToGrid w:val="0"/>
              <w:spacing w:line="400" w:lineRule="exact"/>
              <w:rPr>
                <w:rFonts w:ascii="宋体" w:hAnsi="宋体"/>
                <w:color w:val="auto"/>
                <w:szCs w:val="21"/>
                <w:highlight w:val="none"/>
              </w:rPr>
            </w:pPr>
            <w:r>
              <w:rPr>
                <w:rFonts w:hint="eastAsia" w:ascii="宋体" w:hAnsi="宋体" w:cs="宋体"/>
                <w:color w:val="auto"/>
                <w:szCs w:val="21"/>
                <w:highlight w:val="none"/>
              </w:rPr>
              <w:t>商务要求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0</w:t>
            </w:r>
            <w:r>
              <w:rPr>
                <w:rFonts w:hint="eastAsia" w:ascii="宋体" w:hAnsi="宋体"/>
                <w:color w:val="auto"/>
                <w:szCs w:val="21"/>
                <w:highlight w:val="none"/>
              </w:rPr>
              <w:t>项。</w:t>
            </w:r>
          </w:p>
          <w:p w14:paraId="2B445545">
            <w:pPr>
              <w:snapToGrid w:val="0"/>
              <w:spacing w:line="400" w:lineRule="exact"/>
              <w:rPr>
                <w:rFonts w:ascii="宋体" w:hAnsi="宋体"/>
                <w:color w:val="auto"/>
                <w:szCs w:val="21"/>
                <w:highlight w:val="none"/>
              </w:rPr>
            </w:pPr>
            <w:r>
              <w:rPr>
                <w:rFonts w:hint="eastAsia" w:ascii="宋体" w:hAnsi="宋体" w:cs="宋体"/>
                <w:color w:val="auto"/>
                <w:szCs w:val="21"/>
                <w:highlight w:val="none"/>
              </w:rPr>
              <w:t>技术要求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0</w:t>
            </w:r>
            <w:r>
              <w:rPr>
                <w:rFonts w:hint="eastAsia" w:ascii="宋体" w:hAnsi="宋体"/>
                <w:color w:val="auto"/>
                <w:szCs w:val="21"/>
                <w:highlight w:val="none"/>
              </w:rPr>
              <w:t>项。</w:t>
            </w:r>
          </w:p>
        </w:tc>
      </w:tr>
      <w:tr w14:paraId="16FEA6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continue"/>
            <w:tcBorders>
              <w:left w:val="single" w:color="auto" w:sz="4" w:space="0"/>
              <w:right w:val="single" w:color="auto" w:sz="4" w:space="0"/>
            </w:tcBorders>
            <w:vAlign w:val="center"/>
          </w:tcPr>
          <w:p w14:paraId="30A3C295">
            <w:pPr>
              <w:spacing w:line="400" w:lineRule="exact"/>
              <w:jc w:val="center"/>
              <w:rPr>
                <w:rFonts w:ascii="宋体" w:hAnsi="宋体"/>
                <w:color w:val="auto"/>
                <w:szCs w:val="21"/>
                <w:highlight w:val="none"/>
              </w:rPr>
            </w:pPr>
          </w:p>
        </w:tc>
        <w:tc>
          <w:tcPr>
            <w:tcW w:w="8708" w:type="dxa"/>
            <w:tcBorders>
              <w:top w:val="single" w:color="auto" w:sz="4" w:space="0"/>
              <w:left w:val="single" w:color="auto" w:sz="4" w:space="0"/>
              <w:right w:val="single" w:color="auto" w:sz="4" w:space="0"/>
            </w:tcBorders>
            <w:vAlign w:val="center"/>
          </w:tcPr>
          <w:p w14:paraId="353FD173">
            <w:pPr>
              <w:snapToGrid w:val="0"/>
              <w:spacing w:line="400" w:lineRule="exact"/>
              <w:rPr>
                <w:rFonts w:ascii="宋体" w:hAnsi="宋体" w:cs="宋体"/>
                <w:color w:val="auto"/>
                <w:szCs w:val="21"/>
                <w:highlight w:val="none"/>
                <w:u w:val="single"/>
              </w:rPr>
            </w:pPr>
            <w:r>
              <w:rPr>
                <w:rFonts w:ascii="宋体" w:hAnsi="宋体"/>
                <w:color w:val="auto"/>
                <w:highlight w:val="none"/>
              </w:rPr>
              <w:t>中标候选人推荐数量</w:t>
            </w:r>
            <w:r>
              <w:rPr>
                <w:rFonts w:hint="eastAsia" w:ascii="宋体" w:hAnsi="宋体"/>
                <w:color w:val="auto"/>
                <w:highlight w:val="none"/>
              </w:rPr>
              <w:t>：3家</w:t>
            </w:r>
          </w:p>
        </w:tc>
      </w:tr>
      <w:tr w14:paraId="63A346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412CBE3">
            <w:pPr>
              <w:spacing w:line="400" w:lineRule="exact"/>
              <w:jc w:val="center"/>
              <w:rPr>
                <w:rFonts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8708" w:type="dxa"/>
            <w:tcBorders>
              <w:top w:val="single" w:color="auto" w:sz="4" w:space="0"/>
              <w:left w:val="single" w:color="auto" w:sz="4" w:space="0"/>
              <w:bottom w:val="single" w:color="auto" w:sz="4" w:space="0"/>
              <w:right w:val="single" w:color="auto" w:sz="4" w:space="0"/>
            </w:tcBorders>
            <w:vAlign w:val="center"/>
          </w:tcPr>
          <w:p w14:paraId="3D647A86">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采用综合评分法的采购项目，采购人确定中标人时，出现中标候选人并列的情形，采购人按以下的方式确定中标人：按综合评分中价格分、技术分、商务分得分高低依次确定。</w:t>
            </w:r>
          </w:p>
        </w:tc>
      </w:tr>
      <w:tr w14:paraId="54EEAC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678AB8CF">
            <w:pPr>
              <w:spacing w:line="400" w:lineRule="exact"/>
              <w:jc w:val="center"/>
              <w:rPr>
                <w:rFonts w:ascii="宋体" w:hAnsi="宋体"/>
                <w:color w:val="auto"/>
                <w:szCs w:val="21"/>
                <w:highlight w:val="none"/>
              </w:rPr>
            </w:pPr>
            <w:bookmarkStart w:id="73" w:name="_39.1"/>
            <w:bookmarkEnd w:id="73"/>
            <w:r>
              <w:rPr>
                <w:rFonts w:hint="eastAsia" w:ascii="宋体" w:hAnsi="宋体"/>
                <w:color w:val="auto"/>
                <w:szCs w:val="21"/>
                <w:highlight w:val="none"/>
              </w:rPr>
              <w:t>35</w:t>
            </w:r>
            <w:r>
              <w:rPr>
                <w:rFonts w:ascii="宋体" w:hAnsi="宋体"/>
                <w:color w:val="auto"/>
                <w:szCs w:val="21"/>
                <w:highlight w:val="none"/>
              </w:rPr>
              <w:t>.1</w:t>
            </w:r>
          </w:p>
        </w:tc>
        <w:tc>
          <w:tcPr>
            <w:tcW w:w="8708" w:type="dxa"/>
            <w:tcBorders>
              <w:top w:val="single" w:color="auto" w:sz="4" w:space="0"/>
              <w:left w:val="single" w:color="auto" w:sz="4" w:space="0"/>
              <w:bottom w:val="single" w:color="auto" w:sz="4" w:space="0"/>
              <w:right w:val="single" w:color="auto" w:sz="4" w:space="0"/>
            </w:tcBorders>
            <w:vAlign w:val="center"/>
          </w:tcPr>
          <w:p w14:paraId="55ECBF6D">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□本项目不收取履约保证金。</w:t>
            </w:r>
          </w:p>
          <w:p w14:paraId="2E0BB1C3">
            <w:pPr>
              <w:autoSpaceDE w:val="0"/>
              <w:autoSpaceDN w:val="0"/>
              <w:snapToGrid w:val="0"/>
              <w:spacing w:line="400" w:lineRule="exact"/>
              <w:textAlignment w:val="bottom"/>
              <w:rPr>
                <w:rFonts w:ascii="宋体" w:hAnsi="宋体"/>
                <w:color w:val="auto"/>
                <w:szCs w:val="21"/>
                <w:highlight w:val="none"/>
              </w:rPr>
            </w:pPr>
            <w:r>
              <w:rPr>
                <w:rFonts w:hint="eastAsia" w:ascii="宋体" w:hAnsi="宋体" w:eastAsia="MS Mincho" w:cs="MS Mincho"/>
                <w:color w:val="auto"/>
                <w:szCs w:val="21"/>
                <w:highlight w:val="none"/>
              </w:rPr>
              <w:t>☑</w:t>
            </w:r>
            <w:r>
              <w:rPr>
                <w:rFonts w:hint="eastAsia" w:ascii="宋体" w:hAnsi="宋体" w:cs="宋体"/>
                <w:color w:val="auto"/>
                <w:szCs w:val="21"/>
                <w:highlight w:val="none"/>
              </w:rPr>
              <w:t>本项目收取履约保证金，具体规定如下：</w:t>
            </w:r>
          </w:p>
          <w:p w14:paraId="622690D2">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履约保证金金额：按合同金额的5%（小微企业按合同金额的2%）</w:t>
            </w:r>
          </w:p>
          <w:p w14:paraId="7B84E5F7">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履约保证金递交方式：银行转账、支票、汇票、本票或者金融、担保机构出具的保函等非现金方式</w:t>
            </w:r>
          </w:p>
          <w:p w14:paraId="03E42E62">
            <w:pPr>
              <w:autoSpaceDE w:val="0"/>
              <w:autoSpaceDN w:val="0"/>
              <w:snapToGrid w:val="0"/>
              <w:spacing w:line="400" w:lineRule="exact"/>
              <w:textAlignment w:val="bottom"/>
              <w:rPr>
                <w:rFonts w:ascii="宋体" w:hAnsi="宋体"/>
                <w:color w:val="auto"/>
                <w:szCs w:val="21"/>
                <w:highlight w:val="none"/>
                <w:u w:val="single"/>
              </w:rPr>
            </w:pPr>
            <w:r>
              <w:rPr>
                <w:rFonts w:hint="eastAsia" w:ascii="宋体" w:hAnsi="宋体"/>
                <w:color w:val="auto"/>
                <w:szCs w:val="21"/>
                <w:highlight w:val="none"/>
              </w:rPr>
              <w:t>履约保证金退付方式、时间及条件：</w:t>
            </w:r>
            <w:r>
              <w:rPr>
                <w:rFonts w:hint="eastAsia" w:ascii="宋体" w:hAnsi="宋体"/>
                <w:color w:val="auto"/>
                <w:szCs w:val="21"/>
                <w:highlight w:val="none"/>
                <w:u w:val="single"/>
              </w:rPr>
              <w:t>项目验收合格后自动转换成质保金，服务期内项目若无质量问题，服务期结束后无息返还。</w:t>
            </w:r>
          </w:p>
          <w:p w14:paraId="1AAF8B31">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履约保证金指定账户：</w:t>
            </w:r>
          </w:p>
          <w:p w14:paraId="3634B8F3">
            <w:pPr>
              <w:spacing w:line="400" w:lineRule="exact"/>
              <w:jc w:val="left"/>
              <w:rPr>
                <w:rFonts w:ascii="宋体" w:hAnsi="宋体"/>
                <w:color w:val="auto"/>
                <w:szCs w:val="21"/>
                <w:highlight w:val="none"/>
              </w:rPr>
            </w:pPr>
            <w:r>
              <w:rPr>
                <w:rFonts w:hint="eastAsia" w:ascii="宋体" w:hAnsi="宋体"/>
                <w:color w:val="auto"/>
                <w:szCs w:val="21"/>
                <w:highlight w:val="none"/>
              </w:rPr>
              <w:t>开户名称：广西壮族自治区收费公路联网收费清分结算中心</w:t>
            </w:r>
          </w:p>
          <w:p w14:paraId="45BE994A">
            <w:pPr>
              <w:spacing w:line="400" w:lineRule="exact"/>
              <w:jc w:val="left"/>
              <w:rPr>
                <w:rFonts w:ascii="宋体" w:hAnsi="宋体"/>
                <w:color w:val="auto"/>
                <w:szCs w:val="21"/>
                <w:highlight w:val="none"/>
              </w:rPr>
            </w:pPr>
            <w:r>
              <w:rPr>
                <w:rFonts w:hint="eastAsia" w:ascii="宋体" w:hAnsi="宋体"/>
                <w:color w:val="auto"/>
                <w:szCs w:val="21"/>
                <w:highlight w:val="none"/>
              </w:rPr>
              <w:t>开户银行：交通银行股份有限公司南宁金源支行</w:t>
            </w:r>
          </w:p>
          <w:p w14:paraId="3EF076F6">
            <w:pPr>
              <w:spacing w:line="400" w:lineRule="exact"/>
              <w:jc w:val="left"/>
              <w:rPr>
                <w:rFonts w:ascii="宋体" w:hAnsi="宋体"/>
                <w:color w:val="auto"/>
                <w:szCs w:val="21"/>
                <w:highlight w:val="none"/>
              </w:rPr>
            </w:pPr>
            <w:r>
              <w:rPr>
                <w:rFonts w:hint="eastAsia" w:ascii="宋体" w:hAnsi="宋体"/>
                <w:color w:val="auto"/>
                <w:szCs w:val="21"/>
                <w:highlight w:val="none"/>
              </w:rPr>
              <w:t>银行账号：4510 6030 9018 0101 03458</w:t>
            </w:r>
          </w:p>
          <w:p w14:paraId="7EAAB17B">
            <w:pPr>
              <w:spacing w:line="400" w:lineRule="exact"/>
              <w:jc w:val="left"/>
              <w:rPr>
                <w:rFonts w:ascii="宋体" w:hAnsi="宋体" w:cs="Courier New"/>
                <w:color w:val="auto"/>
                <w:szCs w:val="21"/>
                <w:highlight w:val="none"/>
              </w:rPr>
            </w:pPr>
            <w:r>
              <w:rPr>
                <w:rFonts w:ascii="宋体" w:hAnsi="宋体" w:cs="Courier New"/>
                <w:color w:val="auto"/>
                <w:szCs w:val="21"/>
                <w:highlight w:val="none"/>
              </w:rPr>
              <w:t>备注：</w:t>
            </w:r>
          </w:p>
          <w:p w14:paraId="431A14CA">
            <w:pPr>
              <w:spacing w:line="400" w:lineRule="exact"/>
              <w:jc w:val="left"/>
              <w:rPr>
                <w:rFonts w:ascii="宋体" w:hAnsi="宋体" w:cs="Courier New"/>
                <w:color w:val="auto"/>
                <w:szCs w:val="21"/>
                <w:highlight w:val="none"/>
              </w:rPr>
            </w:pPr>
            <w:r>
              <w:rPr>
                <w:rFonts w:ascii="宋体" w:hAnsi="宋体"/>
                <w:b/>
                <w:color w:val="auto"/>
                <w:szCs w:val="21"/>
                <w:highlight w:val="none"/>
              </w:rPr>
              <w:t>1</w:t>
            </w:r>
            <w:bookmarkStart w:id="74" w:name="_Hlk54170335"/>
            <w:r>
              <w:rPr>
                <w:rFonts w:hint="eastAsia" w:ascii="宋体" w:hAnsi="宋体"/>
                <w:b/>
                <w:color w:val="auto"/>
                <w:szCs w:val="21"/>
                <w:highlight w:val="none"/>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2%。</w:t>
            </w:r>
            <w:bookmarkEnd w:id="74"/>
          </w:p>
          <w:p w14:paraId="2576C60B">
            <w:pPr>
              <w:spacing w:line="400" w:lineRule="exact"/>
              <w:jc w:val="left"/>
              <w:rPr>
                <w:rFonts w:ascii="宋体" w:hAnsi="宋体"/>
                <w:b/>
                <w:color w:val="auto"/>
                <w:szCs w:val="21"/>
                <w:highlight w:val="none"/>
              </w:rPr>
            </w:pPr>
            <w:r>
              <w:rPr>
                <w:rFonts w:ascii="宋体" w:hAnsi="宋体"/>
                <w:b/>
                <w:color w:val="auto"/>
                <w:szCs w:val="21"/>
                <w:highlight w:val="none"/>
              </w:rPr>
              <w:t>2</w:t>
            </w:r>
            <w:r>
              <w:rPr>
                <w:rFonts w:hint="eastAsia" w:ascii="宋体" w:hAnsi="宋体"/>
                <w:b/>
                <w:color w:val="auto"/>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4E6BE2E9">
            <w:pPr>
              <w:spacing w:line="400" w:lineRule="exact"/>
              <w:jc w:val="left"/>
              <w:rPr>
                <w:rFonts w:ascii="宋体" w:hAnsi="宋体"/>
                <w:b/>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w:t>
            </w:r>
            <w:r>
              <w:rPr>
                <w:rFonts w:ascii="宋体" w:hAnsi="宋体"/>
                <w:b/>
                <w:color w:val="auto"/>
                <w:szCs w:val="21"/>
                <w:highlight w:val="none"/>
              </w:rPr>
              <w:t>采用金融、担保机构出具的保函的，必须为无条件保函，否则不予签订合同。</w:t>
            </w:r>
          </w:p>
          <w:p w14:paraId="47B0B482">
            <w:pPr>
              <w:spacing w:line="400" w:lineRule="exact"/>
              <w:jc w:val="left"/>
              <w:rPr>
                <w:rFonts w:ascii="宋体" w:hAnsi="宋体" w:cs="宋体"/>
                <w:color w:val="auto"/>
                <w:kern w:val="0"/>
                <w:szCs w:val="21"/>
                <w:highlight w:val="none"/>
              </w:rPr>
            </w:pPr>
            <w:r>
              <w:rPr>
                <w:rFonts w:ascii="宋体" w:hAnsi="宋体"/>
                <w:b/>
                <w:color w:val="auto"/>
                <w:szCs w:val="21"/>
                <w:highlight w:val="none"/>
              </w:rPr>
              <w:t>4</w:t>
            </w:r>
            <w:r>
              <w:rPr>
                <w:rFonts w:hint="eastAsia" w:ascii="宋体" w:hAnsi="宋体"/>
                <w:b/>
                <w:color w:val="auto"/>
                <w:szCs w:val="21"/>
                <w:highlight w:val="none"/>
              </w:rPr>
              <w:t>、投标人为联合体的，由联合体其中一方按规定提交的履约保证金，视为有效履约保证金。</w:t>
            </w:r>
          </w:p>
        </w:tc>
      </w:tr>
      <w:tr w14:paraId="58ACAF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48F776C">
            <w:pPr>
              <w:spacing w:line="400" w:lineRule="exact"/>
              <w:jc w:val="center"/>
              <w:rPr>
                <w:rFonts w:ascii="宋体" w:hAnsi="宋体"/>
                <w:color w:val="auto"/>
                <w:szCs w:val="21"/>
                <w:highlight w:val="none"/>
              </w:rPr>
            </w:pPr>
            <w:bookmarkStart w:id="75" w:name="_40.1"/>
            <w:bookmarkEnd w:id="75"/>
            <w:r>
              <w:rPr>
                <w:rFonts w:hint="eastAsia" w:ascii="宋体" w:hAnsi="宋体"/>
                <w:color w:val="auto"/>
                <w:szCs w:val="21"/>
                <w:highlight w:val="none"/>
              </w:rPr>
              <w:t>36.1</w:t>
            </w:r>
          </w:p>
        </w:tc>
        <w:tc>
          <w:tcPr>
            <w:tcW w:w="8708" w:type="dxa"/>
            <w:tcBorders>
              <w:top w:val="single" w:color="auto" w:sz="4" w:space="0"/>
              <w:left w:val="single" w:color="auto" w:sz="4" w:space="0"/>
              <w:bottom w:val="single" w:color="auto" w:sz="4" w:space="0"/>
              <w:right w:val="single" w:color="auto" w:sz="4" w:space="0"/>
            </w:tcBorders>
            <w:vAlign w:val="center"/>
          </w:tcPr>
          <w:p w14:paraId="0DF27E9A">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 xml:space="preserve">签订合同携带的证明材料： </w:t>
            </w:r>
          </w:p>
          <w:p w14:paraId="3651CB08">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1、委托代理人负责签订合同的，须携带授权委托书及委托代理人身份证原件等其他资格证件。</w:t>
            </w:r>
          </w:p>
          <w:p w14:paraId="14C378EA">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2、法定代表人负责签订合同的，须携带法定代表人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5F5FF2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FC753C4">
            <w:pPr>
              <w:spacing w:line="400" w:lineRule="exact"/>
              <w:jc w:val="center"/>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p>
        </w:tc>
        <w:tc>
          <w:tcPr>
            <w:tcW w:w="8708" w:type="dxa"/>
            <w:tcBorders>
              <w:top w:val="single" w:color="auto" w:sz="4" w:space="0"/>
              <w:left w:val="single" w:color="auto" w:sz="4" w:space="0"/>
              <w:bottom w:val="single" w:color="auto" w:sz="4" w:space="0"/>
              <w:right w:val="single" w:color="auto" w:sz="4" w:space="0"/>
            </w:tcBorders>
            <w:vAlign w:val="center"/>
          </w:tcPr>
          <w:p w14:paraId="217FA65C">
            <w:pPr>
              <w:snapToGrid w:val="0"/>
              <w:spacing w:line="400" w:lineRule="exact"/>
              <w:rPr>
                <w:rFonts w:ascii="宋体" w:hAnsi="宋体"/>
                <w:color w:val="auto"/>
                <w:szCs w:val="21"/>
                <w:highlight w:val="none"/>
              </w:rPr>
            </w:pPr>
            <w:r>
              <w:rPr>
                <w:rFonts w:hint="eastAsia" w:ascii="宋体" w:hAnsi="宋体"/>
                <w:color w:val="auto"/>
                <w:szCs w:val="21"/>
                <w:highlight w:val="none"/>
              </w:rPr>
              <w:t>接收质疑函方式：以纸质书面形式</w:t>
            </w:r>
          </w:p>
          <w:p w14:paraId="1EE558BD">
            <w:pPr>
              <w:snapToGrid w:val="0"/>
              <w:spacing w:line="400" w:lineRule="exact"/>
              <w:rPr>
                <w:rFonts w:ascii="宋体" w:hAnsi="宋体"/>
                <w:color w:val="auto"/>
                <w:szCs w:val="21"/>
                <w:highlight w:val="none"/>
              </w:rPr>
            </w:pPr>
            <w:r>
              <w:rPr>
                <w:rFonts w:hint="eastAsia" w:ascii="宋体" w:hAnsi="宋体"/>
                <w:color w:val="auto"/>
                <w:szCs w:val="21"/>
                <w:highlight w:val="none"/>
              </w:rPr>
              <w:t>质疑联系部门及联系方式：广西科文招标有限公司，质疑联系人：</w:t>
            </w:r>
            <w:r>
              <w:rPr>
                <w:rFonts w:hint="eastAsia" w:ascii="宋体" w:hAnsi="宋体"/>
                <w:color w:val="auto"/>
                <w:szCs w:val="21"/>
                <w:highlight w:val="none"/>
                <w:lang w:val="en-US" w:eastAsia="zh-CN"/>
              </w:rPr>
              <w:t>雷栋、</w:t>
            </w:r>
            <w:r>
              <w:rPr>
                <w:rFonts w:hint="eastAsia" w:ascii="宋体" w:hAnsi="宋体"/>
                <w:color w:val="auto"/>
                <w:szCs w:val="21"/>
                <w:highlight w:val="none"/>
              </w:rPr>
              <w:t>胡安娜，联系电话：0771-2023805</w:t>
            </w:r>
            <w:r>
              <w:rPr>
                <w:rFonts w:hint="eastAsia" w:ascii="宋体" w:hAnsi="宋体"/>
                <w:color w:val="auto"/>
                <w:szCs w:val="21"/>
                <w:highlight w:val="none"/>
                <w:lang w:val="en-US" w:eastAsia="zh-CN"/>
              </w:rPr>
              <w:t>、2023511</w:t>
            </w:r>
            <w:r>
              <w:rPr>
                <w:rFonts w:hint="eastAsia" w:ascii="宋体" w:hAnsi="宋体"/>
                <w:color w:val="auto"/>
                <w:szCs w:val="21"/>
                <w:highlight w:val="none"/>
              </w:rPr>
              <w:t>，</w:t>
            </w:r>
            <w:r>
              <w:rPr>
                <w:rFonts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rPr>
              <w:t>广西南宁市民族大道141号中鼎万象东方D区五层</w:t>
            </w:r>
          </w:p>
          <w:p w14:paraId="11D8879B">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highlight w:val="none"/>
              </w:rPr>
              <w:t>现场提交质疑办理业务时间：工作日，</w:t>
            </w:r>
            <w:r>
              <w:rPr>
                <w:rFonts w:hint="eastAsia" w:ascii="宋体" w:hAnsi="宋体" w:cs="Arial"/>
                <w:color w:val="auto"/>
                <w:szCs w:val="21"/>
                <w:highlight w:val="none"/>
              </w:rPr>
              <w:t>上午8:00-12:00；下午1</w:t>
            </w:r>
            <w:r>
              <w:rPr>
                <w:rFonts w:hint="eastAsia" w:ascii="宋体" w:hAnsi="宋体" w:cs="Arial"/>
                <w:color w:val="auto"/>
                <w:highlight w:val="none"/>
              </w:rPr>
              <w:t>5</w:t>
            </w:r>
            <w:r>
              <w:rPr>
                <w:rFonts w:hint="eastAsia" w:ascii="宋体" w:hAnsi="宋体" w:cs="Arial"/>
                <w:color w:val="auto"/>
                <w:szCs w:val="21"/>
                <w:highlight w:val="none"/>
              </w:rPr>
              <w:t>:</w:t>
            </w:r>
            <w:r>
              <w:rPr>
                <w:rFonts w:hint="eastAsia" w:ascii="宋体" w:hAnsi="宋体" w:cs="Arial"/>
                <w:color w:val="auto"/>
                <w:highlight w:val="none"/>
              </w:rPr>
              <w:t>00</w:t>
            </w:r>
            <w:r>
              <w:rPr>
                <w:rFonts w:hint="eastAsia" w:ascii="宋体" w:hAnsi="宋体" w:cs="Arial"/>
                <w:color w:val="auto"/>
                <w:szCs w:val="21"/>
                <w:highlight w:val="none"/>
              </w:rPr>
              <w:t>-1</w:t>
            </w:r>
            <w:r>
              <w:rPr>
                <w:rFonts w:hint="eastAsia" w:ascii="宋体" w:hAnsi="宋体" w:cs="Arial"/>
                <w:color w:val="auto"/>
                <w:highlight w:val="none"/>
              </w:rPr>
              <w:t>8</w:t>
            </w:r>
            <w:r>
              <w:rPr>
                <w:rFonts w:hint="eastAsia" w:ascii="宋体" w:hAnsi="宋体" w:cs="Arial"/>
                <w:color w:val="auto"/>
                <w:szCs w:val="21"/>
                <w:highlight w:val="none"/>
              </w:rPr>
              <w:t>:</w:t>
            </w:r>
            <w:r>
              <w:rPr>
                <w:rFonts w:hint="eastAsia" w:ascii="宋体" w:hAnsi="宋体" w:cs="Arial"/>
                <w:color w:val="auto"/>
                <w:highlight w:val="none"/>
              </w:rPr>
              <w:t>0</w:t>
            </w:r>
            <w:r>
              <w:rPr>
                <w:rFonts w:hint="eastAsia" w:ascii="宋体" w:hAnsi="宋体" w:cs="Arial"/>
                <w:color w:val="auto"/>
                <w:szCs w:val="21"/>
                <w:highlight w:val="none"/>
              </w:rPr>
              <w:t>0（北京时间）</w:t>
            </w:r>
          </w:p>
        </w:tc>
      </w:tr>
      <w:tr w14:paraId="246E6F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15A837E">
            <w:pPr>
              <w:spacing w:line="400" w:lineRule="exact"/>
              <w:jc w:val="center"/>
              <w:rPr>
                <w:rFonts w:ascii="宋体" w:hAnsi="宋体"/>
                <w:color w:val="auto"/>
                <w:szCs w:val="21"/>
                <w:highlight w:val="none"/>
              </w:rPr>
            </w:pPr>
            <w:bookmarkStart w:id="76" w:name="_41"/>
            <w:bookmarkEnd w:id="76"/>
            <w:bookmarkStart w:id="77" w:name="_42"/>
            <w:bookmarkEnd w:id="77"/>
            <w:bookmarkStart w:id="78" w:name="_Hlt17709148"/>
            <w:r>
              <w:rPr>
                <w:rFonts w:hint="eastAsia" w:ascii="宋体" w:hAnsi="宋体"/>
                <w:color w:val="auto"/>
                <w:szCs w:val="21"/>
                <w:highlight w:val="none"/>
              </w:rPr>
              <w:t>3</w:t>
            </w:r>
            <w:bookmarkEnd w:id="78"/>
            <w:r>
              <w:rPr>
                <w:rFonts w:ascii="宋体" w:hAnsi="宋体"/>
                <w:color w:val="auto"/>
                <w:szCs w:val="21"/>
                <w:highlight w:val="none"/>
              </w:rPr>
              <w:t>9.1</w:t>
            </w:r>
          </w:p>
        </w:tc>
        <w:tc>
          <w:tcPr>
            <w:tcW w:w="8708" w:type="dxa"/>
            <w:tcBorders>
              <w:top w:val="single" w:color="auto" w:sz="4" w:space="0"/>
              <w:left w:val="single" w:color="auto" w:sz="4" w:space="0"/>
              <w:bottom w:val="single" w:color="auto" w:sz="4" w:space="0"/>
              <w:right w:val="single" w:color="auto" w:sz="4" w:space="0"/>
            </w:tcBorders>
            <w:vAlign w:val="center"/>
          </w:tcPr>
          <w:p w14:paraId="78061150">
            <w:pPr>
              <w:pStyle w:val="25"/>
              <w:snapToGrid w:val="0"/>
              <w:spacing w:line="400" w:lineRule="exact"/>
              <w:rPr>
                <w:rFonts w:hAnsi="宋体"/>
                <w:color w:val="auto"/>
                <w:kern w:val="2"/>
                <w:sz w:val="21"/>
                <w:highlight w:val="none"/>
              </w:rPr>
            </w:pPr>
            <w:r>
              <w:rPr>
                <w:rFonts w:hAnsi="宋体"/>
                <w:color w:val="auto"/>
                <w:kern w:val="2"/>
                <w:sz w:val="21"/>
                <w:highlight w:val="none"/>
              </w:rPr>
              <w:t>1、采购代理服务费支付方式：本项目的招标代理服务费按以下收费标准向中标人收取，领取中标通知书前，中标人应向采购代理机构一次付清招标代理服务费，否则采购代理机构有权不予以办理。</w:t>
            </w:r>
          </w:p>
          <w:p w14:paraId="573B3CB8">
            <w:pPr>
              <w:pStyle w:val="25"/>
              <w:snapToGrid w:val="0"/>
              <w:spacing w:line="400" w:lineRule="exact"/>
              <w:rPr>
                <w:rFonts w:hAnsi="宋体"/>
                <w:color w:val="auto"/>
                <w:kern w:val="2"/>
                <w:sz w:val="21"/>
                <w:highlight w:val="none"/>
              </w:rPr>
            </w:pPr>
            <w:r>
              <w:rPr>
                <w:rFonts w:hAnsi="宋体"/>
                <w:color w:val="auto"/>
                <w:kern w:val="2"/>
                <w:sz w:val="21"/>
                <w:highlight w:val="none"/>
              </w:rPr>
              <w:t>2、采购代理服务费收取标准：</w:t>
            </w:r>
          </w:p>
          <w:p w14:paraId="7A89BD13">
            <w:pPr>
              <w:pStyle w:val="25"/>
              <w:snapToGrid w:val="0"/>
              <w:spacing w:line="400" w:lineRule="exact"/>
              <w:rPr>
                <w:rFonts w:hAnsi="宋体"/>
                <w:color w:val="auto"/>
                <w:kern w:val="2"/>
                <w:sz w:val="21"/>
                <w:highlight w:val="none"/>
              </w:rPr>
            </w:pPr>
            <w:r>
              <w:rPr>
                <w:rFonts w:hAnsi="宋体"/>
                <w:color w:val="auto"/>
                <w:kern w:val="2"/>
                <w:sz w:val="21"/>
                <w:highlight w:val="none"/>
              </w:rPr>
              <w:t>按本须知正文第39.2条规定的收费计算标准采用差额定率累进法计算出收费基准价格，采购代理服务费收费以收费基准价格收取。</w:t>
            </w:r>
          </w:p>
          <w:p w14:paraId="06FA154D">
            <w:pPr>
              <w:pStyle w:val="25"/>
              <w:snapToGrid w:val="0"/>
              <w:spacing w:line="400" w:lineRule="exact"/>
              <w:rPr>
                <w:rFonts w:hAnsi="宋体"/>
                <w:color w:val="auto"/>
                <w:kern w:val="2"/>
                <w:sz w:val="21"/>
                <w:highlight w:val="none"/>
              </w:rPr>
            </w:pPr>
            <w:r>
              <w:rPr>
                <w:rFonts w:hAnsi="宋体"/>
                <w:color w:val="auto"/>
                <w:kern w:val="2"/>
                <w:sz w:val="21"/>
                <w:highlight w:val="none"/>
              </w:rPr>
              <w:t>3、账户名称：广西科文招标有限公司南宁八分公司</w:t>
            </w:r>
          </w:p>
          <w:p w14:paraId="2FA9BF33">
            <w:pPr>
              <w:pStyle w:val="25"/>
              <w:snapToGrid w:val="0"/>
              <w:spacing w:line="400" w:lineRule="exact"/>
              <w:rPr>
                <w:rFonts w:hAnsi="宋体"/>
                <w:color w:val="auto"/>
                <w:kern w:val="2"/>
                <w:sz w:val="21"/>
                <w:highlight w:val="none"/>
              </w:rPr>
            </w:pPr>
            <w:r>
              <w:rPr>
                <w:rFonts w:hAnsi="宋体"/>
                <w:color w:val="auto"/>
                <w:kern w:val="2"/>
                <w:sz w:val="21"/>
                <w:highlight w:val="none"/>
              </w:rPr>
              <w:t>开户银行：广西北部湾银行股份有限公司南宁市云景支行</w:t>
            </w:r>
          </w:p>
          <w:p w14:paraId="3D3EAE84">
            <w:pPr>
              <w:pStyle w:val="25"/>
              <w:snapToGrid w:val="0"/>
              <w:spacing w:line="400" w:lineRule="exact"/>
              <w:rPr>
                <w:rFonts w:hAnsi="宋体"/>
                <w:color w:val="auto"/>
                <w:kern w:val="2"/>
                <w:sz w:val="21"/>
                <w:highlight w:val="none"/>
              </w:rPr>
            </w:pPr>
            <w:r>
              <w:rPr>
                <w:rFonts w:hAnsi="宋体"/>
                <w:color w:val="auto"/>
                <w:kern w:val="2"/>
                <w:sz w:val="21"/>
                <w:highlight w:val="none"/>
              </w:rPr>
              <w:t>银行账号：8050 2996 77 00001</w:t>
            </w:r>
          </w:p>
        </w:tc>
      </w:tr>
      <w:tr w14:paraId="453CE5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7B2C41E">
            <w:pPr>
              <w:snapToGrid w:val="0"/>
              <w:spacing w:line="400" w:lineRule="exact"/>
              <w:jc w:val="center"/>
              <w:rPr>
                <w:rFonts w:ascii="宋体" w:hAnsi="宋体"/>
                <w:color w:val="auto"/>
                <w:szCs w:val="21"/>
                <w:highlight w:val="none"/>
              </w:rPr>
            </w:pPr>
            <w:r>
              <w:rPr>
                <w:rFonts w:ascii="宋体" w:hAnsi="宋体"/>
                <w:color w:val="auto"/>
                <w:szCs w:val="21"/>
                <w:highlight w:val="none"/>
              </w:rPr>
              <w:t>40.1</w:t>
            </w:r>
          </w:p>
        </w:tc>
        <w:tc>
          <w:tcPr>
            <w:tcW w:w="8708" w:type="dxa"/>
            <w:tcBorders>
              <w:top w:val="single" w:color="auto" w:sz="4" w:space="0"/>
              <w:left w:val="single" w:color="auto" w:sz="4" w:space="0"/>
              <w:bottom w:val="single" w:color="auto" w:sz="4" w:space="0"/>
              <w:right w:val="single" w:color="auto" w:sz="4" w:space="0"/>
            </w:tcBorders>
            <w:vAlign w:val="center"/>
          </w:tcPr>
          <w:p w14:paraId="7E3E0AA6">
            <w:pPr>
              <w:snapToGrid w:val="0"/>
              <w:spacing w:line="400" w:lineRule="exact"/>
              <w:rPr>
                <w:rFonts w:ascii="宋体" w:hAnsi="宋体"/>
                <w:color w:val="auto"/>
                <w:szCs w:val="21"/>
                <w:highlight w:val="none"/>
              </w:rPr>
            </w:pPr>
            <w:r>
              <w:rPr>
                <w:rFonts w:hint="eastAsia" w:ascii="宋体" w:hAnsi="宋体"/>
                <w:color w:val="auto"/>
                <w:szCs w:val="21"/>
                <w:highlight w:val="none"/>
              </w:rPr>
              <w:t>解释：</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w:t>
            </w:r>
            <w:r>
              <w:rPr>
                <w:rFonts w:ascii="宋体" w:hAnsi="宋体"/>
                <w:color w:val="auto"/>
                <w:szCs w:val="21"/>
                <w:highlight w:val="none"/>
              </w:rPr>
              <w:t>投标人须知、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为准。按本款前述规定仍不能形成结论的，由</w:t>
            </w:r>
            <w:r>
              <w:rPr>
                <w:rFonts w:hint="eastAsia" w:ascii="宋体" w:hAnsi="宋体"/>
                <w:color w:val="auto"/>
                <w:szCs w:val="21"/>
                <w:highlight w:val="none"/>
              </w:rPr>
              <w:t>采购</w:t>
            </w:r>
            <w:r>
              <w:rPr>
                <w:rFonts w:ascii="宋体" w:hAnsi="宋体"/>
                <w:color w:val="auto"/>
                <w:szCs w:val="21"/>
                <w:highlight w:val="none"/>
              </w:rPr>
              <w:t>人</w:t>
            </w:r>
            <w:r>
              <w:rPr>
                <w:rFonts w:hint="eastAsia" w:ascii="宋体" w:hAnsi="宋体"/>
                <w:color w:val="auto"/>
                <w:szCs w:val="21"/>
                <w:highlight w:val="none"/>
              </w:rPr>
              <w:t>或者采购代理机构</w:t>
            </w:r>
            <w:r>
              <w:rPr>
                <w:rFonts w:ascii="宋体" w:hAnsi="宋体"/>
                <w:color w:val="auto"/>
                <w:szCs w:val="21"/>
                <w:highlight w:val="none"/>
              </w:rPr>
              <w:t>负责解释。</w:t>
            </w:r>
          </w:p>
        </w:tc>
      </w:tr>
      <w:tr w14:paraId="7D4B68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15EE1E3">
            <w:pPr>
              <w:snapToGrid w:val="0"/>
              <w:spacing w:line="400" w:lineRule="exact"/>
              <w:jc w:val="center"/>
              <w:rPr>
                <w:rFonts w:ascii="宋体" w:hAnsi="宋体"/>
                <w:color w:val="auto"/>
                <w:szCs w:val="21"/>
                <w:highlight w:val="none"/>
              </w:rPr>
            </w:pPr>
            <w:r>
              <w:rPr>
                <w:rFonts w:ascii="宋体" w:hAnsi="宋体"/>
                <w:color w:val="auto"/>
                <w:szCs w:val="21"/>
                <w:highlight w:val="none"/>
              </w:rPr>
              <w:t>40.2</w:t>
            </w:r>
          </w:p>
        </w:tc>
        <w:tc>
          <w:tcPr>
            <w:tcW w:w="8708" w:type="dxa"/>
            <w:tcBorders>
              <w:top w:val="single" w:color="auto" w:sz="4" w:space="0"/>
              <w:left w:val="single" w:color="auto" w:sz="4" w:space="0"/>
              <w:bottom w:val="single" w:color="auto" w:sz="4" w:space="0"/>
              <w:right w:val="single" w:color="auto" w:sz="4" w:space="0"/>
            </w:tcBorders>
            <w:vAlign w:val="center"/>
          </w:tcPr>
          <w:p w14:paraId="66BFF047">
            <w:pPr>
              <w:pStyle w:val="25"/>
              <w:snapToGrid w:val="0"/>
              <w:spacing w:line="400" w:lineRule="exact"/>
              <w:rPr>
                <w:rFonts w:hAnsi="宋体" w:cs="宋体"/>
                <w:bCs/>
                <w:color w:val="auto"/>
                <w:sz w:val="21"/>
                <w:highlight w:val="none"/>
              </w:rPr>
            </w:pPr>
            <w:r>
              <w:rPr>
                <w:rFonts w:hint="eastAsia" w:hAnsi="宋体" w:cs="宋体"/>
                <w:bCs/>
                <w:color w:val="auto"/>
                <w:sz w:val="21"/>
                <w:highlight w:val="none"/>
              </w:rPr>
              <w:t>1、本招标文件中描述投标人的“公章”是指根据我国对公章的管理规定，用投标人法定主体行为名称制作的印章</w:t>
            </w:r>
            <w:r>
              <w:rPr>
                <w:rFonts w:hint="eastAsia" w:hAnsi="宋体" w:cs="宋体"/>
                <w:color w:val="auto"/>
                <w:sz w:val="21"/>
                <w:highlight w:val="none"/>
              </w:rPr>
              <w:t>（含电子印章）</w:t>
            </w:r>
            <w:r>
              <w:rPr>
                <w:rFonts w:hint="eastAsia" w:hAnsi="宋体" w:cs="宋体"/>
                <w:bCs/>
                <w:color w:val="auto"/>
                <w:sz w:val="21"/>
                <w:highlight w:val="none"/>
              </w:rPr>
              <w:t>，除本招标文件有特殊规定外，投标人的财务章、部门章、分公司章、工会章、合同章、投标专用章、业务专用章及银行的转账章、现金收讫章、现金付讫章等其他形式印章均不能代替公章。</w:t>
            </w:r>
          </w:p>
          <w:p w14:paraId="4A4050B1">
            <w:pPr>
              <w:pStyle w:val="25"/>
              <w:snapToGrid w:val="0"/>
              <w:spacing w:line="400" w:lineRule="exact"/>
              <w:rPr>
                <w:rFonts w:hAnsi="宋体" w:cs="宋体"/>
                <w:bCs/>
                <w:color w:val="auto"/>
                <w:sz w:val="21"/>
                <w:highlight w:val="none"/>
              </w:rPr>
            </w:pPr>
            <w:r>
              <w:rPr>
                <w:rFonts w:hint="eastAsia" w:hAnsi="宋体" w:cs="宋体"/>
                <w:bCs/>
                <w:color w:val="auto"/>
                <w:sz w:val="21"/>
                <w:highlight w:val="none"/>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5CEEE8EB">
            <w:pPr>
              <w:pStyle w:val="25"/>
              <w:snapToGrid w:val="0"/>
              <w:spacing w:line="400" w:lineRule="exact"/>
              <w:rPr>
                <w:rFonts w:hAnsi="宋体" w:cs="宋体"/>
                <w:bCs/>
                <w:color w:val="auto"/>
                <w:sz w:val="21"/>
                <w:highlight w:val="none"/>
              </w:rPr>
            </w:pPr>
            <w:r>
              <w:rPr>
                <w:rFonts w:hint="eastAsia" w:hAnsi="宋体" w:cs="宋体"/>
                <w:bCs/>
                <w:color w:val="auto"/>
                <w:sz w:val="21"/>
                <w:highlight w:val="none"/>
              </w:rPr>
              <w:t>3、本招标文件中描述投标人的“签字”是指投标人的法定代表人或者委托代理人</w:t>
            </w:r>
            <w:r>
              <w:rPr>
                <w:rFonts w:hint="eastAsia" w:hAnsi="宋体" w:cs="宋体"/>
                <w:color w:val="auto"/>
                <w:sz w:val="21"/>
                <w:highlight w:val="none"/>
              </w:rPr>
              <w:t>在文件规定签署处签名（含电子签名）的行为，私章、印鉴等其他形式均不能代替签字</w:t>
            </w:r>
            <w:r>
              <w:rPr>
                <w:rFonts w:hint="eastAsia" w:hAnsi="宋体" w:cs="宋体"/>
                <w:bCs/>
                <w:color w:val="auto"/>
                <w:sz w:val="21"/>
                <w:highlight w:val="none"/>
              </w:rPr>
              <w:t>。</w:t>
            </w:r>
          </w:p>
          <w:p w14:paraId="51DF83CE">
            <w:pPr>
              <w:pStyle w:val="25"/>
              <w:snapToGrid w:val="0"/>
              <w:spacing w:line="400" w:lineRule="exact"/>
              <w:rPr>
                <w:rFonts w:hAnsi="宋体" w:cs="宋体"/>
                <w:bCs/>
                <w:color w:val="auto"/>
                <w:sz w:val="21"/>
                <w:highlight w:val="none"/>
              </w:rPr>
            </w:pPr>
            <w:r>
              <w:rPr>
                <w:rFonts w:hint="eastAsia" w:hAnsi="宋体" w:cs="宋体"/>
                <w:bCs/>
                <w:color w:val="auto"/>
                <w:sz w:val="21"/>
                <w:highlight w:val="none"/>
              </w:rPr>
              <w:t>4、自然人投标的，招标文件规定盖公章处由自然人摁手指指印。</w:t>
            </w:r>
          </w:p>
          <w:p w14:paraId="7D2B7FB1">
            <w:pPr>
              <w:spacing w:line="400" w:lineRule="exact"/>
              <w:jc w:val="left"/>
              <w:rPr>
                <w:rFonts w:ascii="宋体" w:hAnsi="宋体"/>
                <w:color w:val="auto"/>
                <w:szCs w:val="21"/>
                <w:highlight w:val="none"/>
              </w:rPr>
            </w:pPr>
            <w:r>
              <w:rPr>
                <w:rFonts w:hint="eastAsia" w:ascii="宋体" w:hAnsi="宋体" w:cs="宋体"/>
                <w:bCs/>
                <w:color w:val="auto"/>
                <w:szCs w:val="21"/>
                <w:highlight w:val="none"/>
              </w:rPr>
              <w:t>5、本招标文件所称的“以上”“以下”“以内”“届满”，包括本数；所称的“不满”“超过”“以外”，不包括本数。</w:t>
            </w:r>
          </w:p>
        </w:tc>
      </w:tr>
    </w:tbl>
    <w:p w14:paraId="01AD11F9">
      <w:pPr>
        <w:snapToGrid w:val="0"/>
        <w:rPr>
          <w:rFonts w:ascii="宋体" w:hAnsi="宋体"/>
          <w:color w:val="auto"/>
          <w:sz w:val="24"/>
          <w:szCs w:val="20"/>
          <w:highlight w:val="none"/>
        </w:rPr>
      </w:pPr>
    </w:p>
    <w:p w14:paraId="0AE75295">
      <w:pPr>
        <w:pStyle w:val="4"/>
        <w:keepNext w:val="0"/>
        <w:keepLines w:val="0"/>
        <w:jc w:val="center"/>
        <w:rPr>
          <w:rFonts w:ascii="宋体" w:hAnsi="宋体" w:eastAsia="宋体"/>
          <w:color w:val="auto"/>
          <w:highlight w:val="none"/>
        </w:rPr>
      </w:pPr>
    </w:p>
    <w:p w14:paraId="7586CA9C">
      <w:pPr>
        <w:rPr>
          <w:rFonts w:ascii="宋体" w:hAnsi="宋体"/>
          <w:color w:val="auto"/>
          <w:highlight w:val="none"/>
        </w:rPr>
      </w:pPr>
    </w:p>
    <w:p w14:paraId="5D06DFDB">
      <w:pPr>
        <w:rPr>
          <w:rFonts w:ascii="宋体" w:hAnsi="宋体"/>
          <w:color w:val="auto"/>
          <w:highlight w:val="none"/>
        </w:rPr>
      </w:pPr>
    </w:p>
    <w:p w14:paraId="57F9B008">
      <w:pPr>
        <w:rPr>
          <w:rFonts w:ascii="宋体" w:hAnsi="宋体"/>
          <w:color w:val="auto"/>
          <w:highlight w:val="none"/>
        </w:rPr>
      </w:pPr>
    </w:p>
    <w:p w14:paraId="39A48AF7">
      <w:pPr>
        <w:rPr>
          <w:rFonts w:ascii="宋体" w:hAnsi="宋体"/>
          <w:color w:val="auto"/>
          <w:highlight w:val="none"/>
        </w:rPr>
      </w:pPr>
    </w:p>
    <w:p w14:paraId="536B9FEF">
      <w:pPr>
        <w:rPr>
          <w:rFonts w:ascii="宋体" w:hAnsi="宋体"/>
          <w:color w:val="auto"/>
          <w:highlight w:val="none"/>
        </w:rPr>
      </w:pPr>
    </w:p>
    <w:p w14:paraId="45B8F357">
      <w:pPr>
        <w:rPr>
          <w:rFonts w:ascii="宋体" w:hAnsi="宋体"/>
          <w:color w:val="auto"/>
          <w:highlight w:val="none"/>
        </w:rPr>
      </w:pPr>
    </w:p>
    <w:p w14:paraId="37CA9E8A">
      <w:pPr>
        <w:rPr>
          <w:rFonts w:ascii="宋体" w:hAnsi="宋体"/>
          <w:color w:val="auto"/>
          <w:highlight w:val="none"/>
        </w:rPr>
      </w:pPr>
    </w:p>
    <w:p w14:paraId="13D3189D">
      <w:pPr>
        <w:rPr>
          <w:rFonts w:ascii="宋体" w:hAnsi="宋体"/>
          <w:color w:val="auto"/>
          <w:highlight w:val="none"/>
        </w:rPr>
      </w:pPr>
    </w:p>
    <w:p w14:paraId="0829B4FA">
      <w:pPr>
        <w:rPr>
          <w:rFonts w:ascii="宋体" w:hAnsi="宋体"/>
          <w:color w:val="auto"/>
          <w:highlight w:val="none"/>
        </w:rPr>
      </w:pPr>
    </w:p>
    <w:p w14:paraId="601E4DC1">
      <w:pPr>
        <w:rPr>
          <w:rFonts w:ascii="宋体" w:hAnsi="宋体"/>
          <w:color w:val="auto"/>
          <w:highlight w:val="none"/>
        </w:rPr>
      </w:pPr>
    </w:p>
    <w:p w14:paraId="03B00525">
      <w:pPr>
        <w:rPr>
          <w:rFonts w:ascii="宋体" w:hAnsi="宋体"/>
          <w:color w:val="auto"/>
          <w:highlight w:val="none"/>
        </w:rPr>
      </w:pPr>
    </w:p>
    <w:p w14:paraId="2926A879">
      <w:pPr>
        <w:rPr>
          <w:rFonts w:ascii="宋体" w:hAnsi="宋体"/>
          <w:color w:val="auto"/>
          <w:highlight w:val="none"/>
        </w:rPr>
      </w:pPr>
    </w:p>
    <w:p w14:paraId="125AA00F">
      <w:pPr>
        <w:rPr>
          <w:rFonts w:ascii="宋体" w:hAnsi="宋体"/>
          <w:color w:val="auto"/>
          <w:highlight w:val="none"/>
        </w:rPr>
      </w:pPr>
    </w:p>
    <w:p w14:paraId="626619F3">
      <w:pPr>
        <w:rPr>
          <w:rFonts w:ascii="宋体" w:hAnsi="宋体"/>
          <w:color w:val="auto"/>
          <w:highlight w:val="none"/>
        </w:rPr>
      </w:pPr>
    </w:p>
    <w:p w14:paraId="6E712CA1">
      <w:pPr>
        <w:rPr>
          <w:rFonts w:ascii="宋体" w:hAnsi="宋体"/>
          <w:color w:val="auto"/>
          <w:highlight w:val="none"/>
        </w:rPr>
      </w:pPr>
    </w:p>
    <w:p w14:paraId="544A815A">
      <w:pPr>
        <w:rPr>
          <w:rFonts w:ascii="宋体" w:hAnsi="宋体"/>
          <w:color w:val="auto"/>
          <w:highlight w:val="none"/>
        </w:rPr>
      </w:pPr>
    </w:p>
    <w:p w14:paraId="3A8E3310">
      <w:pPr>
        <w:rPr>
          <w:rFonts w:ascii="宋体" w:hAnsi="宋体"/>
          <w:color w:val="auto"/>
          <w:highlight w:val="none"/>
        </w:rPr>
      </w:pPr>
    </w:p>
    <w:p w14:paraId="345C6940">
      <w:pPr>
        <w:rPr>
          <w:rFonts w:ascii="宋体" w:hAnsi="宋体"/>
          <w:color w:val="auto"/>
          <w:highlight w:val="none"/>
        </w:rPr>
      </w:pPr>
    </w:p>
    <w:p w14:paraId="32FBD8F0">
      <w:pPr>
        <w:rPr>
          <w:rFonts w:ascii="宋体" w:hAnsi="宋体"/>
          <w:color w:val="auto"/>
          <w:highlight w:val="none"/>
        </w:rPr>
      </w:pPr>
    </w:p>
    <w:p w14:paraId="19D03F4F">
      <w:pPr>
        <w:rPr>
          <w:rFonts w:ascii="宋体" w:hAnsi="宋体"/>
          <w:color w:val="auto"/>
          <w:highlight w:val="none"/>
        </w:rPr>
      </w:pPr>
    </w:p>
    <w:p w14:paraId="7E21A608">
      <w:pPr>
        <w:rPr>
          <w:rFonts w:ascii="宋体" w:hAnsi="宋体"/>
          <w:color w:val="auto"/>
          <w:highlight w:val="none"/>
        </w:rPr>
      </w:pPr>
    </w:p>
    <w:p w14:paraId="2FD1041E">
      <w:pPr>
        <w:rPr>
          <w:rFonts w:ascii="宋体" w:hAnsi="宋体"/>
          <w:color w:val="auto"/>
          <w:highlight w:val="none"/>
        </w:rPr>
      </w:pPr>
    </w:p>
    <w:p w14:paraId="539E6986">
      <w:pPr>
        <w:rPr>
          <w:rFonts w:ascii="宋体" w:hAnsi="宋体"/>
          <w:color w:val="auto"/>
          <w:highlight w:val="none"/>
        </w:rPr>
      </w:pPr>
    </w:p>
    <w:p w14:paraId="107670D3">
      <w:pPr>
        <w:rPr>
          <w:rFonts w:ascii="宋体" w:hAnsi="宋体"/>
          <w:color w:val="auto"/>
          <w:highlight w:val="none"/>
        </w:rPr>
      </w:pPr>
    </w:p>
    <w:p w14:paraId="5E950A07">
      <w:pPr>
        <w:rPr>
          <w:rFonts w:ascii="宋体" w:hAnsi="宋体"/>
          <w:color w:val="auto"/>
          <w:highlight w:val="none"/>
        </w:rPr>
      </w:pPr>
    </w:p>
    <w:p w14:paraId="5EF64096">
      <w:pPr>
        <w:rPr>
          <w:rFonts w:ascii="宋体" w:hAnsi="宋体"/>
          <w:color w:val="auto"/>
          <w:highlight w:val="none"/>
        </w:rPr>
      </w:pPr>
    </w:p>
    <w:p w14:paraId="6A8A600D">
      <w:pPr>
        <w:rPr>
          <w:rFonts w:ascii="宋体" w:hAnsi="宋体"/>
          <w:color w:val="auto"/>
          <w:highlight w:val="none"/>
        </w:rPr>
      </w:pPr>
    </w:p>
    <w:p w14:paraId="7C075BD7">
      <w:pPr>
        <w:rPr>
          <w:rFonts w:ascii="宋体" w:hAnsi="宋体"/>
          <w:color w:val="auto"/>
          <w:highlight w:val="none"/>
        </w:rPr>
      </w:pPr>
    </w:p>
    <w:p w14:paraId="57611064">
      <w:pPr>
        <w:pStyle w:val="4"/>
        <w:keepNext w:val="0"/>
        <w:keepLines w:val="0"/>
        <w:jc w:val="center"/>
        <w:rPr>
          <w:rFonts w:ascii="宋体" w:hAnsi="宋体" w:eastAsia="宋体"/>
          <w:color w:val="auto"/>
          <w:highlight w:val="none"/>
        </w:rPr>
      </w:pPr>
    </w:p>
    <w:p w14:paraId="2F20B608">
      <w:pPr>
        <w:rPr>
          <w:rFonts w:ascii="宋体" w:hAnsi="宋体" w:eastAsia="宋体"/>
          <w:color w:val="auto"/>
          <w:highlight w:val="none"/>
        </w:rPr>
      </w:pPr>
    </w:p>
    <w:p w14:paraId="7BD076C5">
      <w:pPr>
        <w:rPr>
          <w:rFonts w:ascii="宋体" w:hAnsi="宋体" w:eastAsia="宋体"/>
          <w:color w:val="auto"/>
          <w:highlight w:val="none"/>
        </w:rPr>
      </w:pPr>
    </w:p>
    <w:p w14:paraId="172042D0">
      <w:pPr>
        <w:rPr>
          <w:rFonts w:ascii="宋体" w:hAnsi="宋体" w:eastAsia="宋体"/>
          <w:color w:val="auto"/>
          <w:highlight w:val="none"/>
        </w:rPr>
      </w:pPr>
    </w:p>
    <w:p w14:paraId="24EC9A3A">
      <w:pPr>
        <w:rPr>
          <w:rFonts w:ascii="宋体" w:hAnsi="宋体" w:eastAsia="宋体"/>
          <w:color w:val="auto"/>
          <w:highlight w:val="none"/>
        </w:rPr>
      </w:pPr>
    </w:p>
    <w:p w14:paraId="3A243538">
      <w:pPr>
        <w:rPr>
          <w:rFonts w:ascii="宋体" w:hAnsi="宋体" w:eastAsia="宋体"/>
          <w:color w:val="auto"/>
          <w:highlight w:val="none"/>
        </w:rPr>
      </w:pPr>
    </w:p>
    <w:p w14:paraId="2F408892">
      <w:pPr>
        <w:rPr>
          <w:rFonts w:ascii="宋体" w:hAnsi="宋体" w:eastAsia="宋体"/>
          <w:color w:val="auto"/>
          <w:highlight w:val="none"/>
        </w:rPr>
      </w:pPr>
    </w:p>
    <w:p w14:paraId="5483FBFC">
      <w:pPr>
        <w:rPr>
          <w:rFonts w:ascii="宋体" w:hAnsi="宋体" w:eastAsia="宋体"/>
          <w:color w:val="auto"/>
          <w:highlight w:val="none"/>
        </w:rPr>
      </w:pPr>
    </w:p>
    <w:p w14:paraId="3DC077D8">
      <w:pPr>
        <w:rPr>
          <w:rFonts w:ascii="宋体" w:hAnsi="宋体" w:eastAsia="宋体"/>
          <w:color w:val="auto"/>
          <w:highlight w:val="none"/>
        </w:rPr>
      </w:pPr>
    </w:p>
    <w:p w14:paraId="6548C33A">
      <w:pPr>
        <w:rPr>
          <w:color w:val="auto"/>
          <w:highlight w:val="none"/>
        </w:rPr>
      </w:pPr>
    </w:p>
    <w:p w14:paraId="682A8176">
      <w:pPr>
        <w:pStyle w:val="4"/>
        <w:keepNext w:val="0"/>
        <w:keepLines w:val="0"/>
        <w:jc w:val="center"/>
        <w:rPr>
          <w:rFonts w:ascii="宋体" w:hAnsi="宋体" w:eastAsia="宋体"/>
          <w:color w:val="auto"/>
          <w:highlight w:val="none"/>
        </w:rPr>
      </w:pPr>
      <w:r>
        <w:rPr>
          <w:rFonts w:hint="eastAsia" w:ascii="宋体" w:hAnsi="宋体" w:eastAsia="宋体"/>
          <w:color w:val="auto"/>
          <w:highlight w:val="none"/>
        </w:rPr>
        <w:t>投标人须知正文</w:t>
      </w:r>
    </w:p>
    <w:p w14:paraId="08C22598">
      <w:pPr>
        <w:pStyle w:val="4"/>
        <w:keepNext w:val="0"/>
        <w:keepLines w:val="0"/>
        <w:jc w:val="center"/>
        <w:rPr>
          <w:rFonts w:ascii="宋体" w:hAnsi="宋体" w:eastAsia="宋体"/>
          <w:color w:val="auto"/>
          <w:highlight w:val="none"/>
        </w:rPr>
      </w:pPr>
      <w:r>
        <w:rPr>
          <w:rFonts w:hint="eastAsia" w:ascii="宋体" w:hAnsi="宋体" w:eastAsia="宋体"/>
          <w:color w:val="auto"/>
          <w:highlight w:val="none"/>
        </w:rPr>
        <w:t>一、总  则</w:t>
      </w:r>
    </w:p>
    <w:p w14:paraId="0C46418A">
      <w:pPr>
        <w:pStyle w:val="6"/>
        <w:keepNext w:val="0"/>
        <w:keepLines w:val="0"/>
        <w:spacing w:before="0" w:after="0" w:line="360" w:lineRule="auto"/>
        <w:ind w:left="420" w:leftChars="200"/>
        <w:rPr>
          <w:rFonts w:ascii="宋体" w:hAnsi="宋体"/>
          <w:color w:val="auto"/>
          <w:highlight w:val="none"/>
        </w:rPr>
      </w:pPr>
      <w:bookmarkStart w:id="79" w:name="_Toc254970527"/>
      <w:bookmarkStart w:id="80" w:name="_Toc254970668"/>
      <w:r>
        <w:rPr>
          <w:rFonts w:hint="eastAsia" w:ascii="宋体" w:hAnsi="宋体"/>
          <w:color w:val="auto"/>
          <w:highlight w:val="none"/>
        </w:rPr>
        <w:t>1.适用范围</w:t>
      </w:r>
      <w:bookmarkEnd w:id="79"/>
      <w:bookmarkEnd w:id="80"/>
    </w:p>
    <w:p w14:paraId="3561DE1F">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422D653A">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49A03F77">
      <w:pPr>
        <w:pStyle w:val="6"/>
        <w:keepNext w:val="0"/>
        <w:keepLines w:val="0"/>
        <w:spacing w:before="0" w:after="0" w:line="360" w:lineRule="auto"/>
        <w:ind w:left="420" w:leftChars="200"/>
        <w:rPr>
          <w:rFonts w:ascii="宋体" w:hAnsi="宋体"/>
          <w:color w:val="auto"/>
          <w:highlight w:val="none"/>
        </w:rPr>
      </w:pPr>
      <w:bookmarkStart w:id="81" w:name="_Toc254970669"/>
      <w:bookmarkStart w:id="82" w:name="_Toc254970528"/>
      <w:r>
        <w:rPr>
          <w:rFonts w:hint="eastAsia" w:ascii="宋体" w:hAnsi="宋体"/>
          <w:color w:val="auto"/>
          <w:highlight w:val="none"/>
        </w:rPr>
        <w:t>2.定义</w:t>
      </w:r>
      <w:bookmarkEnd w:id="81"/>
      <w:bookmarkEnd w:id="82"/>
    </w:p>
    <w:p w14:paraId="788B91D8">
      <w:pPr>
        <w:pStyle w:val="6"/>
        <w:keepNext w:val="0"/>
        <w:keepLines w:val="0"/>
        <w:spacing w:before="0" w:after="0" w:line="360" w:lineRule="auto"/>
        <w:ind w:left="420" w:leftChars="200"/>
        <w:rPr>
          <w:rFonts w:ascii="宋体" w:hAnsi="宋体"/>
          <w:b/>
          <w:color w:val="auto"/>
          <w:sz w:val="21"/>
          <w:szCs w:val="21"/>
          <w:highlight w:val="none"/>
        </w:rPr>
      </w:pPr>
      <w:r>
        <w:rPr>
          <w:rFonts w:hint="eastAsia" w:ascii="宋体" w:hAnsi="宋体"/>
          <w:color w:val="auto"/>
          <w:sz w:val="21"/>
          <w:szCs w:val="21"/>
          <w:highlight w:val="none"/>
        </w:rPr>
        <w:t>2.1“采购人”是指依法进行政府采购的国家机关、事业单位、团体组织。</w:t>
      </w:r>
    </w:p>
    <w:p w14:paraId="10AEA6DD">
      <w:pPr>
        <w:pStyle w:val="6"/>
        <w:keepNext w:val="0"/>
        <w:keepLines w:val="0"/>
        <w:spacing w:before="0" w:after="0" w:line="360" w:lineRule="auto"/>
        <w:ind w:left="420" w:leftChars="200"/>
        <w:rPr>
          <w:rFonts w:ascii="宋体" w:hAnsi="宋体"/>
          <w:b/>
          <w:color w:val="auto"/>
          <w:sz w:val="21"/>
          <w:szCs w:val="21"/>
          <w:highlight w:val="none"/>
        </w:rPr>
      </w:pPr>
      <w:r>
        <w:rPr>
          <w:rFonts w:hint="eastAsia" w:ascii="宋体" w:hAnsi="宋体"/>
          <w:color w:val="auto"/>
          <w:sz w:val="21"/>
          <w:szCs w:val="21"/>
          <w:highlight w:val="none"/>
        </w:rPr>
        <w:t>2.2“采购代理机构”是指政府采购集中采购机构和集中采购机构以外的采购代理机构。</w:t>
      </w:r>
    </w:p>
    <w:p w14:paraId="3C9329CE">
      <w:pPr>
        <w:pStyle w:val="6"/>
        <w:keepNext w:val="0"/>
        <w:keepLines w:val="0"/>
        <w:spacing w:before="0" w:after="0" w:line="360" w:lineRule="auto"/>
        <w:ind w:left="420" w:leftChars="200"/>
        <w:rPr>
          <w:rFonts w:ascii="宋体" w:hAnsi="宋体"/>
          <w:b/>
          <w:color w:val="auto"/>
          <w:sz w:val="21"/>
          <w:szCs w:val="21"/>
          <w:highlight w:val="none"/>
        </w:rPr>
      </w:pPr>
      <w:r>
        <w:rPr>
          <w:rFonts w:hint="eastAsia" w:ascii="宋体" w:hAnsi="宋体"/>
          <w:color w:val="auto"/>
          <w:sz w:val="21"/>
          <w:szCs w:val="21"/>
          <w:highlight w:val="none"/>
        </w:rPr>
        <w:t>2.3“供应商”是指向采购人提供货物、工程或者服务的法人、其他组织或者自然人。</w:t>
      </w:r>
    </w:p>
    <w:p w14:paraId="3564A3C5">
      <w:pPr>
        <w:pStyle w:val="14"/>
        <w:spacing w:line="360" w:lineRule="auto"/>
        <w:rPr>
          <w:rFonts w:ascii="宋体" w:hAnsi="宋体"/>
          <w:color w:val="auto"/>
          <w:szCs w:val="21"/>
          <w:highlight w:val="none"/>
        </w:rPr>
      </w:pPr>
      <w:r>
        <w:rPr>
          <w:rFonts w:hint="eastAsia" w:ascii="宋体" w:hAnsi="宋体"/>
          <w:color w:val="auto"/>
          <w:szCs w:val="21"/>
          <w:highlight w:val="none"/>
        </w:rPr>
        <w:t>2.4“投标人”是指响应招标、参加投标竞争的法人、其他组织或者自然人。</w:t>
      </w:r>
    </w:p>
    <w:p w14:paraId="1C4CA7B9">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2.5“货物”是指各种形态和种类的物品，包括原材料、燃料、设备、产品等；“服务”是指除货物和工程以外的其他政府采购对象。</w:t>
      </w:r>
    </w:p>
    <w:p w14:paraId="4A9AA3F7">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2.6“售后服务” 是指商品出售以后所提供的各种服务，包含但不限于投标人须承担的备品备件、包装、运输、装卸、保险、货到就位以及安装、调试、培训、保修以及其他各种服务。</w:t>
      </w:r>
    </w:p>
    <w:p w14:paraId="13FDD127">
      <w:pPr>
        <w:pStyle w:val="6"/>
        <w:keepNext w:val="0"/>
        <w:keepLines w:val="0"/>
        <w:spacing w:before="0" w:after="0" w:line="360" w:lineRule="auto"/>
        <w:rPr>
          <w:rFonts w:ascii="宋体" w:hAnsi="宋体"/>
          <w:b/>
          <w:color w:val="auto"/>
          <w:sz w:val="21"/>
          <w:szCs w:val="21"/>
          <w:highlight w:val="none"/>
        </w:rPr>
      </w:pPr>
      <w:r>
        <w:rPr>
          <w:rFonts w:hint="eastAsia" w:ascii="宋体" w:hAnsi="宋体"/>
          <w:color w:val="auto"/>
          <w:sz w:val="21"/>
          <w:szCs w:val="21"/>
          <w:highlight w:val="none"/>
        </w:rPr>
        <w:t xml:space="preserve">    2.7“书面形式”是指合同书、信件和数据电文（包括电报、电传、传真、电子数据交换和电子邮件）等可以有形地表现所载内容的形式。</w:t>
      </w:r>
    </w:p>
    <w:p w14:paraId="5CCC7FAD">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2.8“实质性要求”是指招标文件中已经指明不满足则投标无效的条款，或者不能负偏离的条款，或者采购需求中带“▲”的条款。</w:t>
      </w:r>
    </w:p>
    <w:p w14:paraId="4F2BF3C7">
      <w:pPr>
        <w:snapToGri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 xml:space="preserve">2.9 </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216E2605">
      <w:pPr>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2.10</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775B8B52">
      <w:pPr>
        <w:snapToGri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1</w:t>
      </w:r>
      <w:r>
        <w:rPr>
          <w:rFonts w:hint="eastAsia" w:ascii="宋体" w:hAnsi="宋体" w:cs="宋体"/>
          <w:color w:val="auto"/>
          <w:szCs w:val="21"/>
          <w:highlight w:val="none"/>
        </w:rPr>
        <w:t>“允许负偏离的条款”是指采购需求中的不属于“实质性要求”的条款。</w:t>
      </w:r>
      <w:bookmarkStart w:id="83" w:name="_Toc254970670"/>
      <w:bookmarkStart w:id="84" w:name="_Toc254970529"/>
    </w:p>
    <w:p w14:paraId="5E637B41">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3.</w:t>
      </w:r>
      <w:bookmarkEnd w:id="83"/>
      <w:bookmarkEnd w:id="84"/>
      <w:r>
        <w:rPr>
          <w:rFonts w:hint="eastAsia" w:ascii="宋体" w:hAnsi="宋体"/>
          <w:color w:val="auto"/>
          <w:highlight w:val="none"/>
        </w:rPr>
        <w:t>投标人的资格要求</w:t>
      </w:r>
    </w:p>
    <w:p w14:paraId="25E4BC5D">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投标人的资格要求详见“投标人须知前附表”。</w:t>
      </w:r>
    </w:p>
    <w:p w14:paraId="5D42FF16">
      <w:pPr>
        <w:pStyle w:val="6"/>
        <w:keepNext w:val="0"/>
        <w:keepLines w:val="0"/>
        <w:spacing w:before="0" w:after="0" w:line="360" w:lineRule="auto"/>
        <w:ind w:left="420" w:leftChars="200"/>
        <w:rPr>
          <w:rFonts w:ascii="宋体" w:hAnsi="宋体"/>
          <w:color w:val="auto"/>
          <w:highlight w:val="none"/>
        </w:rPr>
      </w:pPr>
      <w:bookmarkStart w:id="85" w:name="_Toc254970530"/>
      <w:bookmarkStart w:id="86" w:name="_Toc254970671"/>
      <w:r>
        <w:rPr>
          <w:rFonts w:hint="eastAsia" w:ascii="宋体" w:hAnsi="宋体"/>
          <w:color w:val="auto"/>
          <w:highlight w:val="none"/>
        </w:rPr>
        <w:t>4.投标委托</w:t>
      </w:r>
      <w:bookmarkEnd w:id="85"/>
      <w:bookmarkEnd w:id="86"/>
    </w:p>
    <w:p w14:paraId="2FA54B53">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投标人代表参加投标活动过程中必须携带个人有效身份证件。如投标人代表不是法定代表人，须持有授权委托书（按第六章要求格式填写）。</w:t>
      </w:r>
    </w:p>
    <w:p w14:paraId="316E730B">
      <w:pPr>
        <w:pStyle w:val="6"/>
        <w:keepNext w:val="0"/>
        <w:keepLines w:val="0"/>
        <w:spacing w:before="0" w:after="0" w:line="360" w:lineRule="auto"/>
        <w:ind w:left="420" w:leftChars="200"/>
        <w:rPr>
          <w:rFonts w:ascii="宋体" w:hAnsi="宋体"/>
          <w:color w:val="auto"/>
          <w:highlight w:val="none"/>
        </w:rPr>
      </w:pPr>
      <w:bookmarkStart w:id="87" w:name="_5.投标费用"/>
      <w:bookmarkEnd w:id="87"/>
      <w:bookmarkStart w:id="88" w:name="_Toc254970672"/>
      <w:bookmarkStart w:id="89" w:name="_Toc254970531"/>
      <w:r>
        <w:rPr>
          <w:rFonts w:hint="eastAsia" w:ascii="宋体" w:hAnsi="宋体"/>
          <w:color w:val="auto"/>
          <w:highlight w:val="none"/>
        </w:rPr>
        <w:t>5.投标费用</w:t>
      </w:r>
      <w:bookmarkEnd w:id="88"/>
      <w:bookmarkEnd w:id="89"/>
    </w:p>
    <w:p w14:paraId="48C780EB">
      <w:pPr>
        <w:snapToGrid w:val="0"/>
        <w:spacing w:line="360" w:lineRule="auto"/>
        <w:ind w:firstLine="420" w:firstLineChars="200"/>
        <w:jc w:val="left"/>
        <w:rPr>
          <w:rFonts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0EB88DED">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6.联合体投标</w:t>
      </w:r>
    </w:p>
    <w:p w14:paraId="65792E76">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1C208666">
      <w:pPr>
        <w:snapToGrid w:val="0"/>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396523A0">
      <w:pPr>
        <w:pStyle w:val="6"/>
        <w:keepNext w:val="0"/>
        <w:keepLines w:val="0"/>
        <w:spacing w:before="0" w:after="0" w:line="360" w:lineRule="auto"/>
        <w:ind w:firstLine="424" w:firstLineChars="202"/>
        <w:rPr>
          <w:rFonts w:ascii="宋体" w:hAnsi="宋体"/>
          <w:color w:val="auto"/>
          <w:highlight w:val="none"/>
        </w:rPr>
      </w:pPr>
      <w:r>
        <w:rPr>
          <w:rFonts w:hint="eastAsia" w:ascii="宋体" w:hAnsi="宋体"/>
          <w:bCs/>
          <w:color w:val="auto"/>
          <w:sz w:val="21"/>
          <w:szCs w:val="21"/>
          <w:highlight w:val="none"/>
        </w:rPr>
        <w:t>6.3</w:t>
      </w:r>
      <w:bookmarkStart w:id="90" w:name="_Hlk65857072"/>
      <w:r>
        <w:rPr>
          <w:rFonts w:hint="eastAsia" w:ascii="宋体" w:hAnsi="宋体"/>
          <w:bCs/>
          <w:color w:val="auto"/>
          <w:sz w:val="21"/>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90"/>
    </w:p>
    <w:p w14:paraId="292A0D98">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 xml:space="preserve">7.转包与分包             </w:t>
      </w:r>
    </w:p>
    <w:p w14:paraId="16963C87">
      <w:pPr>
        <w:pStyle w:val="6"/>
        <w:keepNext w:val="0"/>
        <w:keepLines w:val="0"/>
        <w:spacing w:before="0" w:after="0" w:line="360" w:lineRule="auto"/>
        <w:ind w:left="420" w:leftChars="200"/>
        <w:rPr>
          <w:rFonts w:ascii="宋体" w:hAnsi="宋体"/>
          <w:b/>
          <w:color w:val="auto"/>
          <w:sz w:val="21"/>
          <w:szCs w:val="21"/>
          <w:highlight w:val="none"/>
        </w:rPr>
      </w:pPr>
      <w:r>
        <w:rPr>
          <w:rFonts w:hint="eastAsia" w:ascii="宋体" w:hAnsi="宋体"/>
          <w:color w:val="auto"/>
          <w:sz w:val="21"/>
          <w:szCs w:val="21"/>
          <w:highlight w:val="none"/>
        </w:rPr>
        <w:t>7.1本项目不允许转包。</w:t>
      </w:r>
    </w:p>
    <w:p w14:paraId="31A038A9">
      <w:pPr>
        <w:pStyle w:val="6"/>
        <w:keepNext w:val="0"/>
        <w:keepLines w:val="0"/>
        <w:spacing w:before="0" w:after="0" w:line="360" w:lineRule="auto"/>
        <w:ind w:firstLine="315" w:firstLineChars="150"/>
        <w:rPr>
          <w:rFonts w:ascii="宋体" w:hAnsi="宋体"/>
          <w:b/>
          <w:color w:val="auto"/>
          <w:sz w:val="21"/>
          <w:szCs w:val="21"/>
          <w:highlight w:val="none"/>
        </w:rPr>
      </w:pPr>
      <w:r>
        <w:rPr>
          <w:rFonts w:hint="eastAsia" w:ascii="宋体" w:hAnsi="宋体"/>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7A8A759A">
      <w:pPr>
        <w:pStyle w:val="6"/>
        <w:keepNext w:val="0"/>
        <w:keepLines w:val="0"/>
        <w:spacing w:before="0" w:after="0" w:line="360" w:lineRule="auto"/>
        <w:ind w:firstLine="315" w:firstLineChars="150"/>
        <w:rPr>
          <w:rFonts w:ascii="宋体" w:hAnsi="宋体"/>
          <w:b/>
          <w:color w:val="auto"/>
          <w:sz w:val="21"/>
          <w:szCs w:val="21"/>
          <w:highlight w:val="none"/>
        </w:rPr>
      </w:pPr>
      <w:r>
        <w:rPr>
          <w:rFonts w:hint="eastAsia" w:ascii="宋体" w:hAnsi="宋体"/>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09A9FF18">
      <w:pPr>
        <w:pStyle w:val="6"/>
        <w:keepNext w:val="0"/>
        <w:keepLines w:val="0"/>
        <w:spacing w:before="0" w:after="0" w:line="360" w:lineRule="auto"/>
        <w:ind w:left="420" w:leftChars="200"/>
        <w:rPr>
          <w:rFonts w:ascii="宋体" w:hAnsi="宋体"/>
          <w:color w:val="auto"/>
          <w:highlight w:val="none"/>
        </w:rPr>
      </w:pPr>
      <w:bookmarkStart w:id="91" w:name="_Toc254970532"/>
      <w:bookmarkStart w:id="92" w:name="_Toc254970673"/>
      <w:r>
        <w:rPr>
          <w:rFonts w:hint="eastAsia" w:ascii="宋体" w:hAnsi="宋体"/>
          <w:color w:val="auto"/>
          <w:highlight w:val="none"/>
        </w:rPr>
        <w:t>8.特别说明</w:t>
      </w:r>
      <w:bookmarkEnd w:id="91"/>
      <w:bookmarkEnd w:id="92"/>
    </w:p>
    <w:p w14:paraId="14B0DB36">
      <w:pPr>
        <w:pStyle w:val="6"/>
        <w:keepNext w:val="0"/>
        <w:keepLines w:val="0"/>
        <w:spacing w:before="0" w:after="0" w:line="360" w:lineRule="auto"/>
        <w:ind w:firstLine="315" w:firstLineChars="150"/>
        <w:rPr>
          <w:rFonts w:ascii="宋体" w:hAnsi="宋体"/>
          <w:b/>
          <w:color w:val="auto"/>
          <w:sz w:val="21"/>
          <w:szCs w:val="21"/>
          <w:highlight w:val="none"/>
        </w:rPr>
      </w:pPr>
      <w:bookmarkStart w:id="93" w:name="_8.1提供相同品牌产品且通过资格审查、符合性审查的不同投标人参加同一合"/>
      <w:bookmarkEnd w:id="93"/>
      <w:r>
        <w:rPr>
          <w:rFonts w:hint="eastAsia" w:ascii="宋体" w:hAnsi="宋体"/>
          <w:color w:val="auto"/>
          <w:sz w:val="21"/>
          <w:szCs w:val="21"/>
          <w:highlight w:val="none"/>
        </w:rPr>
        <w:t>8.1如果本招标文件要求提供投标人或制造商的资格、信誉、荣誉、业绩与企业认证等材料的，资格、信誉、荣誉、业绩与企业认证等必须为投标人或者制造商所拥有或自身获得 。</w:t>
      </w:r>
    </w:p>
    <w:p w14:paraId="482D94E0">
      <w:pPr>
        <w:pStyle w:val="6"/>
        <w:keepNext w:val="0"/>
        <w:keepLines w:val="0"/>
        <w:spacing w:before="0" w:after="0" w:line="360" w:lineRule="auto"/>
        <w:ind w:firstLine="315" w:firstLineChars="150"/>
        <w:rPr>
          <w:rFonts w:ascii="宋体" w:hAnsi="宋体"/>
          <w:b/>
          <w:color w:val="auto"/>
          <w:sz w:val="21"/>
          <w:szCs w:val="21"/>
          <w:highlight w:val="none"/>
        </w:rPr>
      </w:pPr>
      <w:r>
        <w:rPr>
          <w:rFonts w:hint="eastAsia" w:ascii="宋体" w:hAnsi="宋体"/>
          <w:color w:val="auto"/>
          <w:sz w:val="21"/>
          <w:szCs w:val="21"/>
          <w:highlight w:val="none"/>
        </w:rPr>
        <w:t>8.2投标人应仔细阅读招标文件的所有内容，按照招标文件的要求提交投标文件，并对所提供的全部资料的真实性承担法律责任。</w:t>
      </w:r>
    </w:p>
    <w:p w14:paraId="76CACB3C">
      <w:pPr>
        <w:pStyle w:val="6"/>
        <w:keepNext w:val="0"/>
        <w:keepLines w:val="0"/>
        <w:spacing w:before="0" w:after="0" w:line="360" w:lineRule="auto"/>
        <w:ind w:firstLine="315" w:firstLineChars="150"/>
        <w:rPr>
          <w:rFonts w:ascii="宋体" w:hAnsi="宋体"/>
          <w:b/>
          <w:color w:val="auto"/>
          <w:sz w:val="21"/>
          <w:szCs w:val="21"/>
          <w:highlight w:val="none"/>
        </w:rPr>
      </w:pPr>
      <w:r>
        <w:rPr>
          <w:rFonts w:hint="eastAsia" w:ascii="宋体" w:hAnsi="宋体"/>
          <w:color w:val="auto"/>
          <w:sz w:val="21"/>
          <w:szCs w:val="21"/>
          <w:highlight w:val="none"/>
        </w:rPr>
        <w:t>8.3投标人在投标活动中提供任何虚假材料，将报监管部门查处；中标后发现的，中标人须依法赔偿采购人，且民事赔偿并不免除违法投标人的行政与刑事责任。</w:t>
      </w:r>
    </w:p>
    <w:p w14:paraId="7BADAAE2">
      <w:pPr>
        <w:pStyle w:val="6"/>
        <w:keepNext w:val="0"/>
        <w:keepLines w:val="0"/>
        <w:spacing w:before="0" w:after="0" w:line="360" w:lineRule="auto"/>
        <w:ind w:left="420" w:leftChars="200"/>
        <w:rPr>
          <w:rFonts w:ascii="宋体" w:hAnsi="宋体"/>
          <w:color w:val="auto"/>
          <w:highlight w:val="none"/>
        </w:rPr>
      </w:pPr>
      <w:r>
        <w:rPr>
          <w:rFonts w:ascii="宋体" w:hAnsi="宋体"/>
          <w:color w:val="auto"/>
          <w:highlight w:val="none"/>
        </w:rPr>
        <w:t>9.</w:t>
      </w:r>
      <w:r>
        <w:rPr>
          <w:rFonts w:hint="eastAsia" w:ascii="宋体" w:hAnsi="宋体"/>
          <w:color w:val="auto"/>
          <w:highlight w:val="none"/>
        </w:rPr>
        <w:t>回避与串通投标</w:t>
      </w:r>
    </w:p>
    <w:p w14:paraId="1B7D418D">
      <w:pPr>
        <w:pStyle w:val="6"/>
        <w:keepNext w:val="0"/>
        <w:keepLines w:val="0"/>
        <w:spacing w:before="0" w:after="0" w:line="360" w:lineRule="auto"/>
        <w:ind w:firstLine="367" w:firstLineChars="175"/>
        <w:rPr>
          <w:rFonts w:ascii="宋体" w:hAnsi="宋体"/>
          <w:b/>
          <w:color w:val="auto"/>
          <w:sz w:val="21"/>
          <w:szCs w:val="21"/>
          <w:highlight w:val="none"/>
        </w:rPr>
      </w:pPr>
      <w:r>
        <w:rPr>
          <w:rFonts w:hint="eastAsia" w:ascii="宋体" w:hAnsi="宋体"/>
          <w:color w:val="auto"/>
          <w:sz w:val="21"/>
          <w:szCs w:val="21"/>
          <w:highlight w:val="none"/>
        </w:rPr>
        <w:t>9</w:t>
      </w:r>
      <w:r>
        <w:rPr>
          <w:rFonts w:ascii="宋体" w:hAnsi="宋体"/>
          <w:color w:val="auto"/>
          <w:sz w:val="21"/>
          <w:szCs w:val="21"/>
          <w:highlight w:val="none"/>
        </w:rPr>
        <w:t>.1在政府采购活动中，采购人员及相关人员与</w:t>
      </w:r>
      <w:r>
        <w:rPr>
          <w:rFonts w:hint="eastAsia" w:ascii="宋体" w:hAnsi="宋体"/>
          <w:color w:val="auto"/>
          <w:sz w:val="21"/>
          <w:szCs w:val="21"/>
          <w:highlight w:val="none"/>
        </w:rPr>
        <w:t>供应商</w:t>
      </w:r>
      <w:r>
        <w:rPr>
          <w:rFonts w:ascii="宋体" w:hAnsi="宋体"/>
          <w:color w:val="auto"/>
          <w:sz w:val="21"/>
          <w:szCs w:val="21"/>
          <w:highlight w:val="none"/>
        </w:rPr>
        <w:t>有下列利害关系之一的，应当回避：</w:t>
      </w:r>
    </w:p>
    <w:p w14:paraId="5BDD2887">
      <w:pPr>
        <w:pStyle w:val="2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1</w:t>
      </w:r>
      <w:r>
        <w:rPr>
          <w:rFonts w:hAnsi="宋体"/>
          <w:color w:val="auto"/>
          <w:kern w:val="2"/>
          <w:sz w:val="21"/>
          <w:highlight w:val="none"/>
        </w:rPr>
        <w:t>）参加采购活动前3年内与</w:t>
      </w:r>
      <w:r>
        <w:rPr>
          <w:rFonts w:hint="eastAsia" w:hAnsi="宋体"/>
          <w:color w:val="auto"/>
          <w:kern w:val="2"/>
          <w:sz w:val="21"/>
          <w:highlight w:val="none"/>
        </w:rPr>
        <w:t>供应商</w:t>
      </w:r>
      <w:r>
        <w:rPr>
          <w:rFonts w:hAnsi="宋体"/>
          <w:color w:val="auto"/>
          <w:kern w:val="2"/>
          <w:sz w:val="21"/>
          <w:highlight w:val="none"/>
        </w:rPr>
        <w:t>存在劳动关系；</w:t>
      </w:r>
    </w:p>
    <w:p w14:paraId="3A66A801">
      <w:pPr>
        <w:pStyle w:val="2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2</w:t>
      </w:r>
      <w:r>
        <w:rPr>
          <w:rFonts w:hAnsi="宋体"/>
          <w:color w:val="auto"/>
          <w:kern w:val="2"/>
          <w:sz w:val="21"/>
          <w:highlight w:val="none"/>
        </w:rPr>
        <w:t>）参加采购活动前3年内担任</w:t>
      </w:r>
      <w:r>
        <w:rPr>
          <w:rFonts w:hint="eastAsia" w:hAnsi="宋体"/>
          <w:color w:val="auto"/>
          <w:kern w:val="2"/>
          <w:sz w:val="21"/>
          <w:highlight w:val="none"/>
        </w:rPr>
        <w:t>供应商</w:t>
      </w:r>
      <w:r>
        <w:rPr>
          <w:rFonts w:hAnsi="宋体"/>
          <w:color w:val="auto"/>
          <w:kern w:val="2"/>
          <w:sz w:val="21"/>
          <w:highlight w:val="none"/>
        </w:rPr>
        <w:t>的董事、监事；</w:t>
      </w:r>
    </w:p>
    <w:p w14:paraId="7E9E61FE">
      <w:pPr>
        <w:pStyle w:val="2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3</w:t>
      </w:r>
      <w:r>
        <w:rPr>
          <w:rFonts w:hAnsi="宋体"/>
          <w:color w:val="auto"/>
          <w:kern w:val="2"/>
          <w:sz w:val="21"/>
          <w:highlight w:val="none"/>
        </w:rPr>
        <w:t>）参加采购活动前3年内是</w:t>
      </w:r>
      <w:r>
        <w:rPr>
          <w:rFonts w:hint="eastAsia" w:hAnsi="宋体"/>
          <w:color w:val="auto"/>
          <w:kern w:val="2"/>
          <w:sz w:val="21"/>
          <w:highlight w:val="none"/>
        </w:rPr>
        <w:t>供应商</w:t>
      </w:r>
      <w:r>
        <w:rPr>
          <w:rFonts w:hAnsi="宋体"/>
          <w:color w:val="auto"/>
          <w:kern w:val="2"/>
          <w:sz w:val="21"/>
          <w:highlight w:val="none"/>
        </w:rPr>
        <w:t>的控股股东或者实际控制人；</w:t>
      </w:r>
    </w:p>
    <w:p w14:paraId="24692F8E">
      <w:pPr>
        <w:pStyle w:val="2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4</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的法定代表人或者负责人有夫妻、直系血亲、三代以内旁系血亲或者近姻亲关系；</w:t>
      </w:r>
    </w:p>
    <w:p w14:paraId="6160A102">
      <w:pPr>
        <w:pStyle w:val="2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5</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有其他可能影响政府采购活动公平、公正进行的关系。</w:t>
      </w:r>
    </w:p>
    <w:p w14:paraId="4122BCC8">
      <w:pPr>
        <w:pStyle w:val="25"/>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供应商</w:t>
      </w:r>
      <w:r>
        <w:rPr>
          <w:rFonts w:hAnsi="宋体"/>
          <w:color w:val="auto"/>
          <w:kern w:val="2"/>
          <w:sz w:val="21"/>
          <w:highlight w:val="none"/>
        </w:rPr>
        <w:t>认为采购人员及相关人员与其他</w:t>
      </w:r>
      <w:r>
        <w:rPr>
          <w:rFonts w:hint="eastAsia" w:hAnsi="宋体"/>
          <w:color w:val="auto"/>
          <w:kern w:val="2"/>
          <w:sz w:val="21"/>
          <w:highlight w:val="none"/>
        </w:rPr>
        <w:t>供应商</w:t>
      </w:r>
      <w:r>
        <w:rPr>
          <w:rFonts w:hAnsi="宋体"/>
          <w:color w:val="auto"/>
          <w:kern w:val="2"/>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7096E40B">
      <w:pPr>
        <w:pStyle w:val="6"/>
        <w:keepNext w:val="0"/>
        <w:keepLines w:val="0"/>
        <w:spacing w:before="0" w:after="0" w:line="360" w:lineRule="auto"/>
        <w:ind w:left="420" w:leftChars="200"/>
        <w:rPr>
          <w:rFonts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5881EF37">
      <w:pPr>
        <w:pStyle w:val="25"/>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 xml:space="preserve">（1）不同投标人的投标文件由同一单位或者个人编制； </w:t>
      </w:r>
    </w:p>
    <w:p w14:paraId="66DE83A4">
      <w:pPr>
        <w:pStyle w:val="25"/>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（2）不同投标人委托同一单位或者个人办理投标事宜；</w:t>
      </w:r>
    </w:p>
    <w:p w14:paraId="43F9151A">
      <w:pPr>
        <w:pStyle w:val="25"/>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（3）不同的投标人的投标文件载明的项目管理员为同一个人；</w:t>
      </w:r>
    </w:p>
    <w:p w14:paraId="20F45715">
      <w:pPr>
        <w:pStyle w:val="25"/>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（4）不同投标人的投标文件异常一致或者投标报价呈规律性差异；</w:t>
      </w:r>
    </w:p>
    <w:p w14:paraId="01C46054">
      <w:pPr>
        <w:pStyle w:val="25"/>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（5）不同投标人的投标文件相互混装；</w:t>
      </w:r>
    </w:p>
    <w:p w14:paraId="1AD06EB5">
      <w:pPr>
        <w:pStyle w:val="25"/>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（6）不同投标人的投标保证金从同一单位或者个人账户转出。</w:t>
      </w:r>
    </w:p>
    <w:p w14:paraId="60A38D90">
      <w:pPr>
        <w:pStyle w:val="6"/>
        <w:keepNext w:val="0"/>
        <w:keepLines w:val="0"/>
        <w:spacing w:before="0" w:after="0" w:line="360" w:lineRule="auto"/>
        <w:ind w:left="420" w:leftChars="200"/>
        <w:rPr>
          <w:rFonts w:ascii="宋体" w:hAnsi="宋体"/>
          <w:b/>
          <w:color w:val="auto"/>
          <w:sz w:val="21"/>
          <w:szCs w:val="21"/>
          <w:highlight w:val="none"/>
        </w:rPr>
      </w:pPr>
      <w:r>
        <w:rPr>
          <w:rFonts w:ascii="宋体" w:hAnsi="宋体"/>
          <w:color w:val="auto"/>
          <w:sz w:val="21"/>
          <w:szCs w:val="21"/>
          <w:highlight w:val="none"/>
        </w:rPr>
        <w:t>9.3</w:t>
      </w:r>
      <w:r>
        <w:rPr>
          <w:rFonts w:hint="eastAsia" w:ascii="宋体" w:hAnsi="宋体"/>
          <w:color w:val="auto"/>
          <w:sz w:val="21"/>
          <w:szCs w:val="21"/>
          <w:highlight w:val="none"/>
        </w:rPr>
        <w:t>供应商有下列情形之一的，属于恶意串通行为，将报同级监督管理部门：</w:t>
      </w:r>
    </w:p>
    <w:p w14:paraId="26341424">
      <w:pPr>
        <w:pStyle w:val="25"/>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（1）供应商直接或者间接从采购人或者采购代理机构处获得其他供应商的相关信息并修改其投标文件或者响应文件；</w:t>
      </w:r>
    </w:p>
    <w:p w14:paraId="4DB1086F">
      <w:pPr>
        <w:pStyle w:val="25"/>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（2）供应商按照采购人或者采购代理机构的授意撤换、修改投标文件或者响应文件；</w:t>
      </w:r>
    </w:p>
    <w:p w14:paraId="17F1B49E">
      <w:pPr>
        <w:pStyle w:val="25"/>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（3）供应商之间协商报价、技术方案等投标文件或者响应文件的实质性内容；</w:t>
      </w:r>
    </w:p>
    <w:p w14:paraId="27AFA72E">
      <w:pPr>
        <w:pStyle w:val="25"/>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（4）属于同一集团、协会、商会等组织成员的供应商按照该组织要求协同参加政府采购活动；</w:t>
      </w:r>
    </w:p>
    <w:p w14:paraId="2F98CFEE">
      <w:pPr>
        <w:pStyle w:val="25"/>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02EFD5D4">
      <w:pPr>
        <w:pStyle w:val="25"/>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（6）供应商之间商定部分供应商放弃参加政府采购活动或者放弃中标；</w:t>
      </w:r>
    </w:p>
    <w:p w14:paraId="3616533A">
      <w:pPr>
        <w:pStyle w:val="25"/>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（7）供应商与采购人或者采购代理机构之间、供应商相互之间，为谋求特定供应商中标或者排斥其他供应商的其他串通行为。</w:t>
      </w:r>
    </w:p>
    <w:p w14:paraId="7E66FF28">
      <w:pPr>
        <w:pStyle w:val="25"/>
        <w:snapToGrid w:val="0"/>
        <w:spacing w:line="360" w:lineRule="auto"/>
        <w:ind w:left="2" w:leftChars="1" w:firstLine="422" w:firstLineChars="200"/>
        <w:rPr>
          <w:rFonts w:hAnsi="宋体"/>
          <w:b/>
          <w:color w:val="auto"/>
          <w:kern w:val="2"/>
          <w:sz w:val="21"/>
          <w:highlight w:val="none"/>
        </w:rPr>
      </w:pPr>
    </w:p>
    <w:p w14:paraId="16AC885A">
      <w:pPr>
        <w:pStyle w:val="4"/>
        <w:keepNext w:val="0"/>
        <w:keepLines w:val="0"/>
        <w:jc w:val="center"/>
        <w:rPr>
          <w:rFonts w:ascii="宋体" w:hAnsi="宋体" w:eastAsia="宋体"/>
          <w:color w:val="auto"/>
          <w:highlight w:val="none"/>
        </w:rPr>
      </w:pPr>
      <w:bookmarkStart w:id="94" w:name="_Toc254970534"/>
      <w:bookmarkStart w:id="95" w:name="_Toc254970675"/>
      <w:r>
        <w:rPr>
          <w:rFonts w:hint="eastAsia" w:ascii="宋体" w:hAnsi="宋体" w:eastAsia="宋体"/>
          <w:color w:val="auto"/>
          <w:highlight w:val="none"/>
        </w:rPr>
        <w:t>二、招标文件</w:t>
      </w:r>
      <w:bookmarkEnd w:id="94"/>
      <w:bookmarkEnd w:id="95"/>
    </w:p>
    <w:p w14:paraId="2B4F78B1">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10.招标文件的组成</w:t>
      </w:r>
    </w:p>
    <w:p w14:paraId="22124DC3">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（1）招标公告；</w:t>
      </w:r>
    </w:p>
    <w:p w14:paraId="2FF9EA4F">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 xml:space="preserve">（2）采购需求； </w:t>
      </w:r>
    </w:p>
    <w:p w14:paraId="163B6CB2">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（3）投标人须知；</w:t>
      </w:r>
    </w:p>
    <w:p w14:paraId="245A9D3E">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（4）评标方法及评标标准；</w:t>
      </w:r>
    </w:p>
    <w:p w14:paraId="23BEDAF1">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（5）拟签订的合同文本；</w:t>
      </w:r>
    </w:p>
    <w:p w14:paraId="7555D8A7">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（6）投标文件格式。</w:t>
      </w:r>
    </w:p>
    <w:p w14:paraId="7339C369">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11.招标文件的澄清、修改 、现场考察和答疑会</w:t>
      </w:r>
    </w:p>
    <w:p w14:paraId="610E6C55">
      <w:pPr>
        <w:pStyle w:val="6"/>
        <w:keepNext w:val="0"/>
        <w:keepLines w:val="0"/>
        <w:spacing w:before="0" w:after="0" w:line="360" w:lineRule="auto"/>
        <w:ind w:firstLine="315" w:firstLineChars="150"/>
        <w:rPr>
          <w:rFonts w:ascii="宋体" w:hAnsi="宋体"/>
          <w:b/>
          <w:color w:val="auto"/>
          <w:sz w:val="21"/>
          <w:szCs w:val="21"/>
          <w:highlight w:val="none"/>
        </w:rPr>
      </w:pPr>
      <w:r>
        <w:rPr>
          <w:rFonts w:hint="eastAsia" w:ascii="宋体" w:hAnsi="宋体"/>
          <w:color w:val="auto"/>
          <w:sz w:val="21"/>
          <w:szCs w:val="21"/>
          <w:highlight w:val="none"/>
        </w:rPr>
        <w:t xml:space="preserve"> 11.1投标人应认真审阅本招标文件，如有疑问，或发现其中有误或有要求不合理的，应在招标公告公告期限届满之日起7个工作日内以纸质书面形式要求采购人或采购代理机构对招标文件予以澄清；否则，由此产生的后果由投标人自行负责。</w:t>
      </w:r>
    </w:p>
    <w:p w14:paraId="7F7B1624">
      <w:pPr>
        <w:pStyle w:val="6"/>
        <w:keepNext w:val="0"/>
        <w:keepLines w:val="0"/>
        <w:spacing w:before="0" w:after="0" w:line="360" w:lineRule="auto"/>
        <w:ind w:firstLine="420" w:firstLineChars="200"/>
        <w:rPr>
          <w:rFonts w:ascii="宋体" w:hAnsi="宋体"/>
          <w:color w:val="auto"/>
          <w:highlight w:val="none"/>
        </w:rPr>
      </w:pPr>
      <w:r>
        <w:rPr>
          <w:rFonts w:hint="eastAsia" w:ascii="宋体" w:hAnsi="宋体"/>
          <w:color w:val="auto"/>
          <w:sz w:val="21"/>
          <w:szCs w:val="21"/>
          <w:highlight w:val="none"/>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w:t>
      </w:r>
    </w:p>
    <w:p w14:paraId="51A41153">
      <w:pPr>
        <w:spacing w:line="360" w:lineRule="auto"/>
        <w:ind w:firstLine="420" w:firstLineChars="200"/>
        <w:rPr>
          <w:rFonts w:ascii="宋体" w:hAnsi="宋体"/>
          <w:color w:val="auto"/>
          <w:szCs w:val="21"/>
          <w:highlight w:val="none"/>
        </w:rPr>
      </w:pPr>
      <w:r>
        <w:rPr>
          <w:rFonts w:hint="eastAsia" w:ascii="宋体" w:hAnsi="宋体"/>
          <w:color w:val="auto"/>
          <w:highlight w:val="none"/>
        </w:rPr>
        <w:t>11.3采购人和采购代理机构可以视采购具体情况，变更投标截止时间和开标时间，并</w:t>
      </w:r>
      <w:r>
        <w:rPr>
          <w:rFonts w:hint="eastAsia" w:ascii="宋体" w:hAnsi="宋体"/>
          <w:color w:val="auto"/>
          <w:szCs w:val="21"/>
          <w:highlight w:val="none"/>
        </w:rPr>
        <w:t>在原公告发布媒体上发布更正公告。</w:t>
      </w:r>
    </w:p>
    <w:p w14:paraId="7B7373AD">
      <w:pPr>
        <w:spacing w:line="360" w:lineRule="auto"/>
        <w:ind w:firstLine="420" w:firstLineChars="200"/>
        <w:rPr>
          <w:rFonts w:ascii="宋体" w:hAnsi="宋体"/>
          <w:color w:val="auto"/>
          <w:highlight w:val="none"/>
        </w:rPr>
      </w:pPr>
      <w:r>
        <w:rPr>
          <w:rFonts w:hint="eastAsia" w:ascii="宋体" w:hAnsi="宋体"/>
          <w:color w:val="auto"/>
          <w:szCs w:val="21"/>
          <w:highlight w:val="none"/>
        </w:rPr>
        <w:t>11.4招标文件澄清、答复、修改、补充的内容为招标文件的组成部分。</w:t>
      </w:r>
      <w:r>
        <w:rPr>
          <w:rFonts w:hint="eastAsia" w:ascii="宋体" w:hAnsi="宋体"/>
          <w:b/>
          <w:color w:val="auto"/>
          <w:szCs w:val="21"/>
          <w:highlight w:val="none"/>
        </w:rPr>
        <w:t>当招标文件与招标文件的澄清、答复、修改、补充通知就同一内容的表述不一致时，以最后发出的文件为准。</w:t>
      </w:r>
    </w:p>
    <w:p w14:paraId="66EE45AC">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1</w:t>
      </w:r>
      <w:r>
        <w:rPr>
          <w:rFonts w:hAnsi="宋体"/>
          <w:color w:val="auto"/>
          <w:sz w:val="21"/>
          <w:highlight w:val="none"/>
        </w:rPr>
        <w:t>1.</w:t>
      </w:r>
      <w:bookmarkStart w:id="96" w:name="_Hlk53134511"/>
      <w:r>
        <w:rPr>
          <w:rFonts w:hint="eastAsia" w:hAnsi="宋体"/>
          <w:color w:val="auto"/>
          <w:sz w:val="21"/>
          <w:highlight w:val="none"/>
        </w:rPr>
        <w:t>5采购人或者采购代理机构可以在招标文件提供期限截止后，组织已获取招标文件的潜在投标人现场考察或者召开开标前答疑会，具体详见“投标人须知前附表”。</w:t>
      </w:r>
    </w:p>
    <w:p w14:paraId="289221BD">
      <w:pPr>
        <w:pStyle w:val="25"/>
        <w:snapToGrid w:val="0"/>
        <w:spacing w:line="360" w:lineRule="auto"/>
        <w:ind w:firstLine="420" w:firstLineChars="200"/>
        <w:rPr>
          <w:rFonts w:hAnsi="宋体"/>
          <w:color w:val="auto"/>
          <w:sz w:val="21"/>
          <w:highlight w:val="none"/>
        </w:rPr>
      </w:pPr>
    </w:p>
    <w:bookmarkEnd w:id="96"/>
    <w:p w14:paraId="7A3F7D4E">
      <w:pPr>
        <w:pStyle w:val="4"/>
        <w:keepNext w:val="0"/>
        <w:keepLines w:val="0"/>
        <w:jc w:val="center"/>
        <w:rPr>
          <w:rFonts w:ascii="宋体" w:hAnsi="宋体" w:eastAsia="宋体"/>
          <w:color w:val="auto"/>
          <w:highlight w:val="none"/>
        </w:rPr>
      </w:pPr>
      <w:bookmarkStart w:id="97" w:name="_Toc254970676"/>
      <w:bookmarkStart w:id="98" w:name="_Toc254970535"/>
      <w:r>
        <w:rPr>
          <w:rFonts w:hint="eastAsia" w:ascii="宋体" w:hAnsi="宋体" w:eastAsia="宋体"/>
          <w:color w:val="auto"/>
          <w:highlight w:val="none"/>
        </w:rPr>
        <w:t>三、投标文件的编制</w:t>
      </w:r>
      <w:bookmarkEnd w:id="97"/>
      <w:bookmarkEnd w:id="98"/>
    </w:p>
    <w:p w14:paraId="646A36C4">
      <w:pPr>
        <w:pStyle w:val="6"/>
        <w:keepNext w:val="0"/>
        <w:keepLines w:val="0"/>
        <w:spacing w:before="0" w:after="0" w:line="360" w:lineRule="auto"/>
        <w:ind w:left="420" w:leftChars="200"/>
        <w:rPr>
          <w:rFonts w:ascii="宋体" w:hAnsi="宋体"/>
          <w:color w:val="auto"/>
          <w:highlight w:val="none"/>
        </w:rPr>
      </w:pPr>
      <w:bookmarkStart w:id="99" w:name="_Toc254970536"/>
      <w:bookmarkStart w:id="100" w:name="_Toc254970677"/>
      <w:r>
        <w:rPr>
          <w:rFonts w:hint="eastAsia" w:ascii="宋体" w:hAnsi="宋体"/>
          <w:color w:val="auto"/>
          <w:highlight w:val="none"/>
        </w:rPr>
        <w:t>12.投标文件的编制原则</w:t>
      </w:r>
    </w:p>
    <w:p w14:paraId="21471BE4">
      <w:pPr>
        <w:snapToGrid w:val="0"/>
        <w:spacing w:line="360" w:lineRule="auto"/>
        <w:ind w:firstLine="420"/>
        <w:jc w:val="left"/>
        <w:rPr>
          <w:rFonts w:ascii="宋体" w:hAnsi="宋体" w:cs="Courier New"/>
          <w:color w:val="auto"/>
          <w:szCs w:val="21"/>
          <w:highlight w:val="none"/>
        </w:rPr>
      </w:pPr>
      <w:r>
        <w:rPr>
          <w:rFonts w:ascii="宋体" w:hAnsi="宋体"/>
          <w:color w:val="auto"/>
          <w:szCs w:val="21"/>
          <w:highlight w:val="none"/>
        </w:rPr>
        <w:t>投标人必须按照招标文件的要求编制投标文件。投标文件必须对招标文件提出的要求和条件作出明确响应。</w:t>
      </w:r>
    </w:p>
    <w:p w14:paraId="12C11F88">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13.投标文件的组成</w:t>
      </w:r>
      <w:bookmarkEnd w:id="99"/>
      <w:bookmarkEnd w:id="100"/>
    </w:p>
    <w:p w14:paraId="16A6A65A">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3.1</w:t>
      </w:r>
      <w:r>
        <w:rPr>
          <w:rFonts w:hint="eastAsia" w:ascii="宋体" w:hAnsi="宋体"/>
          <w:color w:val="auto"/>
          <w:szCs w:val="21"/>
          <w:highlight w:val="none"/>
        </w:rPr>
        <w:t>投标文件由报价文件、资格证明文件、商务文件、技术文件四部分组成。</w:t>
      </w:r>
    </w:p>
    <w:p w14:paraId="33863095">
      <w:pPr>
        <w:pStyle w:val="6"/>
        <w:keepNext w:val="0"/>
        <w:keepLines w:val="0"/>
        <w:spacing w:before="0" w:after="0" w:line="360" w:lineRule="auto"/>
        <w:ind w:left="420" w:leftChars="200"/>
        <w:rPr>
          <w:rFonts w:ascii="宋体" w:hAnsi="宋体"/>
          <w:b/>
          <w:color w:val="auto"/>
          <w:sz w:val="21"/>
          <w:szCs w:val="21"/>
          <w:highlight w:val="none"/>
        </w:rPr>
      </w:pPr>
      <w:bookmarkStart w:id="101" w:name="_13.1报价文件:_具体材料见“投标人须知前附表”。"/>
      <w:bookmarkEnd w:id="101"/>
      <w:r>
        <w:rPr>
          <w:rFonts w:hint="eastAsia" w:ascii="宋体" w:hAnsi="宋体"/>
          <w:color w:val="auto"/>
          <w:sz w:val="21"/>
          <w:szCs w:val="21"/>
          <w:highlight w:val="none"/>
        </w:rPr>
        <w:t>（1）报价文件：</w:t>
      </w:r>
      <w:r>
        <w:rPr>
          <w:rFonts w:ascii="宋体" w:hAnsi="宋体"/>
          <w:color w:val="auto"/>
          <w:sz w:val="21"/>
          <w:szCs w:val="21"/>
          <w:highlight w:val="none"/>
        </w:rPr>
        <w:t xml:space="preserve"> 具体材料见“投标人须知前附表”</w:t>
      </w:r>
      <w:r>
        <w:rPr>
          <w:rFonts w:hint="eastAsia" w:ascii="宋体" w:hAnsi="宋体"/>
          <w:color w:val="auto"/>
          <w:sz w:val="21"/>
          <w:szCs w:val="21"/>
          <w:highlight w:val="none"/>
        </w:rPr>
        <w:t>。</w:t>
      </w:r>
    </w:p>
    <w:p w14:paraId="57255271">
      <w:pPr>
        <w:pStyle w:val="6"/>
        <w:keepNext w:val="0"/>
        <w:keepLines w:val="0"/>
        <w:spacing w:before="0" w:after="0" w:line="360" w:lineRule="auto"/>
        <w:ind w:left="420" w:leftChars="200"/>
        <w:rPr>
          <w:rFonts w:ascii="宋体" w:hAnsi="宋体"/>
          <w:b/>
          <w:color w:val="auto"/>
          <w:sz w:val="21"/>
          <w:szCs w:val="21"/>
          <w:highlight w:val="none"/>
        </w:rPr>
      </w:pPr>
      <w:bookmarkStart w:id="102" w:name="_13.2资格证明文件：具体材料见“投标人须知前附表”。"/>
      <w:bookmarkEnd w:id="102"/>
      <w:r>
        <w:rPr>
          <w:rFonts w:hint="eastAsia" w:ascii="宋体" w:hAnsi="宋体"/>
          <w:color w:val="auto"/>
          <w:sz w:val="21"/>
          <w:szCs w:val="21"/>
          <w:highlight w:val="none"/>
        </w:rPr>
        <w:t>（</w:t>
      </w:r>
      <w:r>
        <w:rPr>
          <w:rFonts w:ascii="宋体" w:hAnsi="宋体"/>
          <w:color w:val="auto"/>
          <w:sz w:val="21"/>
          <w:szCs w:val="21"/>
          <w:highlight w:val="none"/>
        </w:rPr>
        <w:t>2</w:t>
      </w:r>
      <w:r>
        <w:rPr>
          <w:rFonts w:hint="eastAsia" w:ascii="宋体" w:hAnsi="宋体"/>
          <w:color w:val="auto"/>
          <w:sz w:val="21"/>
          <w:szCs w:val="21"/>
          <w:highlight w:val="none"/>
        </w:rPr>
        <w:t>）资格证明文件：</w:t>
      </w:r>
      <w:r>
        <w:rPr>
          <w:rFonts w:ascii="宋体" w:hAnsi="宋体"/>
          <w:color w:val="auto"/>
          <w:sz w:val="21"/>
          <w:szCs w:val="21"/>
          <w:highlight w:val="none"/>
        </w:rPr>
        <w:t>具体材料见“投标人须知前附表”</w:t>
      </w:r>
      <w:r>
        <w:rPr>
          <w:rFonts w:hint="eastAsia" w:ascii="宋体" w:hAnsi="宋体"/>
          <w:color w:val="auto"/>
          <w:sz w:val="21"/>
          <w:szCs w:val="21"/>
          <w:highlight w:val="none"/>
        </w:rPr>
        <w:t>。</w:t>
      </w:r>
    </w:p>
    <w:p w14:paraId="408001D2">
      <w:pPr>
        <w:pStyle w:val="6"/>
        <w:keepNext w:val="0"/>
        <w:keepLines w:val="0"/>
        <w:spacing w:before="0" w:after="0" w:line="360" w:lineRule="auto"/>
        <w:ind w:left="420" w:leftChars="200"/>
        <w:rPr>
          <w:rFonts w:ascii="宋体" w:hAnsi="宋体"/>
          <w:b/>
          <w:color w:val="auto"/>
          <w:sz w:val="21"/>
          <w:szCs w:val="21"/>
          <w:highlight w:val="none"/>
        </w:rPr>
      </w:pPr>
      <w:bookmarkStart w:id="103" w:name="_13.3商务文件:_具体材料见“投标人须知前附表”。"/>
      <w:bookmarkEnd w:id="103"/>
      <w:r>
        <w:rPr>
          <w:rFonts w:hint="eastAsia" w:ascii="宋体" w:hAnsi="宋体"/>
          <w:color w:val="auto"/>
          <w:sz w:val="21"/>
          <w:szCs w:val="21"/>
          <w:highlight w:val="none"/>
        </w:rPr>
        <w:t>（</w:t>
      </w:r>
      <w:r>
        <w:rPr>
          <w:rFonts w:ascii="宋体" w:hAnsi="宋体"/>
          <w:color w:val="auto"/>
          <w:sz w:val="21"/>
          <w:szCs w:val="21"/>
          <w:highlight w:val="none"/>
        </w:rPr>
        <w:t>3</w:t>
      </w:r>
      <w:r>
        <w:rPr>
          <w:rFonts w:hint="eastAsia" w:ascii="宋体" w:hAnsi="宋体"/>
          <w:color w:val="auto"/>
          <w:sz w:val="21"/>
          <w:szCs w:val="21"/>
          <w:highlight w:val="none"/>
        </w:rPr>
        <w:t>）商务文件：</w:t>
      </w:r>
      <w:r>
        <w:rPr>
          <w:rFonts w:ascii="宋体" w:hAnsi="宋体"/>
          <w:color w:val="auto"/>
          <w:sz w:val="21"/>
          <w:szCs w:val="21"/>
          <w:highlight w:val="none"/>
        </w:rPr>
        <w:t>具体材料见“投标人须知前附表”</w:t>
      </w:r>
      <w:r>
        <w:rPr>
          <w:rFonts w:hint="eastAsia" w:ascii="宋体" w:hAnsi="宋体"/>
          <w:color w:val="auto"/>
          <w:sz w:val="21"/>
          <w:szCs w:val="21"/>
          <w:highlight w:val="none"/>
        </w:rPr>
        <w:t>。</w:t>
      </w:r>
    </w:p>
    <w:p w14:paraId="3F9154B4">
      <w:pPr>
        <w:pStyle w:val="6"/>
        <w:keepNext w:val="0"/>
        <w:keepLines w:val="0"/>
        <w:spacing w:before="0" w:after="0" w:line="360" w:lineRule="auto"/>
        <w:ind w:left="420" w:leftChars="200"/>
        <w:rPr>
          <w:rFonts w:ascii="宋体" w:hAnsi="宋体"/>
          <w:b/>
          <w:color w:val="auto"/>
          <w:sz w:val="21"/>
          <w:szCs w:val="21"/>
          <w:highlight w:val="none"/>
        </w:rPr>
      </w:pPr>
      <w:bookmarkStart w:id="104" w:name="_13.4技术文件：具体材料见“投标人须知前附表”。"/>
      <w:bookmarkEnd w:id="104"/>
      <w:r>
        <w:rPr>
          <w:rFonts w:hint="eastAsia" w:ascii="宋体" w:hAnsi="宋体"/>
          <w:color w:val="auto"/>
          <w:sz w:val="21"/>
          <w:szCs w:val="21"/>
          <w:highlight w:val="none"/>
        </w:rPr>
        <w:t>（</w:t>
      </w:r>
      <w:r>
        <w:rPr>
          <w:rFonts w:ascii="宋体" w:hAnsi="宋体"/>
          <w:color w:val="auto"/>
          <w:sz w:val="21"/>
          <w:szCs w:val="21"/>
          <w:highlight w:val="none"/>
        </w:rPr>
        <w:t>4</w:t>
      </w:r>
      <w:r>
        <w:rPr>
          <w:rFonts w:hint="eastAsia" w:ascii="宋体" w:hAnsi="宋体"/>
          <w:color w:val="auto"/>
          <w:sz w:val="21"/>
          <w:szCs w:val="21"/>
          <w:highlight w:val="none"/>
        </w:rPr>
        <w:t>）技术文件：</w:t>
      </w:r>
      <w:r>
        <w:rPr>
          <w:rFonts w:ascii="宋体" w:hAnsi="宋体"/>
          <w:color w:val="auto"/>
          <w:sz w:val="21"/>
          <w:szCs w:val="21"/>
          <w:highlight w:val="none"/>
        </w:rPr>
        <w:t>具体材料见“投标人须知前附表”</w:t>
      </w:r>
      <w:r>
        <w:rPr>
          <w:rFonts w:hint="eastAsia" w:ascii="宋体" w:hAnsi="宋体"/>
          <w:color w:val="auto"/>
          <w:sz w:val="21"/>
          <w:szCs w:val="21"/>
          <w:highlight w:val="none"/>
        </w:rPr>
        <w:t>。</w:t>
      </w:r>
      <w:bookmarkStart w:id="105" w:name="_13.5投标文件电子版：具体材料见“投标人须知前附表”。"/>
      <w:bookmarkEnd w:id="105"/>
    </w:p>
    <w:p w14:paraId="3401F62C">
      <w:pPr>
        <w:pStyle w:val="6"/>
        <w:keepNext w:val="0"/>
        <w:keepLines w:val="0"/>
        <w:spacing w:before="0" w:after="0" w:line="360" w:lineRule="auto"/>
        <w:ind w:left="420" w:leftChars="200"/>
        <w:rPr>
          <w:rFonts w:ascii="宋体" w:hAnsi="宋体"/>
          <w:color w:val="auto"/>
          <w:highlight w:val="none"/>
        </w:rPr>
      </w:pPr>
      <w:bookmarkStart w:id="106" w:name="_Toc254970537"/>
      <w:bookmarkStart w:id="107" w:name="_Toc254970678"/>
      <w:r>
        <w:rPr>
          <w:rFonts w:hint="eastAsia" w:ascii="宋体" w:hAnsi="宋体"/>
          <w:color w:val="auto"/>
          <w:highlight w:val="none"/>
        </w:rPr>
        <w:t>14.投标文件的语言及计量</w:t>
      </w:r>
      <w:bookmarkEnd w:id="106"/>
      <w:bookmarkEnd w:id="107"/>
    </w:p>
    <w:p w14:paraId="06ED59BC">
      <w:pPr>
        <w:pStyle w:val="6"/>
        <w:keepNext w:val="0"/>
        <w:keepLines w:val="0"/>
        <w:spacing w:before="0" w:after="0" w:line="360" w:lineRule="auto"/>
        <w:ind w:left="420" w:leftChars="200"/>
        <w:rPr>
          <w:rFonts w:ascii="宋体" w:hAnsi="宋体"/>
          <w:b/>
          <w:color w:val="auto"/>
          <w:sz w:val="21"/>
          <w:szCs w:val="21"/>
          <w:highlight w:val="none"/>
        </w:rPr>
      </w:pPr>
      <w:r>
        <w:rPr>
          <w:rFonts w:hint="eastAsia" w:ascii="宋体" w:hAnsi="宋体"/>
          <w:color w:val="auto"/>
          <w:sz w:val="21"/>
          <w:szCs w:val="21"/>
          <w:highlight w:val="none"/>
        </w:rPr>
        <w:t>14.1语言文字</w:t>
      </w:r>
    </w:p>
    <w:p w14:paraId="6162414E">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44067310">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14.2投标计量单位</w:t>
      </w:r>
    </w:p>
    <w:p w14:paraId="72D530DC">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招标文件已有明确规定的，使用招标文件规定的计量单位；招标文件没有规定的，应采用中华人民共和国法定计量单位，货币种类为人民币，否则视同未响应。</w:t>
      </w:r>
    </w:p>
    <w:p w14:paraId="1A39C827">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15.投标的风险</w:t>
      </w:r>
    </w:p>
    <w:p w14:paraId="4B90D96E">
      <w:pPr>
        <w:pStyle w:val="25"/>
        <w:snapToGrid w:val="0"/>
        <w:spacing w:line="360" w:lineRule="auto"/>
        <w:ind w:firstLine="420" w:firstLineChars="200"/>
        <w:jc w:val="left"/>
        <w:rPr>
          <w:rFonts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194F7BDB">
      <w:pPr>
        <w:pStyle w:val="6"/>
        <w:keepNext w:val="0"/>
        <w:keepLines w:val="0"/>
        <w:spacing w:before="0" w:after="0" w:line="360" w:lineRule="auto"/>
        <w:ind w:left="420" w:leftChars="200"/>
        <w:rPr>
          <w:rFonts w:ascii="宋体" w:hAnsi="宋体"/>
          <w:color w:val="auto"/>
          <w:highlight w:val="none"/>
        </w:rPr>
      </w:pPr>
      <w:bookmarkStart w:id="108" w:name="_Toc254970679"/>
      <w:bookmarkStart w:id="109" w:name="_Toc254970538"/>
      <w:r>
        <w:rPr>
          <w:rFonts w:hint="eastAsia" w:ascii="宋体" w:hAnsi="宋体"/>
          <w:color w:val="auto"/>
          <w:highlight w:val="none"/>
        </w:rPr>
        <w:t>16.投标报价</w:t>
      </w:r>
      <w:bookmarkEnd w:id="108"/>
      <w:bookmarkEnd w:id="109"/>
    </w:p>
    <w:p w14:paraId="605A1556">
      <w:pPr>
        <w:pStyle w:val="6"/>
        <w:keepNext w:val="0"/>
        <w:keepLines w:val="0"/>
        <w:spacing w:before="0" w:after="0" w:line="360" w:lineRule="auto"/>
        <w:ind w:left="420" w:leftChars="200"/>
        <w:rPr>
          <w:rFonts w:ascii="宋体" w:hAnsi="宋体"/>
          <w:b/>
          <w:color w:val="auto"/>
          <w:sz w:val="21"/>
          <w:szCs w:val="21"/>
          <w:highlight w:val="none"/>
        </w:rPr>
      </w:pPr>
      <w:r>
        <w:rPr>
          <w:rFonts w:hint="eastAsia" w:ascii="宋体" w:hAnsi="宋体"/>
          <w:color w:val="auto"/>
          <w:sz w:val="21"/>
          <w:szCs w:val="21"/>
          <w:highlight w:val="none"/>
        </w:rPr>
        <w:t>16.1投标报价应按“第六章　投标文件格式”中“开标一览表”格式填写。</w:t>
      </w:r>
    </w:p>
    <w:p w14:paraId="62286197">
      <w:pPr>
        <w:pStyle w:val="6"/>
        <w:keepNext w:val="0"/>
        <w:keepLines w:val="0"/>
        <w:spacing w:before="0" w:after="0" w:line="360" w:lineRule="auto"/>
        <w:ind w:left="420" w:leftChars="200"/>
        <w:rPr>
          <w:rFonts w:ascii="宋体" w:hAnsi="宋体"/>
          <w:b/>
          <w:color w:val="auto"/>
          <w:sz w:val="21"/>
          <w:szCs w:val="21"/>
          <w:highlight w:val="none"/>
        </w:rPr>
      </w:pPr>
      <w:bookmarkStart w:id="110" w:name="_16.2投标报价具体定义见投标人须知前附表。"/>
      <w:bookmarkEnd w:id="110"/>
      <w:r>
        <w:rPr>
          <w:rFonts w:hint="eastAsia" w:ascii="宋体" w:hAnsi="宋体"/>
          <w:color w:val="auto"/>
          <w:sz w:val="21"/>
          <w:szCs w:val="21"/>
          <w:highlight w:val="none"/>
        </w:rPr>
        <w:t>16.2投标报价具体包括内容详见“投标人须知前附表”。</w:t>
      </w:r>
    </w:p>
    <w:p w14:paraId="2646D3C9">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16.3投标人必须就所投每个分标的全部内容分别作完整唯一总价报价，不得存在漏项报价；投标人必须就所投分标的单项内容作唯一报价。</w:t>
      </w:r>
    </w:p>
    <w:p w14:paraId="1F47A62B">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17.投标有效期</w:t>
      </w:r>
    </w:p>
    <w:p w14:paraId="39AD4126">
      <w:pPr>
        <w:pStyle w:val="6"/>
        <w:keepNext w:val="0"/>
        <w:keepLines w:val="0"/>
        <w:spacing w:before="0" w:after="0" w:line="360" w:lineRule="auto"/>
        <w:ind w:firstLine="420" w:firstLineChars="200"/>
        <w:rPr>
          <w:rFonts w:ascii="宋体" w:hAnsi="宋体"/>
          <w:b/>
          <w:color w:val="auto"/>
          <w:sz w:val="21"/>
          <w:szCs w:val="21"/>
          <w:highlight w:val="none"/>
        </w:rPr>
      </w:pPr>
      <w:bookmarkStart w:id="111" w:name="_17.1投标有效期应按“投标人须知中的前附表”规定的期限。"/>
      <w:bookmarkEnd w:id="111"/>
      <w:r>
        <w:rPr>
          <w:rFonts w:hint="eastAsia" w:ascii="宋体" w:hAnsi="宋体"/>
          <w:color w:val="auto"/>
          <w:sz w:val="21"/>
          <w:szCs w:val="21"/>
          <w:highlight w:val="none"/>
        </w:rPr>
        <w:t>17.1投标有效期是指为保证采购人有足够的时间在开标后完成评标、定标、合同签订等工作而要求投标人提交的投标文件在一定时间内保持有效的期限。</w:t>
      </w:r>
    </w:p>
    <w:p w14:paraId="1F1807D1">
      <w:pPr>
        <w:pStyle w:val="6"/>
        <w:keepNext w:val="0"/>
        <w:keepLines w:val="0"/>
        <w:spacing w:before="0" w:after="0" w:line="360" w:lineRule="auto"/>
        <w:ind w:left="420" w:leftChars="200"/>
        <w:rPr>
          <w:rFonts w:ascii="宋体" w:hAnsi="宋体"/>
          <w:b/>
          <w:color w:val="auto"/>
          <w:sz w:val="21"/>
          <w:szCs w:val="21"/>
          <w:highlight w:val="none"/>
        </w:rPr>
      </w:pPr>
      <w:r>
        <w:rPr>
          <w:rFonts w:hint="eastAsia" w:ascii="宋体" w:hAnsi="宋体"/>
          <w:color w:val="auto"/>
          <w:sz w:val="21"/>
          <w:szCs w:val="21"/>
          <w:highlight w:val="none"/>
        </w:rPr>
        <w:t>17.2</w:t>
      </w:r>
      <w:bookmarkStart w:id="112" w:name="_Toc254970681"/>
      <w:bookmarkStart w:id="113" w:name="_Toc254970540"/>
      <w:r>
        <w:rPr>
          <w:rFonts w:hint="eastAsia" w:ascii="宋体" w:hAnsi="宋体"/>
          <w:color w:val="auto"/>
          <w:sz w:val="21"/>
          <w:szCs w:val="21"/>
          <w:highlight w:val="none"/>
        </w:rPr>
        <w:t xml:space="preserve"> 投标有效期应按规定的期限作出承诺，具体详见“投标人须知前附表”。</w:t>
      </w:r>
    </w:p>
    <w:p w14:paraId="543FC8BB">
      <w:pPr>
        <w:pStyle w:val="6"/>
        <w:keepNext w:val="0"/>
        <w:keepLines w:val="0"/>
        <w:spacing w:before="0" w:after="0" w:line="360" w:lineRule="auto"/>
        <w:ind w:left="420" w:leftChars="200"/>
        <w:rPr>
          <w:rFonts w:ascii="宋体" w:hAnsi="宋体"/>
          <w:b/>
          <w:color w:val="auto"/>
          <w:sz w:val="21"/>
          <w:szCs w:val="21"/>
          <w:highlight w:val="none"/>
        </w:rPr>
      </w:pPr>
      <w:r>
        <w:rPr>
          <w:rFonts w:hint="eastAsia" w:ascii="宋体" w:hAnsi="宋体"/>
          <w:color w:val="auto"/>
          <w:sz w:val="21"/>
          <w:szCs w:val="21"/>
          <w:highlight w:val="none"/>
        </w:rPr>
        <w:t>17.3投标人的投标文件在投标有效期内均保持有效。</w:t>
      </w:r>
      <w:bookmarkEnd w:id="112"/>
      <w:bookmarkEnd w:id="113"/>
    </w:p>
    <w:p w14:paraId="411619ED">
      <w:pPr>
        <w:pStyle w:val="6"/>
        <w:keepNext w:val="0"/>
        <w:keepLines w:val="0"/>
        <w:spacing w:before="0" w:after="0" w:line="360" w:lineRule="auto"/>
        <w:ind w:left="420" w:leftChars="200"/>
        <w:rPr>
          <w:rFonts w:ascii="宋体" w:hAnsi="宋体"/>
          <w:color w:val="auto"/>
          <w:highlight w:val="none"/>
        </w:rPr>
      </w:pPr>
      <w:bookmarkStart w:id="114" w:name="_18.投标保证金"/>
      <w:bookmarkEnd w:id="114"/>
      <w:bookmarkStart w:id="115" w:name="_Toc254970541"/>
      <w:bookmarkStart w:id="116" w:name="_Toc254970682"/>
      <w:r>
        <w:rPr>
          <w:rFonts w:hint="eastAsia" w:ascii="宋体" w:hAnsi="宋体"/>
          <w:color w:val="auto"/>
          <w:highlight w:val="none"/>
        </w:rPr>
        <w:t>18.投标保证金</w:t>
      </w:r>
      <w:bookmarkEnd w:id="115"/>
      <w:bookmarkEnd w:id="116"/>
    </w:p>
    <w:p w14:paraId="451AE2D2">
      <w:pPr>
        <w:pStyle w:val="6"/>
        <w:keepNext w:val="0"/>
        <w:keepLines w:val="0"/>
        <w:spacing w:before="0" w:after="0" w:line="360" w:lineRule="auto"/>
        <w:ind w:left="420" w:leftChars="200"/>
        <w:rPr>
          <w:rFonts w:ascii="宋体" w:hAnsi="宋体"/>
          <w:b/>
          <w:color w:val="auto"/>
          <w:sz w:val="21"/>
          <w:szCs w:val="21"/>
          <w:highlight w:val="none"/>
        </w:rPr>
      </w:pPr>
      <w:r>
        <w:rPr>
          <w:rFonts w:hint="eastAsia" w:ascii="宋体" w:hAnsi="宋体"/>
          <w:color w:val="auto"/>
          <w:sz w:val="21"/>
          <w:szCs w:val="21"/>
          <w:highlight w:val="none"/>
        </w:rPr>
        <w:t>18.1投标人须按“投标人须知前附表” 的规定提交投标保证金。</w:t>
      </w:r>
    </w:p>
    <w:p w14:paraId="2AD5F9AF">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18.2投标保证金的退还</w:t>
      </w:r>
    </w:p>
    <w:p w14:paraId="0D00CE11">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 xml:space="preserve">未中标人的投标保证金自中标通知书发出之日起4个工作日内退还；中标人的投标保证金自政府采购合同签订之日起4个工作日内退还。 </w:t>
      </w:r>
    </w:p>
    <w:p w14:paraId="1BA57857">
      <w:pPr>
        <w:pStyle w:val="6"/>
        <w:keepNext w:val="0"/>
        <w:keepLines w:val="0"/>
        <w:spacing w:before="0" w:after="0" w:line="360" w:lineRule="auto"/>
        <w:ind w:left="420" w:leftChars="200"/>
        <w:rPr>
          <w:rFonts w:ascii="宋体" w:hAnsi="宋体"/>
          <w:b/>
          <w:color w:val="auto"/>
          <w:sz w:val="21"/>
          <w:szCs w:val="21"/>
          <w:highlight w:val="none"/>
        </w:rPr>
      </w:pPr>
      <w:r>
        <w:rPr>
          <w:rFonts w:hint="eastAsia" w:ascii="宋体" w:hAnsi="宋体"/>
          <w:color w:val="auto"/>
          <w:sz w:val="21"/>
          <w:szCs w:val="21"/>
          <w:highlight w:val="none"/>
        </w:rPr>
        <w:t>18.3除逾期退还投标保证金和终止招标的情形以外，投标保证金不计息。</w:t>
      </w:r>
    </w:p>
    <w:p w14:paraId="78EF174D">
      <w:pPr>
        <w:pStyle w:val="6"/>
        <w:keepNext w:val="0"/>
        <w:keepLines w:val="0"/>
        <w:spacing w:before="0" w:after="0" w:line="360" w:lineRule="auto"/>
        <w:ind w:left="420" w:leftChars="200"/>
        <w:rPr>
          <w:rFonts w:ascii="宋体" w:hAnsi="宋体"/>
          <w:b/>
          <w:color w:val="auto"/>
          <w:sz w:val="21"/>
          <w:szCs w:val="21"/>
          <w:highlight w:val="none"/>
        </w:rPr>
      </w:pPr>
      <w:r>
        <w:rPr>
          <w:rFonts w:hint="eastAsia" w:ascii="宋体" w:hAnsi="宋体"/>
          <w:color w:val="auto"/>
          <w:sz w:val="21"/>
          <w:szCs w:val="21"/>
          <w:highlight w:val="none"/>
        </w:rPr>
        <w:t xml:space="preserve">18.4投标人有下列情形之一的，投标保证金将不予退还： </w:t>
      </w:r>
    </w:p>
    <w:p w14:paraId="411D4BF2">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（1）投标人在投标有效期内撤销投标文件的；</w:t>
      </w:r>
    </w:p>
    <w:p w14:paraId="3F4F0D00">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（2）投标人在投标过程中弄虚作假，提供虚假材料的；</w:t>
      </w:r>
    </w:p>
    <w:p w14:paraId="39FCED3C">
      <w:pPr>
        <w:snapToGrid w:val="0"/>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（3）中标人无正当理由不与采购人签订合同的；</w:t>
      </w:r>
    </w:p>
    <w:p w14:paraId="0F351EA3">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（4）投标人出现本章第9.2、9.3情形的；</w:t>
      </w:r>
    </w:p>
    <w:p w14:paraId="51F9420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w:t>
      </w:r>
      <w:r>
        <w:rPr>
          <w:rFonts w:hint="eastAsia" w:ascii="宋体" w:hAnsi="宋体" w:cs="宋体"/>
          <w:color w:val="auto"/>
          <w:szCs w:val="21"/>
          <w:highlight w:val="none"/>
        </w:rPr>
        <w:t>法律法规规定的其他情形</w:t>
      </w:r>
      <w:r>
        <w:rPr>
          <w:rFonts w:hint="eastAsia" w:ascii="宋体" w:hAnsi="宋体"/>
          <w:color w:val="auto"/>
          <w:szCs w:val="21"/>
          <w:highlight w:val="none"/>
        </w:rPr>
        <w:t>。</w:t>
      </w:r>
    </w:p>
    <w:p w14:paraId="03D45621">
      <w:pPr>
        <w:pStyle w:val="6"/>
        <w:keepNext w:val="0"/>
        <w:keepLines w:val="0"/>
        <w:spacing w:before="0" w:after="0" w:line="360" w:lineRule="auto"/>
        <w:ind w:left="420" w:leftChars="200"/>
        <w:rPr>
          <w:rFonts w:ascii="宋体" w:hAnsi="宋体"/>
          <w:color w:val="auto"/>
          <w:highlight w:val="none"/>
        </w:rPr>
      </w:pPr>
      <w:bookmarkStart w:id="117" w:name="_Toc254970683"/>
      <w:bookmarkStart w:id="118" w:name="_Toc254970542"/>
      <w:r>
        <w:rPr>
          <w:rFonts w:hint="eastAsia" w:ascii="宋体" w:hAnsi="宋体"/>
          <w:color w:val="auto"/>
          <w:highlight w:val="none"/>
        </w:rPr>
        <w:t>19.投标文件的</w:t>
      </w:r>
      <w:bookmarkEnd w:id="117"/>
      <w:bookmarkEnd w:id="118"/>
      <w:r>
        <w:rPr>
          <w:rFonts w:hint="eastAsia" w:ascii="宋体" w:hAnsi="宋体"/>
          <w:color w:val="auto"/>
          <w:highlight w:val="none"/>
        </w:rPr>
        <w:t>编制</w:t>
      </w:r>
    </w:p>
    <w:p w14:paraId="16D79D38">
      <w:pPr>
        <w:pStyle w:val="6"/>
        <w:keepNext w:val="0"/>
        <w:keepLines w:val="0"/>
        <w:spacing w:before="0" w:after="0" w:line="360" w:lineRule="auto"/>
        <w:ind w:firstLine="315" w:firstLineChars="150"/>
        <w:rPr>
          <w:rFonts w:ascii="宋体" w:hAnsi="宋体"/>
          <w:b/>
          <w:color w:val="auto"/>
          <w:sz w:val="21"/>
          <w:szCs w:val="21"/>
          <w:highlight w:val="none"/>
        </w:rPr>
      </w:pPr>
      <w:r>
        <w:rPr>
          <w:rFonts w:hint="eastAsia" w:ascii="宋体" w:hAnsi="宋体"/>
          <w:color w:val="auto"/>
          <w:sz w:val="21"/>
          <w:szCs w:val="21"/>
          <w:highlight w:val="none"/>
        </w:rPr>
        <w:t xml:space="preserve"> 19.1投标人应按本招标文件规定的格式和顺序编制、装订投标文件并标注页码，投标文件内容不完整、编排混乱导致投标文件被误读、漏读或者查找不到相关内容的，由此引发的后果由投标人承担。</w:t>
      </w:r>
    </w:p>
    <w:p w14:paraId="4BDEF234">
      <w:pPr>
        <w:pStyle w:val="6"/>
        <w:keepNext w:val="0"/>
        <w:keepLines w:val="0"/>
        <w:spacing w:before="0" w:after="0" w:line="360" w:lineRule="auto"/>
        <w:ind w:firstLine="420" w:firstLineChars="200"/>
        <w:rPr>
          <w:rFonts w:ascii="宋体" w:hAnsi="宋体"/>
          <w:b/>
          <w:color w:val="auto"/>
          <w:sz w:val="21"/>
          <w:szCs w:val="21"/>
          <w:highlight w:val="none"/>
        </w:rPr>
      </w:pPr>
      <w:bookmarkStart w:id="119" w:name="_19.2投标文件应按报价文件、资格证明文件、商务文件、技术文件分别编制"/>
      <w:bookmarkEnd w:id="119"/>
      <w:r>
        <w:rPr>
          <w:rFonts w:hint="eastAsia" w:ascii="宋体" w:hAnsi="宋体"/>
          <w:color w:val="auto"/>
          <w:sz w:val="21"/>
          <w:szCs w:val="21"/>
          <w:highlight w:val="none"/>
        </w:rPr>
        <w:t>19.2投标文件应按报价文件、资格证明文件、商务文件、技术文件分别编制电子文件，并按“广西政府采购云平台”平台的要求编制、加密、上传。</w:t>
      </w:r>
    </w:p>
    <w:p w14:paraId="204E8A66">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19.</w:t>
      </w:r>
      <w:bookmarkStart w:id="120" w:name="_Hlk65832616"/>
      <w:r>
        <w:rPr>
          <w:rFonts w:hint="eastAsia" w:ascii="宋体" w:hAnsi="宋体"/>
          <w:color w:val="auto"/>
          <w:sz w:val="21"/>
          <w:szCs w:val="21"/>
          <w:highlight w:val="none"/>
        </w:rPr>
        <w:t>3投标文件须由投标人在规定位置盖公章并签字</w:t>
      </w:r>
      <w:bookmarkStart w:id="121" w:name="_Hlk65832569"/>
      <w:r>
        <w:rPr>
          <w:rFonts w:hint="eastAsia" w:ascii="宋体" w:hAnsi="宋体"/>
          <w:color w:val="auto"/>
          <w:sz w:val="21"/>
          <w:szCs w:val="21"/>
          <w:highlight w:val="none"/>
        </w:rPr>
        <w:t>（具体以投标人须知前附表或投标文件格式规定为准）</w:t>
      </w:r>
      <w:bookmarkEnd w:id="120"/>
      <w:bookmarkEnd w:id="121"/>
      <w:r>
        <w:rPr>
          <w:rFonts w:hint="eastAsia" w:ascii="宋体" w:hAnsi="宋体"/>
          <w:color w:val="auto"/>
          <w:sz w:val="21"/>
          <w:szCs w:val="21"/>
          <w:highlight w:val="none"/>
        </w:rPr>
        <w:t>，</w:t>
      </w:r>
      <w:r>
        <w:rPr>
          <w:rFonts w:hint="eastAsia" w:ascii="宋体" w:hAnsi="宋体"/>
          <w:bCs/>
          <w:color w:val="auto"/>
          <w:sz w:val="21"/>
          <w:szCs w:val="21"/>
          <w:highlight w:val="none"/>
        </w:rPr>
        <w:t>否则按无效投标处理</w:t>
      </w:r>
      <w:r>
        <w:rPr>
          <w:rFonts w:hint="eastAsia" w:ascii="宋体" w:hAnsi="宋体"/>
          <w:color w:val="auto"/>
          <w:sz w:val="21"/>
          <w:szCs w:val="21"/>
          <w:highlight w:val="none"/>
        </w:rPr>
        <w:t>。</w:t>
      </w:r>
    </w:p>
    <w:p w14:paraId="0136E713">
      <w:pPr>
        <w:pStyle w:val="6"/>
        <w:keepNext w:val="0"/>
        <w:keepLines w:val="0"/>
        <w:spacing w:before="0" w:after="0" w:line="360" w:lineRule="auto"/>
        <w:ind w:firstLine="315" w:firstLineChars="150"/>
        <w:rPr>
          <w:rFonts w:ascii="宋体" w:hAnsi="宋体"/>
          <w:b/>
          <w:color w:val="auto"/>
          <w:sz w:val="21"/>
          <w:szCs w:val="21"/>
          <w:highlight w:val="none"/>
        </w:rPr>
      </w:pPr>
      <w:r>
        <w:rPr>
          <w:rFonts w:hint="eastAsia" w:ascii="宋体" w:hAnsi="宋体"/>
          <w:color w:val="auto"/>
          <w:sz w:val="21"/>
          <w:szCs w:val="21"/>
          <w:highlight w:val="none"/>
        </w:rPr>
        <w:t xml:space="preserve"> 19.4投标文件中标注的投标人名称应与主体资格证明（如营业执照、事业单位法人证书、执业许可证、自然人身份证等）及公章一致，否则按无效投标处理。</w:t>
      </w:r>
    </w:p>
    <w:p w14:paraId="4FF06E56">
      <w:pPr>
        <w:pStyle w:val="6"/>
        <w:keepNext w:val="0"/>
        <w:keepLines w:val="0"/>
        <w:spacing w:before="0" w:after="0" w:line="360" w:lineRule="auto"/>
        <w:ind w:firstLine="315" w:firstLineChars="150"/>
        <w:rPr>
          <w:rFonts w:ascii="宋体" w:hAnsi="宋体"/>
          <w:b/>
          <w:color w:val="auto"/>
          <w:sz w:val="21"/>
          <w:szCs w:val="21"/>
          <w:highlight w:val="none"/>
        </w:rPr>
      </w:pPr>
      <w:r>
        <w:rPr>
          <w:rFonts w:hint="eastAsia" w:ascii="宋体" w:hAnsi="宋体"/>
          <w:color w:val="auto"/>
          <w:sz w:val="21"/>
          <w:szCs w:val="21"/>
          <w:highlight w:val="none"/>
        </w:rPr>
        <w:t xml:space="preserve"> 19.5投标文件应尽量避免涂改、行间插字或者删除。如果出现上述情况，改动之处应由投标人的法定代表人或者其委托代理人签字或者加盖公章。投标文件因字迹潦草或者表达不清所引起的后果由投标人承担。</w:t>
      </w:r>
    </w:p>
    <w:p w14:paraId="44B0E330">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20.投标文件的加密、解密</w:t>
      </w:r>
    </w:p>
    <w:p w14:paraId="5516C817">
      <w:pPr>
        <w:pStyle w:val="6"/>
        <w:keepNext w:val="0"/>
        <w:keepLines w:val="0"/>
        <w:spacing w:before="0" w:after="0" w:line="360" w:lineRule="auto"/>
        <w:ind w:firstLine="315" w:firstLineChars="150"/>
        <w:rPr>
          <w:rFonts w:ascii="宋体" w:hAnsi="宋体"/>
          <w:b/>
          <w:color w:val="auto"/>
          <w:sz w:val="21"/>
          <w:szCs w:val="21"/>
          <w:highlight w:val="none"/>
        </w:rPr>
      </w:pPr>
      <w:r>
        <w:rPr>
          <w:rFonts w:hint="eastAsia" w:ascii="宋体" w:hAnsi="宋体"/>
          <w:color w:val="auto"/>
          <w:sz w:val="21"/>
          <w:szCs w:val="21"/>
          <w:highlight w:val="none"/>
        </w:rPr>
        <w:t xml:space="preserve"> 20.1电子投标文件编制完成后，投标人应按“广西政府采购云平台”的要求进行加密，并在规定时间内解密，否则，由此产生的后果由投标人自行负责。</w:t>
      </w:r>
    </w:p>
    <w:p w14:paraId="211008FB">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21.投标文件的提交</w:t>
      </w:r>
    </w:p>
    <w:p w14:paraId="5E0DFB6C">
      <w:pPr>
        <w:pStyle w:val="6"/>
        <w:keepNext w:val="0"/>
        <w:keepLines w:val="0"/>
        <w:spacing w:before="0" w:after="0" w:line="360" w:lineRule="auto"/>
        <w:ind w:firstLine="420" w:firstLineChars="200"/>
        <w:rPr>
          <w:rFonts w:ascii="宋体" w:hAnsi="宋体"/>
          <w:b/>
          <w:color w:val="auto"/>
          <w:sz w:val="21"/>
          <w:szCs w:val="21"/>
          <w:highlight w:val="none"/>
        </w:rPr>
      </w:pPr>
      <w:bookmarkStart w:id="122" w:name="_21.1投标人必须在“投标人须知中的前附表”规定的投标文件接收时间和投"/>
      <w:bookmarkEnd w:id="122"/>
      <w:r>
        <w:rPr>
          <w:rFonts w:hint="eastAsia" w:ascii="宋体" w:hAnsi="宋体"/>
          <w:color w:val="auto"/>
          <w:sz w:val="21"/>
          <w:szCs w:val="21"/>
          <w:highlight w:val="none"/>
        </w:rPr>
        <w:t>21.1投标人必须在“投标人须知前附表”规定的投标文件接收时间和投标地点提交投标文件。</w:t>
      </w:r>
    </w:p>
    <w:p w14:paraId="395B9A63">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21.2本项目为全流程电子化政府采购项目，通过广西政府采购云平台（</w:t>
      </w:r>
      <w:r>
        <w:rPr>
          <w:rFonts w:ascii="宋体" w:hAnsi="宋体"/>
          <w:color w:val="auto"/>
          <w:sz w:val="21"/>
          <w:szCs w:val="21"/>
          <w:highlight w:val="none"/>
        </w:rPr>
        <w:t>https://www.gcy.zfcg.gxzf.gov.cn</w:t>
      </w:r>
      <w:r>
        <w:rPr>
          <w:rFonts w:hint="eastAsia" w:ascii="宋体" w:hAnsi="宋体"/>
          <w:color w:val="auto"/>
          <w:sz w:val="21"/>
          <w:szCs w:val="21"/>
          <w:highlight w:val="none"/>
        </w:rPr>
        <w:t>）实行在线电子投标。投标人必须在“投标人须知前附表”规定的投标文件接收时间内通过网络将电子投标文件上传至广西政府采购云平台，供应商在广西政府采购云平台提交电子版投标文件时，请填写参加远程开标活动经办人联系方式。</w:t>
      </w:r>
    </w:p>
    <w:p w14:paraId="414FD18E">
      <w:pPr>
        <w:pStyle w:val="6"/>
        <w:keepNext w:val="0"/>
        <w:keepLines w:val="0"/>
        <w:spacing w:before="0" w:after="0" w:line="360" w:lineRule="auto"/>
        <w:ind w:firstLine="420" w:firstLineChars="200"/>
        <w:jc w:val="left"/>
        <w:rPr>
          <w:rFonts w:ascii="宋体" w:hAnsi="宋体"/>
          <w:b/>
          <w:color w:val="auto"/>
          <w:sz w:val="21"/>
          <w:szCs w:val="21"/>
          <w:highlight w:val="none"/>
        </w:rPr>
      </w:pPr>
      <w:r>
        <w:rPr>
          <w:rFonts w:hint="eastAsia" w:ascii="宋体" w:hAnsi="宋体"/>
          <w:color w:val="auto"/>
          <w:sz w:val="21"/>
          <w:szCs w:val="21"/>
          <w:highlight w:val="none"/>
        </w:rPr>
        <w:t>21.3未在规定时间内上传或者未按广西政府采购云平台的要求编制、加密的电子投标文件，广西政府采购云平台将拒收。</w:t>
      </w:r>
    </w:p>
    <w:p w14:paraId="3A060662">
      <w:pPr>
        <w:pStyle w:val="14"/>
        <w:rPr>
          <w:rFonts w:ascii="宋体" w:hAnsi="宋体"/>
          <w:color w:val="auto"/>
          <w:highlight w:val="none"/>
        </w:rPr>
      </w:pPr>
      <w:r>
        <w:rPr>
          <w:rFonts w:hint="eastAsia" w:ascii="宋体" w:hAnsi="宋体"/>
          <w:color w:val="auto"/>
          <w:szCs w:val="21"/>
          <w:highlight w:val="none"/>
        </w:rPr>
        <w:t>21.4电子投标文件提交方式见“招标公告”中“四、提交投标文件截止时间、开标时间和地点”</w:t>
      </w:r>
    </w:p>
    <w:p w14:paraId="7189D465">
      <w:pPr>
        <w:pStyle w:val="14"/>
        <w:rPr>
          <w:rFonts w:ascii="宋体" w:hAnsi="宋体"/>
          <w:color w:val="auto"/>
          <w:highlight w:val="none"/>
        </w:rPr>
      </w:pPr>
    </w:p>
    <w:p w14:paraId="52F2DEC3">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22. 投标文件的补充、修改、撤回与退回</w:t>
      </w:r>
    </w:p>
    <w:p w14:paraId="1FB23E67">
      <w:pPr>
        <w:snapToGrid w:val="0"/>
        <w:spacing w:line="360" w:lineRule="auto"/>
        <w:ind w:firstLine="420"/>
        <w:jc w:val="left"/>
        <w:rPr>
          <w:rFonts w:ascii="宋体" w:hAnsi="宋体"/>
          <w:color w:val="auto"/>
          <w:szCs w:val="21"/>
          <w:highlight w:val="none"/>
        </w:rPr>
      </w:pPr>
      <w:bookmarkStart w:id="123" w:name="_Toc254970684"/>
      <w:bookmarkStart w:id="124" w:name="_Toc254970543"/>
      <w:r>
        <w:rPr>
          <w:rFonts w:hint="eastAsia" w:ascii="宋体" w:hAnsi="宋体"/>
          <w:color w:val="auto"/>
          <w:szCs w:val="21"/>
          <w:highlight w:val="none"/>
        </w:rPr>
        <w:t>2</w:t>
      </w:r>
      <w:r>
        <w:rPr>
          <w:rFonts w:ascii="宋体" w:hAnsi="宋体"/>
          <w:color w:val="auto"/>
          <w:szCs w:val="21"/>
          <w:highlight w:val="none"/>
        </w:rPr>
        <w:t>2.1</w:t>
      </w:r>
      <w:r>
        <w:rPr>
          <w:rFonts w:hint="eastAsia" w:ascii="宋体" w:hAnsi="宋体"/>
          <w:color w:val="auto"/>
          <w:szCs w:val="21"/>
          <w:highlight w:val="none"/>
        </w:rPr>
        <w:t>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bookmarkEnd w:id="123"/>
    <w:bookmarkEnd w:id="124"/>
    <w:p w14:paraId="5AB69E57">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22.</w:t>
      </w:r>
      <w:r>
        <w:rPr>
          <w:rFonts w:ascii="宋体" w:hAnsi="宋体"/>
          <w:color w:val="auto"/>
          <w:szCs w:val="21"/>
          <w:highlight w:val="none"/>
        </w:rPr>
        <w:t>2</w:t>
      </w:r>
      <w:r>
        <w:rPr>
          <w:rFonts w:hint="eastAsia" w:ascii="宋体" w:hAnsi="宋体"/>
          <w:color w:val="auto"/>
          <w:szCs w:val="21"/>
          <w:highlight w:val="none"/>
        </w:rPr>
        <w:t>在投标截止时间止提交投标文件的投标人不足3家时，不得开标，采购代理机构将根据广西政府采购云平台的操作将电子版投标文件退回，除此之外采购人和采购代理机构对已提交的投标文件概不退回。</w:t>
      </w:r>
    </w:p>
    <w:p w14:paraId="167770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2.3</w:t>
      </w:r>
      <w:r>
        <w:rPr>
          <w:rFonts w:hint="eastAsia" w:ascii="宋体" w:hAnsi="宋体" w:cs="宋体"/>
          <w:color w:val="auto"/>
          <w:szCs w:val="21"/>
          <w:highlight w:val="none"/>
        </w:rPr>
        <w:t xml:space="preserve"> 投标人在投标截止时间后书面通知采购人、采购代理机构撤销投标文件的，将根据本须知正文1</w:t>
      </w:r>
      <w:r>
        <w:rPr>
          <w:rFonts w:ascii="宋体" w:hAnsi="宋体" w:cs="宋体"/>
          <w:color w:val="auto"/>
          <w:szCs w:val="21"/>
          <w:highlight w:val="none"/>
        </w:rPr>
        <w:t>8</w:t>
      </w:r>
      <w:r>
        <w:rPr>
          <w:rFonts w:hint="eastAsia" w:ascii="宋体" w:hAnsi="宋体" w:cs="宋体"/>
          <w:color w:val="auto"/>
          <w:szCs w:val="21"/>
          <w:highlight w:val="none"/>
        </w:rPr>
        <w:t>.4的规定不予退还其投标保证金。</w:t>
      </w:r>
    </w:p>
    <w:p w14:paraId="680838EE">
      <w:pPr>
        <w:pStyle w:val="20"/>
        <w:snapToGrid w:val="0"/>
        <w:spacing w:line="360" w:lineRule="auto"/>
        <w:ind w:firstLine="739"/>
        <w:rPr>
          <w:rFonts w:ascii="宋体" w:hAnsi="宋体"/>
          <w:snapToGrid w:val="0"/>
          <w:color w:val="auto"/>
          <w:szCs w:val="21"/>
          <w:highlight w:val="none"/>
        </w:rPr>
      </w:pPr>
    </w:p>
    <w:p w14:paraId="70208585">
      <w:pPr>
        <w:pStyle w:val="4"/>
        <w:keepNext w:val="0"/>
        <w:keepLines w:val="0"/>
        <w:jc w:val="center"/>
        <w:rPr>
          <w:rFonts w:ascii="宋体" w:hAnsi="宋体" w:eastAsia="宋体"/>
          <w:color w:val="auto"/>
          <w:highlight w:val="none"/>
        </w:rPr>
      </w:pPr>
      <w:bookmarkStart w:id="125" w:name="_Toc254970544"/>
      <w:bookmarkStart w:id="126" w:name="_Toc254970685"/>
      <w:r>
        <w:rPr>
          <w:rFonts w:hint="eastAsia" w:ascii="宋体" w:hAnsi="宋体" w:eastAsia="宋体"/>
          <w:color w:val="auto"/>
          <w:highlight w:val="none"/>
        </w:rPr>
        <w:t>四、开    标</w:t>
      </w:r>
      <w:bookmarkEnd w:id="125"/>
      <w:bookmarkEnd w:id="126"/>
    </w:p>
    <w:p w14:paraId="17C23B82">
      <w:pPr>
        <w:pStyle w:val="6"/>
        <w:keepNext w:val="0"/>
        <w:keepLines w:val="0"/>
        <w:spacing w:before="0" w:after="0" w:line="360" w:lineRule="auto"/>
        <w:ind w:left="420" w:leftChars="200"/>
        <w:rPr>
          <w:rFonts w:ascii="宋体" w:hAnsi="宋体"/>
          <w:color w:val="auto"/>
          <w:highlight w:val="none"/>
        </w:rPr>
      </w:pPr>
      <w:bookmarkStart w:id="127" w:name="_23.开标时间和地点"/>
      <w:bookmarkEnd w:id="127"/>
      <w:r>
        <w:rPr>
          <w:rFonts w:hint="eastAsia" w:ascii="宋体" w:hAnsi="宋体"/>
          <w:color w:val="auto"/>
          <w:highlight w:val="none"/>
        </w:rPr>
        <w:t>23.开标时间和地点</w:t>
      </w:r>
    </w:p>
    <w:p w14:paraId="1A356769">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23.1开标时间及地点详见“投标人须知前附表”</w:t>
      </w:r>
    </w:p>
    <w:p w14:paraId="52967632">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23.2如投标人成功解密投标文件，但未在广西政府采购云平台电子开标大厅参加开标的，视同认可开标过程和结果，由此产生的后果由投标人自行负责。成功解密投标文件的投标人不足3家的，不得开标。</w:t>
      </w:r>
    </w:p>
    <w:p w14:paraId="1F085F7E">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24.开标程序</w:t>
      </w:r>
    </w:p>
    <w:p w14:paraId="3B874889">
      <w:pPr>
        <w:autoSpaceDE w:val="0"/>
        <w:autoSpaceDN w:val="0"/>
        <w:adjustRightInd w:val="0"/>
        <w:spacing w:line="440" w:lineRule="exact"/>
        <w:ind w:firstLine="420" w:firstLineChars="200"/>
        <w:rPr>
          <w:rFonts w:ascii="宋体" w:hAnsi="宋体"/>
          <w:color w:val="auto"/>
          <w:kern w:val="0"/>
          <w:szCs w:val="21"/>
          <w:highlight w:val="none"/>
        </w:rPr>
      </w:pPr>
      <w:r>
        <w:rPr>
          <w:rFonts w:hint="eastAsia" w:ascii="宋体" w:hAnsi="宋体"/>
          <w:bCs/>
          <w:color w:val="auto"/>
          <w:szCs w:val="21"/>
          <w:highlight w:val="none"/>
        </w:rPr>
        <w:t>24.1</w:t>
      </w:r>
      <w:r>
        <w:rPr>
          <w:rFonts w:hint="eastAsia" w:ascii="宋体" w:hAnsi="宋体"/>
          <w:color w:val="auto"/>
          <w:kern w:val="0"/>
          <w:szCs w:val="21"/>
          <w:highlight w:val="none"/>
        </w:rPr>
        <w:t>开标形式：</w:t>
      </w:r>
    </w:p>
    <w:p w14:paraId="0BE5FB89">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采购代理机构将按照招标文件规定的时间通过广西政府采购云平台组织线上开标活动、开启投标文件，所有供应商均应当准时在线参加。投标人</w:t>
      </w:r>
      <w:r>
        <w:rPr>
          <w:rFonts w:ascii="宋体" w:hAnsi="宋体"/>
          <w:bCs/>
          <w:color w:val="auto"/>
          <w:szCs w:val="21"/>
          <w:highlight w:val="none"/>
        </w:rPr>
        <w:t>如不</w:t>
      </w:r>
      <w:r>
        <w:rPr>
          <w:rFonts w:hint="eastAsia" w:ascii="宋体" w:hAnsi="宋体"/>
          <w:bCs/>
          <w:color w:val="auto"/>
          <w:szCs w:val="21"/>
          <w:highlight w:val="none"/>
        </w:rPr>
        <w:t>参加</w:t>
      </w:r>
      <w:r>
        <w:rPr>
          <w:rFonts w:ascii="宋体" w:hAnsi="宋体"/>
          <w:bCs/>
          <w:color w:val="auto"/>
          <w:szCs w:val="21"/>
          <w:highlight w:val="none"/>
        </w:rPr>
        <w:t>开标大会的，</w:t>
      </w:r>
      <w:r>
        <w:rPr>
          <w:rFonts w:hint="eastAsia" w:ascii="宋体" w:hAnsi="宋体"/>
          <w:bCs/>
          <w:color w:val="auto"/>
          <w:szCs w:val="21"/>
          <w:highlight w:val="none"/>
        </w:rPr>
        <w:t>视同认可开标结果，</w:t>
      </w:r>
      <w:r>
        <w:rPr>
          <w:rFonts w:ascii="宋体" w:hAnsi="宋体"/>
          <w:bCs/>
          <w:color w:val="auto"/>
          <w:szCs w:val="21"/>
          <w:highlight w:val="none"/>
        </w:rPr>
        <w:t>事后不得对采购相关人员、开标过程和开标结果提出异议</w:t>
      </w:r>
      <w:r>
        <w:rPr>
          <w:rFonts w:hint="eastAsia" w:ascii="宋体" w:hAnsi="宋体"/>
          <w:bCs/>
          <w:color w:val="auto"/>
          <w:szCs w:val="21"/>
          <w:highlight w:val="none"/>
        </w:rPr>
        <w:t>，同时投标人因未在线参加开标而导致投标文件无法按时解密等一切后果由投标人自己承担。</w:t>
      </w:r>
    </w:p>
    <w:p w14:paraId="2054776A">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24.2</w:t>
      </w:r>
      <w:r>
        <w:rPr>
          <w:rFonts w:ascii="宋体" w:hAnsi="宋体"/>
          <w:bCs/>
          <w:color w:val="auto"/>
          <w:szCs w:val="21"/>
          <w:highlight w:val="none"/>
        </w:rPr>
        <w:t>开</w:t>
      </w:r>
      <w:r>
        <w:rPr>
          <w:rFonts w:hint="eastAsia" w:ascii="宋体" w:hAnsi="宋体"/>
          <w:bCs/>
          <w:color w:val="auto"/>
          <w:szCs w:val="21"/>
          <w:highlight w:val="none"/>
        </w:rPr>
        <w:t>标</w:t>
      </w:r>
      <w:r>
        <w:rPr>
          <w:rFonts w:ascii="宋体" w:hAnsi="宋体"/>
          <w:bCs/>
          <w:color w:val="auto"/>
          <w:szCs w:val="21"/>
          <w:highlight w:val="none"/>
        </w:rPr>
        <w:t>程序：</w:t>
      </w:r>
    </w:p>
    <w:p w14:paraId="7B06FAA8">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（1）解密电子投标文件。广西政府采购云平台按开标时间自动提取所有投标文件。采购代理机构依托广西政府采购云平台向各投标人发出电子加密投标文件【开始解密】通知，由投标人进行投标文件解密。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b/>
          <w:bCs/>
          <w:color w:val="auto"/>
          <w:szCs w:val="21"/>
          <w:highlight w:val="none"/>
        </w:rPr>
        <w:t>投标人的法定代表人或其委托代理人须携带加密时所用的CA锁准时登录到广西政府采购云平台电子开标大厅签到</w:t>
      </w:r>
      <w:r>
        <w:rPr>
          <w:rFonts w:hint="eastAsia" w:ascii="宋体" w:hAnsi="宋体" w:cs="宋体"/>
          <w:b/>
          <w:color w:val="auto"/>
          <w:szCs w:val="21"/>
          <w:highlight w:val="none"/>
        </w:rPr>
        <w:t>并在发起解密</w:t>
      </w:r>
      <w:r>
        <w:rPr>
          <w:rFonts w:hint="eastAsia" w:ascii="宋体" w:hAnsi="宋体"/>
          <w:b/>
          <w:bCs/>
          <w:color w:val="auto"/>
          <w:szCs w:val="21"/>
          <w:highlight w:val="none"/>
        </w:rPr>
        <w:t>通知</w:t>
      </w:r>
      <w:r>
        <w:rPr>
          <w:rFonts w:hint="eastAsia" w:ascii="宋体" w:hAnsi="宋体" w:cs="宋体"/>
          <w:b/>
          <w:color w:val="auto"/>
          <w:szCs w:val="21"/>
          <w:highlight w:val="none"/>
        </w:rPr>
        <w:t>之时起30分钟内完成</w:t>
      </w:r>
      <w:r>
        <w:rPr>
          <w:rFonts w:hint="eastAsia" w:ascii="宋体" w:hAnsi="宋体"/>
          <w:b/>
          <w:bCs/>
          <w:color w:val="auto"/>
          <w:szCs w:val="21"/>
          <w:highlight w:val="none"/>
        </w:rPr>
        <w:t>对电子投标文件解密。投标文件未按时解密的，视为无效投标。</w:t>
      </w:r>
      <w:r>
        <w:rPr>
          <w:rFonts w:hint="eastAsia" w:ascii="宋体" w:hAnsi="宋体"/>
          <w:bCs/>
          <w:color w:val="auto"/>
          <w:szCs w:val="21"/>
          <w:highlight w:val="none"/>
        </w:rPr>
        <w:t>（解密异常情况处理：详见本章29.4 电子交易活动的中止）</w:t>
      </w:r>
    </w:p>
    <w:p w14:paraId="0C6F91C4">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（2）电子唱标。投标文件解密结束，各投标供应商报价均在广西政府采购云平台远程不见面开标大厅展示；</w:t>
      </w:r>
    </w:p>
    <w:p w14:paraId="5EDF7E3F">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（3）签署电子《政府采购活动现场确认声明书》。通过邮件形式在远程不见面开标大厅发送各投标人签署电子《政府采购活动现场确认声明书》。</w:t>
      </w:r>
    </w:p>
    <w:p w14:paraId="680FF7D6">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7B5C7A13">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09DFDF26">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（6）开标结束。</w:t>
      </w:r>
    </w:p>
    <w:p w14:paraId="69DE47AA">
      <w:pPr>
        <w:autoSpaceDE w:val="0"/>
        <w:autoSpaceDN w:val="0"/>
        <w:adjustRightInd w:val="0"/>
        <w:spacing w:line="44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特别说明：如遇广西政府采购云平台电子化开标或评审程序调整的，按调整后执行。</w:t>
      </w:r>
    </w:p>
    <w:p w14:paraId="0D3A5B04">
      <w:pPr>
        <w:pStyle w:val="25"/>
        <w:snapToGrid w:val="0"/>
        <w:spacing w:line="360" w:lineRule="auto"/>
        <w:ind w:left="689" w:leftChars="228" w:hanging="210" w:hangingChars="100"/>
        <w:rPr>
          <w:rFonts w:hAnsi="宋体"/>
          <w:color w:val="auto"/>
          <w:sz w:val="21"/>
          <w:highlight w:val="none"/>
        </w:rPr>
      </w:pPr>
    </w:p>
    <w:p w14:paraId="5024DE1B">
      <w:pPr>
        <w:pStyle w:val="4"/>
        <w:keepNext w:val="0"/>
        <w:keepLines w:val="0"/>
        <w:jc w:val="center"/>
        <w:rPr>
          <w:rFonts w:ascii="宋体" w:hAnsi="宋体" w:eastAsia="宋体"/>
          <w:color w:val="auto"/>
          <w:highlight w:val="none"/>
        </w:rPr>
      </w:pPr>
      <w:r>
        <w:rPr>
          <w:rFonts w:hint="eastAsia" w:ascii="宋体" w:hAnsi="宋体" w:eastAsia="宋体"/>
          <w:color w:val="auto"/>
          <w:highlight w:val="none"/>
        </w:rPr>
        <w:t>五、资格审查</w:t>
      </w:r>
    </w:p>
    <w:p w14:paraId="4CC1EE02">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25.资格审查</w:t>
      </w:r>
    </w:p>
    <w:p w14:paraId="46AFA299">
      <w:pPr>
        <w:pStyle w:val="6"/>
        <w:keepNext w:val="0"/>
        <w:keepLines w:val="0"/>
        <w:spacing w:before="0" w:after="0" w:line="360" w:lineRule="auto"/>
        <w:ind w:firstLine="315" w:firstLineChars="150"/>
        <w:rPr>
          <w:rFonts w:ascii="宋体" w:hAnsi="宋体"/>
          <w:b/>
          <w:color w:val="auto"/>
          <w:sz w:val="21"/>
          <w:szCs w:val="21"/>
          <w:highlight w:val="none"/>
        </w:rPr>
      </w:pPr>
      <w:r>
        <w:rPr>
          <w:rFonts w:hint="eastAsia" w:ascii="宋体" w:hAnsi="宋体"/>
          <w:color w:val="auto"/>
          <w:sz w:val="21"/>
          <w:szCs w:val="21"/>
          <w:highlight w:val="none"/>
        </w:rPr>
        <w:t xml:space="preserve"> 25.1</w:t>
      </w:r>
      <w:r>
        <w:rPr>
          <w:rFonts w:ascii="宋体" w:hAnsi="宋体"/>
          <w:color w:val="auto"/>
          <w:sz w:val="21"/>
          <w:szCs w:val="21"/>
          <w:highlight w:val="none"/>
        </w:rPr>
        <w:t>开标结束后，</w:t>
      </w:r>
      <w:r>
        <w:rPr>
          <w:rFonts w:hint="eastAsia" w:ascii="宋体" w:hAnsi="宋体"/>
          <w:color w:val="auto"/>
          <w:sz w:val="21"/>
          <w:szCs w:val="21"/>
          <w:highlight w:val="none"/>
        </w:rPr>
        <w:t>采购人或者采购代理机构</w:t>
      </w:r>
      <w:r>
        <w:rPr>
          <w:rFonts w:ascii="宋体" w:hAnsi="宋体"/>
          <w:color w:val="auto"/>
          <w:sz w:val="21"/>
          <w:szCs w:val="21"/>
          <w:highlight w:val="none"/>
        </w:rPr>
        <w:t>依法对投标人的资格进行审查。</w:t>
      </w:r>
    </w:p>
    <w:p w14:paraId="3F3F459A">
      <w:pPr>
        <w:pStyle w:val="6"/>
        <w:keepNext w:val="0"/>
        <w:keepLines w:val="0"/>
        <w:spacing w:before="0" w:after="0" w:line="360" w:lineRule="auto"/>
        <w:ind w:firstLine="315" w:firstLineChars="150"/>
        <w:rPr>
          <w:rFonts w:ascii="宋体" w:hAnsi="宋体"/>
          <w:b/>
          <w:color w:val="auto"/>
          <w:sz w:val="21"/>
          <w:szCs w:val="21"/>
          <w:highlight w:val="none"/>
        </w:rPr>
      </w:pPr>
      <w:r>
        <w:rPr>
          <w:rFonts w:hint="eastAsia" w:ascii="宋体" w:hAnsi="宋体"/>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79EE4A70">
      <w:pPr>
        <w:pStyle w:val="6"/>
        <w:keepNext w:val="0"/>
        <w:keepLines w:val="0"/>
        <w:spacing w:before="0" w:after="0" w:line="360" w:lineRule="auto"/>
        <w:ind w:firstLine="420" w:firstLineChars="200"/>
        <w:rPr>
          <w:rFonts w:ascii="宋体" w:hAnsi="宋体"/>
          <w:color w:val="auto"/>
          <w:sz w:val="21"/>
          <w:szCs w:val="21"/>
          <w:highlight w:val="none"/>
        </w:rPr>
      </w:pPr>
      <w:bookmarkStart w:id="128" w:name="_25.3_投标人有下列情形之一的，资格审查不通过而导致其投标无效："/>
      <w:bookmarkEnd w:id="128"/>
      <w:r>
        <w:rPr>
          <w:rFonts w:hint="eastAsia" w:ascii="宋体" w:hAnsi="宋体"/>
          <w:color w:val="auto"/>
          <w:sz w:val="21"/>
          <w:szCs w:val="21"/>
          <w:highlight w:val="none"/>
        </w:rPr>
        <w:t>25.3 投标人有下列情形之一的，资格审查不通过，作无效投标处理：</w:t>
      </w:r>
    </w:p>
    <w:p w14:paraId="43CDAB02">
      <w:pPr>
        <w:pStyle w:val="25"/>
        <w:snapToGrid w:val="0"/>
        <w:spacing w:line="360" w:lineRule="auto"/>
        <w:ind w:firstLine="422" w:firstLineChars="200"/>
        <w:rPr>
          <w:rFonts w:hAnsi="宋体"/>
          <w:b/>
          <w:color w:val="auto"/>
          <w:sz w:val="21"/>
          <w:highlight w:val="none"/>
        </w:rPr>
      </w:pPr>
      <w:r>
        <w:rPr>
          <w:rFonts w:hint="eastAsia" w:hAnsi="宋体"/>
          <w:b/>
          <w:color w:val="auto"/>
          <w:sz w:val="21"/>
          <w:highlight w:val="none"/>
        </w:rPr>
        <w:t>（1）未按招标文件规定的方式获取本招标文件的投标人；</w:t>
      </w:r>
    </w:p>
    <w:p w14:paraId="4537DAE0">
      <w:pPr>
        <w:pStyle w:val="25"/>
        <w:snapToGrid w:val="0"/>
        <w:spacing w:line="360" w:lineRule="auto"/>
        <w:ind w:firstLine="422" w:firstLineChars="200"/>
        <w:rPr>
          <w:rFonts w:hAnsi="宋体"/>
          <w:b/>
          <w:color w:val="auto"/>
          <w:sz w:val="21"/>
          <w:highlight w:val="none"/>
        </w:rPr>
      </w:pPr>
      <w:r>
        <w:rPr>
          <w:rFonts w:hint="eastAsia" w:hAnsi="宋体"/>
          <w:b/>
          <w:color w:val="auto"/>
          <w:sz w:val="21"/>
          <w:highlight w:val="none"/>
        </w:rPr>
        <w:t>（2）不具备招标文件中规定的资格要求的；</w:t>
      </w:r>
    </w:p>
    <w:p w14:paraId="30B31731">
      <w:pPr>
        <w:pStyle w:val="25"/>
        <w:snapToGrid w:val="0"/>
        <w:spacing w:line="360" w:lineRule="auto"/>
        <w:ind w:firstLine="422" w:firstLineChars="200"/>
        <w:rPr>
          <w:rFonts w:hAnsi="宋体"/>
          <w:b/>
          <w:color w:val="auto"/>
          <w:sz w:val="21"/>
          <w:highlight w:val="none"/>
        </w:rPr>
      </w:pPr>
      <w:r>
        <w:rPr>
          <w:rFonts w:hint="eastAsia" w:hAnsi="宋体"/>
          <w:b/>
          <w:color w:val="auto"/>
          <w:sz w:val="21"/>
          <w:highlight w:val="none"/>
        </w:rPr>
        <w:t>（3）在“信用中国”网站（www.creditchina.gov.cn） 、中国政府采购网（www.ccgp.gov.cn）被列入失信被执行人、重大税收违法案件当事人名单、政府采购严重违法失信行为记录名单及其他不符合《中华人民共和国政府采购法》第二十二条规定条件的；（注：其中信用查询规则见“投标人须知前附表”）</w:t>
      </w:r>
    </w:p>
    <w:p w14:paraId="02777641">
      <w:pPr>
        <w:pStyle w:val="25"/>
        <w:snapToGrid w:val="0"/>
        <w:spacing w:line="360" w:lineRule="auto"/>
        <w:ind w:firstLine="422" w:firstLineChars="200"/>
        <w:rPr>
          <w:rFonts w:hAnsi="宋体"/>
          <w:b/>
          <w:color w:val="auto"/>
          <w:sz w:val="21"/>
          <w:highlight w:val="none"/>
        </w:rPr>
      </w:pPr>
      <w:r>
        <w:rPr>
          <w:rFonts w:hint="eastAsia" w:hAnsi="宋体"/>
          <w:b/>
          <w:color w:val="auto"/>
          <w:sz w:val="21"/>
          <w:highlight w:val="none"/>
        </w:rPr>
        <w:t>（4）同一合同项下的不同投标人，单位负责人为同一人或者存在直接控股、管理关系的；为本项目提供过整体设计、规范编制或者项目管理、监理、检测等服务的供应商，再参加该采购项目的其他采购活动的；</w:t>
      </w:r>
    </w:p>
    <w:p w14:paraId="56A78C68">
      <w:pPr>
        <w:pStyle w:val="25"/>
        <w:snapToGrid w:val="0"/>
        <w:spacing w:line="360" w:lineRule="auto"/>
        <w:ind w:firstLine="422" w:firstLineChars="200"/>
        <w:rPr>
          <w:rFonts w:hAnsi="宋体"/>
          <w:b/>
          <w:color w:val="auto"/>
          <w:sz w:val="21"/>
          <w:highlight w:val="none"/>
        </w:rPr>
      </w:pPr>
      <w:r>
        <w:rPr>
          <w:rFonts w:hint="eastAsia" w:hAnsi="宋体"/>
          <w:b/>
          <w:color w:val="auto"/>
          <w:sz w:val="21"/>
          <w:highlight w:val="none"/>
        </w:rPr>
        <w:t>（</w:t>
      </w:r>
      <w:r>
        <w:rPr>
          <w:rFonts w:hAnsi="宋体"/>
          <w:b/>
          <w:color w:val="auto"/>
          <w:sz w:val="21"/>
          <w:highlight w:val="none"/>
        </w:rPr>
        <w:t>5</w:t>
      </w:r>
      <w:r>
        <w:rPr>
          <w:rFonts w:hint="eastAsia" w:hAnsi="宋体"/>
          <w:b/>
          <w:color w:val="auto"/>
          <w:sz w:val="21"/>
          <w:highlight w:val="none"/>
        </w:rPr>
        <w:t>）投标文件中的资格证明文件缺少任一项“投标人须知前附表”资格证明文件规定“必须提供”的文件资料的；</w:t>
      </w:r>
    </w:p>
    <w:p w14:paraId="469EF687">
      <w:pPr>
        <w:pStyle w:val="25"/>
        <w:snapToGrid w:val="0"/>
        <w:spacing w:line="360" w:lineRule="auto"/>
        <w:ind w:firstLine="422" w:firstLineChars="200"/>
        <w:rPr>
          <w:rFonts w:hAnsi="宋体"/>
          <w:b/>
          <w:color w:val="auto"/>
          <w:sz w:val="21"/>
          <w:highlight w:val="none"/>
        </w:rPr>
      </w:pPr>
      <w:r>
        <w:rPr>
          <w:rFonts w:hint="eastAsia" w:hAnsi="宋体"/>
          <w:b/>
          <w:color w:val="auto"/>
          <w:sz w:val="21"/>
          <w:highlight w:val="none"/>
        </w:rPr>
        <w:t>（</w:t>
      </w:r>
      <w:r>
        <w:rPr>
          <w:rFonts w:hAnsi="宋体"/>
          <w:b/>
          <w:color w:val="auto"/>
          <w:sz w:val="21"/>
          <w:highlight w:val="none"/>
        </w:rPr>
        <w:t>6</w:t>
      </w:r>
      <w:r>
        <w:rPr>
          <w:rFonts w:hint="eastAsia" w:hAnsi="宋体"/>
          <w:b/>
          <w:color w:val="auto"/>
          <w:sz w:val="21"/>
          <w:highlight w:val="none"/>
        </w:rPr>
        <w:t>）投标文件中的资格证明文件出现任一项不符合“投标人须知前附表”资格证明文件规定“必须提供”的文件资料要求或者无效的。</w:t>
      </w:r>
    </w:p>
    <w:p w14:paraId="67B4172D">
      <w:pPr>
        <w:pStyle w:val="6"/>
        <w:keepNext w:val="0"/>
        <w:keepLines w:val="0"/>
        <w:spacing w:before="0" w:after="0" w:line="360" w:lineRule="auto"/>
        <w:ind w:left="420" w:leftChars="200"/>
        <w:rPr>
          <w:rFonts w:ascii="宋体" w:hAnsi="宋体"/>
          <w:b/>
          <w:color w:val="auto"/>
          <w:sz w:val="21"/>
          <w:szCs w:val="21"/>
          <w:highlight w:val="none"/>
        </w:rPr>
      </w:pPr>
      <w:r>
        <w:rPr>
          <w:rFonts w:hint="eastAsia" w:ascii="宋体" w:hAnsi="宋体"/>
          <w:color w:val="auto"/>
          <w:sz w:val="21"/>
          <w:szCs w:val="21"/>
          <w:highlight w:val="none"/>
        </w:rPr>
        <w:t>25.4</w:t>
      </w:r>
      <w:r>
        <w:rPr>
          <w:rFonts w:ascii="宋体" w:hAnsi="宋体"/>
          <w:color w:val="auto"/>
          <w:sz w:val="21"/>
          <w:szCs w:val="21"/>
          <w:highlight w:val="none"/>
        </w:rPr>
        <w:t>合格投标人不足3家的，不得评标。</w:t>
      </w:r>
    </w:p>
    <w:p w14:paraId="2EDB6621">
      <w:pPr>
        <w:pStyle w:val="25"/>
        <w:snapToGrid w:val="0"/>
        <w:spacing w:line="360" w:lineRule="auto"/>
        <w:ind w:left="689" w:leftChars="228" w:hanging="210" w:hangingChars="100"/>
        <w:rPr>
          <w:rFonts w:hAnsi="宋体"/>
          <w:color w:val="auto"/>
          <w:sz w:val="21"/>
          <w:highlight w:val="none"/>
        </w:rPr>
      </w:pPr>
    </w:p>
    <w:p w14:paraId="53E42DE8">
      <w:pPr>
        <w:pStyle w:val="4"/>
        <w:keepNext w:val="0"/>
        <w:keepLines w:val="0"/>
        <w:jc w:val="center"/>
        <w:rPr>
          <w:rFonts w:ascii="宋体" w:hAnsi="宋体" w:eastAsia="宋体"/>
          <w:color w:val="auto"/>
          <w:highlight w:val="none"/>
        </w:rPr>
      </w:pPr>
      <w:r>
        <w:rPr>
          <w:rFonts w:hint="eastAsia" w:ascii="宋体" w:hAnsi="宋体" w:eastAsia="宋体"/>
          <w:color w:val="auto"/>
          <w:highlight w:val="none"/>
        </w:rPr>
        <w:t>六、评   标</w:t>
      </w:r>
    </w:p>
    <w:p w14:paraId="07AD10E1">
      <w:pPr>
        <w:pStyle w:val="6"/>
        <w:keepNext w:val="0"/>
        <w:keepLines w:val="0"/>
        <w:spacing w:before="0" w:after="0" w:line="360" w:lineRule="auto"/>
        <w:ind w:left="420" w:leftChars="200"/>
        <w:rPr>
          <w:rFonts w:ascii="宋体" w:hAnsi="宋体"/>
          <w:color w:val="auto"/>
          <w:highlight w:val="none"/>
        </w:rPr>
      </w:pPr>
      <w:bookmarkStart w:id="129" w:name="_26.组建评标委员会"/>
      <w:bookmarkEnd w:id="129"/>
      <w:r>
        <w:rPr>
          <w:rFonts w:hint="eastAsia" w:ascii="宋体" w:hAnsi="宋体"/>
          <w:color w:val="auto"/>
          <w:highlight w:val="none"/>
        </w:rPr>
        <w:t>26.组建评标委员会</w:t>
      </w:r>
    </w:p>
    <w:p w14:paraId="50EAFABB">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评标委员会由采购人代表和评审专家组成，具体人数详见“投标人须知前附表”，其中评审专家不得少于成员总数的三分之二。</w:t>
      </w:r>
    </w:p>
    <w:p w14:paraId="4AEB1896">
      <w:pPr>
        <w:pStyle w:val="25"/>
        <w:snapToGrid w:val="0"/>
        <w:spacing w:line="360" w:lineRule="auto"/>
        <w:ind w:left="2" w:leftChars="1" w:firstLine="420" w:firstLineChars="200"/>
        <w:rPr>
          <w:rFonts w:hAnsi="宋体"/>
          <w:color w:val="auto"/>
          <w:sz w:val="21"/>
          <w:highlight w:val="none"/>
        </w:rPr>
      </w:pPr>
      <w:r>
        <w:rPr>
          <w:rFonts w:hint="eastAsia" w:hAnsi="宋体"/>
          <w:color w:val="auto"/>
          <w:sz w:val="21"/>
          <w:highlight w:val="none"/>
        </w:rPr>
        <w:t>参加过采购项目前期咨询论证的专家，不得参加该采购项目的评审活动。</w:t>
      </w:r>
    </w:p>
    <w:p w14:paraId="21E2FCAC">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27.评标的依据</w:t>
      </w:r>
    </w:p>
    <w:p w14:paraId="161F7EBA">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 评标方法和评标标准”</w:t>
      </w:r>
      <w:r>
        <w:rPr>
          <w:rFonts w:hint="eastAsia" w:hAnsi="宋体"/>
          <w:color w:val="auto"/>
          <w:sz w:val="21"/>
          <w:highlight w:val="none"/>
        </w:rPr>
        <w:t>为依据对投标文件进行评审，</w:t>
      </w:r>
      <w:r>
        <w:rPr>
          <w:rFonts w:hAnsi="宋体"/>
          <w:color w:val="auto"/>
          <w:sz w:val="21"/>
          <w:highlight w:val="none"/>
        </w:rPr>
        <w:t>没有规定的方法、评审因素和标准，不作为评标依据。</w:t>
      </w:r>
    </w:p>
    <w:p w14:paraId="7B8812AA">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28.评标原则</w:t>
      </w:r>
    </w:p>
    <w:p w14:paraId="61898A60">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C44395E">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28.2</w:t>
      </w:r>
      <w:bookmarkStart w:id="130" w:name="_28.3评标方法。本项目将按须知前附表规定的评标办法进行评标，具体评标"/>
      <w:bookmarkEnd w:id="130"/>
      <w:r>
        <w:rPr>
          <w:rFonts w:hint="eastAsia" w:hAnsi="宋体"/>
          <w:color w:val="auto"/>
          <w:sz w:val="21"/>
          <w:highlight w:val="none"/>
        </w:rPr>
        <w:t>评委表决。评标委员会成员对需要共同认定的事项存在争议的，应当按照少数服从多数的原则作出结论。</w:t>
      </w:r>
    </w:p>
    <w:p w14:paraId="55AA7350">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28.</w:t>
      </w:r>
      <w:r>
        <w:rPr>
          <w:rFonts w:hAnsi="宋体"/>
          <w:color w:val="auto"/>
          <w:sz w:val="21"/>
          <w:highlight w:val="none"/>
        </w:rPr>
        <w:t>3</w:t>
      </w:r>
      <w:r>
        <w:rPr>
          <w:rFonts w:hint="eastAsia" w:hAnsi="宋体"/>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B4C9F78">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8.4</w:t>
      </w:r>
      <w:r>
        <w:rPr>
          <w:rFonts w:hint="eastAsia" w:hAnsi="宋体"/>
          <w:color w:val="auto"/>
          <w:sz w:val="21"/>
          <w:highlight w:val="none"/>
        </w:rPr>
        <w:t>评标过程的监控。本项目评标过程实行全程录音、录像监控，</w:t>
      </w:r>
      <w:r>
        <w:rPr>
          <w:rFonts w:hint="eastAsia" w:hAnsi="宋体"/>
          <w:b/>
          <w:bCs/>
          <w:color w:val="auto"/>
          <w:sz w:val="21"/>
          <w:highlight w:val="none"/>
        </w:rPr>
        <w:t>投标人在评标过程中所进行的试图影响评标结果的不公正活动，可能导致其投标无效</w:t>
      </w:r>
      <w:r>
        <w:rPr>
          <w:rFonts w:hint="eastAsia" w:hAnsi="宋体"/>
          <w:color w:val="auto"/>
          <w:sz w:val="21"/>
          <w:highlight w:val="none"/>
        </w:rPr>
        <w:t>。</w:t>
      </w:r>
    </w:p>
    <w:p w14:paraId="73D837B8">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29.评标方法及中标候选人推荐</w:t>
      </w:r>
    </w:p>
    <w:p w14:paraId="3342532F">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9.1</w:t>
      </w:r>
      <w:r>
        <w:rPr>
          <w:rFonts w:hint="eastAsia" w:hAnsi="宋体"/>
          <w:color w:val="auto"/>
          <w:sz w:val="21"/>
          <w:highlight w:val="none"/>
        </w:rPr>
        <w:t>本项目的评标方法详见“投标人须知前附表”。</w:t>
      </w:r>
    </w:p>
    <w:p w14:paraId="75C8B296">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9.2中标候选人推荐数量详见</w:t>
      </w:r>
      <w:r>
        <w:rPr>
          <w:rFonts w:hint="eastAsia" w:hAnsi="宋体"/>
          <w:color w:val="auto"/>
          <w:sz w:val="21"/>
          <w:highlight w:val="none"/>
        </w:rPr>
        <w:t>“投标人须知前附表”。</w:t>
      </w:r>
    </w:p>
    <w:p w14:paraId="4B1FD863">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w:t>
      </w:r>
      <w:r>
        <w:rPr>
          <w:rFonts w:hint="eastAsia" w:hAnsi="宋体"/>
          <w:color w:val="auto"/>
          <w:sz w:val="21"/>
          <w:highlight w:val="none"/>
        </w:rPr>
        <w:t>3</w:t>
      </w:r>
      <w:r>
        <w:rPr>
          <w:rFonts w:hAnsi="宋体"/>
          <w:color w:val="auto"/>
          <w:sz w:val="21"/>
          <w:highlight w:val="none"/>
        </w:rPr>
        <w:t>评标委员会</w:t>
      </w:r>
      <w:r>
        <w:rPr>
          <w:rFonts w:hint="eastAsia" w:hAnsi="宋体"/>
          <w:color w:val="auto"/>
          <w:sz w:val="21"/>
          <w:highlight w:val="none"/>
        </w:rPr>
        <w:t>将</w:t>
      </w:r>
      <w:r>
        <w:rPr>
          <w:rFonts w:hAnsi="宋体"/>
          <w:color w:val="auto"/>
          <w:sz w:val="21"/>
          <w:highlight w:val="none"/>
        </w:rPr>
        <w:t>按照</w:t>
      </w:r>
      <w:r>
        <w:rPr>
          <w:rFonts w:hint="eastAsia" w:hAnsi="宋体"/>
          <w:color w:val="auto"/>
          <w:sz w:val="21"/>
          <w:highlight w:val="none"/>
        </w:rPr>
        <w:t>“第四章 评标方法和评标标准”</w:t>
      </w:r>
      <w:r>
        <w:rPr>
          <w:rFonts w:hAnsi="宋体"/>
          <w:color w:val="auto"/>
          <w:sz w:val="21"/>
          <w:highlight w:val="none"/>
        </w:rPr>
        <w:t>规定的方法、评审因素、标准和程序对投标文件进行评审。</w:t>
      </w:r>
    </w:p>
    <w:p w14:paraId="43083ACD">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29.4电子交易活动的中止。采购过程中出现以下情形，导致电子交易平台无法正常运行，或者无法保证电子交易的公平、公正和安全时，采购代理机构可中止电子交易活动：</w:t>
      </w:r>
    </w:p>
    <w:p w14:paraId="71A1BCBC">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 xml:space="preserve">（1）电子交易平台发生故障而无法登录访问的； </w:t>
      </w:r>
    </w:p>
    <w:p w14:paraId="0C318DDF">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（2）电子交易平台应用或数据库出现错误，不能进行正常操作的；</w:t>
      </w:r>
    </w:p>
    <w:p w14:paraId="719CE3D7">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（3）电子交易平台发现严重安全漏洞，有潜在泄密危险的；</w:t>
      </w:r>
    </w:p>
    <w:p w14:paraId="340FDA5F">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 xml:space="preserve">（4）病毒发作导致不能进行正常操作的； </w:t>
      </w:r>
    </w:p>
    <w:p w14:paraId="5067E965">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（4）其他无法保证电子交易的公平、公正和安全的情况。</w:t>
      </w:r>
    </w:p>
    <w:p w14:paraId="578B6DBC">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29.5出现以上情形，不影响采购公平、公正性的，采购代理机构可以待上述情形消除后继续组织电子交易活动；影响或可能影响采购公平、公正性的，经采购代理机构确认后，应当重新采购。</w:t>
      </w:r>
    </w:p>
    <w:p w14:paraId="2DB0C023">
      <w:pPr>
        <w:pStyle w:val="25"/>
        <w:snapToGrid w:val="0"/>
        <w:spacing w:line="360" w:lineRule="auto"/>
        <w:rPr>
          <w:rFonts w:hAnsi="宋体"/>
          <w:color w:val="auto"/>
          <w:sz w:val="21"/>
          <w:highlight w:val="none"/>
        </w:rPr>
      </w:pPr>
    </w:p>
    <w:p w14:paraId="3F177D5B">
      <w:pPr>
        <w:pStyle w:val="4"/>
        <w:keepNext w:val="0"/>
        <w:keepLines w:val="0"/>
        <w:jc w:val="center"/>
        <w:rPr>
          <w:rFonts w:ascii="宋体" w:hAnsi="宋体" w:eastAsia="宋体"/>
          <w:color w:val="auto"/>
          <w:highlight w:val="none"/>
        </w:rPr>
      </w:pPr>
      <w:bookmarkStart w:id="131" w:name="_Toc254970687"/>
      <w:bookmarkStart w:id="132" w:name="_Toc254970546"/>
      <w:r>
        <w:rPr>
          <w:rFonts w:hint="eastAsia" w:ascii="宋体" w:hAnsi="宋体" w:eastAsia="宋体"/>
          <w:color w:val="auto"/>
          <w:highlight w:val="none"/>
        </w:rPr>
        <w:t>七、</w:t>
      </w:r>
      <w:bookmarkEnd w:id="131"/>
      <w:bookmarkEnd w:id="132"/>
      <w:r>
        <w:rPr>
          <w:rFonts w:hint="eastAsia" w:ascii="宋体" w:hAnsi="宋体" w:eastAsia="宋体"/>
          <w:color w:val="auto"/>
          <w:highlight w:val="none"/>
        </w:rPr>
        <w:t>中标和合同</w:t>
      </w:r>
    </w:p>
    <w:p w14:paraId="2DEC842D">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30确定中标人</w:t>
      </w:r>
    </w:p>
    <w:p w14:paraId="54532ECF">
      <w:pPr>
        <w:pStyle w:val="6"/>
        <w:keepNext w:val="0"/>
        <w:keepLines w:val="0"/>
        <w:spacing w:before="0" w:after="0" w:line="360" w:lineRule="auto"/>
        <w:ind w:firstLine="420" w:firstLineChars="200"/>
        <w:rPr>
          <w:rFonts w:ascii="宋体" w:hAnsi="宋体"/>
          <w:b/>
          <w:color w:val="auto"/>
          <w:sz w:val="21"/>
          <w:szCs w:val="21"/>
          <w:highlight w:val="none"/>
        </w:rPr>
      </w:pPr>
      <w:r>
        <w:rPr>
          <w:rFonts w:ascii="宋体" w:hAnsi="宋体"/>
          <w:color w:val="auto"/>
          <w:sz w:val="21"/>
          <w:szCs w:val="21"/>
          <w:highlight w:val="none"/>
        </w:rPr>
        <w:t>30.1</w:t>
      </w:r>
      <w:r>
        <w:rPr>
          <w:rFonts w:hint="eastAsia" w:ascii="宋体" w:hAnsi="宋体"/>
          <w:color w:val="auto"/>
          <w:sz w:val="21"/>
          <w:szCs w:val="21"/>
          <w:highlight w:val="none"/>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13C33F09">
      <w:pPr>
        <w:snapToGrid w:val="0"/>
        <w:spacing w:line="360" w:lineRule="auto"/>
        <w:ind w:firstLine="420" w:firstLineChars="200"/>
        <w:rPr>
          <w:rFonts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采购人在收到评标报告5个工作日内未按评标报告推荐的中标候选人顺序确定中标人，又不能说明合法理由的，视同按评标报告推荐的顺序确定排名第一的中标候选人为中标人。</w:t>
      </w:r>
    </w:p>
    <w:p w14:paraId="2CA0BF0D">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30.3出现下列情形之一的，应予废标：</w:t>
      </w:r>
    </w:p>
    <w:p w14:paraId="51562044">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（1）符合专业条件的供应商或者对招标文件作实质响应的供应商不足三家的；</w:t>
      </w:r>
    </w:p>
    <w:p w14:paraId="58DC6A45">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（2）出现影响采购公正的违法、违规行为的；</w:t>
      </w:r>
    </w:p>
    <w:p w14:paraId="1BAAE69B">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（3）投标人的报价均超过了采购预算，采购人不能支付的；</w:t>
      </w:r>
    </w:p>
    <w:p w14:paraId="6274EFFA">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（4）因重大变故，采购任务取消的。</w:t>
      </w:r>
    </w:p>
    <w:p w14:paraId="01B36995">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废标后，采购人应当将废标理由通知所有投标人。</w:t>
      </w:r>
    </w:p>
    <w:p w14:paraId="175BC0B0">
      <w:pPr>
        <w:snapToGrid w:val="0"/>
        <w:spacing w:line="360" w:lineRule="auto"/>
        <w:ind w:firstLine="420" w:firstLineChars="200"/>
        <w:rPr>
          <w:rFonts w:ascii="宋体" w:hAnsi="宋体" w:cs="Courier New"/>
          <w:color w:val="auto"/>
          <w:szCs w:val="21"/>
          <w:highlight w:val="none"/>
        </w:rPr>
      </w:pPr>
      <w:r>
        <w:rPr>
          <w:rFonts w:ascii="宋体" w:hAnsi="宋体" w:cs="Courier New"/>
          <w:color w:val="auto"/>
          <w:szCs w:val="21"/>
          <w:highlight w:val="none"/>
        </w:rPr>
        <w:t>30.</w:t>
      </w:r>
      <w:r>
        <w:rPr>
          <w:rFonts w:hint="eastAsia" w:ascii="宋体" w:hAnsi="宋体" w:cs="Courier New"/>
          <w:color w:val="auto"/>
          <w:szCs w:val="21"/>
          <w:highlight w:val="none"/>
        </w:rPr>
        <w:t>4 中标人拒绝签订政府采购合同（包括但不限于放弃中标、因不可抗力不能履行合同而放弃签订合同），采购人可以按照评审报告推荐的中标候选人名单排序，确定下一候选人为中标供应商，也可以重新开展政府采购活动。</w:t>
      </w:r>
      <w:r>
        <w:rPr>
          <w:rFonts w:ascii="宋体" w:hAnsi="宋体" w:cs="Courier New"/>
          <w:color w:val="auto"/>
          <w:szCs w:val="21"/>
          <w:highlight w:val="none"/>
        </w:rPr>
        <w:t>拒绝签订政府采购合同的</w:t>
      </w:r>
      <w:r>
        <w:rPr>
          <w:rFonts w:hint="eastAsia" w:ascii="宋体" w:hAnsi="宋体" w:cs="Courier New"/>
          <w:color w:val="auto"/>
          <w:szCs w:val="21"/>
          <w:highlight w:val="none"/>
        </w:rPr>
        <w:t>中标人</w:t>
      </w:r>
      <w:r>
        <w:rPr>
          <w:rFonts w:ascii="宋体" w:hAnsi="宋体" w:cs="Courier New"/>
          <w:color w:val="auto"/>
          <w:szCs w:val="21"/>
          <w:highlight w:val="none"/>
        </w:rPr>
        <w:t>不得参加对该项目重新开展的采购活动。</w:t>
      </w:r>
    </w:p>
    <w:p w14:paraId="7B2CA715">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31. 结果公告</w:t>
      </w:r>
    </w:p>
    <w:p w14:paraId="42D6771F">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1.1</w:t>
      </w:r>
      <w:r>
        <w:rPr>
          <w:rFonts w:hint="eastAsia" w:ascii="宋体" w:hAnsi="宋体"/>
          <w:color w:val="auto"/>
          <w:sz w:val="21"/>
          <w:szCs w:val="21"/>
          <w:highlight w:val="none"/>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以上信息查询记录及相关证据与采购文件一并保存。</w:t>
      </w:r>
    </w:p>
    <w:p w14:paraId="00B0612A">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173B5CC3">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32.发出中标通知书</w:t>
      </w:r>
    </w:p>
    <w:p w14:paraId="66C50B28">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在公告中标结果的同时，采购代理机构向中标人发出中标通知书。对未通过资格审查的投标人，应当告知其未通过的原因；采用综合评分办法评审的，还应当告知未中标人本人的评审得分与排序。</w:t>
      </w:r>
    </w:p>
    <w:p w14:paraId="21849B39">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33. 无义务解释未中标原因</w:t>
      </w:r>
    </w:p>
    <w:p w14:paraId="5BCCE099">
      <w:pPr>
        <w:pStyle w:val="6"/>
        <w:keepNext w:val="0"/>
        <w:keepLines w:val="0"/>
        <w:spacing w:before="0" w:after="0" w:line="360" w:lineRule="auto"/>
        <w:ind w:left="420" w:leftChars="200"/>
        <w:rPr>
          <w:rFonts w:ascii="宋体" w:hAnsi="宋体"/>
          <w:b/>
          <w:color w:val="auto"/>
          <w:sz w:val="21"/>
          <w:szCs w:val="21"/>
          <w:highlight w:val="none"/>
        </w:rPr>
      </w:pPr>
      <w:r>
        <w:rPr>
          <w:rFonts w:hint="eastAsia" w:ascii="宋体" w:hAnsi="宋体"/>
          <w:color w:val="auto"/>
          <w:sz w:val="21"/>
          <w:szCs w:val="21"/>
          <w:highlight w:val="none"/>
        </w:rPr>
        <w:t>采购代理机构无义务向未中标的投标人解释未中标原因和退还投标文件。</w:t>
      </w:r>
    </w:p>
    <w:p w14:paraId="3C1ECEB4">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34.合同授予标准</w:t>
      </w:r>
    </w:p>
    <w:p w14:paraId="5917B008">
      <w:pPr>
        <w:snapToGrid w:val="0"/>
        <w:spacing w:line="360" w:lineRule="auto"/>
        <w:ind w:firstLine="420" w:firstLineChars="200"/>
        <w:rPr>
          <w:rFonts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合同将授予被确定实质上响应招标文件要求，具备履行合同能力的中标人（招标文件另有约定多名中标人的除外）。</w:t>
      </w:r>
    </w:p>
    <w:p w14:paraId="5DA2A522">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35.履约保证金</w:t>
      </w:r>
    </w:p>
    <w:p w14:paraId="2DC8518C">
      <w:pPr>
        <w:pStyle w:val="6"/>
        <w:keepNext w:val="0"/>
        <w:keepLines w:val="0"/>
        <w:spacing w:before="0" w:after="0" w:line="360" w:lineRule="auto"/>
        <w:ind w:firstLine="315" w:firstLineChars="150"/>
        <w:rPr>
          <w:rFonts w:ascii="宋体" w:hAnsi="宋体"/>
          <w:color w:val="auto"/>
          <w:sz w:val="21"/>
          <w:szCs w:val="21"/>
          <w:highlight w:val="none"/>
        </w:rPr>
      </w:pPr>
      <w:bookmarkStart w:id="133" w:name="_39.1中标人须于签订合同前按本须知前附表规定的金额转账或电汇到指定账"/>
      <w:bookmarkEnd w:id="133"/>
      <w:r>
        <w:rPr>
          <w:rFonts w:hint="eastAsia" w:ascii="宋体" w:hAnsi="宋体"/>
          <w:color w:val="auto"/>
          <w:sz w:val="21"/>
          <w:szCs w:val="21"/>
          <w:highlight w:val="none"/>
        </w:rPr>
        <w:t>3</w:t>
      </w:r>
      <w:r>
        <w:rPr>
          <w:rFonts w:ascii="宋体" w:hAnsi="宋体"/>
          <w:color w:val="auto"/>
          <w:sz w:val="21"/>
          <w:szCs w:val="21"/>
          <w:highlight w:val="none"/>
        </w:rPr>
        <w:t>5</w:t>
      </w:r>
      <w:r>
        <w:rPr>
          <w:rFonts w:hint="eastAsia" w:ascii="宋体" w:hAnsi="宋体"/>
          <w:color w:val="auto"/>
          <w:sz w:val="21"/>
          <w:szCs w:val="21"/>
          <w:highlight w:val="none"/>
        </w:rPr>
        <w:t>.1 本项目不收取履约保证金。</w:t>
      </w:r>
    </w:p>
    <w:p w14:paraId="518735DD">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36.签订合同</w:t>
      </w:r>
    </w:p>
    <w:p w14:paraId="4C5112D9">
      <w:pPr>
        <w:pStyle w:val="6"/>
        <w:keepNext w:val="0"/>
        <w:keepLines w:val="0"/>
        <w:spacing w:before="0" w:after="0" w:line="360" w:lineRule="auto"/>
        <w:ind w:firstLine="315" w:firstLineChars="150"/>
        <w:rPr>
          <w:rFonts w:ascii="宋体" w:hAnsi="宋体"/>
          <w:b/>
          <w:bCs/>
          <w:color w:val="auto"/>
          <w:sz w:val="21"/>
          <w:szCs w:val="21"/>
          <w:highlight w:val="none"/>
        </w:rPr>
      </w:pPr>
      <w:bookmarkStart w:id="134" w:name="_40.1投标人接到中标通知书后，按须知前附表规定向采购人出示相关资格证"/>
      <w:bookmarkEnd w:id="134"/>
      <w:r>
        <w:rPr>
          <w:rFonts w:hint="eastAsia" w:ascii="宋体" w:hAnsi="宋体"/>
          <w:color w:val="auto"/>
          <w:sz w:val="21"/>
          <w:szCs w:val="21"/>
          <w:highlight w:val="none"/>
        </w:rPr>
        <w:t xml:space="preserve"> 36.1投标人领取中标通知书（书面或电子）后，按“投标人须知前附表”规定向采购人出示相关证明材料，经采购人核验合格后方可签订采购合同（书面或电子）。</w:t>
      </w:r>
      <w:r>
        <w:rPr>
          <w:rFonts w:hint="eastAsia" w:ascii="宋体" w:hAnsi="宋体"/>
          <w:bCs/>
          <w:color w:val="auto"/>
          <w:sz w:val="21"/>
          <w:szCs w:val="21"/>
          <w:highlight w:val="none"/>
        </w:rPr>
        <w:t>如中标人为联合体的，</w:t>
      </w:r>
      <w:r>
        <w:rPr>
          <w:rFonts w:ascii="宋体" w:hAnsi="宋体"/>
          <w:bCs/>
          <w:color w:val="auto"/>
          <w:sz w:val="21"/>
          <w:szCs w:val="21"/>
          <w:highlight w:val="none"/>
        </w:rPr>
        <w:t>联合体各方应当共同与采购人签订采购合同，就采购合同约定的事项对采购人承担连带责任。</w:t>
      </w:r>
    </w:p>
    <w:p w14:paraId="497622A0">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36.2签订合同时间：自中标通知书发出之日起25日内签订合同。</w:t>
      </w:r>
    </w:p>
    <w:p w14:paraId="3C0A1DA6">
      <w:pPr>
        <w:pStyle w:val="6"/>
        <w:keepNext w:val="0"/>
        <w:keepLines w:val="0"/>
        <w:spacing w:before="0" w:after="0" w:line="360" w:lineRule="auto"/>
        <w:ind w:firstLine="315" w:firstLineChars="150"/>
        <w:rPr>
          <w:rFonts w:ascii="宋体" w:hAnsi="宋体"/>
          <w:b/>
          <w:color w:val="auto"/>
          <w:sz w:val="21"/>
          <w:szCs w:val="21"/>
          <w:highlight w:val="none"/>
        </w:rPr>
      </w:pPr>
      <w:r>
        <w:rPr>
          <w:rFonts w:hint="eastAsia" w:ascii="宋体" w:hAnsi="宋体"/>
          <w:color w:val="auto"/>
          <w:sz w:val="21"/>
          <w:szCs w:val="21"/>
          <w:highlight w:val="none"/>
        </w:rPr>
        <w:t xml:space="preserve"> 36.</w:t>
      </w:r>
      <w:r>
        <w:rPr>
          <w:rFonts w:ascii="宋体" w:hAnsi="宋体"/>
          <w:color w:val="auto"/>
          <w:sz w:val="21"/>
          <w:szCs w:val="21"/>
          <w:highlight w:val="none"/>
        </w:rPr>
        <w:t>3</w:t>
      </w:r>
      <w:r>
        <w:rPr>
          <w:rFonts w:hint="eastAsia" w:ascii="宋体" w:hAnsi="宋体"/>
          <w:color w:val="auto"/>
          <w:sz w:val="21"/>
          <w:szCs w:val="21"/>
          <w:highlight w:val="none"/>
        </w:rPr>
        <w:t>中标人拒绝与采购人签订合同的，按照本须知正文第3</w:t>
      </w:r>
      <w:r>
        <w:rPr>
          <w:rFonts w:ascii="宋体" w:hAnsi="宋体"/>
          <w:color w:val="auto"/>
          <w:sz w:val="21"/>
          <w:szCs w:val="21"/>
          <w:highlight w:val="none"/>
        </w:rPr>
        <w:t>0.4条</w:t>
      </w:r>
      <w:r>
        <w:rPr>
          <w:rFonts w:hint="eastAsia" w:ascii="宋体" w:hAnsi="宋体"/>
          <w:color w:val="auto"/>
          <w:sz w:val="21"/>
          <w:szCs w:val="21"/>
          <w:highlight w:val="none"/>
        </w:rPr>
        <w:t>的规定执行。</w:t>
      </w:r>
    </w:p>
    <w:p w14:paraId="15FFEB64">
      <w:pPr>
        <w:pStyle w:val="6"/>
        <w:keepNext w:val="0"/>
        <w:keepLines w:val="0"/>
        <w:spacing w:before="0" w:after="0" w:line="360" w:lineRule="auto"/>
        <w:ind w:left="420" w:leftChars="200"/>
        <w:rPr>
          <w:rFonts w:ascii="宋体" w:hAnsi="宋体"/>
          <w:color w:val="auto"/>
          <w:highlight w:val="none"/>
        </w:rPr>
      </w:pPr>
      <w:bookmarkStart w:id="135" w:name="_41.政府采购合同公告"/>
      <w:bookmarkEnd w:id="135"/>
      <w:r>
        <w:rPr>
          <w:rFonts w:hint="eastAsia" w:ascii="宋体" w:hAnsi="宋体"/>
          <w:color w:val="auto"/>
          <w:highlight w:val="none"/>
        </w:rPr>
        <w:t>37.政府采购合同公告</w:t>
      </w:r>
    </w:p>
    <w:p w14:paraId="7DD1B5BB">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采购人或者受托采购代理机构应当自政府采购合同签订之日起2个工作日内，将政府采购合同在省级以上人民政府财政部门指定的媒体上公告，</w:t>
      </w:r>
      <w:r>
        <w:rPr>
          <w:rFonts w:hAnsi="宋体"/>
          <w:color w:val="auto"/>
          <w:sz w:val="21"/>
          <w:highlight w:val="none"/>
        </w:rPr>
        <w:t>但政府采购合同中涉及国家秘密、商业秘密的内容除外。</w:t>
      </w:r>
    </w:p>
    <w:p w14:paraId="3E6448F3">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3</w:t>
      </w:r>
      <w:r>
        <w:rPr>
          <w:rFonts w:ascii="宋体" w:hAnsi="宋体"/>
          <w:color w:val="auto"/>
          <w:highlight w:val="none"/>
        </w:rPr>
        <w:t>8.</w:t>
      </w:r>
      <w:r>
        <w:rPr>
          <w:rFonts w:hint="eastAsia" w:ascii="宋体" w:hAnsi="宋体"/>
          <w:color w:val="auto"/>
          <w:highlight w:val="none"/>
        </w:rPr>
        <w:t xml:space="preserve"> 询问、质疑和投诉</w:t>
      </w:r>
    </w:p>
    <w:p w14:paraId="19A83288">
      <w:pPr>
        <w:pStyle w:val="14"/>
        <w:spacing w:line="360" w:lineRule="auto"/>
        <w:rPr>
          <w:rFonts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供应商对政府采购活动事项有疑问的，可以向采购人提出询问，采购人或者采购代理机构应当在3个工作日内对供应商依法提出的询问作出答复，但答复的内容不得涉及商业秘密。</w:t>
      </w:r>
    </w:p>
    <w:p w14:paraId="18AD5C15">
      <w:pPr>
        <w:pStyle w:val="6"/>
        <w:keepNext w:val="0"/>
        <w:keepLines w:val="0"/>
        <w:spacing w:before="0" w:after="0" w:line="360" w:lineRule="auto"/>
        <w:ind w:firstLine="315" w:firstLineChars="150"/>
        <w:rPr>
          <w:rFonts w:ascii="宋体" w:hAnsi="宋体"/>
          <w:b/>
          <w:color w:val="auto"/>
          <w:sz w:val="21"/>
          <w:szCs w:val="21"/>
          <w:highlight w:val="none"/>
        </w:rPr>
      </w:pPr>
      <w:r>
        <w:rPr>
          <w:rFonts w:ascii="宋体" w:hAnsi="宋体"/>
          <w:color w:val="auto"/>
          <w:sz w:val="21"/>
          <w:szCs w:val="21"/>
          <w:highlight w:val="none"/>
        </w:rPr>
        <w:t>38</w:t>
      </w:r>
      <w:r>
        <w:rPr>
          <w:rFonts w:hint="eastAsia" w:ascii="宋体" w:hAnsi="宋体"/>
          <w:color w:val="auto"/>
          <w:sz w:val="21"/>
          <w:szCs w:val="21"/>
          <w:highlight w:val="none"/>
        </w:rPr>
        <w:t>.</w:t>
      </w:r>
      <w:r>
        <w:rPr>
          <w:rFonts w:ascii="宋体" w:hAnsi="宋体"/>
          <w:color w:val="auto"/>
          <w:sz w:val="21"/>
          <w:szCs w:val="21"/>
          <w:highlight w:val="none"/>
        </w:rPr>
        <w:t>2</w:t>
      </w:r>
      <w:r>
        <w:rPr>
          <w:rFonts w:hint="eastAsia" w:ascii="宋体" w:hAnsi="宋体"/>
          <w:color w:val="auto"/>
          <w:sz w:val="21"/>
          <w:szCs w:val="21"/>
          <w:highlight w:val="none"/>
        </w:rPr>
        <w:t xml:space="preserve">供应商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14:paraId="0EBDF3EE">
      <w:pPr>
        <w:pStyle w:val="25"/>
        <w:snapToGrid w:val="0"/>
        <w:spacing w:line="360" w:lineRule="auto"/>
        <w:ind w:firstLine="420" w:firstLineChars="200"/>
        <w:rPr>
          <w:rFonts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）对可以质疑的</w:t>
      </w:r>
      <w:r>
        <w:rPr>
          <w:rFonts w:hint="eastAsia" w:hAnsi="宋体"/>
          <w:color w:val="auto"/>
          <w:sz w:val="21"/>
          <w:highlight w:val="none"/>
        </w:rPr>
        <w:t>招标</w:t>
      </w:r>
      <w:r>
        <w:rPr>
          <w:rFonts w:hAnsi="宋体"/>
          <w:color w:val="auto"/>
          <w:sz w:val="21"/>
          <w:highlight w:val="none"/>
        </w:rPr>
        <w:t>文件提出质疑的，为收到</w:t>
      </w:r>
      <w:r>
        <w:rPr>
          <w:rFonts w:hint="eastAsia" w:hAnsi="宋体"/>
          <w:color w:val="auto"/>
          <w:sz w:val="21"/>
          <w:highlight w:val="none"/>
        </w:rPr>
        <w:t>招标</w:t>
      </w:r>
      <w:r>
        <w:rPr>
          <w:rFonts w:hAnsi="宋体"/>
          <w:color w:val="auto"/>
          <w:sz w:val="21"/>
          <w:highlight w:val="none"/>
        </w:rPr>
        <w:t>文件之日</w:t>
      </w:r>
      <w:r>
        <w:rPr>
          <w:rFonts w:hint="eastAsia" w:hAnsi="宋体"/>
          <w:color w:val="auto"/>
          <w:sz w:val="21"/>
          <w:highlight w:val="none"/>
        </w:rPr>
        <w:t>或者招标文件公告期限届满之日</w:t>
      </w:r>
      <w:r>
        <w:rPr>
          <w:rFonts w:hAnsi="宋体"/>
          <w:color w:val="auto"/>
          <w:sz w:val="21"/>
          <w:highlight w:val="none"/>
        </w:rPr>
        <w:t>；</w:t>
      </w:r>
    </w:p>
    <w:p w14:paraId="32ACA8E3">
      <w:pPr>
        <w:pStyle w:val="25"/>
        <w:snapToGrid w:val="0"/>
        <w:spacing w:line="360" w:lineRule="auto"/>
        <w:ind w:firstLine="420" w:firstLineChars="200"/>
        <w:rPr>
          <w:rFonts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）对</w:t>
      </w:r>
      <w:r>
        <w:rPr>
          <w:rFonts w:hint="eastAsia" w:hAnsi="宋体"/>
          <w:color w:val="auto"/>
          <w:sz w:val="21"/>
          <w:highlight w:val="none"/>
        </w:rPr>
        <w:t>采购</w:t>
      </w:r>
      <w:r>
        <w:rPr>
          <w:rFonts w:hAnsi="宋体"/>
          <w:color w:val="auto"/>
          <w:sz w:val="21"/>
          <w:highlight w:val="none"/>
        </w:rPr>
        <w:t>过程提出质疑的，为各采购程序环节结束之日；</w:t>
      </w:r>
    </w:p>
    <w:p w14:paraId="7147D0C8">
      <w:pPr>
        <w:pStyle w:val="25"/>
        <w:snapToGrid w:val="0"/>
        <w:spacing w:line="360" w:lineRule="auto"/>
        <w:ind w:firstLine="420" w:firstLineChars="200"/>
        <w:rPr>
          <w:rFonts w:hAnsi="宋体"/>
          <w:bCs/>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）对中标结果提出质疑的，为中标结果公告期限届满之日。</w:t>
      </w:r>
    </w:p>
    <w:p w14:paraId="7BB07C01">
      <w:pPr>
        <w:pStyle w:val="6"/>
        <w:keepNext w:val="0"/>
        <w:keepLines w:val="0"/>
        <w:spacing w:before="0" w:after="0" w:line="360" w:lineRule="auto"/>
        <w:ind w:firstLine="315" w:firstLineChars="150"/>
        <w:rPr>
          <w:rFonts w:ascii="宋体" w:hAnsi="宋体"/>
          <w:b/>
          <w:color w:val="auto"/>
          <w:sz w:val="21"/>
          <w:szCs w:val="21"/>
          <w:highlight w:val="none"/>
        </w:rPr>
      </w:pPr>
      <w:r>
        <w:rPr>
          <w:rFonts w:ascii="宋体" w:hAnsi="宋体"/>
          <w:color w:val="auto"/>
          <w:sz w:val="21"/>
          <w:szCs w:val="21"/>
          <w:highlight w:val="none"/>
        </w:rPr>
        <w:t>38</w:t>
      </w:r>
      <w:r>
        <w:rPr>
          <w:rFonts w:hint="eastAsia" w:ascii="宋体" w:hAnsi="宋体"/>
          <w:color w:val="auto"/>
          <w:sz w:val="21"/>
          <w:szCs w:val="21"/>
          <w:highlight w:val="none"/>
        </w:rPr>
        <w:t>.</w:t>
      </w:r>
      <w:r>
        <w:rPr>
          <w:rFonts w:ascii="宋体" w:hAnsi="宋体"/>
          <w:color w:val="auto"/>
          <w:sz w:val="21"/>
          <w:szCs w:val="21"/>
          <w:highlight w:val="none"/>
        </w:rPr>
        <w:t>3</w:t>
      </w:r>
      <w:r>
        <w:rPr>
          <w:rFonts w:ascii="宋体" w:hAnsi="宋体"/>
          <w:bCs/>
          <w:color w:val="auto"/>
          <w:sz w:val="21"/>
          <w:highlight w:val="none"/>
        </w:rPr>
        <w:t>供应商提出质疑应当提交质疑函和必要的证明材料</w:t>
      </w:r>
      <w:r>
        <w:rPr>
          <w:rFonts w:hint="eastAsia" w:ascii="宋体" w:hAnsi="宋体"/>
          <w:bCs/>
          <w:color w:val="auto"/>
          <w:sz w:val="21"/>
          <w:highlight w:val="none"/>
        </w:rPr>
        <w:t>，</w:t>
      </w:r>
      <w:r>
        <w:rPr>
          <w:rFonts w:ascii="宋体" w:hAnsi="宋体"/>
          <w:bCs/>
          <w:color w:val="auto"/>
          <w:sz w:val="21"/>
          <w:highlight w:val="none"/>
        </w:rPr>
        <w:t>针对同一采购程序环节的质疑</w:t>
      </w:r>
      <w:r>
        <w:rPr>
          <w:rFonts w:hint="eastAsia" w:ascii="宋体" w:hAnsi="宋体"/>
          <w:bCs/>
          <w:color w:val="auto"/>
          <w:sz w:val="21"/>
          <w:highlight w:val="none"/>
        </w:rPr>
        <w:t>必须</w:t>
      </w:r>
      <w:r>
        <w:rPr>
          <w:rFonts w:ascii="宋体" w:hAnsi="宋体"/>
          <w:bCs/>
          <w:color w:val="auto"/>
          <w:sz w:val="21"/>
          <w:highlight w:val="none"/>
        </w:rPr>
        <w:t>在法定质疑期内一次性提出。质疑函应当包括下列内容</w:t>
      </w:r>
      <w:r>
        <w:rPr>
          <w:rFonts w:hint="eastAsia" w:ascii="宋体" w:hAnsi="宋体"/>
          <w:bCs/>
          <w:color w:val="auto"/>
          <w:sz w:val="21"/>
          <w:highlight w:val="none"/>
        </w:rPr>
        <w:t>（质疑函格式后附）</w:t>
      </w:r>
      <w:r>
        <w:rPr>
          <w:rFonts w:ascii="宋体" w:hAnsi="宋体"/>
          <w:bCs/>
          <w:color w:val="auto"/>
          <w:sz w:val="21"/>
          <w:highlight w:val="none"/>
        </w:rPr>
        <w:t>：</w:t>
      </w:r>
    </w:p>
    <w:p w14:paraId="3E374258">
      <w:pPr>
        <w:pStyle w:val="2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1</w:t>
      </w:r>
      <w:r>
        <w:rPr>
          <w:rFonts w:hAnsi="宋体"/>
          <w:bCs/>
          <w:color w:val="auto"/>
          <w:sz w:val="21"/>
          <w:highlight w:val="none"/>
        </w:rPr>
        <w:t>）供应商的姓名或者名称、地址、邮编、联系人及联系电话；</w:t>
      </w:r>
    </w:p>
    <w:p w14:paraId="2D03BF61">
      <w:pPr>
        <w:pStyle w:val="2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2</w:t>
      </w:r>
      <w:r>
        <w:rPr>
          <w:rFonts w:hAnsi="宋体"/>
          <w:bCs/>
          <w:color w:val="auto"/>
          <w:sz w:val="21"/>
          <w:highlight w:val="none"/>
        </w:rPr>
        <w:t>）质疑项目的名称、编号；</w:t>
      </w:r>
    </w:p>
    <w:p w14:paraId="650214B6">
      <w:pPr>
        <w:pStyle w:val="2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3</w:t>
      </w:r>
      <w:r>
        <w:rPr>
          <w:rFonts w:hAnsi="宋体"/>
          <w:bCs/>
          <w:color w:val="auto"/>
          <w:sz w:val="21"/>
          <w:highlight w:val="none"/>
        </w:rPr>
        <w:t>）具体、明确的质疑事项和与质疑事项相关的请求；</w:t>
      </w:r>
    </w:p>
    <w:p w14:paraId="50B7F4E3">
      <w:pPr>
        <w:pStyle w:val="2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4</w:t>
      </w:r>
      <w:r>
        <w:rPr>
          <w:rFonts w:hAnsi="宋体"/>
          <w:bCs/>
          <w:color w:val="auto"/>
          <w:sz w:val="21"/>
          <w:highlight w:val="none"/>
        </w:rPr>
        <w:t>）事实依据；</w:t>
      </w:r>
    </w:p>
    <w:p w14:paraId="169EBA15">
      <w:pPr>
        <w:pStyle w:val="2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5</w:t>
      </w:r>
      <w:r>
        <w:rPr>
          <w:rFonts w:hAnsi="宋体"/>
          <w:bCs/>
          <w:color w:val="auto"/>
          <w:sz w:val="21"/>
          <w:highlight w:val="none"/>
        </w:rPr>
        <w:t>）必要的法律依据；</w:t>
      </w:r>
    </w:p>
    <w:p w14:paraId="71597DEB">
      <w:pPr>
        <w:pStyle w:val="2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6</w:t>
      </w:r>
      <w:r>
        <w:rPr>
          <w:rFonts w:hAnsi="宋体"/>
          <w:bCs/>
          <w:color w:val="auto"/>
          <w:sz w:val="21"/>
          <w:highlight w:val="none"/>
        </w:rPr>
        <w:t>）提出质疑的日期。</w:t>
      </w:r>
    </w:p>
    <w:p w14:paraId="5208530D">
      <w:pPr>
        <w:pStyle w:val="25"/>
        <w:snapToGrid w:val="0"/>
        <w:spacing w:line="360" w:lineRule="auto"/>
        <w:ind w:firstLine="420" w:firstLineChars="200"/>
        <w:rPr>
          <w:rFonts w:hAnsi="宋体"/>
          <w:bCs/>
          <w:color w:val="auto"/>
          <w:sz w:val="21"/>
          <w:highlight w:val="none"/>
        </w:rPr>
      </w:pPr>
      <w:r>
        <w:rPr>
          <w:rFonts w:hAnsi="宋体"/>
          <w:bCs/>
          <w:color w:val="auto"/>
          <w:sz w:val="21"/>
          <w:highlight w:val="none"/>
        </w:rPr>
        <w:t>供应商为自然人的，应当由本人签字；供应商为法人或者其他组织的，应当由法定代表人、主要负责人，或者其委托代理人签字或者盖章，并加盖公章</w:t>
      </w:r>
      <w:r>
        <w:rPr>
          <w:rFonts w:hint="eastAsia" w:hAnsi="宋体"/>
          <w:bCs/>
          <w:color w:val="auto"/>
          <w:sz w:val="21"/>
          <w:highlight w:val="none"/>
        </w:rPr>
        <w:t>。</w:t>
      </w:r>
    </w:p>
    <w:p w14:paraId="697A3410">
      <w:pPr>
        <w:pStyle w:val="6"/>
        <w:keepNext w:val="0"/>
        <w:keepLines w:val="0"/>
        <w:snapToGrid w:val="0"/>
        <w:spacing w:before="0" w:after="0" w:line="360" w:lineRule="auto"/>
        <w:ind w:firstLine="420" w:firstLineChars="200"/>
        <w:rPr>
          <w:rFonts w:ascii="宋体" w:hAnsi="宋体"/>
          <w:b/>
          <w:bCs/>
          <w:color w:val="auto"/>
          <w:sz w:val="21"/>
          <w:szCs w:val="21"/>
          <w:highlight w:val="none"/>
        </w:rPr>
      </w:pPr>
      <w:r>
        <w:rPr>
          <w:rFonts w:ascii="宋体" w:hAnsi="宋体"/>
          <w:color w:val="auto"/>
          <w:sz w:val="21"/>
          <w:szCs w:val="21"/>
          <w:highlight w:val="none"/>
        </w:rPr>
        <w:t>3</w:t>
      </w:r>
      <w:r>
        <w:rPr>
          <w:rFonts w:ascii="宋体" w:hAnsi="宋体"/>
          <w:bCs/>
          <w:color w:val="auto"/>
          <w:sz w:val="21"/>
          <w:szCs w:val="21"/>
          <w:highlight w:val="none"/>
        </w:rPr>
        <w:t>8.4</w:t>
      </w:r>
      <w:r>
        <w:rPr>
          <w:rFonts w:hint="eastAsia" w:ascii="宋体" w:hAnsi="宋体"/>
          <w:bCs/>
          <w:color w:val="auto"/>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257A3748">
      <w:pPr>
        <w:pStyle w:val="25"/>
        <w:snapToGrid w:val="0"/>
        <w:spacing w:line="360" w:lineRule="auto"/>
        <w:rPr>
          <w:rFonts w:hAnsi="宋体"/>
          <w:bCs/>
          <w:color w:val="auto"/>
          <w:sz w:val="21"/>
          <w:highlight w:val="none"/>
        </w:rPr>
      </w:pPr>
      <w:r>
        <w:rPr>
          <w:rFonts w:hint="eastAsia" w:hAnsi="宋体"/>
          <w:bCs/>
          <w:color w:val="auto"/>
          <w:sz w:val="21"/>
          <w:highlight w:val="none"/>
        </w:rPr>
        <w:t>　　（1）对招标文件提出的质疑，依法通过澄清或者修改可以继续开展采购活动的，澄清或者修改招标文件后继续开展采购活动；否则应当修改招标文件后重新开展采购活动。</w:t>
      </w:r>
    </w:p>
    <w:p w14:paraId="52115BC3">
      <w:pPr>
        <w:pStyle w:val="25"/>
        <w:snapToGrid w:val="0"/>
        <w:spacing w:line="360" w:lineRule="auto"/>
        <w:rPr>
          <w:rFonts w:hAnsi="宋体"/>
          <w:bCs/>
          <w:color w:val="auto"/>
          <w:sz w:val="21"/>
          <w:highlight w:val="none"/>
        </w:rPr>
      </w:pPr>
      <w:r>
        <w:rPr>
          <w:rFonts w:hint="eastAsia" w:hAnsi="宋体"/>
          <w:bCs/>
          <w:color w:val="auto"/>
          <w:sz w:val="21"/>
          <w:highlight w:val="none"/>
        </w:rPr>
        <w:t>　　（2）对采购过程、中标结果提出的质疑，合格供应商符合法定数量时，可以从合格的中标候选人中另行确定中标供应商的，应当依法另行确定中标供应商；否则应当重新开展采购活动。</w:t>
      </w:r>
    </w:p>
    <w:p w14:paraId="44ECBDCC">
      <w:pPr>
        <w:pStyle w:val="25"/>
        <w:snapToGrid w:val="0"/>
        <w:spacing w:line="360" w:lineRule="auto"/>
        <w:ind w:firstLine="420"/>
        <w:rPr>
          <w:rFonts w:hAnsi="宋体"/>
          <w:bCs/>
          <w:color w:val="auto"/>
          <w:sz w:val="21"/>
          <w:highlight w:val="none"/>
        </w:rPr>
      </w:pPr>
      <w:r>
        <w:rPr>
          <w:rFonts w:hint="eastAsia" w:hAnsi="宋体"/>
          <w:bCs/>
          <w:color w:val="auto"/>
          <w:sz w:val="21"/>
          <w:highlight w:val="none"/>
        </w:rPr>
        <w:t>质疑答复导致中标结果改变的，采购人或者采购代理机构应当将有关情况书面报告本级财政部门。</w:t>
      </w:r>
    </w:p>
    <w:p w14:paraId="6BE8E74E">
      <w:pPr>
        <w:pStyle w:val="25"/>
        <w:snapToGrid w:val="0"/>
        <w:spacing w:line="360" w:lineRule="auto"/>
        <w:ind w:firstLine="420" w:firstLineChars="200"/>
        <w:rPr>
          <w:rFonts w:hAnsi="宋体"/>
          <w:color w:val="auto"/>
          <w:sz w:val="21"/>
          <w:highlight w:val="none"/>
        </w:rPr>
      </w:pPr>
      <w:r>
        <w:rPr>
          <w:rFonts w:hAnsi="宋体"/>
          <w:color w:val="auto"/>
          <w:sz w:val="21"/>
          <w:highlight w:val="none"/>
        </w:rPr>
        <w:t>38</w:t>
      </w:r>
      <w:r>
        <w:rPr>
          <w:rFonts w:hint="eastAsia" w:hAnsi="宋体"/>
          <w:color w:val="auto"/>
          <w:sz w:val="21"/>
          <w:highlight w:val="none"/>
        </w:rPr>
        <w:t>.</w:t>
      </w:r>
      <w:r>
        <w:rPr>
          <w:rFonts w:hAnsi="宋体"/>
          <w:color w:val="auto"/>
          <w:sz w:val="21"/>
          <w:highlight w:val="none"/>
        </w:rPr>
        <w:t>5</w:t>
      </w:r>
      <w:r>
        <w:rPr>
          <w:rFonts w:hint="eastAsia" w:hAnsi="宋体"/>
          <w:color w:val="auto"/>
          <w:sz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136" w:name="_八、其他事项"/>
      <w:bookmarkEnd w:id="136"/>
    </w:p>
    <w:p w14:paraId="47B609D6">
      <w:pPr>
        <w:pStyle w:val="25"/>
        <w:snapToGrid w:val="0"/>
        <w:spacing w:line="360" w:lineRule="auto"/>
        <w:ind w:firstLine="400" w:firstLineChars="200"/>
        <w:rPr>
          <w:rFonts w:hAnsi="宋体"/>
          <w:color w:val="auto"/>
          <w:highlight w:val="none"/>
        </w:rPr>
      </w:pPr>
    </w:p>
    <w:p w14:paraId="64EE47AD">
      <w:pPr>
        <w:pStyle w:val="4"/>
        <w:keepNext w:val="0"/>
        <w:keepLines w:val="0"/>
        <w:jc w:val="center"/>
        <w:rPr>
          <w:rFonts w:ascii="宋体" w:hAnsi="宋体" w:eastAsia="宋体"/>
          <w:color w:val="auto"/>
          <w:highlight w:val="none"/>
        </w:rPr>
      </w:pPr>
      <w:r>
        <w:rPr>
          <w:rFonts w:hint="eastAsia" w:ascii="宋体" w:hAnsi="宋体" w:eastAsia="宋体"/>
          <w:color w:val="auto"/>
          <w:highlight w:val="none"/>
        </w:rPr>
        <w:t>八、其他事项</w:t>
      </w:r>
    </w:p>
    <w:p w14:paraId="4D944764">
      <w:pPr>
        <w:pStyle w:val="6"/>
        <w:keepNext w:val="0"/>
        <w:keepLines w:val="0"/>
        <w:spacing w:before="0" w:after="0" w:line="360" w:lineRule="auto"/>
        <w:ind w:left="420" w:leftChars="200"/>
        <w:rPr>
          <w:rFonts w:ascii="宋体" w:hAnsi="宋体"/>
          <w:color w:val="auto"/>
          <w:highlight w:val="none"/>
        </w:rPr>
      </w:pPr>
      <w:bookmarkStart w:id="137" w:name="_42.代理服务费"/>
      <w:bookmarkEnd w:id="137"/>
      <w:r>
        <w:rPr>
          <w:rFonts w:hint="eastAsia" w:ascii="宋体" w:hAnsi="宋体"/>
          <w:color w:val="auto"/>
          <w:highlight w:val="none"/>
        </w:rPr>
        <w:t>3</w:t>
      </w:r>
      <w:r>
        <w:rPr>
          <w:rFonts w:ascii="宋体" w:hAnsi="宋体"/>
          <w:color w:val="auto"/>
          <w:highlight w:val="none"/>
        </w:rPr>
        <w:t>9</w:t>
      </w:r>
      <w:r>
        <w:rPr>
          <w:rFonts w:hint="eastAsia" w:ascii="宋体" w:hAnsi="宋体"/>
          <w:color w:val="auto"/>
          <w:highlight w:val="none"/>
        </w:rPr>
        <w:t>.代理服务费</w:t>
      </w:r>
    </w:p>
    <w:p w14:paraId="03FDADF4">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3</w:t>
      </w:r>
      <w:r>
        <w:rPr>
          <w:rFonts w:hAnsi="宋体"/>
          <w:color w:val="auto"/>
          <w:sz w:val="21"/>
          <w:highlight w:val="none"/>
        </w:rPr>
        <w:t>9</w:t>
      </w:r>
      <w:r>
        <w:rPr>
          <w:rFonts w:hint="eastAsia" w:hAnsi="宋体"/>
          <w:color w:val="auto"/>
          <w:sz w:val="21"/>
          <w:highlight w:val="none"/>
        </w:rPr>
        <w:t>.1代理服务收取标准及缴费账户详见“投标人须知前附表”，投标人为联合体的，可以由联合体中的一方或者多方共同交纳代理服务费。</w:t>
      </w:r>
    </w:p>
    <w:p w14:paraId="0F7E5331">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3</w:t>
      </w:r>
      <w:r>
        <w:rPr>
          <w:rFonts w:hAnsi="宋体"/>
          <w:color w:val="auto"/>
          <w:sz w:val="21"/>
          <w:highlight w:val="none"/>
        </w:rPr>
        <w:t>9</w:t>
      </w:r>
      <w:r>
        <w:rPr>
          <w:rFonts w:hint="eastAsia" w:hAnsi="宋体"/>
          <w:color w:val="auto"/>
          <w:sz w:val="21"/>
          <w:highlight w:val="none"/>
        </w:rPr>
        <w:t>.2代理服务收费标准：</w:t>
      </w:r>
    </w:p>
    <w:p w14:paraId="3A347D78">
      <w:pPr>
        <w:pStyle w:val="25"/>
        <w:snapToGrid w:val="0"/>
        <w:spacing w:line="360" w:lineRule="auto"/>
        <w:ind w:firstLine="420" w:firstLineChars="200"/>
        <w:rPr>
          <w:rFonts w:hAnsi="宋体"/>
          <w:color w:val="auto"/>
          <w:sz w:val="21"/>
          <w:highlight w:val="none"/>
        </w:rPr>
      </w:pPr>
    </w:p>
    <w:tbl>
      <w:tblPr>
        <w:tblStyle w:val="4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35637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5F1717E0">
            <w:pPr>
              <w:spacing w:line="360" w:lineRule="auto"/>
              <w:rPr>
                <w:rFonts w:ascii="宋体" w:hAnsi="宋体"/>
                <w:color w:val="auto"/>
                <w:szCs w:val="21"/>
                <w:highlight w:val="none"/>
              </w:rPr>
            </w:pPr>
            <w:r>
              <w:rPr>
                <w:rFonts w:hint="eastAsia" w:ascii="宋体" w:hAnsi="宋体"/>
                <w:color w:val="auto"/>
                <w:szCs w:val="21"/>
                <w:highlight w:val="none"/>
              </w:rPr>
              <w:t xml:space="preserve">               费率</w:t>
            </w:r>
          </w:p>
          <w:p w14:paraId="08B725B7">
            <w:pPr>
              <w:spacing w:line="360" w:lineRule="auto"/>
              <w:rPr>
                <w:rFonts w:ascii="宋体" w:hAnsi="宋体"/>
                <w:color w:val="auto"/>
                <w:szCs w:val="21"/>
                <w:highlight w:val="none"/>
              </w:rPr>
            </w:pPr>
            <w:r>
              <w:rPr>
                <w:rFonts w:hint="eastAsia" w:ascii="宋体" w:hAnsi="宋体"/>
                <w:color w:val="auto"/>
                <w:szCs w:val="21"/>
                <w:highlight w:val="none"/>
              </w:rPr>
              <w:t>中标金额</w:t>
            </w:r>
          </w:p>
        </w:tc>
        <w:tc>
          <w:tcPr>
            <w:tcW w:w="1659" w:type="dxa"/>
            <w:vAlign w:val="center"/>
          </w:tcPr>
          <w:p w14:paraId="491D2199">
            <w:pPr>
              <w:spacing w:line="360" w:lineRule="auto"/>
              <w:ind w:firstLine="105" w:firstLineChars="50"/>
              <w:jc w:val="center"/>
              <w:rPr>
                <w:rFonts w:ascii="宋体" w:hAnsi="宋体"/>
                <w:color w:val="auto"/>
                <w:szCs w:val="21"/>
                <w:highlight w:val="none"/>
              </w:rPr>
            </w:pPr>
            <w:r>
              <w:rPr>
                <w:rFonts w:hint="eastAsia" w:ascii="宋体" w:hAnsi="宋体"/>
                <w:color w:val="auto"/>
                <w:szCs w:val="21"/>
                <w:highlight w:val="none"/>
              </w:rPr>
              <w:t>货物招标</w:t>
            </w:r>
          </w:p>
        </w:tc>
        <w:tc>
          <w:tcPr>
            <w:tcW w:w="1687" w:type="dxa"/>
            <w:vAlign w:val="center"/>
          </w:tcPr>
          <w:p w14:paraId="202C4CFF">
            <w:pPr>
              <w:spacing w:line="360" w:lineRule="auto"/>
              <w:jc w:val="center"/>
              <w:rPr>
                <w:rFonts w:ascii="宋体" w:hAnsi="宋体"/>
                <w:color w:val="auto"/>
                <w:szCs w:val="21"/>
                <w:highlight w:val="none"/>
              </w:rPr>
            </w:pPr>
            <w:r>
              <w:rPr>
                <w:rFonts w:hint="eastAsia" w:ascii="宋体" w:hAnsi="宋体"/>
                <w:color w:val="auto"/>
                <w:szCs w:val="21"/>
                <w:highlight w:val="none"/>
              </w:rPr>
              <w:t>服务招标</w:t>
            </w:r>
          </w:p>
        </w:tc>
        <w:tc>
          <w:tcPr>
            <w:tcW w:w="1659" w:type="dxa"/>
            <w:vAlign w:val="center"/>
          </w:tcPr>
          <w:p w14:paraId="3CA4EAEF">
            <w:pPr>
              <w:spacing w:line="360" w:lineRule="auto"/>
              <w:jc w:val="center"/>
              <w:rPr>
                <w:rFonts w:ascii="宋体" w:hAnsi="宋体"/>
                <w:color w:val="auto"/>
                <w:szCs w:val="21"/>
                <w:highlight w:val="none"/>
              </w:rPr>
            </w:pPr>
            <w:r>
              <w:rPr>
                <w:rFonts w:hint="eastAsia" w:ascii="宋体" w:hAnsi="宋体"/>
                <w:color w:val="auto"/>
                <w:szCs w:val="21"/>
                <w:highlight w:val="none"/>
              </w:rPr>
              <w:t>工程招标</w:t>
            </w:r>
          </w:p>
        </w:tc>
      </w:tr>
      <w:tr w14:paraId="2CF00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C5BC18B">
            <w:pPr>
              <w:spacing w:line="360" w:lineRule="auto"/>
              <w:rPr>
                <w:rFonts w:ascii="宋体" w:hAnsi="宋体"/>
                <w:color w:val="auto"/>
                <w:szCs w:val="21"/>
                <w:highlight w:val="none"/>
              </w:rPr>
            </w:pPr>
            <w:r>
              <w:rPr>
                <w:rFonts w:hint="eastAsia" w:ascii="宋体" w:hAnsi="宋体"/>
                <w:color w:val="auto"/>
                <w:szCs w:val="21"/>
                <w:highlight w:val="none"/>
              </w:rPr>
              <w:t>100万元以下</w:t>
            </w:r>
          </w:p>
        </w:tc>
        <w:tc>
          <w:tcPr>
            <w:tcW w:w="1659" w:type="dxa"/>
          </w:tcPr>
          <w:p w14:paraId="1C4AC188">
            <w:pPr>
              <w:spacing w:line="360" w:lineRule="auto"/>
              <w:rPr>
                <w:rFonts w:ascii="宋体" w:hAnsi="宋体"/>
                <w:color w:val="auto"/>
                <w:szCs w:val="21"/>
                <w:highlight w:val="none"/>
              </w:rPr>
            </w:pPr>
            <w:r>
              <w:rPr>
                <w:rFonts w:ascii="宋体" w:hAnsi="宋体" w:cs="宋体"/>
                <w:color w:val="auto"/>
                <w:kern w:val="0"/>
                <w:szCs w:val="21"/>
                <w:highlight w:val="none"/>
              </w:rPr>
              <w:t xml:space="preserve">1.5% </w:t>
            </w:r>
          </w:p>
        </w:tc>
        <w:tc>
          <w:tcPr>
            <w:tcW w:w="1687" w:type="dxa"/>
          </w:tcPr>
          <w:p w14:paraId="2C35DE09">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1.5%</w:t>
            </w:r>
          </w:p>
        </w:tc>
        <w:tc>
          <w:tcPr>
            <w:tcW w:w="1659" w:type="dxa"/>
          </w:tcPr>
          <w:p w14:paraId="38F43C4D">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1.0% </w:t>
            </w:r>
          </w:p>
        </w:tc>
      </w:tr>
      <w:tr w14:paraId="62A43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ECFF151">
            <w:pPr>
              <w:spacing w:line="360" w:lineRule="auto"/>
              <w:rPr>
                <w:rFonts w:ascii="宋体" w:hAnsi="宋体"/>
                <w:color w:val="auto"/>
                <w:szCs w:val="21"/>
                <w:highlight w:val="none"/>
              </w:rPr>
            </w:pPr>
            <w:r>
              <w:rPr>
                <w:rFonts w:hint="eastAsia" w:ascii="宋体" w:hAnsi="宋体"/>
                <w:color w:val="auto"/>
                <w:szCs w:val="21"/>
                <w:highlight w:val="none"/>
              </w:rPr>
              <w:t>100～500万元</w:t>
            </w:r>
          </w:p>
        </w:tc>
        <w:tc>
          <w:tcPr>
            <w:tcW w:w="1659" w:type="dxa"/>
          </w:tcPr>
          <w:p w14:paraId="2A812586">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1.1% </w:t>
            </w:r>
          </w:p>
        </w:tc>
        <w:tc>
          <w:tcPr>
            <w:tcW w:w="1687" w:type="dxa"/>
          </w:tcPr>
          <w:p w14:paraId="7BF09AEC">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0.8%</w:t>
            </w:r>
          </w:p>
        </w:tc>
        <w:tc>
          <w:tcPr>
            <w:tcW w:w="1659" w:type="dxa"/>
          </w:tcPr>
          <w:p w14:paraId="76B75E13">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0.7% </w:t>
            </w:r>
          </w:p>
        </w:tc>
      </w:tr>
      <w:tr w14:paraId="0225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CAD7029">
            <w:pPr>
              <w:spacing w:line="360" w:lineRule="auto"/>
              <w:rPr>
                <w:rFonts w:ascii="宋体" w:hAnsi="宋体"/>
                <w:color w:val="auto"/>
                <w:szCs w:val="21"/>
                <w:highlight w:val="none"/>
              </w:rPr>
            </w:pPr>
            <w:r>
              <w:rPr>
                <w:rFonts w:hint="eastAsia" w:ascii="宋体" w:hAnsi="宋体"/>
                <w:color w:val="auto"/>
                <w:szCs w:val="21"/>
                <w:highlight w:val="none"/>
              </w:rPr>
              <w:t>500～1000万元</w:t>
            </w:r>
          </w:p>
        </w:tc>
        <w:tc>
          <w:tcPr>
            <w:tcW w:w="1659" w:type="dxa"/>
          </w:tcPr>
          <w:p w14:paraId="4373C647">
            <w:pPr>
              <w:spacing w:line="360" w:lineRule="auto"/>
              <w:rPr>
                <w:rFonts w:ascii="宋体" w:hAnsi="宋体"/>
                <w:color w:val="auto"/>
                <w:szCs w:val="21"/>
                <w:highlight w:val="none"/>
              </w:rPr>
            </w:pPr>
            <w:r>
              <w:rPr>
                <w:rFonts w:ascii="宋体" w:hAnsi="宋体" w:cs="宋体"/>
                <w:color w:val="auto"/>
                <w:kern w:val="0"/>
                <w:szCs w:val="21"/>
                <w:highlight w:val="none"/>
              </w:rPr>
              <w:t xml:space="preserve">0.8% </w:t>
            </w:r>
          </w:p>
        </w:tc>
        <w:tc>
          <w:tcPr>
            <w:tcW w:w="1687" w:type="dxa"/>
          </w:tcPr>
          <w:p w14:paraId="42A580BA">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0.45%</w:t>
            </w:r>
          </w:p>
        </w:tc>
        <w:tc>
          <w:tcPr>
            <w:tcW w:w="1659" w:type="dxa"/>
          </w:tcPr>
          <w:p w14:paraId="185FC788">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0.55%</w:t>
            </w:r>
          </w:p>
        </w:tc>
      </w:tr>
      <w:tr w14:paraId="4F4E0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3079609">
            <w:pPr>
              <w:spacing w:line="360" w:lineRule="auto"/>
              <w:rPr>
                <w:rFonts w:ascii="宋体" w:hAnsi="宋体"/>
                <w:color w:val="auto"/>
                <w:szCs w:val="21"/>
                <w:highlight w:val="none"/>
              </w:rPr>
            </w:pPr>
            <w:r>
              <w:rPr>
                <w:rFonts w:hint="eastAsia" w:ascii="宋体" w:hAnsi="宋体"/>
                <w:color w:val="auto"/>
                <w:szCs w:val="21"/>
                <w:highlight w:val="none"/>
              </w:rPr>
              <w:t>1000～5000万元</w:t>
            </w:r>
          </w:p>
        </w:tc>
        <w:tc>
          <w:tcPr>
            <w:tcW w:w="1659" w:type="dxa"/>
          </w:tcPr>
          <w:p w14:paraId="54FCF217">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0.5% </w:t>
            </w:r>
          </w:p>
        </w:tc>
        <w:tc>
          <w:tcPr>
            <w:tcW w:w="1687" w:type="dxa"/>
          </w:tcPr>
          <w:p w14:paraId="6F7FD423">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0.25%</w:t>
            </w:r>
          </w:p>
        </w:tc>
        <w:tc>
          <w:tcPr>
            <w:tcW w:w="1659" w:type="dxa"/>
          </w:tcPr>
          <w:p w14:paraId="3EAB6A7B">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0.35% </w:t>
            </w:r>
          </w:p>
        </w:tc>
      </w:tr>
      <w:tr w14:paraId="0C15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C98BB6B">
            <w:pPr>
              <w:spacing w:line="360" w:lineRule="auto"/>
              <w:rPr>
                <w:rFonts w:ascii="宋体" w:hAnsi="宋体"/>
                <w:color w:val="auto"/>
                <w:szCs w:val="21"/>
                <w:highlight w:val="none"/>
              </w:rPr>
            </w:pPr>
            <w:r>
              <w:rPr>
                <w:rFonts w:hint="eastAsia" w:ascii="宋体" w:hAnsi="宋体"/>
                <w:color w:val="auto"/>
                <w:szCs w:val="21"/>
                <w:highlight w:val="none"/>
              </w:rPr>
              <w:t>5000万元～1亿元</w:t>
            </w:r>
          </w:p>
        </w:tc>
        <w:tc>
          <w:tcPr>
            <w:tcW w:w="1659" w:type="dxa"/>
          </w:tcPr>
          <w:p w14:paraId="61861EBD">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0.25% </w:t>
            </w:r>
          </w:p>
        </w:tc>
        <w:tc>
          <w:tcPr>
            <w:tcW w:w="1687" w:type="dxa"/>
          </w:tcPr>
          <w:p w14:paraId="0FEF6B86">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0.1%</w:t>
            </w:r>
          </w:p>
        </w:tc>
        <w:tc>
          <w:tcPr>
            <w:tcW w:w="1659" w:type="dxa"/>
          </w:tcPr>
          <w:p w14:paraId="10D8BBCD">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0.2%</w:t>
            </w:r>
          </w:p>
        </w:tc>
      </w:tr>
      <w:tr w14:paraId="15AD2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88370AA">
            <w:pPr>
              <w:spacing w:line="360" w:lineRule="auto"/>
              <w:rPr>
                <w:rFonts w:ascii="宋体" w:hAnsi="宋体"/>
                <w:color w:val="auto"/>
                <w:szCs w:val="21"/>
                <w:highlight w:val="none"/>
              </w:rPr>
            </w:pPr>
            <w:r>
              <w:rPr>
                <w:rFonts w:hint="eastAsia" w:ascii="宋体" w:hAnsi="宋体"/>
                <w:color w:val="auto"/>
                <w:szCs w:val="21"/>
                <w:highlight w:val="none"/>
              </w:rPr>
              <w:t>1～5亿元</w:t>
            </w:r>
          </w:p>
        </w:tc>
        <w:tc>
          <w:tcPr>
            <w:tcW w:w="1659" w:type="dxa"/>
          </w:tcPr>
          <w:p w14:paraId="722D5058">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0.05%</w:t>
            </w:r>
          </w:p>
        </w:tc>
        <w:tc>
          <w:tcPr>
            <w:tcW w:w="1687" w:type="dxa"/>
          </w:tcPr>
          <w:p w14:paraId="57B0F3F2">
            <w:pPr>
              <w:spacing w:line="360" w:lineRule="auto"/>
              <w:rPr>
                <w:rFonts w:ascii="宋体" w:hAnsi="宋体"/>
                <w:color w:val="auto"/>
                <w:szCs w:val="21"/>
                <w:highlight w:val="none"/>
              </w:rPr>
            </w:pPr>
            <w:r>
              <w:rPr>
                <w:rFonts w:hint="eastAsia" w:ascii="宋体" w:hAnsi="宋体"/>
                <w:color w:val="auto"/>
                <w:szCs w:val="21"/>
                <w:highlight w:val="none"/>
              </w:rPr>
              <w:t xml:space="preserve">  0.05%</w:t>
            </w:r>
          </w:p>
        </w:tc>
        <w:tc>
          <w:tcPr>
            <w:tcW w:w="1659" w:type="dxa"/>
          </w:tcPr>
          <w:p w14:paraId="737D2C4B">
            <w:pPr>
              <w:spacing w:line="360" w:lineRule="auto"/>
              <w:rPr>
                <w:rFonts w:ascii="宋体" w:hAnsi="宋体"/>
                <w:color w:val="auto"/>
                <w:szCs w:val="21"/>
                <w:highlight w:val="none"/>
              </w:rPr>
            </w:pPr>
            <w:r>
              <w:rPr>
                <w:rFonts w:hint="eastAsia" w:ascii="宋体" w:hAnsi="宋体"/>
                <w:color w:val="auto"/>
                <w:szCs w:val="21"/>
                <w:highlight w:val="none"/>
              </w:rPr>
              <w:t xml:space="preserve">  0.05%</w:t>
            </w:r>
          </w:p>
        </w:tc>
      </w:tr>
      <w:tr w14:paraId="68BAB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42FD69A">
            <w:pPr>
              <w:spacing w:line="360" w:lineRule="auto"/>
              <w:rPr>
                <w:rFonts w:ascii="宋体" w:hAnsi="宋体"/>
                <w:color w:val="auto"/>
                <w:szCs w:val="21"/>
                <w:highlight w:val="none"/>
              </w:rPr>
            </w:pPr>
            <w:r>
              <w:rPr>
                <w:rFonts w:hint="eastAsia" w:ascii="宋体" w:hAnsi="宋体"/>
                <w:color w:val="auto"/>
                <w:szCs w:val="21"/>
                <w:highlight w:val="none"/>
              </w:rPr>
              <w:t>5～10亿元</w:t>
            </w:r>
          </w:p>
        </w:tc>
        <w:tc>
          <w:tcPr>
            <w:tcW w:w="1659" w:type="dxa"/>
          </w:tcPr>
          <w:p w14:paraId="581008EF">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0.035%</w:t>
            </w:r>
          </w:p>
        </w:tc>
        <w:tc>
          <w:tcPr>
            <w:tcW w:w="1687" w:type="dxa"/>
          </w:tcPr>
          <w:p w14:paraId="296ABE7F">
            <w:pPr>
              <w:spacing w:line="360" w:lineRule="auto"/>
              <w:rPr>
                <w:rFonts w:ascii="宋体" w:hAnsi="宋体"/>
                <w:color w:val="auto"/>
                <w:szCs w:val="21"/>
                <w:highlight w:val="none"/>
              </w:rPr>
            </w:pPr>
            <w:r>
              <w:rPr>
                <w:rFonts w:hint="eastAsia" w:ascii="宋体" w:hAnsi="宋体"/>
                <w:color w:val="auto"/>
                <w:szCs w:val="21"/>
                <w:highlight w:val="none"/>
              </w:rPr>
              <w:t xml:space="preserve">  0.035%</w:t>
            </w:r>
          </w:p>
        </w:tc>
        <w:tc>
          <w:tcPr>
            <w:tcW w:w="1659" w:type="dxa"/>
          </w:tcPr>
          <w:p w14:paraId="2CBE4550">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0.035%</w:t>
            </w:r>
          </w:p>
        </w:tc>
      </w:tr>
      <w:tr w14:paraId="1615A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8CD214F">
            <w:pPr>
              <w:spacing w:line="360" w:lineRule="auto"/>
              <w:rPr>
                <w:rFonts w:ascii="宋体" w:hAnsi="宋体"/>
                <w:color w:val="auto"/>
                <w:szCs w:val="21"/>
                <w:highlight w:val="none"/>
              </w:rPr>
            </w:pPr>
            <w:r>
              <w:rPr>
                <w:rFonts w:hint="eastAsia" w:ascii="宋体" w:hAnsi="宋体"/>
                <w:color w:val="auto"/>
                <w:szCs w:val="21"/>
                <w:highlight w:val="none"/>
              </w:rPr>
              <w:t>10～50亿元</w:t>
            </w:r>
          </w:p>
        </w:tc>
        <w:tc>
          <w:tcPr>
            <w:tcW w:w="1659" w:type="dxa"/>
          </w:tcPr>
          <w:p w14:paraId="752951C5">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0.008%</w:t>
            </w:r>
          </w:p>
        </w:tc>
        <w:tc>
          <w:tcPr>
            <w:tcW w:w="1687" w:type="dxa"/>
          </w:tcPr>
          <w:p w14:paraId="12CB0A59">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0.008%</w:t>
            </w:r>
          </w:p>
        </w:tc>
        <w:tc>
          <w:tcPr>
            <w:tcW w:w="1659" w:type="dxa"/>
          </w:tcPr>
          <w:p w14:paraId="498DDE90">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0.008%</w:t>
            </w:r>
          </w:p>
        </w:tc>
      </w:tr>
      <w:tr w14:paraId="6AABC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30E8FF3">
            <w:pPr>
              <w:spacing w:line="360" w:lineRule="auto"/>
              <w:rPr>
                <w:rFonts w:ascii="宋体" w:hAnsi="宋体"/>
                <w:color w:val="auto"/>
                <w:szCs w:val="21"/>
                <w:highlight w:val="none"/>
              </w:rPr>
            </w:pPr>
            <w:r>
              <w:rPr>
                <w:rFonts w:hint="eastAsia" w:ascii="宋体" w:hAnsi="宋体"/>
                <w:color w:val="auto"/>
                <w:szCs w:val="21"/>
                <w:highlight w:val="none"/>
              </w:rPr>
              <w:t>50～100亿元</w:t>
            </w:r>
          </w:p>
        </w:tc>
        <w:tc>
          <w:tcPr>
            <w:tcW w:w="1659" w:type="dxa"/>
          </w:tcPr>
          <w:p w14:paraId="52F85FBE">
            <w:pPr>
              <w:spacing w:line="360" w:lineRule="auto"/>
              <w:rPr>
                <w:rFonts w:ascii="宋体" w:hAnsi="宋体"/>
                <w:color w:val="auto"/>
                <w:szCs w:val="21"/>
                <w:highlight w:val="none"/>
              </w:rPr>
            </w:pPr>
            <w:r>
              <w:rPr>
                <w:rFonts w:hint="eastAsia" w:ascii="宋体" w:hAnsi="宋体"/>
                <w:color w:val="auto"/>
                <w:szCs w:val="21"/>
                <w:highlight w:val="none"/>
              </w:rPr>
              <w:t xml:space="preserve"> 0.006%</w:t>
            </w:r>
          </w:p>
        </w:tc>
        <w:tc>
          <w:tcPr>
            <w:tcW w:w="1687" w:type="dxa"/>
          </w:tcPr>
          <w:p w14:paraId="2126C82F">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0.006%</w:t>
            </w:r>
          </w:p>
        </w:tc>
        <w:tc>
          <w:tcPr>
            <w:tcW w:w="1659" w:type="dxa"/>
          </w:tcPr>
          <w:p w14:paraId="4E91D078">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0.006%</w:t>
            </w:r>
          </w:p>
        </w:tc>
      </w:tr>
      <w:tr w14:paraId="523A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A419787">
            <w:pPr>
              <w:spacing w:line="360" w:lineRule="auto"/>
              <w:rPr>
                <w:rFonts w:ascii="宋体" w:hAnsi="宋体"/>
                <w:color w:val="auto"/>
                <w:szCs w:val="21"/>
                <w:highlight w:val="none"/>
              </w:rPr>
            </w:pPr>
            <w:r>
              <w:rPr>
                <w:rFonts w:hint="eastAsia" w:ascii="宋体" w:hAnsi="宋体"/>
                <w:color w:val="auto"/>
                <w:szCs w:val="21"/>
                <w:highlight w:val="none"/>
              </w:rPr>
              <w:t>100亿以上</w:t>
            </w:r>
          </w:p>
        </w:tc>
        <w:tc>
          <w:tcPr>
            <w:tcW w:w="1659" w:type="dxa"/>
          </w:tcPr>
          <w:p w14:paraId="26409E68">
            <w:pPr>
              <w:spacing w:line="360" w:lineRule="auto"/>
              <w:rPr>
                <w:rFonts w:ascii="宋体" w:hAnsi="宋体"/>
                <w:color w:val="auto"/>
                <w:szCs w:val="21"/>
                <w:highlight w:val="none"/>
              </w:rPr>
            </w:pPr>
            <w:r>
              <w:rPr>
                <w:rFonts w:hint="eastAsia" w:ascii="宋体" w:hAnsi="宋体"/>
                <w:color w:val="auto"/>
                <w:szCs w:val="21"/>
                <w:highlight w:val="none"/>
              </w:rPr>
              <w:t xml:space="preserve"> 0.004%</w:t>
            </w:r>
          </w:p>
        </w:tc>
        <w:tc>
          <w:tcPr>
            <w:tcW w:w="1687" w:type="dxa"/>
          </w:tcPr>
          <w:p w14:paraId="69D7D874">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0.004%</w:t>
            </w:r>
          </w:p>
        </w:tc>
        <w:tc>
          <w:tcPr>
            <w:tcW w:w="1659" w:type="dxa"/>
          </w:tcPr>
          <w:p w14:paraId="684CCD85">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0.004%</w:t>
            </w:r>
          </w:p>
        </w:tc>
      </w:tr>
    </w:tbl>
    <w:p w14:paraId="408869D8">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注:</w:t>
      </w:r>
    </w:p>
    <w:p w14:paraId="7443A6E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6ED786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2BCDC10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例如：某</w:t>
      </w:r>
      <w:r>
        <w:rPr>
          <w:rFonts w:hint="eastAsia" w:ascii="宋体" w:hAnsi="宋体" w:cs="宋体"/>
          <w:color w:val="auto"/>
          <w:szCs w:val="21"/>
          <w:highlight w:val="none"/>
        </w:rPr>
        <w:t>服务采购</w:t>
      </w:r>
      <w:r>
        <w:rPr>
          <w:rFonts w:ascii="宋体" w:hAnsi="宋体" w:cs="宋体"/>
          <w:color w:val="auto"/>
          <w:szCs w:val="21"/>
          <w:highlight w:val="none"/>
        </w:rPr>
        <w:t>代理业务</w:t>
      </w:r>
      <w:r>
        <w:rPr>
          <w:rFonts w:hint="eastAsia" w:ascii="宋体" w:hAnsi="宋体" w:cs="宋体"/>
          <w:color w:val="auto"/>
          <w:szCs w:val="21"/>
          <w:highlight w:val="none"/>
        </w:rPr>
        <w:t>中标</w:t>
      </w:r>
      <w:r>
        <w:rPr>
          <w:rFonts w:ascii="宋体" w:hAnsi="宋体" w:cs="宋体"/>
          <w:color w:val="auto"/>
          <w:szCs w:val="21"/>
          <w:highlight w:val="none"/>
        </w:rPr>
        <w:t>金额</w:t>
      </w:r>
      <w:r>
        <w:rPr>
          <w:rFonts w:hint="eastAsia" w:ascii="宋体" w:hAnsi="宋体" w:cs="宋体"/>
          <w:color w:val="auto"/>
          <w:szCs w:val="21"/>
          <w:highlight w:val="none"/>
        </w:rPr>
        <w:t>或者暂定价</w:t>
      </w:r>
      <w:r>
        <w:rPr>
          <w:rFonts w:ascii="宋体" w:hAnsi="宋体" w:cs="宋体"/>
          <w:color w:val="auto"/>
          <w:szCs w:val="21"/>
          <w:highlight w:val="none"/>
        </w:rPr>
        <w:t>为200万元，计算</w:t>
      </w:r>
      <w:r>
        <w:rPr>
          <w:rFonts w:hint="eastAsia" w:ascii="宋体" w:hAnsi="宋体" w:cs="宋体"/>
          <w:color w:val="auto"/>
          <w:szCs w:val="21"/>
          <w:highlight w:val="none"/>
        </w:rPr>
        <w:t>采购</w:t>
      </w:r>
      <w:r>
        <w:rPr>
          <w:rFonts w:ascii="宋体" w:hAnsi="宋体" w:cs="宋体"/>
          <w:color w:val="auto"/>
          <w:szCs w:val="21"/>
          <w:highlight w:val="none"/>
        </w:rPr>
        <w:t>代理收费额如下：</w:t>
      </w:r>
    </w:p>
    <w:p w14:paraId="103AAF9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100 万元×l.5 %＝ 1.5 万元</w:t>
      </w:r>
    </w:p>
    <w:p w14:paraId="4B456EB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 200 － 100 ）万元 ×0.8%＝0.8万元</w:t>
      </w:r>
    </w:p>
    <w:p w14:paraId="77526019">
      <w:pPr>
        <w:pStyle w:val="25"/>
        <w:snapToGrid w:val="0"/>
        <w:spacing w:line="360" w:lineRule="auto"/>
        <w:ind w:firstLine="420" w:firstLineChars="200"/>
        <w:rPr>
          <w:rFonts w:hAnsi="宋体" w:cs="宋体"/>
          <w:color w:val="auto"/>
          <w:sz w:val="21"/>
          <w:highlight w:val="none"/>
        </w:rPr>
      </w:pPr>
      <w:r>
        <w:rPr>
          <w:rFonts w:hAnsi="宋体" w:cs="宋体"/>
          <w:color w:val="auto"/>
          <w:sz w:val="21"/>
          <w:highlight w:val="none"/>
        </w:rPr>
        <w:t>合计收费＝ 1.5</w:t>
      </w:r>
      <w:r>
        <w:rPr>
          <w:rFonts w:hint="eastAsia" w:hAnsi="宋体" w:cs="宋体"/>
          <w:color w:val="auto"/>
          <w:sz w:val="21"/>
          <w:highlight w:val="none"/>
        </w:rPr>
        <w:t>+</w:t>
      </w:r>
      <w:r>
        <w:rPr>
          <w:rFonts w:hAnsi="宋体" w:cs="宋体"/>
          <w:color w:val="auto"/>
          <w:sz w:val="21"/>
          <w:highlight w:val="none"/>
        </w:rPr>
        <w:t>0.8＝ 2.3（万元）</w:t>
      </w:r>
    </w:p>
    <w:p w14:paraId="3423719A">
      <w:pPr>
        <w:spacing w:line="360" w:lineRule="auto"/>
        <w:ind w:firstLine="420" w:firstLineChars="200"/>
        <w:rPr>
          <w:rFonts w:ascii="宋体" w:hAnsi="宋体" w:cs="宋体"/>
          <w:color w:val="auto"/>
          <w:kern w:val="0"/>
          <w:szCs w:val="21"/>
          <w:highlight w:val="none"/>
          <w:u w:val="single"/>
        </w:rPr>
      </w:pPr>
      <w:r>
        <w:rPr>
          <w:rFonts w:hint="eastAsia" w:ascii="宋体" w:hAnsi="宋体" w:cs="宋体"/>
          <w:color w:val="auto"/>
          <w:szCs w:val="21"/>
          <w:highlight w:val="none"/>
        </w:rPr>
        <w:t>39.3代理服务费交纳</w:t>
      </w:r>
      <w:r>
        <w:rPr>
          <w:rFonts w:ascii="宋体" w:hAnsi="宋体" w:cs="宋体"/>
          <w:color w:val="auto"/>
          <w:szCs w:val="21"/>
          <w:highlight w:val="none"/>
        </w:rPr>
        <w:t>银行帐号信息</w:t>
      </w:r>
      <w:r>
        <w:rPr>
          <w:rFonts w:hint="eastAsia" w:ascii="宋体" w:hAnsi="宋体" w:cs="宋体"/>
          <w:color w:val="auto"/>
          <w:szCs w:val="21"/>
          <w:highlight w:val="none"/>
        </w:rPr>
        <w:t>：详见投标须知前附表</w:t>
      </w:r>
    </w:p>
    <w:p w14:paraId="65712910">
      <w:pPr>
        <w:spacing w:line="360" w:lineRule="auto"/>
        <w:ind w:firstLine="480" w:firstLineChars="200"/>
        <w:rPr>
          <w:rFonts w:ascii="宋体" w:hAnsi="宋体"/>
          <w:color w:val="auto"/>
          <w:sz w:val="24"/>
          <w:highlight w:val="none"/>
        </w:rPr>
      </w:pPr>
      <w:r>
        <w:rPr>
          <w:rFonts w:ascii="宋体" w:hAnsi="宋体"/>
          <w:color w:val="auto"/>
          <w:sz w:val="24"/>
          <w:highlight w:val="none"/>
        </w:rPr>
        <w:t>40. 需要补充的其他内容</w:t>
      </w:r>
    </w:p>
    <w:p w14:paraId="6AF9DDDA">
      <w:pPr>
        <w:pStyle w:val="25"/>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40.1本招标文件解释规则详见“投标人须知前附表”。</w:t>
      </w:r>
    </w:p>
    <w:p w14:paraId="00C4B0DD">
      <w:pPr>
        <w:pStyle w:val="25"/>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40.2 其他事项详见“投标人须知前附表”。</w:t>
      </w:r>
    </w:p>
    <w:p w14:paraId="6C39181E">
      <w:pPr>
        <w:pStyle w:val="25"/>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40.3</w:t>
      </w:r>
      <w:bookmarkStart w:id="138" w:name="_Hlk65857140"/>
      <w:r>
        <w:rPr>
          <w:rFonts w:hint="eastAsia" w:hAnsi="宋体" w:cs="宋体"/>
          <w:color w:val="auto"/>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5CDB1CA1">
      <w:pPr>
        <w:pStyle w:val="25"/>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6D3C7DBA">
      <w:pPr>
        <w:pStyle w:val="25"/>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40CC9822">
      <w:pPr>
        <w:pStyle w:val="25"/>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70030BAE">
      <w:pPr>
        <w:pStyle w:val="25"/>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194DFB20">
      <w:pPr>
        <w:pStyle w:val="25"/>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bookmarkEnd w:id="138"/>
    </w:p>
    <w:p w14:paraId="2BE822CE">
      <w:pPr>
        <w:pStyle w:val="19"/>
        <w:ind w:left="449" w:leftChars="114" w:hanging="210" w:hangingChars="100"/>
        <w:rPr>
          <w:rFonts w:ascii="宋体" w:hAnsi="宋体"/>
          <w:color w:val="auto"/>
          <w:highlight w:val="none"/>
        </w:rPr>
      </w:pPr>
      <w:r>
        <w:rPr>
          <w:rFonts w:ascii="宋体" w:hAnsi="宋体"/>
          <w:color w:val="auto"/>
          <w:highlight w:val="none"/>
        </w:rPr>
        <w:br w:type="page"/>
      </w:r>
    </w:p>
    <w:p w14:paraId="427033B4">
      <w:pPr>
        <w:pStyle w:val="19"/>
        <w:ind w:left="449" w:leftChars="114" w:hanging="210" w:hangingChars="100"/>
        <w:rPr>
          <w:rFonts w:ascii="宋体" w:hAnsi="宋体"/>
          <w:color w:val="auto"/>
          <w:highlight w:val="none"/>
        </w:rPr>
      </w:pPr>
    </w:p>
    <w:p w14:paraId="66141AF6">
      <w:pPr>
        <w:pStyle w:val="19"/>
        <w:ind w:left="449" w:leftChars="114" w:hanging="210" w:hangingChars="100"/>
        <w:rPr>
          <w:rFonts w:ascii="宋体" w:hAnsi="宋体"/>
          <w:color w:val="auto"/>
          <w:highlight w:val="none"/>
        </w:rPr>
      </w:pPr>
    </w:p>
    <w:p w14:paraId="78324C4C">
      <w:pPr>
        <w:pStyle w:val="19"/>
        <w:ind w:left="449" w:leftChars="114" w:hanging="210" w:hangingChars="100"/>
        <w:rPr>
          <w:rFonts w:ascii="宋体" w:hAnsi="宋体"/>
          <w:color w:val="auto"/>
          <w:highlight w:val="none"/>
        </w:rPr>
      </w:pPr>
    </w:p>
    <w:p w14:paraId="37D73A3A">
      <w:pPr>
        <w:pStyle w:val="25"/>
        <w:snapToGrid w:val="0"/>
        <w:spacing w:before="120" w:after="120"/>
        <w:rPr>
          <w:rFonts w:hAnsi="宋体"/>
          <w:color w:val="auto"/>
          <w:highlight w:val="none"/>
        </w:rPr>
      </w:pPr>
    </w:p>
    <w:p w14:paraId="786D400C">
      <w:pPr>
        <w:pStyle w:val="25"/>
        <w:snapToGrid w:val="0"/>
        <w:spacing w:before="120" w:after="120"/>
        <w:rPr>
          <w:rFonts w:hAnsi="宋体"/>
          <w:color w:val="auto"/>
          <w:highlight w:val="none"/>
        </w:rPr>
      </w:pPr>
    </w:p>
    <w:p w14:paraId="50D5E87F">
      <w:pPr>
        <w:pStyle w:val="25"/>
        <w:snapToGrid w:val="0"/>
        <w:spacing w:before="120" w:after="120"/>
        <w:rPr>
          <w:rFonts w:hAnsi="宋体"/>
          <w:color w:val="auto"/>
          <w:highlight w:val="none"/>
        </w:rPr>
      </w:pPr>
    </w:p>
    <w:p w14:paraId="659BBB78">
      <w:pPr>
        <w:pStyle w:val="25"/>
        <w:snapToGrid w:val="0"/>
        <w:spacing w:before="120" w:after="120"/>
        <w:rPr>
          <w:rFonts w:hAnsi="宋体"/>
          <w:color w:val="auto"/>
          <w:highlight w:val="none"/>
        </w:rPr>
      </w:pPr>
    </w:p>
    <w:p w14:paraId="7790D454">
      <w:pPr>
        <w:pStyle w:val="25"/>
        <w:snapToGrid w:val="0"/>
        <w:spacing w:before="120" w:after="120"/>
        <w:rPr>
          <w:rFonts w:hAnsi="宋体"/>
          <w:color w:val="auto"/>
          <w:highlight w:val="none"/>
        </w:rPr>
      </w:pPr>
    </w:p>
    <w:p w14:paraId="56B6A979">
      <w:pPr>
        <w:pStyle w:val="25"/>
        <w:snapToGrid w:val="0"/>
        <w:spacing w:before="120" w:after="120"/>
        <w:rPr>
          <w:rFonts w:hAnsi="宋体"/>
          <w:color w:val="auto"/>
          <w:highlight w:val="none"/>
        </w:rPr>
      </w:pPr>
    </w:p>
    <w:p w14:paraId="2D9B5FEA">
      <w:pPr>
        <w:pStyle w:val="25"/>
        <w:snapToGrid w:val="0"/>
        <w:spacing w:before="120" w:after="120"/>
        <w:rPr>
          <w:rFonts w:hAnsi="宋体"/>
          <w:color w:val="auto"/>
          <w:highlight w:val="none"/>
        </w:rPr>
      </w:pPr>
    </w:p>
    <w:p w14:paraId="7492B2D1">
      <w:pPr>
        <w:pStyle w:val="25"/>
        <w:snapToGrid w:val="0"/>
        <w:spacing w:before="120" w:after="120"/>
        <w:rPr>
          <w:rFonts w:hAnsi="宋体"/>
          <w:color w:val="auto"/>
          <w:highlight w:val="none"/>
        </w:rPr>
      </w:pPr>
    </w:p>
    <w:p w14:paraId="6E2D3B4A">
      <w:pPr>
        <w:pStyle w:val="25"/>
        <w:snapToGrid w:val="0"/>
        <w:spacing w:before="120" w:after="120"/>
        <w:rPr>
          <w:rFonts w:hAnsi="宋体"/>
          <w:color w:val="auto"/>
          <w:highlight w:val="none"/>
        </w:rPr>
      </w:pPr>
    </w:p>
    <w:p w14:paraId="7BE281DD">
      <w:pPr>
        <w:pStyle w:val="2"/>
        <w:jc w:val="center"/>
        <w:rPr>
          <w:rFonts w:ascii="宋体" w:hAnsi="宋体" w:eastAsia="宋体"/>
          <w:color w:val="auto"/>
          <w:highlight w:val="none"/>
        </w:rPr>
      </w:pPr>
      <w:bookmarkStart w:id="139" w:name="_Toc17795"/>
      <w:bookmarkStart w:id="140" w:name="_Toc254970548"/>
      <w:bookmarkStart w:id="141" w:name="_Toc254970689"/>
      <w:bookmarkStart w:id="142" w:name="_Toc330456896"/>
      <w:r>
        <w:rPr>
          <w:rFonts w:hint="eastAsia" w:ascii="宋体" w:hAnsi="宋体" w:eastAsia="宋体"/>
          <w:color w:val="auto"/>
          <w:highlight w:val="none"/>
        </w:rPr>
        <w:t>第四章  评标方法及评标标准</w:t>
      </w:r>
      <w:bookmarkEnd w:id="139"/>
      <w:bookmarkEnd w:id="140"/>
      <w:bookmarkEnd w:id="141"/>
      <w:bookmarkEnd w:id="142"/>
    </w:p>
    <w:p w14:paraId="32F3C5CE">
      <w:pPr>
        <w:pStyle w:val="25"/>
        <w:spacing w:before="120" w:after="120"/>
        <w:outlineLvl w:val="0"/>
        <w:rPr>
          <w:rFonts w:hAnsi="宋体"/>
          <w:b/>
          <w:color w:val="auto"/>
          <w:highlight w:val="none"/>
        </w:rPr>
      </w:pPr>
      <w:bookmarkStart w:id="143" w:name="_Toc254970690"/>
      <w:bookmarkStart w:id="144" w:name="_Toc254970549"/>
    </w:p>
    <w:bookmarkEnd w:id="143"/>
    <w:bookmarkEnd w:id="144"/>
    <w:p w14:paraId="3BB4923B">
      <w:pPr>
        <w:pStyle w:val="25"/>
        <w:spacing w:before="120" w:after="120"/>
        <w:outlineLvl w:val="0"/>
        <w:rPr>
          <w:rFonts w:hAnsi="宋体"/>
          <w:bCs/>
          <w:color w:val="auto"/>
          <w:sz w:val="32"/>
          <w:szCs w:val="32"/>
          <w:highlight w:val="none"/>
        </w:rPr>
      </w:pPr>
    </w:p>
    <w:p w14:paraId="1F3A9961">
      <w:pPr>
        <w:pStyle w:val="25"/>
        <w:spacing w:before="120" w:after="120"/>
        <w:outlineLvl w:val="0"/>
        <w:rPr>
          <w:rFonts w:hAnsi="宋体"/>
          <w:bCs/>
          <w:color w:val="auto"/>
          <w:sz w:val="32"/>
          <w:szCs w:val="32"/>
          <w:highlight w:val="none"/>
        </w:rPr>
      </w:pPr>
    </w:p>
    <w:p w14:paraId="56CF4DD8">
      <w:pPr>
        <w:pStyle w:val="25"/>
        <w:spacing w:before="120" w:after="120"/>
        <w:outlineLvl w:val="0"/>
        <w:rPr>
          <w:rFonts w:hAnsi="宋体"/>
          <w:bCs/>
          <w:color w:val="auto"/>
          <w:sz w:val="32"/>
          <w:szCs w:val="32"/>
          <w:highlight w:val="none"/>
        </w:rPr>
      </w:pPr>
    </w:p>
    <w:p w14:paraId="245C8213">
      <w:pPr>
        <w:spacing w:beforeLines="50" w:afterLines="50" w:line="400" w:lineRule="exact"/>
        <w:rPr>
          <w:rFonts w:ascii="宋体" w:hAnsi="宋体"/>
          <w:b/>
          <w:color w:val="auto"/>
          <w:sz w:val="24"/>
          <w:highlight w:val="none"/>
        </w:rPr>
      </w:pPr>
    </w:p>
    <w:p w14:paraId="42DE9E1C">
      <w:pPr>
        <w:spacing w:beforeLines="50" w:afterLines="50" w:line="400" w:lineRule="exact"/>
        <w:rPr>
          <w:rFonts w:ascii="宋体" w:hAnsi="宋体"/>
          <w:b/>
          <w:color w:val="auto"/>
          <w:sz w:val="24"/>
          <w:highlight w:val="none"/>
        </w:rPr>
      </w:pPr>
    </w:p>
    <w:p w14:paraId="051F9A08">
      <w:pPr>
        <w:spacing w:beforeLines="50" w:afterLines="50" w:line="400" w:lineRule="exact"/>
        <w:rPr>
          <w:rFonts w:ascii="宋体" w:hAnsi="宋体"/>
          <w:b/>
          <w:color w:val="auto"/>
          <w:sz w:val="24"/>
          <w:highlight w:val="none"/>
        </w:rPr>
      </w:pPr>
    </w:p>
    <w:p w14:paraId="4CCBEA8E">
      <w:pPr>
        <w:spacing w:beforeLines="50" w:afterLines="50" w:line="400" w:lineRule="exact"/>
        <w:rPr>
          <w:rFonts w:ascii="宋体" w:hAnsi="宋体"/>
          <w:b/>
          <w:color w:val="auto"/>
          <w:sz w:val="24"/>
          <w:highlight w:val="none"/>
        </w:rPr>
      </w:pPr>
    </w:p>
    <w:p w14:paraId="0A7A6D2E">
      <w:pPr>
        <w:spacing w:beforeLines="50" w:afterLines="50" w:line="400" w:lineRule="exact"/>
        <w:rPr>
          <w:rFonts w:ascii="宋体" w:hAnsi="宋体"/>
          <w:b/>
          <w:color w:val="auto"/>
          <w:sz w:val="24"/>
          <w:highlight w:val="none"/>
        </w:rPr>
      </w:pPr>
    </w:p>
    <w:p w14:paraId="7364B5D2">
      <w:pPr>
        <w:spacing w:beforeLines="50" w:afterLines="50" w:line="400" w:lineRule="exact"/>
        <w:rPr>
          <w:rFonts w:ascii="宋体" w:hAnsi="宋体"/>
          <w:b/>
          <w:color w:val="auto"/>
          <w:sz w:val="24"/>
          <w:highlight w:val="none"/>
        </w:rPr>
      </w:pPr>
    </w:p>
    <w:p w14:paraId="1AD5DF37">
      <w:pPr>
        <w:spacing w:beforeLines="50" w:afterLines="50" w:line="400" w:lineRule="exact"/>
        <w:rPr>
          <w:rFonts w:ascii="宋体" w:hAnsi="宋体"/>
          <w:b/>
          <w:color w:val="auto"/>
          <w:sz w:val="24"/>
          <w:highlight w:val="none"/>
        </w:rPr>
      </w:pPr>
    </w:p>
    <w:p w14:paraId="6D06AD7B">
      <w:pPr>
        <w:pStyle w:val="25"/>
        <w:spacing w:line="360" w:lineRule="exact"/>
        <w:rPr>
          <w:rFonts w:hAnsi="宋体"/>
          <w:b/>
          <w:color w:val="auto"/>
          <w:sz w:val="24"/>
          <w:highlight w:val="none"/>
        </w:rPr>
      </w:pPr>
    </w:p>
    <w:p w14:paraId="4448387C">
      <w:pPr>
        <w:pStyle w:val="4"/>
        <w:keepNext w:val="0"/>
        <w:keepLines w:val="0"/>
        <w:jc w:val="center"/>
        <w:rPr>
          <w:rFonts w:ascii="宋体" w:hAnsi="宋体" w:eastAsia="宋体"/>
          <w:color w:val="auto"/>
          <w:sz w:val="30"/>
          <w:szCs w:val="30"/>
          <w:highlight w:val="none"/>
        </w:rPr>
      </w:pPr>
      <w:r>
        <w:rPr>
          <w:rFonts w:ascii="宋体" w:hAnsi="宋体" w:eastAsia="宋体"/>
          <w:color w:val="auto"/>
          <w:sz w:val="30"/>
          <w:szCs w:val="30"/>
          <w:highlight w:val="none"/>
        </w:rPr>
        <w:br w:type="page"/>
      </w:r>
      <w:r>
        <w:rPr>
          <w:rFonts w:hint="eastAsia" w:ascii="宋体" w:hAnsi="宋体" w:eastAsia="宋体"/>
          <w:color w:val="auto"/>
          <w:sz w:val="30"/>
          <w:szCs w:val="30"/>
          <w:highlight w:val="none"/>
        </w:rPr>
        <w:t>一、评标方法</w:t>
      </w:r>
    </w:p>
    <w:p w14:paraId="7214B1B4">
      <w:pPr>
        <w:pStyle w:val="25"/>
        <w:spacing w:line="360" w:lineRule="auto"/>
        <w:ind w:firstLine="420"/>
        <w:rPr>
          <w:rFonts w:hAnsi="宋体"/>
          <w:color w:val="auto"/>
          <w:sz w:val="21"/>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0CF132D6">
      <w:pPr>
        <w:pStyle w:val="25"/>
        <w:spacing w:line="360" w:lineRule="auto"/>
        <w:ind w:firstLine="420"/>
        <w:rPr>
          <w:rFonts w:hAnsi="宋体"/>
          <w:color w:val="auto"/>
          <w:sz w:val="21"/>
          <w:highlight w:val="none"/>
        </w:rPr>
      </w:pPr>
      <w:r>
        <w:rPr>
          <w:rFonts w:hint="eastAsia" w:hAnsi="宋体"/>
          <w:color w:val="auto"/>
          <w:sz w:val="21"/>
          <w:highlight w:val="none"/>
        </w:rPr>
        <w:t>最低评标价法，是指投标文件满足招标文件全部实质性要求，且投标报价最低的投标人为中标候选人的评标方法。</w:t>
      </w:r>
    </w:p>
    <w:p w14:paraId="41F6B874">
      <w:pPr>
        <w:pStyle w:val="4"/>
        <w:keepNext w:val="0"/>
        <w:keepLines w:val="0"/>
        <w:jc w:val="center"/>
        <w:rPr>
          <w:rFonts w:ascii="宋体" w:hAnsi="宋体" w:eastAsia="宋体"/>
          <w:color w:val="auto"/>
          <w:sz w:val="30"/>
          <w:szCs w:val="30"/>
          <w:highlight w:val="none"/>
        </w:rPr>
      </w:pPr>
      <w:r>
        <w:rPr>
          <w:rFonts w:hint="eastAsia" w:ascii="宋体" w:hAnsi="宋体" w:eastAsia="宋体"/>
          <w:color w:val="auto"/>
          <w:sz w:val="30"/>
          <w:szCs w:val="30"/>
          <w:highlight w:val="none"/>
        </w:rPr>
        <w:t>二、评标程序</w:t>
      </w:r>
    </w:p>
    <w:p w14:paraId="2AB750F7">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1.符合性审查</w:t>
      </w:r>
    </w:p>
    <w:p w14:paraId="176DD8F3">
      <w:pPr>
        <w:pStyle w:val="25"/>
        <w:snapToGrid w:val="0"/>
        <w:spacing w:line="360" w:lineRule="auto"/>
        <w:ind w:left="1" w:firstLine="420"/>
        <w:rPr>
          <w:rFonts w:hAnsi="宋体"/>
          <w:b/>
          <w:color w:val="auto"/>
          <w:kern w:val="2"/>
          <w:sz w:val="21"/>
          <w:highlight w:val="none"/>
        </w:rPr>
      </w:pPr>
      <w:r>
        <w:rPr>
          <w:rFonts w:hint="eastAsia" w:hAnsi="宋体"/>
          <w:b/>
          <w:color w:val="auto"/>
          <w:kern w:val="2"/>
          <w:sz w:val="21"/>
          <w:highlight w:val="none"/>
        </w:rPr>
        <w:t>评标委员会应当对符合资格的投标人的投标文件进行投标报价、商务、技术等实质性内容符合性审查，以确定其是否满足招标文件的实质性要求。</w:t>
      </w:r>
    </w:p>
    <w:p w14:paraId="73E8147E">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5D4E57C9">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4D9E86DE">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52F8B8D1">
      <w:pPr>
        <w:pStyle w:val="14"/>
        <w:numPr>
          <w:ilvl w:val="0"/>
          <w:numId w:val="2"/>
        </w:numPr>
        <w:spacing w:line="360" w:lineRule="auto"/>
        <w:ind w:firstLine="422"/>
        <w:rPr>
          <w:rFonts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未提供“投标人须知前附表”第13.1条规定中“必须提供”的文件资料的；</w:t>
      </w:r>
    </w:p>
    <w:p w14:paraId="1F828C3A">
      <w:pPr>
        <w:pStyle w:val="14"/>
        <w:numPr>
          <w:ilvl w:val="0"/>
          <w:numId w:val="2"/>
        </w:numPr>
        <w:spacing w:line="360" w:lineRule="auto"/>
        <w:ind w:firstLine="422"/>
        <w:rPr>
          <w:rFonts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14A10A2E">
      <w:pPr>
        <w:pStyle w:val="14"/>
        <w:numPr>
          <w:ilvl w:val="0"/>
          <w:numId w:val="2"/>
        </w:numPr>
        <w:spacing w:line="360" w:lineRule="auto"/>
        <w:ind w:firstLine="422"/>
        <w:rPr>
          <w:rFonts w:ascii="宋体" w:hAnsi="宋体"/>
          <w:b/>
          <w:color w:val="auto"/>
          <w:szCs w:val="21"/>
          <w:highlight w:val="none"/>
        </w:rPr>
      </w:pPr>
      <w:r>
        <w:rPr>
          <w:rFonts w:hint="eastAsia" w:ascii="宋体" w:hAnsi="宋体"/>
          <w:b/>
          <w:color w:val="auto"/>
          <w:szCs w:val="21"/>
          <w:highlight w:val="none"/>
        </w:rPr>
        <w:t>各分标报价超出招标文件相应分标规定最高限价，或者超出相应分标采购预算金额的；</w:t>
      </w:r>
    </w:p>
    <w:p w14:paraId="0F054027">
      <w:pPr>
        <w:pStyle w:val="14"/>
        <w:numPr>
          <w:ilvl w:val="0"/>
          <w:numId w:val="2"/>
        </w:numPr>
        <w:spacing w:line="360" w:lineRule="auto"/>
        <w:ind w:firstLine="422"/>
        <w:rPr>
          <w:rFonts w:ascii="宋体" w:hAnsi="宋体"/>
          <w:b/>
          <w:color w:val="auto"/>
          <w:szCs w:val="21"/>
          <w:highlight w:val="none"/>
        </w:rPr>
      </w:pPr>
      <w:r>
        <w:rPr>
          <w:rFonts w:hint="eastAsia" w:ascii="宋体" w:hAnsi="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2DA94EB5">
      <w:pPr>
        <w:pStyle w:val="14"/>
        <w:numPr>
          <w:ilvl w:val="0"/>
          <w:numId w:val="2"/>
        </w:numPr>
        <w:spacing w:line="360" w:lineRule="auto"/>
        <w:ind w:firstLine="422"/>
        <w:rPr>
          <w:rFonts w:ascii="宋体" w:hAnsi="宋体"/>
          <w:b/>
          <w:color w:val="auto"/>
          <w:szCs w:val="21"/>
          <w:highlight w:val="none"/>
        </w:rPr>
      </w:pPr>
      <w:r>
        <w:rPr>
          <w:rFonts w:hint="eastAsia" w:ascii="宋体" w:hAnsi="宋体"/>
          <w:b/>
          <w:color w:val="auto"/>
          <w:szCs w:val="21"/>
          <w:highlight w:val="none"/>
        </w:rPr>
        <w:t>修正后的报价，投标人不确认的；</w:t>
      </w:r>
    </w:p>
    <w:p w14:paraId="21AA2CC5">
      <w:pPr>
        <w:pStyle w:val="14"/>
        <w:numPr>
          <w:ilvl w:val="0"/>
          <w:numId w:val="2"/>
        </w:numPr>
        <w:spacing w:line="360" w:lineRule="auto"/>
        <w:ind w:firstLine="422"/>
        <w:rPr>
          <w:rFonts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条（2）或者第5</w:t>
      </w:r>
      <w:r>
        <w:rPr>
          <w:rFonts w:ascii="宋体" w:hAnsi="宋体"/>
          <w:b/>
          <w:color w:val="auto"/>
          <w:szCs w:val="21"/>
          <w:highlight w:val="none"/>
        </w:rPr>
        <w:t>.2条</w:t>
      </w:r>
      <w:r>
        <w:rPr>
          <w:rFonts w:hint="eastAsia" w:ascii="宋体" w:hAnsi="宋体"/>
          <w:b/>
          <w:color w:val="auto"/>
          <w:szCs w:val="21"/>
          <w:highlight w:val="none"/>
        </w:rPr>
        <w:t>（2）项情形的；</w:t>
      </w:r>
    </w:p>
    <w:p w14:paraId="0BDCB8DA">
      <w:pPr>
        <w:pStyle w:val="14"/>
        <w:numPr>
          <w:ilvl w:val="0"/>
          <w:numId w:val="2"/>
        </w:numPr>
        <w:spacing w:line="360" w:lineRule="auto"/>
        <w:ind w:firstLine="422"/>
        <w:rPr>
          <w:rFonts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225A9ED1">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2.2在商务评审时，如发现下列情形之一的，将被视为投标无效：</w:t>
      </w:r>
    </w:p>
    <w:p w14:paraId="5652C652">
      <w:pPr>
        <w:numPr>
          <w:ilvl w:val="0"/>
          <w:numId w:val="3"/>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投标文件未按招标文件要求签署、盖章的；</w:t>
      </w:r>
    </w:p>
    <w:p w14:paraId="1B1BD054">
      <w:pPr>
        <w:numPr>
          <w:ilvl w:val="0"/>
          <w:numId w:val="3"/>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委托代理人未能出具有效身份证或者出具的身份证与授权委托书中的信息不符的；</w:t>
      </w:r>
    </w:p>
    <w:p w14:paraId="17E7C8AD">
      <w:pPr>
        <w:numPr>
          <w:ilvl w:val="0"/>
          <w:numId w:val="3"/>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为无效投标保证金的或者未按照招标文件的规定提交投标保证金的；</w:t>
      </w:r>
    </w:p>
    <w:p w14:paraId="36E19194">
      <w:pPr>
        <w:numPr>
          <w:ilvl w:val="0"/>
          <w:numId w:val="3"/>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投标文件未提供“投标人须知前附表”第13.</w:t>
      </w:r>
      <w:r>
        <w:rPr>
          <w:rFonts w:ascii="宋体" w:hAnsi="宋体"/>
          <w:b/>
          <w:color w:val="auto"/>
          <w:szCs w:val="21"/>
          <w:highlight w:val="none"/>
        </w:rPr>
        <w:t>1</w:t>
      </w:r>
      <w:r>
        <w:rPr>
          <w:rFonts w:hint="eastAsia" w:ascii="宋体" w:hAnsi="宋体"/>
          <w:b/>
          <w:color w:val="auto"/>
          <w:szCs w:val="21"/>
          <w:highlight w:val="none"/>
        </w:rPr>
        <w:t>条规定中“必须提供”或者“委托时必须提供”的文件资料的；</w:t>
      </w:r>
    </w:p>
    <w:p w14:paraId="28D887E9">
      <w:pPr>
        <w:numPr>
          <w:ilvl w:val="0"/>
          <w:numId w:val="3"/>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商务要求评审允许负偏离的条款数超过“投标人须知前附表”规定项数的；</w:t>
      </w:r>
    </w:p>
    <w:p w14:paraId="1F9A21A6">
      <w:pPr>
        <w:numPr>
          <w:ilvl w:val="0"/>
          <w:numId w:val="3"/>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5CEF39CA">
      <w:pPr>
        <w:numPr>
          <w:ilvl w:val="0"/>
          <w:numId w:val="3"/>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7C069A8C">
      <w:pPr>
        <w:numPr>
          <w:ilvl w:val="0"/>
          <w:numId w:val="3"/>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37A1905A">
      <w:pPr>
        <w:numPr>
          <w:ilvl w:val="0"/>
          <w:numId w:val="3"/>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0DDEB676">
      <w:pPr>
        <w:numPr>
          <w:ilvl w:val="0"/>
          <w:numId w:val="3"/>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0FF6657C">
      <w:pPr>
        <w:numPr>
          <w:ilvl w:val="0"/>
          <w:numId w:val="3"/>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招标文件明确不允许分包，投标文件拟分包的；</w:t>
      </w:r>
    </w:p>
    <w:p w14:paraId="0CF3F9E4">
      <w:pPr>
        <w:numPr>
          <w:ilvl w:val="0"/>
          <w:numId w:val="3"/>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未响应招标文件实质性要求的；</w:t>
      </w:r>
    </w:p>
    <w:p w14:paraId="516ED851">
      <w:pPr>
        <w:numPr>
          <w:ilvl w:val="0"/>
          <w:numId w:val="3"/>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法律、法规和招标文件规定的其他无效情形。</w:t>
      </w:r>
    </w:p>
    <w:p w14:paraId="5DF49DFA">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2.3在技术评审时，如发现下列情形之一的，将被视为投标无效：</w:t>
      </w:r>
    </w:p>
    <w:p w14:paraId="10D41D1C">
      <w:pPr>
        <w:pStyle w:val="20"/>
        <w:snapToGrid w:val="0"/>
        <w:spacing w:line="360" w:lineRule="auto"/>
        <w:ind w:firstLine="413" w:firstLineChars="196"/>
        <w:rPr>
          <w:rFonts w:ascii="宋体" w:hAnsi="宋体"/>
          <w:b/>
          <w:color w:val="auto"/>
          <w:szCs w:val="21"/>
          <w:highlight w:val="none"/>
        </w:rPr>
      </w:pPr>
      <w:r>
        <w:rPr>
          <w:rFonts w:hint="eastAsia" w:ascii="宋体" w:hAnsi="宋体"/>
          <w:b/>
          <w:color w:val="auto"/>
          <w:szCs w:val="21"/>
          <w:highlight w:val="none"/>
        </w:rPr>
        <w:t>（1）技术要求评审允许负偏离的条款数超过“投标人须知前附表”规定项数的；</w:t>
      </w:r>
    </w:p>
    <w:p w14:paraId="0D28EADA">
      <w:pPr>
        <w:pStyle w:val="20"/>
        <w:snapToGrid w:val="0"/>
        <w:spacing w:line="360" w:lineRule="auto"/>
        <w:ind w:firstLine="413" w:firstLineChars="196"/>
        <w:rPr>
          <w:rFonts w:ascii="宋体" w:hAnsi="宋体"/>
          <w:b/>
          <w:color w:val="auto"/>
          <w:szCs w:val="21"/>
          <w:highlight w:val="none"/>
        </w:rPr>
      </w:pPr>
      <w:r>
        <w:rPr>
          <w:rFonts w:hint="eastAsia" w:ascii="宋体" w:hAnsi="宋体"/>
          <w:b/>
          <w:color w:val="auto"/>
          <w:szCs w:val="21"/>
          <w:highlight w:val="none"/>
        </w:rPr>
        <w:t>（2）投标文件未提供“投标人须知前附表”第13.</w:t>
      </w:r>
      <w:r>
        <w:rPr>
          <w:rFonts w:ascii="宋体" w:hAnsi="宋体"/>
          <w:b/>
          <w:color w:val="auto"/>
          <w:szCs w:val="21"/>
          <w:highlight w:val="none"/>
        </w:rPr>
        <w:t>1</w:t>
      </w:r>
      <w:r>
        <w:rPr>
          <w:rFonts w:hint="eastAsia" w:ascii="宋体" w:hAnsi="宋体"/>
          <w:b/>
          <w:color w:val="auto"/>
          <w:szCs w:val="21"/>
          <w:highlight w:val="none"/>
        </w:rPr>
        <w:t>条规定中“必须提供”的文件资料的；</w:t>
      </w:r>
    </w:p>
    <w:p w14:paraId="4DAF5F61">
      <w:pPr>
        <w:pStyle w:val="20"/>
        <w:snapToGrid w:val="0"/>
        <w:spacing w:line="360" w:lineRule="auto"/>
        <w:ind w:firstLine="413" w:firstLineChars="196"/>
        <w:rPr>
          <w:rFonts w:ascii="宋体" w:hAnsi="宋体"/>
          <w:b/>
          <w:color w:val="auto"/>
          <w:szCs w:val="21"/>
          <w:highlight w:val="none"/>
        </w:rPr>
      </w:pPr>
      <w:r>
        <w:rPr>
          <w:rFonts w:hint="eastAsia" w:ascii="宋体" w:hAnsi="宋体"/>
          <w:b/>
          <w:color w:val="auto"/>
          <w:szCs w:val="21"/>
          <w:highlight w:val="none"/>
        </w:rPr>
        <w:t>（3）虚假投标，或者出现其他情形而导致被评标委员会认定无效的；</w:t>
      </w:r>
    </w:p>
    <w:p w14:paraId="16DDB509">
      <w:pPr>
        <w:pStyle w:val="20"/>
        <w:snapToGrid w:val="0"/>
        <w:spacing w:line="360" w:lineRule="auto"/>
        <w:ind w:firstLine="413" w:firstLineChars="196"/>
        <w:rPr>
          <w:rFonts w:ascii="宋体" w:hAnsi="宋体"/>
          <w:b/>
          <w:color w:val="auto"/>
          <w:szCs w:val="21"/>
          <w:highlight w:val="none"/>
        </w:rPr>
      </w:pPr>
      <w:r>
        <w:rPr>
          <w:rFonts w:hint="eastAsia" w:ascii="宋体" w:hAnsi="宋体"/>
          <w:b/>
          <w:color w:val="auto"/>
          <w:szCs w:val="21"/>
          <w:highlight w:val="none"/>
        </w:rPr>
        <w:t>（4）</w:t>
      </w:r>
      <w:bookmarkStart w:id="145" w:name="_Hlk71706244"/>
      <w:r>
        <w:rPr>
          <w:rFonts w:hint="eastAsia" w:ascii="宋体" w:hAnsi="宋体"/>
          <w:b/>
          <w:color w:val="auto"/>
          <w:szCs w:val="21"/>
          <w:highlight w:val="none"/>
        </w:rPr>
        <w:t>招标文件未载明允许提供备选（替代）投标方案或明确不允许提供备选（替代）投标方案时，投标人提供了备选（替代）投标方案的；</w:t>
      </w:r>
      <w:bookmarkEnd w:id="145"/>
    </w:p>
    <w:p w14:paraId="2847468E">
      <w:pPr>
        <w:pStyle w:val="20"/>
        <w:snapToGrid w:val="0"/>
        <w:spacing w:line="360" w:lineRule="auto"/>
        <w:ind w:firstLine="413" w:firstLineChars="196"/>
        <w:rPr>
          <w:rFonts w:ascii="宋体" w:hAnsi="宋体"/>
          <w:b/>
          <w:color w:val="auto"/>
          <w:szCs w:val="21"/>
          <w:highlight w:val="none"/>
        </w:rPr>
      </w:pPr>
      <w:r>
        <w:rPr>
          <w:rFonts w:hint="eastAsia" w:ascii="宋体" w:hAnsi="宋体"/>
          <w:b/>
          <w:color w:val="auto"/>
          <w:szCs w:val="21"/>
          <w:highlight w:val="none"/>
        </w:rPr>
        <w:t>（5）未响应招标文件实质性要求的。</w:t>
      </w:r>
    </w:p>
    <w:p w14:paraId="685A8DB1">
      <w:pPr>
        <w:pStyle w:val="20"/>
        <w:snapToGrid w:val="0"/>
        <w:spacing w:line="360" w:lineRule="auto"/>
        <w:ind w:firstLine="413" w:firstLineChars="196"/>
        <w:rPr>
          <w:rFonts w:ascii="宋体" w:hAnsi="宋体"/>
          <w:b/>
          <w:color w:val="auto"/>
          <w:szCs w:val="21"/>
          <w:highlight w:val="none"/>
        </w:rPr>
      </w:pPr>
      <w:r>
        <w:rPr>
          <w:rFonts w:hint="eastAsia" w:ascii="宋体" w:hAnsi="宋体"/>
          <w:b/>
          <w:color w:val="auto"/>
          <w:szCs w:val="21"/>
          <w:highlight w:val="none"/>
        </w:rPr>
        <w:t>2.4通过符合性审查的投标人不足3家，评标委员会不得继续评标，并出具评标报告。</w:t>
      </w:r>
    </w:p>
    <w:p w14:paraId="2C016754">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23BC630A">
      <w:pPr>
        <w:snapToGrid w:val="0"/>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对投标文件中含义不明确、同类问题表述不一致或者有明显文字和计算错误的内容，评标委员会以</w:t>
      </w:r>
      <w:r>
        <w:rPr>
          <w:rFonts w:hint="eastAsia" w:ascii="宋体" w:hAnsi="宋体" w:cs="宋体"/>
          <w:color w:val="auto"/>
          <w:szCs w:val="21"/>
          <w:highlight w:val="none"/>
        </w:rPr>
        <w:t>电子澄清函形式</w:t>
      </w:r>
      <w:r>
        <w:rPr>
          <w:rFonts w:hint="eastAsia" w:ascii="宋体" w:hAnsi="宋体" w:cs="Courier New"/>
          <w:color w:val="auto"/>
          <w:szCs w:val="21"/>
          <w:highlight w:val="none"/>
        </w:rPr>
        <w:t>要求投标人在规定时间内作出必要的澄清、说明或者纠正。投标人的澄清、说明或者补正必须采用</w:t>
      </w:r>
      <w:r>
        <w:rPr>
          <w:rFonts w:hint="eastAsia" w:ascii="宋体" w:hAnsi="宋体" w:cs="宋体"/>
          <w:color w:val="auto"/>
          <w:szCs w:val="21"/>
          <w:highlight w:val="none"/>
        </w:rPr>
        <w:t>电子回函形式</w:t>
      </w:r>
      <w:r>
        <w:rPr>
          <w:rFonts w:hint="eastAsia" w:ascii="宋体" w:hAnsi="宋体" w:cs="Courier New"/>
          <w:color w:val="auto"/>
          <w:szCs w:val="21"/>
          <w:highlight w:val="none"/>
        </w:rPr>
        <w:t>，并加盖投标人公章，或者由法定代表人或者其授权的代表签字。投标人的澄清、说明或者补正不得超出投标文件的范围或者改变投标文件的实质性内容。</w:t>
      </w:r>
    </w:p>
    <w:p w14:paraId="3FB1AE37">
      <w:pPr>
        <w:pStyle w:val="6"/>
        <w:keepNext w:val="0"/>
        <w:keepLines w:val="0"/>
        <w:spacing w:before="0" w:after="0" w:line="360" w:lineRule="auto"/>
        <w:ind w:left="420" w:leftChars="200"/>
        <w:rPr>
          <w:rFonts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6EF84DD9">
      <w:pPr>
        <w:pStyle w:val="6"/>
        <w:keepNext w:val="0"/>
        <w:keepLines w:val="0"/>
        <w:spacing w:before="0" w:after="0" w:line="360" w:lineRule="auto"/>
        <w:ind w:left="420" w:leftChars="200"/>
        <w:rPr>
          <w:rFonts w:ascii="宋体" w:hAnsi="宋体"/>
          <w:b/>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 xml:space="preserve">.1投标文件报价出现前后不一致的，按照下列规定修正： </w:t>
      </w:r>
    </w:p>
    <w:p w14:paraId="46E0AD46">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5BB7681E">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（2）大写金额和小写金额不一致的，以大写金额为准；</w:t>
      </w:r>
    </w:p>
    <w:p w14:paraId="6CDE060A">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333D55B1">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（4）总价金额与按单价汇总金额不一致的，以单价金额计算结果为准。</w:t>
      </w:r>
    </w:p>
    <w:p w14:paraId="0BAF235D">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同时出现两种以上不一致的，按照以上（1）-（4）规定的顺序修正。修正后的报价经投标人确认后产生约束力，投标人不确认的，</w:t>
      </w:r>
      <w:r>
        <w:rPr>
          <w:rFonts w:hint="eastAsia" w:hAnsi="宋体"/>
          <w:b/>
          <w:color w:val="auto"/>
          <w:kern w:val="2"/>
          <w:sz w:val="21"/>
          <w:highlight w:val="none"/>
        </w:rPr>
        <w:t>其投标无效</w:t>
      </w:r>
      <w:r>
        <w:rPr>
          <w:rFonts w:hint="eastAsia" w:hAnsi="宋体"/>
          <w:color w:val="auto"/>
          <w:sz w:val="21"/>
          <w:highlight w:val="none"/>
        </w:rPr>
        <w:t>。</w:t>
      </w:r>
    </w:p>
    <w:p w14:paraId="4C9F4EA4">
      <w:pPr>
        <w:pStyle w:val="6"/>
        <w:keepNext w:val="0"/>
        <w:keepLines w:val="0"/>
        <w:spacing w:before="0" w:after="0" w:line="360" w:lineRule="auto"/>
        <w:rPr>
          <w:rFonts w:ascii="宋体" w:hAnsi="宋体"/>
          <w:b/>
          <w:color w:val="auto"/>
          <w:sz w:val="21"/>
          <w:szCs w:val="21"/>
          <w:highlight w:val="none"/>
        </w:rPr>
      </w:pPr>
      <w:r>
        <w:rPr>
          <w:rFonts w:ascii="宋体" w:hAnsi="宋体"/>
          <w:color w:val="auto"/>
          <w:sz w:val="21"/>
          <w:szCs w:val="21"/>
          <w:highlight w:val="none"/>
        </w:rPr>
        <w:t xml:space="preserve">    4</w:t>
      </w:r>
      <w:r>
        <w:rPr>
          <w:rFonts w:hint="eastAsia" w:ascii="宋体" w:hAnsi="宋体"/>
          <w:color w:val="auto"/>
          <w:sz w:val="21"/>
          <w:szCs w:val="21"/>
          <w:highlight w:val="none"/>
        </w:rPr>
        <w:t>.2经投标人确认修正后的报价若超过采购预算金额或者最高限价，投标人的投标文件作无效投标处理。</w:t>
      </w:r>
    </w:p>
    <w:p w14:paraId="074C0A7E">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1FD9546D">
      <w:pPr>
        <w:pStyle w:val="6"/>
        <w:keepNext w:val="0"/>
        <w:keepLines w:val="0"/>
        <w:spacing w:before="0" w:after="0" w:line="360" w:lineRule="auto"/>
        <w:ind w:left="420" w:leftChars="200"/>
        <w:rPr>
          <w:rFonts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62FEA1D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5.1采用综合评分法的</w:t>
      </w:r>
    </w:p>
    <w:p w14:paraId="6E32028B">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2983E7F0">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4001E04A">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zCs w:val="21"/>
          <w:highlight w:val="none"/>
        </w:rPr>
        <w:t>投标人不能证明其报价合理性的，评标委员会将其作为无效投标处理</w:t>
      </w:r>
      <w:r>
        <w:rPr>
          <w:rFonts w:hint="eastAsia" w:ascii="宋体" w:hAnsi="宋体"/>
          <w:color w:val="auto"/>
          <w:szCs w:val="21"/>
          <w:highlight w:val="none"/>
        </w:rPr>
        <w:t>。</w:t>
      </w:r>
    </w:p>
    <w:p w14:paraId="4EDFCF3A">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57749B3D">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1F91C07A">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5AD1B86E">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44D2CA38">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5.2采用</w:t>
      </w:r>
      <w:r>
        <w:rPr>
          <w:rFonts w:hint="eastAsia" w:ascii="宋体" w:hAnsi="宋体"/>
          <w:color w:val="auto"/>
          <w:highlight w:val="none"/>
        </w:rPr>
        <w:t>最低评标价法</w:t>
      </w:r>
      <w:r>
        <w:rPr>
          <w:rFonts w:hint="eastAsia" w:ascii="宋体" w:hAnsi="宋体"/>
          <w:color w:val="auto"/>
          <w:szCs w:val="21"/>
          <w:highlight w:val="none"/>
        </w:rPr>
        <w:t>的</w:t>
      </w:r>
    </w:p>
    <w:p w14:paraId="3F4A8EC7">
      <w:pPr>
        <w:snapToGrid w:val="0"/>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（1）评标委员会按照招标文件中规定的评标方法及评标标准，对符合性审查合格的投标文件报价进行比较。</w:t>
      </w:r>
    </w:p>
    <w:p w14:paraId="2A0801D6">
      <w:pPr>
        <w:snapToGrid w:val="0"/>
        <w:spacing w:line="360" w:lineRule="auto"/>
        <w:ind w:firstLine="399" w:firstLineChars="202"/>
        <w:jc w:val="left"/>
        <w:rPr>
          <w:rFonts w:ascii="宋体" w:hAnsi="宋体"/>
          <w:color w:val="auto"/>
          <w:spacing w:val="-6"/>
          <w:szCs w:val="21"/>
          <w:highlight w:val="none"/>
        </w:rPr>
      </w:pPr>
      <w:r>
        <w:rPr>
          <w:rFonts w:hint="eastAsia" w:ascii="宋体" w:hAnsi="宋体"/>
          <w:color w:val="auto"/>
          <w:spacing w:val="-6"/>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pacing w:val="-6"/>
          <w:szCs w:val="21"/>
          <w:highlight w:val="none"/>
        </w:rPr>
        <w:t>投标人不能证明其报价合理性的，评标委员会将其作为无效投标处理</w:t>
      </w:r>
      <w:r>
        <w:rPr>
          <w:rFonts w:hint="eastAsia" w:ascii="宋体" w:hAnsi="宋体"/>
          <w:color w:val="auto"/>
          <w:spacing w:val="-6"/>
          <w:szCs w:val="21"/>
          <w:highlight w:val="none"/>
        </w:rPr>
        <w:t>。</w:t>
      </w:r>
    </w:p>
    <w:p w14:paraId="6A96D9FE">
      <w:pPr>
        <w:snapToGrid w:val="0"/>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（3）评标委员会按照招标文件中的规定推荐中标候选人。</w:t>
      </w:r>
    </w:p>
    <w:p w14:paraId="563A9883">
      <w:pPr>
        <w:snapToGrid w:val="0"/>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0F9F3A0E">
      <w:pPr>
        <w:snapToGrid w:val="0"/>
        <w:spacing w:line="360" w:lineRule="auto"/>
        <w:jc w:val="center"/>
        <w:rPr>
          <w:rFonts w:ascii="宋体" w:hAnsi="宋体"/>
          <w:color w:val="auto"/>
          <w:highlight w:val="none"/>
        </w:rPr>
      </w:pPr>
      <w:r>
        <w:rPr>
          <w:rFonts w:ascii="宋体" w:hAnsi="宋体"/>
          <w:color w:val="auto"/>
          <w:highlight w:val="none"/>
        </w:rPr>
        <w:br w:type="page"/>
      </w:r>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p>
    <w:p w14:paraId="4DCB884C">
      <w:pPr>
        <w:pStyle w:val="4"/>
        <w:keepNext w:val="0"/>
        <w:keepLines w:val="0"/>
        <w:jc w:val="center"/>
        <w:rPr>
          <w:rFonts w:ascii="宋体" w:hAnsi="宋体" w:eastAsia="宋体"/>
          <w:color w:val="auto"/>
          <w:highlight w:val="none"/>
        </w:rPr>
      </w:pPr>
      <w:r>
        <w:rPr>
          <w:rFonts w:hint="eastAsia" w:ascii="宋体" w:hAnsi="宋体" w:eastAsia="宋体"/>
          <w:color w:val="auto"/>
          <w:highlight w:val="none"/>
        </w:rPr>
        <w:t>综合评分法</w:t>
      </w:r>
    </w:p>
    <w:p w14:paraId="6A15548A">
      <w:pPr>
        <w:adjustRightInd w:val="0"/>
        <w:snapToGrid w:val="0"/>
        <w:spacing w:line="570" w:lineRule="exact"/>
        <w:ind w:firstLine="420" w:firstLineChars="200"/>
        <w:rPr>
          <w:rFonts w:ascii="宋体" w:hAnsi="宋体"/>
          <w:color w:val="auto"/>
          <w:szCs w:val="21"/>
          <w:highlight w:val="none"/>
        </w:rPr>
      </w:pPr>
      <w:r>
        <w:rPr>
          <w:rFonts w:hint="eastAsia" w:ascii="宋体" w:hAnsi="宋体"/>
          <w:color w:val="auto"/>
          <w:szCs w:val="21"/>
          <w:highlight w:val="none"/>
        </w:rPr>
        <w:t>评定方法：</w:t>
      </w:r>
    </w:p>
    <w:p w14:paraId="27A06EEA">
      <w:pPr>
        <w:adjustRightInd w:val="0"/>
        <w:snapToGrid w:val="0"/>
        <w:spacing w:line="57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（一）对进入详评的，采用百分制综合评分法。</w:t>
      </w:r>
    </w:p>
    <w:p w14:paraId="38BA8505">
      <w:pPr>
        <w:adjustRightInd w:val="0"/>
        <w:snapToGrid w:val="0"/>
        <w:spacing w:line="57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（二）计分办法（按四舍五入取至百分位）：</w:t>
      </w: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
        <w:gridCol w:w="1460"/>
        <w:gridCol w:w="2083"/>
        <w:gridCol w:w="5730"/>
      </w:tblGrid>
      <w:tr w14:paraId="6161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36" w:type="pct"/>
            <w:gridSpan w:val="2"/>
            <w:noWrap w:val="0"/>
            <w:vAlign w:val="center"/>
          </w:tcPr>
          <w:p w14:paraId="6EA6F98C">
            <w:pPr>
              <w:adjustRightInd w:val="0"/>
              <w:spacing w:after="0" w:line="360" w:lineRule="exact"/>
              <w:jc w:val="center"/>
              <w:textAlignment w:val="baseline"/>
              <w:rPr>
                <w:rFonts w:ascii="宋体" w:hAnsi="宋体"/>
                <w:b/>
                <w:color w:val="auto"/>
                <w:szCs w:val="21"/>
                <w:highlight w:val="none"/>
              </w:rPr>
            </w:pPr>
            <w:r>
              <w:rPr>
                <w:rFonts w:hint="eastAsia" w:ascii="宋体" w:hAnsi="宋体"/>
                <w:b/>
                <w:color w:val="auto"/>
                <w:szCs w:val="21"/>
                <w:highlight w:val="none"/>
              </w:rPr>
              <w:t>序号</w:t>
            </w:r>
          </w:p>
        </w:tc>
        <w:tc>
          <w:tcPr>
            <w:tcW w:w="1057" w:type="pct"/>
            <w:noWrap w:val="0"/>
            <w:vAlign w:val="center"/>
          </w:tcPr>
          <w:p w14:paraId="495C5ECF">
            <w:pPr>
              <w:adjustRightInd w:val="0"/>
              <w:spacing w:after="0" w:line="360" w:lineRule="exact"/>
              <w:jc w:val="center"/>
              <w:textAlignment w:val="baseline"/>
              <w:rPr>
                <w:rFonts w:ascii="宋体" w:hAnsi="宋体"/>
                <w:b/>
                <w:color w:val="auto"/>
                <w:szCs w:val="21"/>
                <w:highlight w:val="none"/>
              </w:rPr>
            </w:pPr>
            <w:r>
              <w:rPr>
                <w:rFonts w:hint="eastAsia" w:ascii="宋体" w:hAnsi="宋体"/>
                <w:b/>
                <w:color w:val="auto"/>
                <w:szCs w:val="21"/>
                <w:highlight w:val="none"/>
              </w:rPr>
              <w:t>评审因素</w:t>
            </w:r>
          </w:p>
        </w:tc>
        <w:tc>
          <w:tcPr>
            <w:tcW w:w="2906" w:type="pct"/>
            <w:noWrap w:val="0"/>
            <w:vAlign w:val="center"/>
          </w:tcPr>
          <w:p w14:paraId="4802D54D">
            <w:pPr>
              <w:adjustRightInd w:val="0"/>
              <w:spacing w:after="0" w:line="360" w:lineRule="exact"/>
              <w:jc w:val="center"/>
              <w:textAlignment w:val="baseline"/>
              <w:rPr>
                <w:rFonts w:ascii="宋体" w:hAnsi="宋体"/>
                <w:b/>
                <w:color w:val="auto"/>
                <w:szCs w:val="21"/>
                <w:highlight w:val="none"/>
              </w:rPr>
            </w:pPr>
            <w:r>
              <w:rPr>
                <w:rFonts w:hint="eastAsia" w:ascii="宋体" w:hAnsi="宋体"/>
                <w:b/>
                <w:color w:val="auto"/>
                <w:szCs w:val="21"/>
                <w:highlight w:val="none"/>
              </w:rPr>
              <w:t>评标标准</w:t>
            </w:r>
          </w:p>
        </w:tc>
      </w:tr>
      <w:tr w14:paraId="0EF5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 w:type="pct"/>
            <w:noWrap w:val="0"/>
            <w:vAlign w:val="center"/>
          </w:tcPr>
          <w:p w14:paraId="318308C4">
            <w:pPr>
              <w:adjustRightInd w:val="0"/>
              <w:spacing w:after="0" w:line="360" w:lineRule="exact"/>
              <w:jc w:val="center"/>
              <w:textAlignment w:val="baseline"/>
              <w:rPr>
                <w:rFonts w:ascii="宋体" w:hAnsi="宋体"/>
                <w:color w:val="auto"/>
                <w:szCs w:val="21"/>
                <w:highlight w:val="none"/>
              </w:rPr>
            </w:pPr>
            <w:r>
              <w:rPr>
                <w:rFonts w:hint="eastAsia" w:ascii="宋体" w:hAnsi="宋体"/>
                <w:color w:val="auto"/>
                <w:szCs w:val="21"/>
                <w:highlight w:val="none"/>
              </w:rPr>
              <w:t>1</w:t>
            </w:r>
          </w:p>
        </w:tc>
        <w:tc>
          <w:tcPr>
            <w:tcW w:w="741" w:type="pct"/>
            <w:noWrap w:val="0"/>
            <w:vAlign w:val="center"/>
          </w:tcPr>
          <w:p w14:paraId="7F7B8415">
            <w:pPr>
              <w:adjustRightInd w:val="0"/>
              <w:spacing w:after="0" w:line="360" w:lineRule="exact"/>
              <w:jc w:val="center"/>
              <w:textAlignment w:val="baseline"/>
              <w:rPr>
                <w:rFonts w:ascii="宋体" w:hAnsi="宋体"/>
                <w:b/>
                <w:bCs/>
                <w:color w:val="auto"/>
                <w:szCs w:val="21"/>
                <w:highlight w:val="none"/>
              </w:rPr>
            </w:pPr>
            <w:r>
              <w:rPr>
                <w:rFonts w:hint="eastAsia" w:ascii="宋体" w:hAnsi="宋体"/>
                <w:b/>
                <w:bCs/>
                <w:color w:val="auto"/>
                <w:szCs w:val="21"/>
                <w:highlight w:val="none"/>
              </w:rPr>
              <w:t>价格分</w:t>
            </w:r>
          </w:p>
          <w:p w14:paraId="04EF2FEE">
            <w:pPr>
              <w:adjustRightInd w:val="0"/>
              <w:spacing w:after="0" w:line="360" w:lineRule="exact"/>
              <w:jc w:val="center"/>
              <w:textAlignment w:val="baseline"/>
              <w:rPr>
                <w:rFonts w:ascii="宋体" w:hAnsi="宋体"/>
                <w:b/>
                <w:bCs/>
                <w:color w:val="auto"/>
                <w:szCs w:val="21"/>
                <w:highlight w:val="none"/>
              </w:rPr>
            </w:pPr>
            <w:r>
              <w:rPr>
                <w:rFonts w:hint="eastAsia" w:ascii="宋体" w:hAnsi="宋体"/>
                <w:b/>
                <w:bCs/>
                <w:color w:val="auto"/>
                <w:szCs w:val="21"/>
                <w:highlight w:val="none"/>
              </w:rPr>
              <w:t>（满分</w:t>
            </w:r>
            <w:r>
              <w:rPr>
                <w:rFonts w:hint="eastAsia" w:ascii="宋体" w:hAnsi="宋体"/>
                <w:b/>
                <w:bCs/>
                <w:color w:val="auto"/>
                <w:szCs w:val="21"/>
                <w:highlight w:val="none"/>
                <w:u w:val="single"/>
              </w:rPr>
              <w:t>10</w:t>
            </w:r>
            <w:r>
              <w:rPr>
                <w:rFonts w:hint="eastAsia" w:ascii="宋体" w:hAnsi="宋体"/>
                <w:b/>
                <w:bCs/>
                <w:color w:val="auto"/>
                <w:szCs w:val="21"/>
                <w:highlight w:val="none"/>
              </w:rPr>
              <w:t>分）</w:t>
            </w:r>
          </w:p>
        </w:tc>
        <w:tc>
          <w:tcPr>
            <w:tcW w:w="1057" w:type="pct"/>
            <w:noWrap w:val="0"/>
            <w:vAlign w:val="center"/>
          </w:tcPr>
          <w:p w14:paraId="037FD783">
            <w:pPr>
              <w:adjustRightInd w:val="0"/>
              <w:spacing w:after="0" w:line="360" w:lineRule="exact"/>
              <w:jc w:val="center"/>
              <w:textAlignment w:val="baseline"/>
              <w:rPr>
                <w:rFonts w:ascii="宋体" w:hAnsi="宋体"/>
                <w:bCs/>
                <w:color w:val="auto"/>
                <w:szCs w:val="21"/>
                <w:highlight w:val="none"/>
              </w:rPr>
            </w:pPr>
            <w:r>
              <w:rPr>
                <w:rFonts w:hint="eastAsia" w:ascii="宋体" w:hAnsi="宋体"/>
                <w:bCs/>
                <w:color w:val="auto"/>
                <w:szCs w:val="21"/>
                <w:highlight w:val="none"/>
              </w:rPr>
              <w:t>投标报价</w:t>
            </w:r>
            <w:r>
              <w:rPr>
                <w:rFonts w:hint="eastAsia" w:ascii="宋体" w:hAnsi="宋体"/>
                <w:bCs/>
                <w:color w:val="auto"/>
                <w:szCs w:val="21"/>
                <w:highlight w:val="none"/>
                <w:lang w:val="en-US" w:eastAsia="zh-CN"/>
              </w:rPr>
              <w:t>分</w:t>
            </w:r>
            <w:r>
              <w:rPr>
                <w:rFonts w:hint="eastAsia" w:ascii="宋体" w:hAnsi="宋体"/>
                <w:bCs/>
                <w:color w:val="auto"/>
                <w:szCs w:val="21"/>
                <w:highlight w:val="none"/>
              </w:rPr>
              <w:t>（满分</w:t>
            </w:r>
            <w:r>
              <w:rPr>
                <w:rFonts w:hint="eastAsia" w:ascii="宋体" w:hAnsi="宋体"/>
                <w:bCs/>
                <w:color w:val="auto"/>
                <w:szCs w:val="21"/>
                <w:highlight w:val="none"/>
                <w:u w:val="single"/>
              </w:rPr>
              <w:t>10</w:t>
            </w:r>
            <w:r>
              <w:rPr>
                <w:rFonts w:hint="eastAsia" w:ascii="宋体" w:hAnsi="宋体"/>
                <w:bCs/>
                <w:color w:val="auto"/>
                <w:szCs w:val="21"/>
                <w:highlight w:val="none"/>
              </w:rPr>
              <w:t>分）</w:t>
            </w:r>
          </w:p>
        </w:tc>
        <w:tc>
          <w:tcPr>
            <w:tcW w:w="2906" w:type="pct"/>
            <w:noWrap w:val="0"/>
            <w:vAlign w:val="center"/>
          </w:tcPr>
          <w:p w14:paraId="4634ACAE">
            <w:pPr>
              <w:snapToGrid w:val="0"/>
              <w:spacing w:after="0" w:line="360" w:lineRule="exact"/>
              <w:ind w:firstLine="233" w:firstLineChars="111"/>
              <w:rPr>
                <w:rFonts w:ascii="宋体" w:hAnsi="宋体"/>
                <w:bCs/>
                <w:color w:val="auto"/>
                <w:szCs w:val="21"/>
                <w:highlight w:val="none"/>
              </w:rPr>
            </w:pPr>
            <w:r>
              <w:rPr>
                <w:rFonts w:hint="eastAsia" w:ascii="宋体" w:hAnsi="宋体"/>
                <w:bCs/>
                <w:color w:val="auto"/>
                <w:szCs w:val="21"/>
                <w:highlight w:val="none"/>
              </w:rPr>
              <w:t>（1）评标报价为投标人的投标报价进行政策性扣除后的价格，评标报价只是作为评标时使用。最终中标人的中标金额等于投标报价。</w:t>
            </w:r>
          </w:p>
          <w:p w14:paraId="427475C2">
            <w:pPr>
              <w:snapToGrid w:val="0"/>
              <w:spacing w:after="0" w:line="360" w:lineRule="exact"/>
              <w:ind w:firstLine="233" w:firstLineChars="111"/>
              <w:rPr>
                <w:rFonts w:hint="eastAsia" w:ascii="宋体" w:hAnsi="宋体"/>
                <w:bCs/>
                <w:color w:val="auto"/>
                <w:szCs w:val="21"/>
                <w:highlight w:val="none"/>
              </w:rPr>
            </w:pPr>
            <w:r>
              <w:rPr>
                <w:rFonts w:hint="eastAsia" w:ascii="宋体" w:hAnsi="宋体"/>
                <w:bCs/>
                <w:color w:val="auto"/>
                <w:szCs w:val="21"/>
                <w:highlight w:val="none"/>
              </w:rPr>
              <w:t>（2）政策性扣除计算方法。</w:t>
            </w:r>
          </w:p>
          <w:p w14:paraId="74BB24F9">
            <w:pPr>
              <w:snapToGrid w:val="0"/>
              <w:spacing w:after="0" w:line="360" w:lineRule="exact"/>
              <w:ind w:firstLine="233" w:firstLineChars="111"/>
              <w:rPr>
                <w:rFonts w:hint="eastAsia" w:ascii="宋体" w:hAnsi="宋体"/>
                <w:bCs/>
                <w:color w:val="auto"/>
                <w:szCs w:val="21"/>
                <w:highlight w:val="none"/>
              </w:rPr>
            </w:pPr>
            <w:r>
              <w:rPr>
                <w:rFonts w:hint="eastAsia" w:ascii="宋体" w:hAnsi="宋体"/>
                <w:bCs/>
                <w:color w:val="auto"/>
                <w:szCs w:val="21"/>
                <w:highlight w:val="none"/>
              </w:rPr>
              <w:t>根据《政府采购促进中小企业发展管理办法》（财库〔2020〕46号）及《广西壮族自治区财政厅关于持续优化政府采购营商环境推动高质量发展的通知》（桂财采〔2024〕55号）的规定，投标人在其投标文件中提供《中小企业声明函》，且服务全部由小微企业承接，对其投标报价给予10%的扣除，扣除后的价格为评标报价，即评标报价=投标报价×（1-10%）。接受大中型企业与小微企业组成联合体的采购项目，联合协议约定小微企业的合同份额占到合同总金额30%以上的，采购人、采购代理机构应当对联合体或者大中型企业的报价给予 4% 的扣除，用扣除后的价格参加评审，扣除后的价格为评标报价，即评标报价=投标报价×（1- 4%）。除上述情况外，评标报价=投标报价。</w:t>
            </w:r>
          </w:p>
          <w:p w14:paraId="7E87CC9F">
            <w:pPr>
              <w:snapToGrid w:val="0"/>
              <w:spacing w:after="0" w:line="360" w:lineRule="exact"/>
              <w:ind w:firstLine="233" w:firstLineChars="111"/>
              <w:rPr>
                <w:rFonts w:hint="eastAsia" w:ascii="宋体" w:hAnsi="宋体"/>
                <w:bCs/>
                <w:color w:val="auto"/>
                <w:szCs w:val="21"/>
                <w:highlight w:val="none"/>
              </w:rPr>
            </w:pPr>
            <w:r>
              <w:rPr>
                <w:rFonts w:hint="eastAsia" w:ascii="宋体" w:hAnsi="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17D380E2">
            <w:pPr>
              <w:snapToGrid w:val="0"/>
              <w:spacing w:after="0" w:line="360" w:lineRule="exact"/>
              <w:ind w:firstLine="233" w:firstLineChars="111"/>
              <w:rPr>
                <w:rFonts w:ascii="宋体" w:hAnsi="宋体"/>
                <w:bCs/>
                <w:color w:val="auto"/>
                <w:szCs w:val="21"/>
                <w:highlight w:val="none"/>
              </w:rPr>
            </w:pPr>
            <w:r>
              <w:rPr>
                <w:rFonts w:hint="eastAsia" w:ascii="宋体" w:hAnsi="宋体"/>
                <w:bCs/>
                <w:color w:val="auto"/>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BCC2826">
            <w:pPr>
              <w:snapToGrid w:val="0"/>
              <w:spacing w:after="0" w:line="360" w:lineRule="exact"/>
              <w:ind w:firstLine="233" w:firstLineChars="111"/>
              <w:rPr>
                <w:rFonts w:hint="eastAsia" w:ascii="宋体" w:hAnsi="宋体"/>
                <w:bCs/>
                <w:color w:val="auto"/>
                <w:szCs w:val="21"/>
                <w:highlight w:val="none"/>
              </w:rPr>
            </w:pPr>
            <w:r>
              <w:rPr>
                <w:rFonts w:hint="eastAsia" w:ascii="宋体" w:hAnsi="宋体"/>
                <w:bCs/>
                <w:color w:val="auto"/>
                <w:szCs w:val="21"/>
                <w:highlight w:val="none"/>
              </w:rPr>
              <w:t>（5）满足招标文件要求且评标报价最低的评标报价为评标基准价，其价格分为满分。</w:t>
            </w:r>
          </w:p>
          <w:p w14:paraId="47D0F619">
            <w:pPr>
              <w:spacing w:after="0" w:line="360" w:lineRule="exact"/>
              <w:ind w:firstLine="233" w:firstLineChars="111"/>
              <w:rPr>
                <w:rFonts w:ascii="宋体" w:hAnsi="宋体"/>
                <w:bCs/>
                <w:color w:val="auto"/>
                <w:szCs w:val="21"/>
                <w:highlight w:val="none"/>
              </w:rPr>
            </w:pPr>
            <w:r>
              <w:rPr>
                <w:rFonts w:hint="eastAsia" w:ascii="宋体" w:hAnsi="宋体"/>
                <w:bCs/>
                <w:color w:val="auto"/>
                <w:szCs w:val="21"/>
                <w:highlight w:val="none"/>
              </w:rPr>
              <w:t>（6）价格分计算公式：</w:t>
            </w:r>
          </w:p>
          <w:p w14:paraId="1BCC7A45">
            <w:pPr>
              <w:spacing w:after="0" w:line="360" w:lineRule="exact"/>
              <w:ind w:firstLine="233" w:firstLineChars="111"/>
              <w:rPr>
                <w:rFonts w:hint="eastAsia" w:ascii="宋体" w:hAnsi="宋体" w:cs="Courier New"/>
                <w:bCs/>
                <w:color w:val="auto"/>
                <w:szCs w:val="21"/>
                <w:highlight w:val="none"/>
              </w:rPr>
            </w:pPr>
            <w:r>
              <w:rPr>
                <w:rFonts w:hint="eastAsia" w:ascii="宋体" w:hAnsi="宋体"/>
                <w:bCs/>
                <w:color w:val="auto"/>
                <w:szCs w:val="21"/>
                <w:highlight w:val="none"/>
              </w:rPr>
              <w:t>价格分</w:t>
            </w:r>
            <w:r>
              <w:rPr>
                <w:rFonts w:hint="eastAsia" w:ascii="宋体" w:hAnsi="宋体" w:cs="Courier New"/>
                <w:bCs/>
                <w:color w:val="auto"/>
                <w:szCs w:val="21"/>
                <w:highlight w:val="none"/>
              </w:rPr>
              <w:t>=（评标基准价/评标报价）×1</w:t>
            </w:r>
            <w:r>
              <w:rPr>
                <w:rFonts w:ascii="宋体" w:hAnsi="宋体" w:cs="Courier New"/>
                <w:bCs/>
                <w:color w:val="auto"/>
                <w:szCs w:val="21"/>
                <w:highlight w:val="none"/>
              </w:rPr>
              <w:t>0</w:t>
            </w:r>
            <w:r>
              <w:rPr>
                <w:rFonts w:hint="eastAsia" w:ascii="宋体" w:hAnsi="宋体" w:cs="Courier New"/>
                <w:bCs/>
                <w:color w:val="auto"/>
                <w:szCs w:val="21"/>
                <w:highlight w:val="none"/>
              </w:rPr>
              <w:t>分</w:t>
            </w:r>
          </w:p>
        </w:tc>
      </w:tr>
      <w:tr w14:paraId="502E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 w:type="pct"/>
            <w:vMerge w:val="restart"/>
            <w:noWrap w:val="0"/>
            <w:vAlign w:val="center"/>
          </w:tcPr>
          <w:p w14:paraId="3EC93612">
            <w:pPr>
              <w:adjustRightInd w:val="0"/>
              <w:snapToGrid w:val="0"/>
              <w:spacing w:after="0" w:line="360" w:lineRule="exact"/>
              <w:jc w:val="center"/>
              <w:textAlignment w:val="baseline"/>
              <w:rPr>
                <w:rFonts w:ascii="宋体" w:hAnsi="宋体"/>
                <w:color w:val="auto"/>
                <w:szCs w:val="21"/>
                <w:highlight w:val="none"/>
              </w:rPr>
            </w:pPr>
            <w:r>
              <w:rPr>
                <w:rFonts w:hint="eastAsia" w:ascii="宋体" w:hAnsi="宋体"/>
                <w:color w:val="auto"/>
                <w:szCs w:val="21"/>
                <w:highlight w:val="none"/>
              </w:rPr>
              <w:t>2</w:t>
            </w:r>
          </w:p>
        </w:tc>
        <w:tc>
          <w:tcPr>
            <w:tcW w:w="741" w:type="pct"/>
            <w:vMerge w:val="restart"/>
            <w:noWrap w:val="0"/>
            <w:vAlign w:val="center"/>
          </w:tcPr>
          <w:p w14:paraId="5E723EC5">
            <w:pPr>
              <w:adjustRightInd w:val="0"/>
              <w:snapToGrid w:val="0"/>
              <w:spacing w:after="0" w:line="360" w:lineRule="exact"/>
              <w:ind w:left="-105" w:leftChars="-50" w:right="-105" w:rightChars="-50"/>
              <w:jc w:val="center"/>
              <w:textAlignment w:val="baseline"/>
              <w:rPr>
                <w:rFonts w:ascii="宋体" w:hAnsi="宋体"/>
                <w:b/>
                <w:color w:val="auto"/>
                <w:spacing w:val="-18"/>
                <w:szCs w:val="21"/>
                <w:highlight w:val="none"/>
              </w:rPr>
            </w:pPr>
            <w:r>
              <w:rPr>
                <w:rFonts w:hint="eastAsia" w:ascii="宋体" w:hAnsi="宋体"/>
                <w:b/>
                <w:bCs/>
                <w:color w:val="auto"/>
                <w:szCs w:val="21"/>
                <w:highlight w:val="none"/>
              </w:rPr>
              <w:t>技术分（满分40分）</w:t>
            </w:r>
          </w:p>
        </w:tc>
        <w:tc>
          <w:tcPr>
            <w:tcW w:w="1057" w:type="pct"/>
            <w:noWrap w:val="0"/>
            <w:vAlign w:val="center"/>
          </w:tcPr>
          <w:p w14:paraId="2564D407">
            <w:pPr>
              <w:snapToGrid w:val="0"/>
              <w:spacing w:after="0" w:line="360" w:lineRule="exact"/>
              <w:jc w:val="center"/>
              <w:rPr>
                <w:rFonts w:hint="eastAsia" w:ascii="宋体" w:hAnsi="宋体"/>
                <w:color w:val="auto"/>
                <w:szCs w:val="21"/>
                <w:highlight w:val="none"/>
              </w:rPr>
            </w:pPr>
            <w:r>
              <w:rPr>
                <w:rFonts w:hint="eastAsia" w:ascii="宋体" w:hAnsi="宋体"/>
                <w:color w:val="auto"/>
                <w:szCs w:val="21"/>
                <w:highlight w:val="none"/>
              </w:rPr>
              <w:t>技术服务方案</w:t>
            </w:r>
            <w:r>
              <w:rPr>
                <w:rFonts w:hint="eastAsia" w:ascii="宋体" w:hAnsi="宋体"/>
                <w:color w:val="auto"/>
                <w:szCs w:val="21"/>
                <w:highlight w:val="none"/>
                <w:lang w:val="en-US" w:eastAsia="zh-CN"/>
              </w:rPr>
              <w:t>分</w:t>
            </w:r>
            <w:r>
              <w:rPr>
                <w:rFonts w:hint="eastAsia" w:ascii="宋体" w:hAnsi="宋体"/>
                <w:color w:val="auto"/>
                <w:szCs w:val="21"/>
                <w:highlight w:val="none"/>
              </w:rPr>
              <w:t>（满分20分）</w:t>
            </w:r>
          </w:p>
        </w:tc>
        <w:tc>
          <w:tcPr>
            <w:tcW w:w="2906" w:type="pct"/>
            <w:noWrap w:val="0"/>
            <w:vAlign w:val="center"/>
          </w:tcPr>
          <w:p w14:paraId="7F9BF2A5">
            <w:pPr>
              <w:spacing w:after="0" w:line="360" w:lineRule="exact"/>
              <w:ind w:firstLine="420"/>
              <w:rPr>
                <w:rFonts w:ascii="宋体" w:hAnsi="宋体"/>
                <w:bCs/>
                <w:color w:val="auto"/>
                <w:szCs w:val="21"/>
                <w:highlight w:val="none"/>
              </w:rPr>
            </w:pPr>
            <w:r>
              <w:rPr>
                <w:rFonts w:hint="eastAsia" w:ascii="宋体" w:hAnsi="宋体"/>
                <w:bCs/>
                <w:color w:val="auto"/>
                <w:szCs w:val="21"/>
                <w:highlight w:val="none"/>
              </w:rPr>
              <w:t>由评委</w:t>
            </w:r>
            <w:r>
              <w:rPr>
                <w:rFonts w:hint="eastAsia" w:ascii="宋体" w:hAnsi="宋体"/>
                <w:bCs/>
                <w:color w:val="auto"/>
                <w:szCs w:val="21"/>
                <w:highlight w:val="none"/>
                <w:lang w:val="en-US" w:eastAsia="zh-CN"/>
              </w:rPr>
              <w:t>对投标人提供的技术服务方案</w:t>
            </w:r>
            <w:r>
              <w:rPr>
                <w:rFonts w:hint="eastAsia" w:ascii="宋体" w:hAnsi="宋体"/>
                <w:bCs/>
                <w:color w:val="auto"/>
                <w:szCs w:val="21"/>
                <w:highlight w:val="none"/>
              </w:rPr>
              <w:t>进行评定（满分</w:t>
            </w:r>
            <w:r>
              <w:rPr>
                <w:rFonts w:hint="eastAsia" w:ascii="宋体" w:hAnsi="宋体"/>
                <w:bCs/>
                <w:color w:val="auto"/>
                <w:szCs w:val="21"/>
                <w:highlight w:val="none"/>
                <w:lang w:val="en-US" w:eastAsia="zh-CN"/>
              </w:rPr>
              <w:t>20</w:t>
            </w:r>
            <w:r>
              <w:rPr>
                <w:rFonts w:hint="eastAsia" w:ascii="宋体" w:hAnsi="宋体"/>
                <w:bCs/>
                <w:color w:val="auto"/>
                <w:szCs w:val="21"/>
                <w:highlight w:val="none"/>
              </w:rPr>
              <w:t>分）：</w:t>
            </w:r>
          </w:p>
          <w:p w14:paraId="4397B160">
            <w:pPr>
              <w:spacing w:after="0" w:line="360" w:lineRule="exact"/>
              <w:ind w:firstLine="420"/>
              <w:rPr>
                <w:rFonts w:ascii="宋体" w:hAnsi="宋体"/>
                <w:bCs/>
                <w:color w:val="auto"/>
                <w:szCs w:val="21"/>
                <w:highlight w:val="none"/>
              </w:rPr>
            </w:pPr>
            <w:r>
              <w:rPr>
                <w:rFonts w:hint="eastAsia" w:ascii="宋体" w:hAnsi="宋体"/>
                <w:bCs/>
                <w:color w:val="auto"/>
                <w:szCs w:val="21"/>
                <w:highlight w:val="none"/>
              </w:rPr>
              <w:t>一档（</w:t>
            </w:r>
            <w:r>
              <w:rPr>
                <w:rFonts w:hint="eastAsia" w:ascii="宋体" w:hAnsi="宋体"/>
                <w:bCs/>
                <w:color w:val="auto"/>
                <w:szCs w:val="21"/>
                <w:highlight w:val="none"/>
                <w:lang w:val="en-US" w:eastAsia="zh-CN"/>
              </w:rPr>
              <w:t>10</w:t>
            </w:r>
            <w:r>
              <w:rPr>
                <w:rFonts w:hint="eastAsia" w:ascii="宋体" w:hAnsi="宋体"/>
                <w:bCs/>
                <w:color w:val="auto"/>
                <w:szCs w:val="21"/>
                <w:highlight w:val="none"/>
              </w:rPr>
              <w:t>分）：能提供基本技术服务方案，包括例行检查方案、技术培训方案</w:t>
            </w:r>
            <w:r>
              <w:rPr>
                <w:rFonts w:hint="eastAsia" w:ascii="宋体" w:hAnsi="宋体"/>
                <w:bCs/>
                <w:color w:val="auto"/>
                <w:szCs w:val="21"/>
                <w:highlight w:val="none"/>
                <w:lang w:eastAsia="zh"/>
              </w:rPr>
              <w:t>，</w:t>
            </w:r>
            <w:r>
              <w:rPr>
                <w:rFonts w:hint="eastAsia" w:ascii="宋体" w:hAnsi="宋体"/>
                <w:bCs/>
                <w:color w:val="auto"/>
                <w:szCs w:val="21"/>
                <w:highlight w:val="none"/>
              </w:rPr>
              <w:t>且投标人提供有本地化服务措施，对本项目配置有专门的项目经理或技术负责人（附人员信息，如姓名、电话等）</w:t>
            </w:r>
            <w:r>
              <w:rPr>
                <w:rFonts w:hint="eastAsia" w:ascii="宋体" w:hAnsi="宋体" w:cs="Courier New"/>
                <w:color w:val="auto"/>
                <w:szCs w:val="21"/>
                <w:highlight w:val="none"/>
              </w:rPr>
              <w:t>；</w:t>
            </w:r>
          </w:p>
          <w:p w14:paraId="28173B40">
            <w:pPr>
              <w:spacing w:after="0" w:line="360" w:lineRule="exact"/>
              <w:ind w:firstLine="420"/>
              <w:rPr>
                <w:rFonts w:ascii="宋体" w:hAnsi="宋体"/>
                <w:bCs/>
                <w:color w:val="auto"/>
                <w:szCs w:val="21"/>
                <w:highlight w:val="none"/>
              </w:rPr>
            </w:pPr>
            <w:r>
              <w:rPr>
                <w:rFonts w:hint="eastAsia" w:ascii="宋体" w:hAnsi="宋体"/>
                <w:bCs/>
                <w:color w:val="auto"/>
                <w:szCs w:val="21"/>
                <w:highlight w:val="none"/>
              </w:rPr>
              <w:t>二档（1</w:t>
            </w:r>
            <w:r>
              <w:rPr>
                <w:rFonts w:hint="eastAsia" w:ascii="宋体" w:hAnsi="宋体"/>
                <w:bCs/>
                <w:color w:val="auto"/>
                <w:szCs w:val="21"/>
                <w:highlight w:val="none"/>
                <w:lang w:val="en-US" w:eastAsia="zh-CN"/>
              </w:rPr>
              <w:t>5</w:t>
            </w:r>
            <w:r>
              <w:rPr>
                <w:rFonts w:hint="eastAsia" w:ascii="宋体" w:hAnsi="宋体"/>
                <w:bCs/>
                <w:color w:val="auto"/>
                <w:szCs w:val="21"/>
                <w:highlight w:val="none"/>
              </w:rPr>
              <w:t>分）：满足一档的基础上，能对系统及采购人实际情况进行分析，并针对性的提供故障技术解决方案，包括系统故障排查处理方法等，具体且明确，能细化至每一环节、每一步骤；</w:t>
            </w:r>
          </w:p>
          <w:p w14:paraId="4ED4736A">
            <w:pPr>
              <w:spacing w:after="0" w:line="360" w:lineRule="exact"/>
              <w:ind w:firstLine="420"/>
              <w:rPr>
                <w:rFonts w:ascii="宋体" w:hAnsi="宋体"/>
                <w:bCs/>
                <w:color w:val="auto"/>
                <w:szCs w:val="21"/>
                <w:highlight w:val="none"/>
              </w:rPr>
            </w:pPr>
            <w:r>
              <w:rPr>
                <w:rFonts w:hint="eastAsia" w:ascii="宋体" w:hAnsi="宋体"/>
                <w:bCs/>
                <w:color w:val="auto"/>
                <w:szCs w:val="21"/>
                <w:highlight w:val="none"/>
              </w:rPr>
              <w:t>三档（</w:t>
            </w:r>
            <w:r>
              <w:rPr>
                <w:rFonts w:hint="eastAsia" w:ascii="宋体" w:hAnsi="宋体"/>
                <w:bCs/>
                <w:color w:val="auto"/>
                <w:szCs w:val="21"/>
                <w:highlight w:val="none"/>
                <w:lang w:val="en-US" w:eastAsia="zh-CN"/>
              </w:rPr>
              <w:t>20</w:t>
            </w:r>
            <w:r>
              <w:rPr>
                <w:rFonts w:hint="eastAsia" w:ascii="宋体" w:hAnsi="宋体"/>
                <w:bCs/>
                <w:color w:val="auto"/>
                <w:szCs w:val="21"/>
                <w:highlight w:val="none"/>
              </w:rPr>
              <w:t>分）：满足二档的基础上，</w:t>
            </w:r>
            <w:r>
              <w:rPr>
                <w:rFonts w:hint="eastAsia" w:ascii="宋体" w:hAnsi="宋体" w:cs="宋体"/>
                <w:bCs/>
                <w:color w:val="auto"/>
                <w:szCs w:val="21"/>
                <w:highlight w:val="none"/>
              </w:rPr>
              <w:t>能针对本项目系统特点提供有针对性的应急预案，</w:t>
            </w:r>
            <w:r>
              <w:rPr>
                <w:rFonts w:hint="eastAsia" w:ascii="宋体" w:hAnsi="宋体"/>
                <w:bCs/>
                <w:color w:val="auto"/>
                <w:szCs w:val="21"/>
                <w:highlight w:val="none"/>
              </w:rPr>
              <w:t>包括</w:t>
            </w:r>
            <w:r>
              <w:rPr>
                <w:rFonts w:hint="eastAsia" w:ascii="宋体" w:hAnsi="宋体" w:cs="宋体"/>
                <w:bCs/>
                <w:color w:val="auto"/>
                <w:szCs w:val="21"/>
                <w:highlight w:val="none"/>
              </w:rPr>
              <w:t>重大节假日保障应急预案、系统升级应急预案等，保障系统出现问题时能及时修复</w:t>
            </w:r>
            <w:r>
              <w:rPr>
                <w:rFonts w:hint="eastAsia" w:ascii="宋体" w:hAnsi="宋体"/>
                <w:bCs/>
                <w:color w:val="auto"/>
                <w:szCs w:val="21"/>
                <w:highlight w:val="none"/>
              </w:rPr>
              <w:t>。</w:t>
            </w:r>
          </w:p>
          <w:p w14:paraId="74C084C9">
            <w:pPr>
              <w:widowControl/>
              <w:snapToGrid w:val="0"/>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注：不符合最低入档要求的不得分</w:t>
            </w:r>
            <w:r>
              <w:rPr>
                <w:rFonts w:hint="eastAsia" w:ascii="宋体" w:hAnsi="宋体" w:cs="Courier New"/>
                <w:bCs/>
                <w:color w:val="auto"/>
                <w:szCs w:val="21"/>
                <w:highlight w:val="none"/>
              </w:rPr>
              <w:t>。</w:t>
            </w:r>
          </w:p>
        </w:tc>
      </w:tr>
      <w:tr w14:paraId="31FB0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 w:type="pct"/>
            <w:vMerge w:val="continue"/>
            <w:noWrap w:val="0"/>
            <w:vAlign w:val="center"/>
          </w:tcPr>
          <w:p w14:paraId="78E9ED9A">
            <w:pPr>
              <w:adjustRightInd w:val="0"/>
              <w:snapToGrid w:val="0"/>
              <w:spacing w:after="0" w:line="360" w:lineRule="exact"/>
              <w:jc w:val="center"/>
              <w:textAlignment w:val="baseline"/>
              <w:rPr>
                <w:rFonts w:hint="eastAsia" w:ascii="宋体" w:hAnsi="宋体"/>
                <w:color w:val="auto"/>
                <w:szCs w:val="21"/>
                <w:highlight w:val="none"/>
              </w:rPr>
            </w:pPr>
          </w:p>
        </w:tc>
        <w:tc>
          <w:tcPr>
            <w:tcW w:w="741" w:type="pct"/>
            <w:vMerge w:val="continue"/>
            <w:noWrap w:val="0"/>
            <w:vAlign w:val="center"/>
          </w:tcPr>
          <w:p w14:paraId="3DC2FE51">
            <w:pPr>
              <w:adjustRightInd w:val="0"/>
              <w:snapToGrid w:val="0"/>
              <w:spacing w:after="0" w:line="360" w:lineRule="exact"/>
              <w:ind w:left="-105" w:leftChars="-50" w:right="-105" w:rightChars="-50"/>
              <w:jc w:val="center"/>
              <w:textAlignment w:val="baseline"/>
              <w:rPr>
                <w:rFonts w:hint="eastAsia" w:ascii="宋体" w:hAnsi="宋体"/>
                <w:b/>
                <w:bCs/>
                <w:color w:val="auto"/>
                <w:szCs w:val="21"/>
                <w:highlight w:val="none"/>
              </w:rPr>
            </w:pPr>
          </w:p>
        </w:tc>
        <w:tc>
          <w:tcPr>
            <w:tcW w:w="1057" w:type="pct"/>
            <w:noWrap w:val="0"/>
            <w:vAlign w:val="center"/>
          </w:tcPr>
          <w:p w14:paraId="1C66DED4">
            <w:pPr>
              <w:adjustRightInd w:val="0"/>
              <w:spacing w:after="0" w:line="360" w:lineRule="exact"/>
              <w:jc w:val="center"/>
              <w:textAlignment w:val="baseline"/>
              <w:rPr>
                <w:rFonts w:hint="eastAsia" w:ascii="宋体" w:hAnsi="宋体"/>
                <w:bCs/>
                <w:color w:val="auto"/>
                <w:szCs w:val="21"/>
                <w:highlight w:val="none"/>
              </w:rPr>
            </w:pPr>
            <w:r>
              <w:rPr>
                <w:rFonts w:hint="eastAsia" w:ascii="宋体" w:hAnsi="宋体"/>
                <w:bCs/>
                <w:color w:val="auto"/>
                <w:szCs w:val="21"/>
                <w:highlight w:val="none"/>
              </w:rPr>
              <w:t>实施方案分（满分20分）</w:t>
            </w:r>
          </w:p>
        </w:tc>
        <w:tc>
          <w:tcPr>
            <w:tcW w:w="2906" w:type="pct"/>
            <w:noWrap w:val="0"/>
            <w:vAlign w:val="center"/>
          </w:tcPr>
          <w:p w14:paraId="498C15C3">
            <w:pPr>
              <w:widowControl w:val="0"/>
              <w:spacing w:line="360" w:lineRule="exact"/>
              <w:ind w:firstLine="420" w:firstLineChars="200"/>
              <w:jc w:val="both"/>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由评委</w:t>
            </w:r>
            <w:r>
              <w:rPr>
                <w:rFonts w:hint="eastAsia" w:ascii="宋体" w:hAnsi="宋体" w:cs="Times New Roman"/>
                <w:color w:val="auto"/>
                <w:kern w:val="0"/>
                <w:sz w:val="21"/>
                <w:szCs w:val="21"/>
                <w:highlight w:val="none"/>
                <w:lang w:val="en-US" w:eastAsia="zh-CN" w:bidi="ar-SA"/>
              </w:rPr>
              <w:t>对投标人提供的实施方案</w:t>
            </w:r>
            <w:r>
              <w:rPr>
                <w:rFonts w:hint="eastAsia" w:ascii="宋体" w:hAnsi="宋体" w:eastAsia="宋体" w:cs="Times New Roman"/>
                <w:color w:val="auto"/>
                <w:kern w:val="0"/>
                <w:sz w:val="21"/>
                <w:szCs w:val="21"/>
                <w:highlight w:val="none"/>
                <w:lang w:val="en-US" w:eastAsia="zh-CN" w:bidi="ar-SA"/>
              </w:rPr>
              <w:t>进行评定（满分</w:t>
            </w:r>
            <w:r>
              <w:rPr>
                <w:rFonts w:hint="eastAsia" w:ascii="宋体" w:hAnsi="宋体" w:cs="Times New Roman"/>
                <w:color w:val="auto"/>
                <w:kern w:val="0"/>
                <w:sz w:val="21"/>
                <w:szCs w:val="21"/>
                <w:highlight w:val="none"/>
                <w:lang w:val="en-US" w:eastAsia="zh-CN" w:bidi="ar-SA"/>
              </w:rPr>
              <w:t>20</w:t>
            </w:r>
            <w:r>
              <w:rPr>
                <w:rFonts w:hint="eastAsia" w:ascii="宋体" w:hAnsi="宋体" w:eastAsia="宋体" w:cs="Times New Roman"/>
                <w:color w:val="auto"/>
                <w:kern w:val="0"/>
                <w:sz w:val="21"/>
                <w:szCs w:val="21"/>
                <w:highlight w:val="none"/>
                <w:lang w:val="en-US" w:eastAsia="zh-CN" w:bidi="ar-SA"/>
              </w:rPr>
              <w:t>分）：</w:t>
            </w:r>
          </w:p>
          <w:p w14:paraId="7D739AD9">
            <w:pPr>
              <w:widowControl w:val="0"/>
              <w:spacing w:line="360" w:lineRule="exact"/>
              <w:ind w:firstLine="420" w:firstLineChars="200"/>
              <w:jc w:val="both"/>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一档（</w:t>
            </w:r>
            <w:r>
              <w:rPr>
                <w:rFonts w:hint="eastAsia" w:ascii="宋体" w:hAnsi="宋体" w:cs="Times New Roman"/>
                <w:color w:val="auto"/>
                <w:kern w:val="0"/>
                <w:sz w:val="21"/>
                <w:szCs w:val="21"/>
                <w:highlight w:val="none"/>
                <w:lang w:val="en-US" w:eastAsia="zh-CN" w:bidi="ar-SA"/>
              </w:rPr>
              <w:t>10</w:t>
            </w:r>
            <w:r>
              <w:rPr>
                <w:rFonts w:hint="eastAsia" w:ascii="宋体" w:hAnsi="宋体" w:eastAsia="宋体" w:cs="Times New Roman"/>
                <w:color w:val="auto"/>
                <w:kern w:val="0"/>
                <w:sz w:val="21"/>
                <w:szCs w:val="21"/>
                <w:highlight w:val="none"/>
                <w:lang w:val="en-US" w:eastAsia="zh-CN" w:bidi="ar-SA"/>
              </w:rPr>
              <w:t>分）：对联网收费系统运维服务措施、响应时间等有描述，实施方案能结合项目实际情况编写。</w:t>
            </w:r>
          </w:p>
          <w:p w14:paraId="05418AE3">
            <w:pPr>
              <w:widowControl w:val="0"/>
              <w:spacing w:line="360" w:lineRule="exact"/>
              <w:ind w:firstLine="420" w:firstLineChars="200"/>
              <w:jc w:val="both"/>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二档（1</w:t>
            </w:r>
            <w:r>
              <w:rPr>
                <w:rFonts w:hint="eastAsia" w:ascii="宋体" w:hAnsi="宋体" w:cs="Times New Roman"/>
                <w:color w:val="auto"/>
                <w:kern w:val="0"/>
                <w:sz w:val="21"/>
                <w:szCs w:val="21"/>
                <w:highlight w:val="none"/>
                <w:lang w:val="en-US" w:eastAsia="zh-CN" w:bidi="ar-SA"/>
              </w:rPr>
              <w:t>5</w:t>
            </w:r>
            <w:r>
              <w:rPr>
                <w:rFonts w:hint="eastAsia" w:ascii="宋体" w:hAnsi="宋体" w:eastAsia="宋体" w:cs="Times New Roman"/>
                <w:color w:val="auto"/>
                <w:kern w:val="0"/>
                <w:sz w:val="21"/>
                <w:szCs w:val="21"/>
                <w:highlight w:val="none"/>
                <w:lang w:val="en-US" w:eastAsia="zh-CN" w:bidi="ar-SA"/>
              </w:rPr>
              <w:t>分）：满足一档基础上，详细描述驻场服务、远程技术支持服务、日常运维服务、现场技术支持服务、定期巡检服务、备份与恢复服务、文档管理等各项服务的实现方式；</w:t>
            </w:r>
          </w:p>
          <w:p w14:paraId="3A1B70B8">
            <w:pPr>
              <w:widowControl w:val="0"/>
              <w:spacing w:line="360" w:lineRule="exact"/>
              <w:ind w:firstLine="420" w:firstLineChars="200"/>
              <w:jc w:val="both"/>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三档（</w:t>
            </w:r>
            <w:r>
              <w:rPr>
                <w:rFonts w:hint="eastAsia" w:ascii="宋体" w:hAnsi="宋体" w:cs="Times New Roman"/>
                <w:color w:val="auto"/>
                <w:kern w:val="0"/>
                <w:sz w:val="21"/>
                <w:szCs w:val="21"/>
                <w:highlight w:val="none"/>
                <w:lang w:val="en-US" w:eastAsia="zh-CN" w:bidi="ar-SA"/>
              </w:rPr>
              <w:t>20</w:t>
            </w:r>
            <w:r>
              <w:rPr>
                <w:rFonts w:hint="eastAsia" w:ascii="宋体" w:hAnsi="宋体" w:eastAsia="宋体" w:cs="Times New Roman"/>
                <w:color w:val="auto"/>
                <w:kern w:val="0"/>
                <w:sz w:val="21"/>
                <w:szCs w:val="21"/>
                <w:highlight w:val="none"/>
                <w:lang w:val="en-US" w:eastAsia="zh-CN" w:bidi="ar-SA"/>
              </w:rPr>
              <w:t>分）：满足二档的基础上，方案包含运维服务管理流程，具有人员保障预案、资源协调预案，有运维记录表（包含报修时间、响应时间、完成时间、维护人、维护原因、解决办法、报障人信息）和详细的服务工作记录单（包含客户服务报告、服务质量考核、满意度调查和回访记录单等），能够保障服务实施质量。</w:t>
            </w:r>
          </w:p>
          <w:p w14:paraId="09358405">
            <w:pPr>
              <w:widowControl w:val="0"/>
              <w:spacing w:line="360" w:lineRule="exact"/>
              <w:ind w:firstLine="420" w:firstLineChars="200"/>
              <w:jc w:val="both"/>
              <w:rPr>
                <w:rFonts w:hint="eastAsia" w:ascii="宋体" w:hAnsi="宋体" w:eastAsia="宋体" w:cs="Times New Roman"/>
                <w:color w:val="auto"/>
                <w:kern w:val="0"/>
                <w:sz w:val="21"/>
                <w:szCs w:val="21"/>
                <w:highlight w:val="none"/>
                <w:lang w:val="en-US" w:eastAsia="zh-CN" w:bidi="ar-SA"/>
              </w:rPr>
            </w:pPr>
            <w:bookmarkStart w:id="146" w:name="OLE_LINK12"/>
            <w:r>
              <w:rPr>
                <w:rFonts w:hint="eastAsia" w:ascii="宋体" w:hAnsi="宋体" w:eastAsia="宋体" w:cs="Times New Roman"/>
                <w:color w:val="auto"/>
                <w:kern w:val="0"/>
                <w:sz w:val="21"/>
                <w:szCs w:val="21"/>
                <w:highlight w:val="none"/>
                <w:lang w:val="en-US" w:eastAsia="zh-CN" w:bidi="ar-SA"/>
              </w:rPr>
              <w:t>注：不符合最低入档要求的不得分</w:t>
            </w:r>
            <w:bookmarkEnd w:id="146"/>
            <w:r>
              <w:rPr>
                <w:rFonts w:hint="eastAsia" w:ascii="宋体" w:hAnsi="宋体" w:eastAsia="宋体" w:cs="Times New Roman"/>
                <w:color w:val="auto"/>
                <w:kern w:val="0"/>
                <w:sz w:val="21"/>
                <w:szCs w:val="21"/>
                <w:highlight w:val="none"/>
                <w:lang w:val="en-US" w:eastAsia="zh-CN" w:bidi="ar-SA"/>
              </w:rPr>
              <w:t>。</w:t>
            </w:r>
          </w:p>
        </w:tc>
      </w:tr>
      <w:tr w14:paraId="58BC4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 w:type="pct"/>
            <w:vMerge w:val="restart"/>
            <w:noWrap w:val="0"/>
            <w:vAlign w:val="center"/>
          </w:tcPr>
          <w:p w14:paraId="0905E6E0">
            <w:pPr>
              <w:snapToGrid w:val="0"/>
              <w:spacing w:after="0" w:line="360" w:lineRule="exact"/>
              <w:jc w:val="center"/>
              <w:rPr>
                <w:rFonts w:ascii="宋体" w:hAnsi="宋体"/>
                <w:color w:val="auto"/>
                <w:szCs w:val="21"/>
                <w:highlight w:val="none"/>
              </w:rPr>
            </w:pPr>
            <w:r>
              <w:rPr>
                <w:rFonts w:hint="eastAsia" w:ascii="宋体" w:hAnsi="宋体"/>
                <w:color w:val="auto"/>
                <w:szCs w:val="21"/>
                <w:highlight w:val="none"/>
              </w:rPr>
              <w:t>3</w:t>
            </w:r>
          </w:p>
        </w:tc>
        <w:tc>
          <w:tcPr>
            <w:tcW w:w="741" w:type="pct"/>
            <w:vMerge w:val="restart"/>
            <w:noWrap w:val="0"/>
            <w:vAlign w:val="center"/>
          </w:tcPr>
          <w:p w14:paraId="4E4EC958">
            <w:pPr>
              <w:snapToGrid w:val="0"/>
              <w:spacing w:after="0" w:line="360" w:lineRule="exact"/>
              <w:jc w:val="center"/>
              <w:rPr>
                <w:rFonts w:ascii="宋体" w:hAnsi="宋体"/>
                <w:b/>
                <w:color w:val="auto"/>
                <w:szCs w:val="21"/>
                <w:highlight w:val="none"/>
              </w:rPr>
            </w:pPr>
            <w:r>
              <w:rPr>
                <w:rFonts w:hint="eastAsia" w:ascii="宋体" w:hAnsi="宋体"/>
                <w:b/>
                <w:color w:val="auto"/>
                <w:szCs w:val="21"/>
                <w:highlight w:val="none"/>
              </w:rPr>
              <w:t>商务分</w:t>
            </w:r>
            <w:r>
              <w:rPr>
                <w:rFonts w:hint="eastAsia" w:ascii="宋体" w:hAnsi="宋体"/>
                <w:b/>
                <w:bCs/>
                <w:color w:val="auto"/>
                <w:szCs w:val="21"/>
                <w:highlight w:val="none"/>
              </w:rPr>
              <w:t>（</w:t>
            </w:r>
            <w:r>
              <w:rPr>
                <w:rFonts w:hint="eastAsia" w:ascii="宋体" w:hAnsi="宋体"/>
                <w:b/>
                <w:color w:val="auto"/>
                <w:szCs w:val="21"/>
                <w:highlight w:val="none"/>
              </w:rPr>
              <w:t>满分</w:t>
            </w:r>
            <w:r>
              <w:rPr>
                <w:rFonts w:hint="eastAsia" w:ascii="宋体" w:hAnsi="宋体"/>
                <w:b/>
                <w:color w:val="auto"/>
                <w:szCs w:val="21"/>
                <w:highlight w:val="none"/>
                <w:u w:val="single"/>
              </w:rPr>
              <w:t>50</w:t>
            </w:r>
            <w:r>
              <w:rPr>
                <w:rFonts w:hint="eastAsia" w:ascii="宋体" w:hAnsi="宋体"/>
                <w:b/>
                <w:color w:val="auto"/>
                <w:szCs w:val="21"/>
                <w:highlight w:val="none"/>
              </w:rPr>
              <w:t>分</w:t>
            </w:r>
            <w:r>
              <w:rPr>
                <w:rFonts w:hint="eastAsia" w:ascii="宋体" w:hAnsi="宋体"/>
                <w:b/>
                <w:bCs/>
                <w:color w:val="auto"/>
                <w:szCs w:val="21"/>
                <w:highlight w:val="none"/>
              </w:rPr>
              <w:t>）</w:t>
            </w:r>
          </w:p>
        </w:tc>
        <w:tc>
          <w:tcPr>
            <w:tcW w:w="1057" w:type="pct"/>
            <w:noWrap w:val="0"/>
            <w:vAlign w:val="center"/>
          </w:tcPr>
          <w:p w14:paraId="57B05173">
            <w:pPr>
              <w:widowControl/>
              <w:spacing w:after="0" w:line="36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rPr>
              <w:t>人员</w:t>
            </w:r>
            <w:r>
              <w:rPr>
                <w:rFonts w:ascii="宋体" w:hAnsi="宋体" w:cs="Tahoma"/>
                <w:color w:val="auto"/>
                <w:kern w:val="0"/>
                <w:szCs w:val="21"/>
                <w:highlight w:val="none"/>
              </w:rPr>
              <w:t>配置</w:t>
            </w:r>
            <w:r>
              <w:rPr>
                <w:rFonts w:hint="eastAsia" w:ascii="宋体" w:hAnsi="宋体" w:cs="Tahoma"/>
                <w:color w:val="auto"/>
                <w:kern w:val="0"/>
                <w:szCs w:val="21"/>
                <w:highlight w:val="none"/>
              </w:rPr>
              <w:t>分（满分</w:t>
            </w:r>
            <w:r>
              <w:rPr>
                <w:rFonts w:hint="eastAsia" w:ascii="宋体" w:hAnsi="宋体" w:cs="Tahoma"/>
                <w:color w:val="auto"/>
                <w:kern w:val="0"/>
                <w:szCs w:val="21"/>
                <w:highlight w:val="none"/>
                <w:lang w:val="en-US" w:eastAsia="zh-CN"/>
              </w:rPr>
              <w:t>18</w:t>
            </w:r>
            <w:r>
              <w:rPr>
                <w:rFonts w:hint="eastAsia" w:ascii="宋体" w:hAnsi="宋体" w:cs="Tahoma"/>
                <w:color w:val="auto"/>
                <w:kern w:val="0"/>
                <w:szCs w:val="21"/>
                <w:highlight w:val="none"/>
              </w:rPr>
              <w:t>分）</w:t>
            </w:r>
          </w:p>
        </w:tc>
        <w:tc>
          <w:tcPr>
            <w:tcW w:w="2906" w:type="pct"/>
            <w:noWrap w:val="0"/>
            <w:vAlign w:val="top"/>
          </w:tcPr>
          <w:p w14:paraId="4DE62C8A">
            <w:pPr>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（1）投标人拟投入的项目经理或技术负责人具有人力资源和社会保障部门或其下属机构颁发的计算机、电子或通信相关专业高级或以上职称的，</w:t>
            </w:r>
            <w:r>
              <w:rPr>
                <w:rFonts w:hint="eastAsia" w:ascii="宋体" w:hAnsi="宋体" w:cs="宋体"/>
                <w:color w:val="auto"/>
                <w:szCs w:val="21"/>
                <w:highlight w:val="none"/>
              </w:rPr>
              <w:t>每人</w:t>
            </w:r>
            <w:r>
              <w:rPr>
                <w:rFonts w:hint="eastAsia" w:ascii="宋体" w:hAnsi="宋体"/>
                <w:color w:val="auto"/>
                <w:szCs w:val="21"/>
                <w:highlight w:val="none"/>
              </w:rPr>
              <w:t>得3分，满分6分。</w:t>
            </w:r>
          </w:p>
          <w:p w14:paraId="06390AD9">
            <w:pPr>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（2）投标人拟投入的运维人员具有人力资源和社会保障部门或其下属机构颁发的计算机、电子或通信相关专业中级或以上职称的，</w:t>
            </w:r>
            <w:r>
              <w:rPr>
                <w:rFonts w:hint="eastAsia" w:ascii="宋体" w:hAnsi="宋体" w:cs="宋体"/>
                <w:color w:val="auto"/>
                <w:szCs w:val="21"/>
                <w:highlight w:val="none"/>
              </w:rPr>
              <w:t>每人</w:t>
            </w:r>
            <w:r>
              <w:rPr>
                <w:rFonts w:hint="eastAsia" w:ascii="宋体" w:hAnsi="宋体"/>
                <w:color w:val="auto"/>
                <w:szCs w:val="21"/>
                <w:highlight w:val="none"/>
              </w:rPr>
              <w:t>得</w:t>
            </w:r>
            <w:r>
              <w:rPr>
                <w:rFonts w:hint="eastAsia" w:ascii="宋体" w:hAnsi="宋体"/>
                <w:color w:val="auto"/>
                <w:szCs w:val="21"/>
                <w:highlight w:val="none"/>
                <w:lang w:val="en-US" w:eastAsia="zh-CN"/>
              </w:rPr>
              <w:t>1.5</w:t>
            </w:r>
            <w:r>
              <w:rPr>
                <w:rFonts w:hint="eastAsia" w:ascii="宋体" w:hAnsi="宋体"/>
                <w:color w:val="auto"/>
                <w:szCs w:val="21"/>
                <w:highlight w:val="none"/>
              </w:rPr>
              <w:t>分，满分</w:t>
            </w:r>
            <w:r>
              <w:rPr>
                <w:rFonts w:hint="eastAsia" w:ascii="宋体" w:hAnsi="宋体"/>
                <w:color w:val="auto"/>
                <w:szCs w:val="21"/>
                <w:highlight w:val="none"/>
                <w:lang w:val="en-US" w:eastAsia="zh-CN"/>
              </w:rPr>
              <w:t>12</w:t>
            </w:r>
            <w:r>
              <w:rPr>
                <w:rFonts w:hint="eastAsia" w:ascii="宋体" w:hAnsi="宋体"/>
                <w:color w:val="auto"/>
                <w:szCs w:val="21"/>
                <w:highlight w:val="none"/>
              </w:rPr>
              <w:t>分。</w:t>
            </w:r>
          </w:p>
          <w:p w14:paraId="365743BB">
            <w:pPr>
              <w:spacing w:after="0" w:line="36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注：上述（1）（2）项，</w:t>
            </w:r>
            <w:r>
              <w:rPr>
                <w:rFonts w:hint="eastAsia" w:ascii="宋体" w:hAnsi="宋体"/>
                <w:b/>
                <w:bCs/>
                <w:color w:val="auto"/>
                <w:szCs w:val="21"/>
                <w:highlight w:val="none"/>
                <w:lang w:val="en-US" w:eastAsia="zh-CN"/>
              </w:rPr>
              <w:t>需提供</w:t>
            </w:r>
            <w:r>
              <w:rPr>
                <w:rFonts w:hint="eastAsia" w:ascii="宋体" w:hAnsi="宋体"/>
                <w:b/>
                <w:bCs/>
                <w:color w:val="auto"/>
                <w:szCs w:val="21"/>
                <w:highlight w:val="none"/>
              </w:rPr>
              <w:t>投标人为其缴纳的投标截止时间前半年内的任意一个月的社保证明、或劳动合同、或投标人为其发放工资的银行流水证明、或投标人代缴其个人所得税证明复印件，未按要求提供的不得分。项目经理或技术负责人与运维人员不得为同一人，</w:t>
            </w:r>
            <w:r>
              <w:rPr>
                <w:rFonts w:hint="eastAsia" w:ascii="宋体" w:hAnsi="宋体"/>
                <w:b/>
                <w:bCs/>
                <w:color w:val="auto"/>
                <w:highlight w:val="none"/>
              </w:rPr>
              <w:t>一人具有多项职称、资格证书的不重复计分</w:t>
            </w:r>
            <w:r>
              <w:rPr>
                <w:rFonts w:hint="eastAsia" w:ascii="宋体" w:hAnsi="宋体"/>
                <w:b/>
                <w:bCs/>
                <w:color w:val="auto"/>
                <w:szCs w:val="21"/>
                <w:highlight w:val="none"/>
              </w:rPr>
              <w:t>。</w:t>
            </w:r>
          </w:p>
        </w:tc>
      </w:tr>
      <w:tr w14:paraId="6C43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 w:type="pct"/>
            <w:vMerge w:val="continue"/>
            <w:noWrap w:val="0"/>
            <w:vAlign w:val="center"/>
          </w:tcPr>
          <w:p w14:paraId="0FAD4B0C">
            <w:pPr>
              <w:snapToGrid w:val="0"/>
              <w:spacing w:after="0" w:line="360" w:lineRule="exact"/>
              <w:jc w:val="center"/>
              <w:rPr>
                <w:rFonts w:hint="eastAsia" w:ascii="宋体" w:hAnsi="宋体"/>
                <w:color w:val="auto"/>
                <w:szCs w:val="21"/>
                <w:highlight w:val="none"/>
              </w:rPr>
            </w:pPr>
          </w:p>
        </w:tc>
        <w:tc>
          <w:tcPr>
            <w:tcW w:w="741" w:type="pct"/>
            <w:vMerge w:val="continue"/>
            <w:noWrap w:val="0"/>
            <w:vAlign w:val="center"/>
          </w:tcPr>
          <w:p w14:paraId="0B663687">
            <w:pPr>
              <w:snapToGrid w:val="0"/>
              <w:spacing w:after="0" w:line="360" w:lineRule="exact"/>
              <w:jc w:val="center"/>
              <w:rPr>
                <w:rFonts w:hint="eastAsia" w:ascii="宋体" w:hAnsi="宋体"/>
                <w:b/>
                <w:color w:val="auto"/>
                <w:szCs w:val="21"/>
                <w:highlight w:val="none"/>
              </w:rPr>
            </w:pPr>
          </w:p>
        </w:tc>
        <w:tc>
          <w:tcPr>
            <w:tcW w:w="1057" w:type="pct"/>
            <w:noWrap w:val="0"/>
            <w:vAlign w:val="center"/>
          </w:tcPr>
          <w:p w14:paraId="0147FE17">
            <w:pPr>
              <w:widowControl/>
              <w:spacing w:after="0" w:line="360" w:lineRule="exact"/>
              <w:jc w:val="center"/>
              <w:rPr>
                <w:rFonts w:ascii="宋体" w:hAnsi="宋体" w:cs="Tahoma"/>
                <w:color w:val="auto"/>
                <w:kern w:val="0"/>
                <w:szCs w:val="21"/>
                <w:highlight w:val="none"/>
              </w:rPr>
            </w:pPr>
            <w:r>
              <w:rPr>
                <w:rFonts w:hint="eastAsia" w:ascii="宋体" w:hAnsi="宋体"/>
                <w:bCs/>
                <w:color w:val="auto"/>
                <w:szCs w:val="21"/>
                <w:highlight w:val="none"/>
              </w:rPr>
              <w:t>信誉及业绩</w:t>
            </w:r>
            <w:r>
              <w:rPr>
                <w:rFonts w:hint="eastAsia" w:ascii="宋体" w:hAnsi="宋体"/>
                <w:bCs/>
                <w:color w:val="auto"/>
                <w:szCs w:val="21"/>
                <w:highlight w:val="none"/>
                <w:lang w:val="en-US" w:eastAsia="zh-CN"/>
              </w:rPr>
              <w:t>分</w:t>
            </w:r>
            <w:r>
              <w:rPr>
                <w:rFonts w:hint="eastAsia" w:ascii="宋体" w:hAnsi="宋体"/>
                <w:bCs/>
                <w:color w:val="auto"/>
                <w:szCs w:val="21"/>
                <w:highlight w:val="none"/>
              </w:rPr>
              <w:t>（满分</w:t>
            </w:r>
            <w:r>
              <w:rPr>
                <w:rFonts w:hint="eastAsia" w:ascii="宋体" w:hAnsi="宋体"/>
                <w:bCs/>
                <w:color w:val="auto"/>
                <w:szCs w:val="21"/>
                <w:highlight w:val="none"/>
                <w:lang w:val="en-US" w:eastAsia="zh-CN"/>
              </w:rPr>
              <w:t>32</w:t>
            </w:r>
            <w:r>
              <w:rPr>
                <w:rFonts w:hint="eastAsia" w:ascii="宋体" w:hAnsi="宋体"/>
                <w:bCs/>
                <w:color w:val="auto"/>
                <w:szCs w:val="21"/>
                <w:highlight w:val="none"/>
              </w:rPr>
              <w:t>分）</w:t>
            </w:r>
          </w:p>
        </w:tc>
        <w:tc>
          <w:tcPr>
            <w:tcW w:w="2906" w:type="pct"/>
            <w:noWrap w:val="0"/>
            <w:vAlign w:val="top"/>
          </w:tcPr>
          <w:p w14:paraId="3664B03F">
            <w:pPr>
              <w:numPr>
                <w:ilvl w:val="0"/>
                <w:numId w:val="0"/>
              </w:numPr>
              <w:spacing w:after="0" w:line="36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投标人具有</w:t>
            </w:r>
            <w:r>
              <w:rPr>
                <w:rFonts w:hint="eastAsia" w:ascii="宋体" w:hAnsi="宋体"/>
                <w:color w:val="auto"/>
                <w:szCs w:val="21"/>
                <w:highlight w:val="none"/>
                <w:lang w:val="en-US" w:eastAsia="zh-CN"/>
              </w:rPr>
              <w:t>有效的</w:t>
            </w:r>
            <w:r>
              <w:rPr>
                <w:rFonts w:hint="eastAsia" w:ascii="宋体" w:hAnsi="宋体"/>
                <w:color w:val="auto"/>
                <w:szCs w:val="21"/>
                <w:highlight w:val="none"/>
              </w:rPr>
              <w:t>ISO9001质量管理体系认证证书、ISO20000信息技术服务管理体系证书、ISO27001信息安全管理体系证书的，每提供一项得</w:t>
            </w:r>
            <w:r>
              <w:rPr>
                <w:rFonts w:hint="eastAsia" w:ascii="宋体" w:hAnsi="宋体"/>
                <w:color w:val="auto"/>
                <w:szCs w:val="21"/>
                <w:highlight w:val="none"/>
                <w:lang w:val="en-US" w:eastAsia="zh-CN"/>
              </w:rPr>
              <w:t>2</w:t>
            </w:r>
            <w:r>
              <w:rPr>
                <w:rFonts w:hint="eastAsia" w:ascii="宋体" w:hAnsi="宋体"/>
                <w:color w:val="auto"/>
                <w:szCs w:val="21"/>
                <w:highlight w:val="none"/>
              </w:rPr>
              <w:t>分，满分</w:t>
            </w:r>
            <w:r>
              <w:rPr>
                <w:rFonts w:hint="eastAsia" w:ascii="宋体" w:hAnsi="宋体"/>
                <w:color w:val="auto"/>
                <w:szCs w:val="21"/>
                <w:highlight w:val="none"/>
                <w:lang w:val="en-US" w:eastAsia="zh-CN"/>
              </w:rPr>
              <w:t>6</w:t>
            </w:r>
            <w:r>
              <w:rPr>
                <w:rFonts w:hint="eastAsia" w:ascii="宋体" w:hAnsi="宋体"/>
                <w:color w:val="auto"/>
                <w:szCs w:val="21"/>
                <w:highlight w:val="none"/>
              </w:rPr>
              <w:t>分。投标</w:t>
            </w:r>
            <w:r>
              <w:rPr>
                <w:rFonts w:hint="eastAsia" w:ascii="宋体" w:hAnsi="宋体" w:cs="宋体"/>
                <w:color w:val="auto"/>
                <w:szCs w:val="21"/>
                <w:highlight w:val="none"/>
              </w:rPr>
              <w:t>文件中需提供有效期内的证书复印件。</w:t>
            </w:r>
          </w:p>
          <w:p w14:paraId="42EB5228">
            <w:pPr>
              <w:widowControl/>
              <w:numPr>
                <w:ilvl w:val="0"/>
                <w:numId w:val="0"/>
              </w:numPr>
              <w:spacing w:after="0"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投标人自202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年1月1日起获得过各级人民政府颁发的信息化类科学技术奖，每提供一个得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分，满分6分。</w:t>
            </w:r>
            <w:r>
              <w:rPr>
                <w:rFonts w:hint="eastAsia" w:ascii="宋体" w:hAnsi="宋体"/>
                <w:color w:val="auto"/>
                <w:szCs w:val="21"/>
                <w:highlight w:val="none"/>
              </w:rPr>
              <w:t>投标</w:t>
            </w:r>
            <w:r>
              <w:rPr>
                <w:rFonts w:hint="eastAsia" w:ascii="宋体" w:hAnsi="宋体" w:cs="宋体"/>
                <w:color w:val="auto"/>
                <w:szCs w:val="21"/>
                <w:highlight w:val="none"/>
              </w:rPr>
              <w:t>文件中提供相关证明材料复印件。</w:t>
            </w:r>
          </w:p>
          <w:p w14:paraId="49A5F64D">
            <w:pPr>
              <w:spacing w:after="0" w:line="36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olor w:val="auto"/>
                <w:szCs w:val="21"/>
                <w:highlight w:val="none"/>
              </w:rPr>
              <w:t>投标人</w:t>
            </w:r>
            <w:r>
              <w:rPr>
                <w:rFonts w:hint="eastAsia" w:ascii="宋体" w:hAnsi="宋体"/>
                <w:color w:val="auto"/>
                <w:szCs w:val="21"/>
                <w:highlight w:val="none"/>
                <w:lang w:val="en-US" w:eastAsia="zh-CN"/>
              </w:rPr>
              <w:t>自</w:t>
            </w:r>
            <w:r>
              <w:rPr>
                <w:rFonts w:hint="eastAsia" w:ascii="宋体" w:hAnsi="宋体"/>
                <w:color w:val="auto"/>
                <w:szCs w:val="21"/>
                <w:highlight w:val="none"/>
              </w:rPr>
              <w:t>202</w:t>
            </w:r>
            <w:r>
              <w:rPr>
                <w:rFonts w:hint="eastAsia" w:ascii="宋体" w:hAnsi="宋体"/>
                <w:color w:val="auto"/>
                <w:szCs w:val="21"/>
                <w:highlight w:val="none"/>
                <w:lang w:val="en-US" w:eastAsia="zh-CN"/>
              </w:rPr>
              <w:t>3</w:t>
            </w:r>
            <w:r>
              <w:rPr>
                <w:rFonts w:hint="eastAsia" w:ascii="宋体" w:hAnsi="宋体"/>
                <w:color w:val="auto"/>
                <w:szCs w:val="21"/>
                <w:highlight w:val="none"/>
              </w:rPr>
              <w:t>年1月1日至</w:t>
            </w:r>
            <w:r>
              <w:rPr>
                <w:rFonts w:hint="eastAsia" w:ascii="宋体" w:hAnsi="宋体" w:cs="宋体"/>
                <w:color w:val="auto"/>
                <w:szCs w:val="21"/>
                <w:highlight w:val="none"/>
              </w:rPr>
              <w:t>提交投标文件截止时间止，</w:t>
            </w:r>
            <w:r>
              <w:rPr>
                <w:rFonts w:hint="eastAsia" w:ascii="宋体" w:hAnsi="宋体" w:cs="宋体"/>
                <w:color w:val="auto"/>
                <w:szCs w:val="21"/>
                <w:highlight w:val="none"/>
                <w:lang w:val="en-US" w:eastAsia="zh-CN"/>
              </w:rPr>
              <w:t>获得过</w:t>
            </w:r>
            <w:bookmarkStart w:id="147" w:name="OLE_LINK25"/>
            <w:r>
              <w:rPr>
                <w:rFonts w:hint="eastAsia" w:ascii="宋体" w:hAnsi="宋体"/>
                <w:color w:val="auto"/>
                <w:szCs w:val="21"/>
                <w:highlight w:val="none"/>
              </w:rPr>
              <w:t>信息化运维系统</w:t>
            </w:r>
            <w:bookmarkEnd w:id="147"/>
            <w:r>
              <w:rPr>
                <w:rFonts w:hint="eastAsia" w:ascii="宋体" w:hAnsi="宋体"/>
                <w:color w:val="auto"/>
                <w:szCs w:val="21"/>
                <w:highlight w:val="none"/>
              </w:rPr>
              <w:t>类计算机软件著作权登记证书的，每提供一个得</w:t>
            </w:r>
            <w:r>
              <w:rPr>
                <w:rFonts w:hint="eastAsia" w:ascii="宋体" w:hAnsi="宋体"/>
                <w:color w:val="auto"/>
                <w:szCs w:val="21"/>
                <w:highlight w:val="none"/>
                <w:lang w:val="en-US" w:eastAsia="zh-CN"/>
              </w:rPr>
              <w:t>4</w:t>
            </w:r>
            <w:r>
              <w:rPr>
                <w:rFonts w:hint="eastAsia" w:ascii="宋体" w:hAnsi="宋体"/>
                <w:color w:val="auto"/>
                <w:szCs w:val="21"/>
                <w:highlight w:val="none"/>
              </w:rPr>
              <w:t>分，满分</w:t>
            </w:r>
            <w:r>
              <w:rPr>
                <w:rFonts w:hint="eastAsia" w:ascii="宋体" w:hAnsi="宋体"/>
                <w:color w:val="auto"/>
                <w:szCs w:val="21"/>
                <w:highlight w:val="none"/>
                <w:lang w:val="en-US" w:eastAsia="zh-CN"/>
              </w:rPr>
              <w:t>12</w:t>
            </w:r>
            <w:r>
              <w:rPr>
                <w:rFonts w:hint="eastAsia" w:ascii="宋体" w:hAnsi="宋体"/>
                <w:color w:val="auto"/>
                <w:szCs w:val="21"/>
                <w:highlight w:val="none"/>
              </w:rPr>
              <w:t>分。投标文件中需提供有效的证明材料复印件。</w:t>
            </w:r>
          </w:p>
          <w:p w14:paraId="20EE1B44">
            <w:pPr>
              <w:spacing w:after="0" w:line="360" w:lineRule="exact"/>
              <w:ind w:firstLine="420" w:firstLineChars="200"/>
              <w:rPr>
                <w:rFonts w:hint="eastAsia" w:ascii="宋体" w:hAnsi="宋体"/>
                <w:b/>
                <w:bCs/>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）投标人具有202</w:t>
            </w:r>
            <w:r>
              <w:rPr>
                <w:rFonts w:hint="eastAsia" w:ascii="宋体" w:hAnsi="宋体"/>
                <w:color w:val="auto"/>
                <w:szCs w:val="21"/>
                <w:highlight w:val="none"/>
                <w:lang w:val="en-US" w:eastAsia="zh-CN"/>
              </w:rPr>
              <w:t>3</w:t>
            </w:r>
            <w:r>
              <w:rPr>
                <w:rFonts w:hint="eastAsia" w:ascii="宋体" w:hAnsi="宋体"/>
                <w:color w:val="auto"/>
                <w:szCs w:val="21"/>
                <w:highlight w:val="none"/>
              </w:rPr>
              <w:t>年1月1日至</w:t>
            </w:r>
            <w:r>
              <w:rPr>
                <w:rFonts w:hint="eastAsia" w:ascii="宋体" w:hAnsi="宋体" w:cs="宋体"/>
                <w:color w:val="auto"/>
                <w:szCs w:val="21"/>
                <w:highlight w:val="none"/>
              </w:rPr>
              <w:t>提交投标文件截止时间止，承担</w:t>
            </w:r>
            <w:r>
              <w:rPr>
                <w:rFonts w:hint="eastAsia" w:ascii="宋体" w:hAnsi="宋体"/>
                <w:color w:val="auto"/>
                <w:szCs w:val="21"/>
                <w:highlight w:val="none"/>
              </w:rPr>
              <w:t>过类似信息化系统运维项目业绩的，</w:t>
            </w:r>
            <w:r>
              <w:rPr>
                <w:rFonts w:hint="eastAsia" w:ascii="宋体" w:hAnsi="宋体" w:cs="宋体"/>
                <w:color w:val="auto"/>
                <w:szCs w:val="21"/>
                <w:highlight w:val="none"/>
              </w:rPr>
              <w:t>每提供一个</w:t>
            </w:r>
            <w:r>
              <w:rPr>
                <w:rFonts w:hint="eastAsia" w:ascii="宋体" w:hAnsi="宋体"/>
                <w:color w:val="auto"/>
                <w:szCs w:val="21"/>
                <w:highlight w:val="none"/>
              </w:rPr>
              <w:t>得2分，满分</w:t>
            </w:r>
            <w:r>
              <w:rPr>
                <w:rFonts w:hint="default" w:ascii="宋体" w:hAnsi="宋体"/>
                <w:color w:val="auto"/>
                <w:szCs w:val="21"/>
                <w:highlight w:val="none"/>
                <w:lang w:val="en-US"/>
              </w:rPr>
              <w:t>8</w:t>
            </w:r>
            <w:r>
              <w:rPr>
                <w:rFonts w:hint="eastAsia" w:ascii="宋体" w:hAnsi="宋体"/>
                <w:color w:val="auto"/>
                <w:szCs w:val="21"/>
                <w:highlight w:val="none"/>
              </w:rPr>
              <w:t>分。（注：</w:t>
            </w:r>
            <w:r>
              <w:rPr>
                <w:rFonts w:hint="eastAsia" w:ascii="宋体" w:hAnsi="宋体"/>
                <w:color w:val="auto"/>
                <w:szCs w:val="21"/>
                <w:highlight w:val="none"/>
                <w:lang w:val="en-US" w:eastAsia="zh-CN"/>
              </w:rPr>
              <w:t>以合同签订时间为准，</w:t>
            </w:r>
            <w:r>
              <w:rPr>
                <w:rFonts w:hint="eastAsia" w:ascii="宋体" w:hAnsi="宋体"/>
                <w:color w:val="auto"/>
                <w:szCs w:val="21"/>
                <w:highlight w:val="none"/>
              </w:rPr>
              <w:t>投标人</w:t>
            </w:r>
            <w:r>
              <w:rPr>
                <w:rFonts w:hint="eastAsia" w:ascii="宋体" w:hAnsi="宋体" w:cs="宋体"/>
                <w:color w:val="auto"/>
                <w:szCs w:val="21"/>
                <w:highlight w:val="none"/>
              </w:rPr>
              <w:t>需在</w:t>
            </w:r>
            <w:r>
              <w:rPr>
                <w:rFonts w:hint="eastAsia" w:ascii="宋体" w:hAnsi="宋体"/>
                <w:color w:val="auto"/>
                <w:szCs w:val="21"/>
                <w:highlight w:val="none"/>
              </w:rPr>
              <w:t>投标</w:t>
            </w:r>
            <w:r>
              <w:rPr>
                <w:rFonts w:hint="eastAsia" w:ascii="宋体" w:hAnsi="宋体" w:cs="宋体"/>
                <w:color w:val="auto"/>
                <w:szCs w:val="21"/>
                <w:highlight w:val="none"/>
              </w:rPr>
              <w:t>文件中提供</w:t>
            </w:r>
            <w:r>
              <w:rPr>
                <w:rFonts w:hint="eastAsia" w:ascii="宋体" w:hAnsi="宋体"/>
                <w:color w:val="auto"/>
                <w:szCs w:val="21"/>
                <w:highlight w:val="none"/>
              </w:rPr>
              <w:t>类似项目业绩的合同复印件并加盖投标人电子公章，未按要求提供的不得分）</w:t>
            </w:r>
          </w:p>
        </w:tc>
      </w:tr>
      <w:tr w14:paraId="2ACCD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000" w:type="pct"/>
            <w:gridSpan w:val="4"/>
            <w:noWrap w:val="0"/>
            <w:vAlign w:val="center"/>
          </w:tcPr>
          <w:p w14:paraId="0D72788F">
            <w:pPr>
              <w:widowControl w:val="0"/>
              <w:snapToGrid w:val="0"/>
              <w:spacing w:line="360" w:lineRule="exact"/>
              <w:jc w:val="both"/>
              <w:rPr>
                <w:rFonts w:hint="eastAsia" w:ascii="宋体" w:hAnsi="宋体" w:eastAsia="宋体" w:cs="Times New Roman"/>
                <w:b/>
                <w:bCs/>
                <w:color w:val="auto"/>
                <w:kern w:val="0"/>
                <w:sz w:val="21"/>
                <w:szCs w:val="21"/>
                <w:highlight w:val="none"/>
                <w:lang w:val="en-US" w:eastAsia="zh-CN" w:bidi="ar-SA"/>
              </w:rPr>
            </w:pPr>
            <w:r>
              <w:rPr>
                <w:rFonts w:hint="eastAsia" w:ascii="宋体" w:hAnsi="宋体" w:eastAsia="宋体" w:cs="Times New Roman"/>
                <w:b/>
                <w:bCs/>
                <w:color w:val="auto"/>
                <w:kern w:val="0"/>
                <w:sz w:val="21"/>
                <w:szCs w:val="21"/>
                <w:highlight w:val="none"/>
                <w:lang w:val="en-US" w:eastAsia="zh-CN" w:bidi="ar-SA"/>
              </w:rPr>
              <w:t>总得分=1+2+3</w:t>
            </w:r>
          </w:p>
          <w:p w14:paraId="33881AFD">
            <w:pPr>
              <w:widowControl w:val="0"/>
              <w:snapToGrid w:val="0"/>
              <w:spacing w:line="360" w:lineRule="exact"/>
              <w:jc w:val="both"/>
              <w:rPr>
                <w:rFonts w:ascii="宋体" w:hAnsi="宋体" w:eastAsia="宋体" w:cs="Times New Roman"/>
                <w:b/>
                <w:bCs/>
                <w:color w:val="auto"/>
                <w:kern w:val="0"/>
                <w:sz w:val="21"/>
                <w:szCs w:val="21"/>
                <w:highlight w:val="none"/>
                <w:lang w:val="en-US" w:eastAsia="zh-CN" w:bidi="ar-SA"/>
              </w:rPr>
            </w:pPr>
            <w:r>
              <w:rPr>
                <w:rFonts w:hint="eastAsia" w:ascii="宋体" w:hAnsi="宋体" w:eastAsia="宋体" w:cs="Times New Roman"/>
                <w:b/>
                <w:bCs/>
                <w:color w:val="auto"/>
                <w:kern w:val="0"/>
                <w:sz w:val="21"/>
                <w:szCs w:val="21"/>
                <w:highlight w:val="none"/>
                <w:lang w:val="en-US" w:eastAsia="zh-CN" w:bidi="ar-SA"/>
              </w:rPr>
              <w:t>备注：本项目为服务类项目，不涉及节能环保政策考核。</w:t>
            </w:r>
          </w:p>
        </w:tc>
      </w:tr>
    </w:tbl>
    <w:p w14:paraId="0F633CC4">
      <w:pPr>
        <w:pStyle w:val="25"/>
        <w:spacing w:line="440" w:lineRule="exact"/>
        <w:ind w:firstLine="420"/>
        <w:rPr>
          <w:rFonts w:hint="eastAsia" w:hAnsi="宋体"/>
          <w:color w:val="auto"/>
          <w:highlight w:val="none"/>
        </w:rPr>
      </w:pPr>
    </w:p>
    <w:p w14:paraId="400A6DE9">
      <w:pPr>
        <w:rPr>
          <w:rFonts w:ascii="宋体" w:hAnsi="宋体"/>
          <w:color w:val="auto"/>
          <w:highlight w:val="none"/>
        </w:rPr>
      </w:pPr>
      <w:bookmarkStart w:id="148" w:name="_Toc3570436"/>
      <w:bookmarkStart w:id="149" w:name="_Toc3570278"/>
    </w:p>
    <w:bookmarkEnd w:id="148"/>
    <w:bookmarkEnd w:id="149"/>
    <w:p w14:paraId="4378AF9F">
      <w:pPr>
        <w:widowControl w:val="0"/>
        <w:spacing w:after="0" w:line="360" w:lineRule="auto"/>
        <w:ind w:firstLine="420"/>
        <w:jc w:val="both"/>
        <w:rPr>
          <w:rFonts w:hint="eastAsia" w:ascii="宋体" w:hAnsi="宋体" w:eastAsia="宋体" w:cs="Times New Roman"/>
          <w:bCs/>
          <w:kern w:val="0"/>
          <w:sz w:val="21"/>
          <w:szCs w:val="21"/>
          <w:highlight w:val="none"/>
          <w:lang w:val="en-US" w:eastAsia="zh-CN" w:bidi="ar-SA"/>
        </w:rPr>
      </w:pPr>
      <w:r>
        <w:rPr>
          <w:rFonts w:hint="eastAsia" w:ascii="宋体" w:hAnsi="宋体" w:eastAsia="宋体" w:cs="Times New Roman"/>
          <w:bCs/>
          <w:kern w:val="0"/>
          <w:sz w:val="21"/>
          <w:szCs w:val="21"/>
          <w:highlight w:val="none"/>
          <w:lang w:val="en-US" w:eastAsia="zh-CN" w:bidi="ar-SA"/>
        </w:rPr>
        <w:t xml:space="preserve">评标中出现下列情形之一的，评标委员会应当启动异常低价投标（响应）审查程序： </w:t>
      </w:r>
    </w:p>
    <w:p w14:paraId="4AB8E247">
      <w:pPr>
        <w:widowControl w:val="0"/>
        <w:spacing w:after="0" w:line="360" w:lineRule="auto"/>
        <w:ind w:firstLine="420"/>
        <w:jc w:val="both"/>
        <w:rPr>
          <w:rFonts w:hint="eastAsia" w:ascii="宋体" w:hAnsi="宋体" w:eastAsia="宋体" w:cs="Times New Roman"/>
          <w:bCs/>
          <w:kern w:val="0"/>
          <w:sz w:val="21"/>
          <w:szCs w:val="21"/>
          <w:highlight w:val="none"/>
          <w:lang w:val="en-US" w:eastAsia="zh-CN" w:bidi="ar-SA"/>
        </w:rPr>
      </w:pPr>
      <w:r>
        <w:rPr>
          <w:rFonts w:hint="eastAsia" w:ascii="宋体" w:hAnsi="宋体" w:eastAsia="宋体" w:cs="Times New Roman"/>
          <w:bCs/>
          <w:kern w:val="0"/>
          <w:sz w:val="21"/>
          <w:szCs w:val="21"/>
          <w:highlight w:val="none"/>
          <w:lang w:val="en-US" w:eastAsia="zh-CN" w:bidi="ar-SA"/>
        </w:rPr>
        <w:t xml:space="preserve">1.投标（响应）报价低于全部通过符合性审查供应商投标（响应）报价平均值50%的，即投标（响应）报价&lt;全部通过符合性审查供应商投标（响应）报价平均值×50%； </w:t>
      </w:r>
    </w:p>
    <w:p w14:paraId="5BC059B1">
      <w:pPr>
        <w:widowControl w:val="0"/>
        <w:spacing w:after="0" w:line="360" w:lineRule="auto"/>
        <w:ind w:firstLine="420"/>
        <w:jc w:val="both"/>
        <w:rPr>
          <w:rFonts w:hint="eastAsia" w:ascii="宋体" w:hAnsi="宋体" w:eastAsia="宋体" w:cs="Times New Roman"/>
          <w:bCs/>
          <w:kern w:val="0"/>
          <w:sz w:val="21"/>
          <w:szCs w:val="21"/>
          <w:highlight w:val="none"/>
          <w:lang w:val="en-US" w:eastAsia="zh-CN" w:bidi="ar-SA"/>
        </w:rPr>
      </w:pPr>
      <w:r>
        <w:rPr>
          <w:rFonts w:hint="eastAsia" w:ascii="宋体" w:hAnsi="宋体" w:eastAsia="宋体" w:cs="Times New Roman"/>
          <w:bCs/>
          <w:kern w:val="0"/>
          <w:sz w:val="21"/>
          <w:szCs w:val="21"/>
          <w:highlight w:val="none"/>
          <w:lang w:val="en-US" w:eastAsia="zh-CN" w:bidi="ar-SA"/>
        </w:rPr>
        <w:t xml:space="preserve">2.投标（响应）报价低于通过符合性审查的次低报价供应商投标（响应）报价50%的，即投标（响应）报价&lt;通过符合性审查的次低报价供应商投标（响应）报价×50%； </w:t>
      </w:r>
    </w:p>
    <w:p w14:paraId="1E8DA825">
      <w:pPr>
        <w:widowControl w:val="0"/>
        <w:spacing w:after="0" w:line="360" w:lineRule="auto"/>
        <w:ind w:firstLine="420"/>
        <w:jc w:val="both"/>
        <w:rPr>
          <w:rFonts w:hint="eastAsia" w:ascii="宋体" w:hAnsi="宋体" w:eastAsia="宋体" w:cs="Times New Roman"/>
          <w:bCs/>
          <w:kern w:val="0"/>
          <w:sz w:val="21"/>
          <w:szCs w:val="21"/>
          <w:highlight w:val="none"/>
          <w:lang w:val="en-US" w:eastAsia="zh-CN" w:bidi="ar-SA"/>
        </w:rPr>
      </w:pPr>
      <w:r>
        <w:rPr>
          <w:rFonts w:hint="eastAsia" w:ascii="宋体" w:hAnsi="宋体" w:eastAsia="宋体" w:cs="Times New Roman"/>
          <w:bCs/>
          <w:kern w:val="0"/>
          <w:sz w:val="21"/>
          <w:szCs w:val="21"/>
          <w:highlight w:val="none"/>
          <w:lang w:val="en-US" w:eastAsia="zh-CN" w:bidi="ar-SA"/>
        </w:rPr>
        <w:t xml:space="preserve">3.投标（响应）报价低于采购项目最高限价45%的，即投标（响应）报价&lt;采购项目最高限价×45%； </w:t>
      </w:r>
    </w:p>
    <w:p w14:paraId="59309244">
      <w:pPr>
        <w:widowControl w:val="0"/>
        <w:spacing w:after="0" w:line="360" w:lineRule="auto"/>
        <w:ind w:firstLine="420"/>
        <w:jc w:val="both"/>
        <w:rPr>
          <w:rFonts w:hint="eastAsia" w:ascii="宋体" w:hAnsi="宋体" w:eastAsia="宋体" w:cs="Times New Roman"/>
          <w:bCs/>
          <w:kern w:val="0"/>
          <w:sz w:val="21"/>
          <w:szCs w:val="21"/>
          <w:highlight w:val="none"/>
          <w:lang w:val="en-US" w:eastAsia="zh-CN" w:bidi="ar-SA"/>
        </w:rPr>
      </w:pPr>
      <w:r>
        <w:rPr>
          <w:rFonts w:hint="eastAsia" w:ascii="宋体" w:hAnsi="宋体" w:eastAsia="宋体" w:cs="Times New Roman"/>
          <w:bCs/>
          <w:kern w:val="0"/>
          <w:sz w:val="21"/>
          <w:szCs w:val="21"/>
          <w:highlight w:val="none"/>
          <w:lang w:val="en-US" w:eastAsia="zh-CN" w:bidi="ar-SA"/>
        </w:rPr>
        <w:t>4.评标委员会基于专业判断，认为投标人报价过低，有可能影响产品质量或者不能诚信履约的其他情形。</w:t>
      </w:r>
    </w:p>
    <w:p w14:paraId="359D7F8A">
      <w:pPr>
        <w:widowControl w:val="0"/>
        <w:spacing w:after="0" w:line="360" w:lineRule="auto"/>
        <w:ind w:firstLine="420"/>
        <w:jc w:val="both"/>
        <w:rPr>
          <w:rFonts w:hint="eastAsia" w:ascii="宋体" w:hAnsi="宋体" w:eastAsia="宋体" w:cs="Times New Roman"/>
          <w:bCs/>
          <w:kern w:val="0"/>
          <w:sz w:val="21"/>
          <w:szCs w:val="21"/>
          <w:highlight w:val="none"/>
          <w:lang w:val="en-US" w:eastAsia="zh-CN" w:bidi="ar-SA"/>
        </w:rPr>
      </w:pPr>
      <w:r>
        <w:rPr>
          <w:rFonts w:hint="eastAsia" w:ascii="宋体" w:hAnsi="宋体" w:eastAsia="宋体" w:cs="Times New Roman"/>
          <w:bCs/>
          <w:kern w:val="0"/>
          <w:sz w:val="21"/>
          <w:szCs w:val="21"/>
          <w:highlight w:val="none"/>
          <w:lang w:val="en-US" w:eastAsia="zh-CN" w:bidi="ar-SA"/>
        </w:rPr>
        <w:t>评标委员会启动异常低价投标（响应）审查后，属于前述第1项至第4项情形的，应当要求相关投标人在评标现场30分钟内对投标（响应）价格作出解释，提供项目具体成本测算等与报价合理性相关的书面说明及必要的证明材料，包括但不限于原材料成本、人工成本、制造费用等。其中，属于第3项情形，投标文件已随投标（响应）文件一并提交相关书面说明及必要的证明材料的，在评标现场可不再重复提交。</w:t>
      </w:r>
    </w:p>
    <w:p w14:paraId="3BBDE0C5">
      <w:pPr>
        <w:pStyle w:val="25"/>
        <w:spacing w:line="440" w:lineRule="exact"/>
        <w:ind w:firstLine="420"/>
        <w:rPr>
          <w:rFonts w:hAnsi="宋体"/>
          <w:bCs/>
          <w:color w:val="auto"/>
          <w:sz w:val="21"/>
          <w:highlight w:val="none"/>
        </w:rPr>
      </w:pPr>
      <w:r>
        <w:rPr>
          <w:rFonts w:hint="eastAsia" w:ascii="宋体" w:hAnsi="宋体" w:eastAsia="宋体" w:cs="Times New Roman"/>
          <w:bCs/>
          <w:kern w:val="0"/>
          <w:sz w:val="21"/>
          <w:szCs w:val="21"/>
          <w:highlight w:val="none"/>
          <w:lang w:val="en-US" w:eastAsia="zh-CN" w:bidi="ar-SA"/>
        </w:rPr>
        <w:t>评标委员会依据专业经验，参考同类项目中标（成交）价格、类似产品市场价格水平、行业人工费用标准、国家有关部门指导行业协会发布的行业平均成本等情况，对报价合理性进行判断。供应商在规定时间内不能提供书面说明、证明材料，或者提供的书面说明、证明材料不能证明其报价合理性的，评标委员会应当将其作为无效响应处理</w:t>
      </w:r>
      <w:r>
        <w:rPr>
          <w:rFonts w:hint="eastAsia" w:hAnsi="宋体" w:cs="宋体"/>
          <w:bCs/>
          <w:color w:val="auto"/>
          <w:kern w:val="2"/>
          <w:sz w:val="21"/>
          <w:highlight w:val="none"/>
        </w:rPr>
        <w:t>。</w:t>
      </w:r>
    </w:p>
    <w:p w14:paraId="141E305F">
      <w:pPr>
        <w:pStyle w:val="25"/>
        <w:spacing w:line="360" w:lineRule="auto"/>
        <w:ind w:firstLine="420"/>
        <w:rPr>
          <w:rFonts w:hAnsi="宋体"/>
          <w:bCs/>
          <w:color w:val="auto"/>
          <w:sz w:val="21"/>
          <w:highlight w:val="none"/>
        </w:rPr>
      </w:pPr>
      <w:r>
        <w:rPr>
          <w:rFonts w:hint="eastAsia" w:hAnsi="宋体"/>
          <w:bCs/>
          <w:color w:val="auto"/>
          <w:sz w:val="21"/>
          <w:highlight w:val="none"/>
        </w:rPr>
        <w:t>注：1.计分方法按四舍五入取至百分位；</w:t>
      </w:r>
    </w:p>
    <w:p w14:paraId="6F120BCF">
      <w:pPr>
        <w:pStyle w:val="25"/>
        <w:spacing w:line="360" w:lineRule="auto"/>
        <w:ind w:firstLine="420"/>
        <w:rPr>
          <w:rFonts w:hAnsi="宋体"/>
          <w:bCs/>
          <w:color w:val="auto"/>
          <w:sz w:val="21"/>
          <w:highlight w:val="none"/>
        </w:rPr>
      </w:pPr>
      <w:r>
        <w:rPr>
          <w:rFonts w:hint="eastAsia" w:hAnsi="宋体"/>
          <w:bCs/>
          <w:color w:val="auto"/>
          <w:sz w:val="21"/>
          <w:highlight w:val="none"/>
        </w:rPr>
        <w:t xml:space="preserve">    2.因落实政府采购政策进行价格调整的，以调整后的价格计算评标基准价和投标报价。</w:t>
      </w:r>
    </w:p>
    <w:p w14:paraId="4242961C">
      <w:pPr>
        <w:pStyle w:val="4"/>
        <w:keepNext w:val="0"/>
        <w:keepLines w:val="0"/>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四、中标候选人推荐原则</w:t>
      </w:r>
    </w:p>
    <w:p w14:paraId="2C2FA12F">
      <w:pPr>
        <w:pStyle w:val="25"/>
        <w:spacing w:line="360" w:lineRule="auto"/>
        <w:contextualSpacing/>
        <w:rPr>
          <w:rFonts w:hAnsi="宋体"/>
          <w:b/>
          <w:bCs/>
          <w:color w:val="auto"/>
          <w:sz w:val="24"/>
          <w:szCs w:val="24"/>
          <w:highlight w:val="none"/>
        </w:rPr>
      </w:pPr>
      <w:r>
        <w:rPr>
          <w:rFonts w:hint="eastAsia" w:hAnsi="宋体"/>
          <w:b/>
          <w:bCs/>
          <w:color w:val="auto"/>
          <w:sz w:val="24"/>
          <w:szCs w:val="24"/>
          <w:highlight w:val="none"/>
        </w:rPr>
        <w:t>（一）综合评分法</w:t>
      </w:r>
    </w:p>
    <w:p w14:paraId="2726CDAE">
      <w:pPr>
        <w:pStyle w:val="25"/>
        <w:spacing w:line="360" w:lineRule="auto"/>
        <w:ind w:firstLine="420" w:firstLineChars="200"/>
        <w:contextualSpacing/>
        <w:rPr>
          <w:rFonts w:hAnsi="宋体"/>
          <w:color w:val="auto"/>
          <w:sz w:val="21"/>
          <w:highlight w:val="none"/>
        </w:rPr>
      </w:pPr>
      <w:r>
        <w:rPr>
          <w:rFonts w:hint="eastAsia" w:hAnsi="宋体"/>
          <w:color w:val="auto"/>
          <w:sz w:val="21"/>
          <w:highlight w:val="none"/>
        </w:rPr>
        <w:t>评标委员会将根据总得分由高到低排列次序并推荐中标候选人。</w:t>
      </w:r>
      <w:r>
        <w:rPr>
          <w:rFonts w:hAnsi="宋体"/>
          <w:color w:val="auto"/>
          <w:sz w:val="21"/>
          <w:highlight w:val="none"/>
        </w:rPr>
        <w:t>得分相同的，按投标报价由低到高顺序排列。得分且投标报价相同的并列。投标文件满足招标文件全部实质性要求，且按照评审因素的量化指标评审得分最高的投标人为排名第一的中标候选人。</w:t>
      </w:r>
    </w:p>
    <w:p w14:paraId="726C8153">
      <w:pPr>
        <w:pStyle w:val="25"/>
        <w:spacing w:line="360" w:lineRule="auto"/>
        <w:contextualSpacing/>
        <w:rPr>
          <w:rFonts w:hAnsi="宋体"/>
          <w:b/>
          <w:bCs/>
          <w:color w:val="auto"/>
          <w:sz w:val="24"/>
          <w:szCs w:val="24"/>
          <w:highlight w:val="none"/>
        </w:rPr>
      </w:pPr>
      <w:r>
        <w:rPr>
          <w:rFonts w:hint="eastAsia" w:hAnsi="宋体"/>
          <w:b/>
          <w:bCs/>
          <w:color w:val="auto"/>
          <w:sz w:val="24"/>
          <w:szCs w:val="24"/>
          <w:highlight w:val="none"/>
        </w:rPr>
        <w:t>（二）最低评标价法</w:t>
      </w:r>
    </w:p>
    <w:p w14:paraId="7DA3BE10">
      <w:pPr>
        <w:spacing w:line="360" w:lineRule="auto"/>
        <w:ind w:firstLine="420" w:firstLineChars="200"/>
        <w:contextualSpacing/>
        <w:rPr>
          <w:rFonts w:ascii="宋体" w:hAnsi="宋体"/>
          <w:b/>
          <w:color w:val="auto"/>
          <w:sz w:val="24"/>
          <w:highlight w:val="none"/>
        </w:rPr>
      </w:pPr>
      <w:r>
        <w:rPr>
          <w:rFonts w:hint="eastAsia" w:ascii="宋体" w:hAnsi="宋体"/>
          <w:color w:val="auto"/>
          <w:highlight w:val="none"/>
        </w:rPr>
        <w:t>评标委员会按照评标价从低到高排序并推荐中标候选人，评标价</w:t>
      </w:r>
      <w:r>
        <w:rPr>
          <w:rFonts w:ascii="宋体" w:hAnsi="宋体"/>
          <w:color w:val="auto"/>
          <w:highlight w:val="none"/>
        </w:rPr>
        <w:t>相同的并列。投标文件满足招标文件全部实质性要求且</w:t>
      </w:r>
      <w:r>
        <w:rPr>
          <w:rFonts w:hint="eastAsia" w:ascii="宋体" w:hAnsi="宋体"/>
          <w:color w:val="auto"/>
          <w:highlight w:val="none"/>
        </w:rPr>
        <w:t>评标价</w:t>
      </w:r>
      <w:r>
        <w:rPr>
          <w:rFonts w:ascii="宋体" w:hAnsi="宋体"/>
          <w:color w:val="auto"/>
          <w:highlight w:val="none"/>
        </w:rPr>
        <w:t>最低的投标人为排名第一的中标候选人。</w:t>
      </w:r>
    </w:p>
    <w:p w14:paraId="21CE4DA9">
      <w:pPr>
        <w:spacing w:beforeLines="50" w:afterLines="50" w:line="400" w:lineRule="exact"/>
        <w:rPr>
          <w:rFonts w:ascii="宋体" w:hAnsi="宋体"/>
          <w:b/>
          <w:color w:val="auto"/>
          <w:sz w:val="24"/>
          <w:highlight w:val="none"/>
        </w:rPr>
      </w:pPr>
    </w:p>
    <w:p w14:paraId="6DDAAB69">
      <w:pPr>
        <w:rPr>
          <w:rFonts w:ascii="宋体" w:hAnsi="宋体"/>
          <w:color w:val="auto"/>
          <w:highlight w:val="none"/>
        </w:rPr>
      </w:pPr>
    </w:p>
    <w:p w14:paraId="4AF14CFA">
      <w:pPr>
        <w:rPr>
          <w:rFonts w:ascii="宋体" w:hAnsi="宋体"/>
          <w:color w:val="auto"/>
          <w:highlight w:val="none"/>
        </w:rPr>
      </w:pPr>
    </w:p>
    <w:p w14:paraId="646D9940">
      <w:pPr>
        <w:rPr>
          <w:rFonts w:ascii="宋体" w:hAnsi="宋体"/>
          <w:color w:val="auto"/>
          <w:highlight w:val="none"/>
        </w:rPr>
      </w:pPr>
    </w:p>
    <w:p w14:paraId="0A940186">
      <w:pPr>
        <w:rPr>
          <w:rFonts w:ascii="宋体" w:hAnsi="宋体"/>
          <w:color w:val="auto"/>
          <w:highlight w:val="none"/>
        </w:rPr>
      </w:pPr>
    </w:p>
    <w:p w14:paraId="4FF3ABD4">
      <w:pPr>
        <w:rPr>
          <w:rFonts w:ascii="宋体" w:hAnsi="宋体"/>
          <w:color w:val="auto"/>
          <w:highlight w:val="none"/>
        </w:rPr>
      </w:pPr>
    </w:p>
    <w:p w14:paraId="4454DE55">
      <w:pPr>
        <w:pStyle w:val="47"/>
        <w:ind w:firstLine="240"/>
        <w:rPr>
          <w:color w:val="auto"/>
          <w:highlight w:val="none"/>
        </w:rPr>
      </w:pPr>
    </w:p>
    <w:p w14:paraId="359DD1EB">
      <w:pPr>
        <w:pStyle w:val="48"/>
        <w:rPr>
          <w:color w:val="auto"/>
          <w:highlight w:val="none"/>
        </w:rPr>
      </w:pPr>
    </w:p>
    <w:p w14:paraId="118CC302">
      <w:pPr>
        <w:rPr>
          <w:color w:val="auto"/>
          <w:highlight w:val="none"/>
        </w:rPr>
      </w:pPr>
    </w:p>
    <w:p w14:paraId="5E16D189">
      <w:pPr>
        <w:rPr>
          <w:color w:val="auto"/>
          <w:highlight w:val="none"/>
        </w:rPr>
      </w:pPr>
    </w:p>
    <w:p w14:paraId="3764945F">
      <w:pPr>
        <w:rPr>
          <w:color w:val="auto"/>
          <w:highlight w:val="none"/>
        </w:rPr>
      </w:pPr>
    </w:p>
    <w:p w14:paraId="62E2D28B">
      <w:pPr>
        <w:rPr>
          <w:color w:val="auto"/>
          <w:highlight w:val="none"/>
        </w:rPr>
      </w:pPr>
    </w:p>
    <w:p w14:paraId="20A0E8CD">
      <w:pPr>
        <w:rPr>
          <w:color w:val="auto"/>
          <w:highlight w:val="none"/>
        </w:rPr>
      </w:pPr>
    </w:p>
    <w:p w14:paraId="25A8D01B">
      <w:pPr>
        <w:rPr>
          <w:color w:val="auto"/>
          <w:highlight w:val="none"/>
        </w:rPr>
      </w:pPr>
    </w:p>
    <w:p w14:paraId="00F0B4DE">
      <w:pPr>
        <w:rPr>
          <w:color w:val="auto"/>
          <w:highlight w:val="none"/>
        </w:rPr>
      </w:pPr>
    </w:p>
    <w:p w14:paraId="1303C134">
      <w:pPr>
        <w:rPr>
          <w:color w:val="auto"/>
          <w:highlight w:val="none"/>
        </w:rPr>
      </w:pPr>
    </w:p>
    <w:p w14:paraId="1800B4F0">
      <w:pPr>
        <w:rPr>
          <w:color w:val="auto"/>
          <w:highlight w:val="none"/>
        </w:rPr>
      </w:pPr>
    </w:p>
    <w:p w14:paraId="039F4359">
      <w:pPr>
        <w:rPr>
          <w:color w:val="auto"/>
          <w:highlight w:val="none"/>
        </w:rPr>
      </w:pPr>
    </w:p>
    <w:p w14:paraId="56EB329A">
      <w:pPr>
        <w:rPr>
          <w:color w:val="auto"/>
          <w:highlight w:val="none"/>
        </w:rPr>
      </w:pPr>
    </w:p>
    <w:p w14:paraId="09C05DC2">
      <w:pPr>
        <w:rPr>
          <w:color w:val="auto"/>
          <w:highlight w:val="none"/>
        </w:rPr>
      </w:pPr>
    </w:p>
    <w:p w14:paraId="74581B38">
      <w:pPr>
        <w:rPr>
          <w:color w:val="auto"/>
          <w:highlight w:val="none"/>
        </w:rPr>
      </w:pPr>
    </w:p>
    <w:p w14:paraId="20BB83C4">
      <w:pPr>
        <w:rPr>
          <w:color w:val="auto"/>
          <w:highlight w:val="none"/>
        </w:rPr>
      </w:pPr>
    </w:p>
    <w:p w14:paraId="12E4F9C1">
      <w:pPr>
        <w:pStyle w:val="2"/>
      </w:pPr>
    </w:p>
    <w:p w14:paraId="314388C5">
      <w:pPr>
        <w:rPr>
          <w:color w:val="auto"/>
          <w:highlight w:val="none"/>
        </w:rPr>
      </w:pPr>
    </w:p>
    <w:p w14:paraId="0CD1CB3A">
      <w:pPr>
        <w:pStyle w:val="2"/>
        <w:jc w:val="center"/>
        <w:rPr>
          <w:rFonts w:ascii="宋体" w:hAnsi="宋体" w:eastAsia="宋体"/>
          <w:color w:val="auto"/>
          <w:highlight w:val="none"/>
        </w:rPr>
      </w:pPr>
      <w:bookmarkStart w:id="150" w:name="_Toc614"/>
      <w:r>
        <w:rPr>
          <w:rFonts w:hint="eastAsia" w:ascii="宋体" w:hAnsi="宋体" w:eastAsia="宋体"/>
          <w:color w:val="auto"/>
          <w:highlight w:val="none"/>
        </w:rPr>
        <w:t>第五章  拟签订的合同文本</w:t>
      </w:r>
      <w:bookmarkEnd w:id="150"/>
    </w:p>
    <w:p w14:paraId="6222479C">
      <w:pPr>
        <w:snapToGrid w:val="0"/>
        <w:spacing w:line="400" w:lineRule="exact"/>
        <w:jc w:val="center"/>
        <w:rPr>
          <w:rFonts w:ascii="宋体" w:hAnsi="宋体"/>
          <w:b/>
          <w:bCs/>
          <w:color w:val="auto"/>
          <w:sz w:val="30"/>
          <w:szCs w:val="30"/>
          <w:highlight w:val="none"/>
        </w:rPr>
      </w:pPr>
      <w:bookmarkStart w:id="151" w:name="_Hlk55381736"/>
      <w:r>
        <w:rPr>
          <w:rFonts w:hint="eastAsia" w:ascii="宋体" w:hAnsi="宋体"/>
          <w:b/>
          <w:bCs/>
          <w:color w:val="auto"/>
          <w:sz w:val="30"/>
          <w:szCs w:val="30"/>
          <w:highlight w:val="none"/>
        </w:rPr>
        <w:t>广西壮族自治区政府采购合同</w:t>
      </w:r>
    </w:p>
    <w:p w14:paraId="0D547941">
      <w:pPr>
        <w:snapToGrid w:val="0"/>
        <w:spacing w:line="400" w:lineRule="exact"/>
        <w:ind w:right="480"/>
        <w:jc w:val="center"/>
        <w:rPr>
          <w:rFonts w:ascii="宋体" w:hAnsi="宋体"/>
          <w:b/>
          <w:bCs/>
          <w:color w:val="auto"/>
          <w:sz w:val="28"/>
          <w:szCs w:val="28"/>
          <w:highlight w:val="none"/>
        </w:rPr>
      </w:pPr>
      <w:r>
        <w:rPr>
          <w:rFonts w:hint="eastAsia" w:ascii="宋体" w:hAnsi="宋体"/>
          <w:b/>
          <w:bCs/>
          <w:color w:val="auto"/>
          <w:sz w:val="28"/>
          <w:szCs w:val="28"/>
          <w:highlight w:val="none"/>
        </w:rPr>
        <w:t>合同格式</w:t>
      </w:r>
    </w:p>
    <w:p w14:paraId="733034A8">
      <w:pPr>
        <w:snapToGrid w:val="0"/>
        <w:spacing w:line="360" w:lineRule="exact"/>
        <w:ind w:right="480"/>
        <w:rPr>
          <w:rFonts w:ascii="宋体" w:hAnsi="宋体"/>
          <w:bCs/>
          <w:color w:val="auto"/>
          <w:sz w:val="24"/>
          <w:highlight w:val="none"/>
          <w:u w:val="single"/>
        </w:rPr>
      </w:pPr>
      <w:r>
        <w:rPr>
          <w:rFonts w:hint="eastAsia" w:ascii="宋体" w:hAnsi="宋体"/>
          <w:bCs/>
          <w:color w:val="auto"/>
          <w:sz w:val="24"/>
          <w:highlight w:val="none"/>
        </w:rPr>
        <w:t>合同编号：</w:t>
      </w:r>
    </w:p>
    <w:p w14:paraId="5DF7286B">
      <w:pPr>
        <w:snapToGrid w:val="0"/>
        <w:spacing w:line="360" w:lineRule="exact"/>
        <w:rPr>
          <w:rFonts w:ascii="宋体" w:hAnsi="宋体"/>
          <w:color w:val="auto"/>
          <w:sz w:val="24"/>
          <w:highlight w:val="none"/>
        </w:rPr>
      </w:pPr>
      <w:r>
        <w:rPr>
          <w:rFonts w:hint="eastAsia" w:ascii="宋体" w:hAnsi="宋体"/>
          <w:color w:val="auto"/>
          <w:sz w:val="24"/>
          <w:highlight w:val="none"/>
        </w:rPr>
        <w:t>采购单位（甲方）</w:t>
      </w:r>
      <w:r>
        <w:rPr>
          <w:rFonts w:hint="eastAsia" w:ascii="宋体" w:hAnsi="宋体"/>
          <w:color w:val="auto"/>
          <w:spacing w:val="-20"/>
          <w:sz w:val="24"/>
          <w:highlight w:val="none"/>
        </w:rPr>
        <w:t>采 购 计 划 号</w:t>
      </w:r>
    </w:p>
    <w:p w14:paraId="7ACDFDD6">
      <w:pPr>
        <w:snapToGrid w:val="0"/>
        <w:spacing w:line="360" w:lineRule="exact"/>
        <w:rPr>
          <w:rFonts w:ascii="宋体" w:hAnsi="宋体"/>
          <w:color w:val="auto"/>
          <w:sz w:val="24"/>
          <w:highlight w:val="none"/>
        </w:rPr>
      </w:pPr>
      <w:r>
        <w:rPr>
          <w:rFonts w:hint="eastAsia" w:ascii="宋体" w:hAnsi="宋体"/>
          <w:color w:val="auto"/>
          <w:sz w:val="24"/>
          <w:highlight w:val="none"/>
        </w:rPr>
        <w:t>供 应 商（乙方）</w:t>
      </w:r>
      <w:r>
        <w:rPr>
          <w:rFonts w:hint="eastAsia" w:ascii="宋体" w:hAnsi="宋体"/>
          <w:color w:val="auto"/>
          <w:spacing w:val="-20"/>
          <w:sz w:val="24"/>
          <w:highlight w:val="none"/>
        </w:rPr>
        <w:t xml:space="preserve">项目编号 </w:t>
      </w:r>
    </w:p>
    <w:p w14:paraId="7FC1DFB4">
      <w:pPr>
        <w:snapToGrid w:val="0"/>
        <w:spacing w:line="360" w:lineRule="exact"/>
        <w:rPr>
          <w:rFonts w:ascii="宋体" w:hAnsi="宋体"/>
          <w:color w:val="auto"/>
          <w:sz w:val="24"/>
          <w:highlight w:val="none"/>
          <w:u w:val="single"/>
        </w:rPr>
      </w:pPr>
      <w:r>
        <w:rPr>
          <w:rFonts w:hint="eastAsia" w:ascii="宋体" w:hAnsi="宋体"/>
          <w:color w:val="auto"/>
          <w:sz w:val="24"/>
          <w:highlight w:val="none"/>
        </w:rPr>
        <w:t>签  订  地  点          签订时间</w:t>
      </w:r>
    </w:p>
    <w:p w14:paraId="16E3A527">
      <w:pPr>
        <w:snapToGrid w:val="0"/>
        <w:spacing w:line="360" w:lineRule="exact"/>
        <w:ind w:firstLine="480" w:firstLineChars="200"/>
        <w:rPr>
          <w:rFonts w:ascii="宋体" w:hAnsi="宋体"/>
          <w:color w:val="auto"/>
          <w:sz w:val="24"/>
          <w:highlight w:val="none"/>
        </w:rPr>
      </w:pPr>
    </w:p>
    <w:p w14:paraId="0C752AB1">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根据《中华人民共和国政府采购法》、《中华人民共和国民法典》等法律、法规规定，按照采购文件、响应文件规定条款和中标人承诺，甲乙双方签订本合同。</w:t>
      </w:r>
    </w:p>
    <w:p w14:paraId="76A03CB9">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一、合同标的：</w:t>
      </w:r>
    </w:p>
    <w:p w14:paraId="5523887B">
      <w:pPr>
        <w:tabs>
          <w:tab w:val="left" w:pos="3081"/>
        </w:tabs>
        <w:snapToGrid w:val="0"/>
        <w:spacing w:line="360" w:lineRule="exact"/>
        <w:rPr>
          <w:rFonts w:ascii="宋体" w:hAnsi="宋体"/>
          <w:color w:val="auto"/>
          <w:sz w:val="24"/>
          <w:highlight w:val="none"/>
        </w:rPr>
      </w:pPr>
      <w:r>
        <w:rPr>
          <w:rFonts w:hint="eastAsia" w:ascii="宋体" w:hAnsi="宋体"/>
          <w:color w:val="auto"/>
          <w:sz w:val="24"/>
          <w:highlight w:val="none"/>
        </w:rPr>
        <w:t>服务内容一览表</w:t>
      </w:r>
      <w:r>
        <w:rPr>
          <w:rFonts w:ascii="宋体" w:hAnsi="宋体"/>
          <w:color w:val="auto"/>
          <w:sz w:val="24"/>
          <w:highlight w:val="none"/>
        </w:rPr>
        <w:tab/>
      </w:r>
    </w:p>
    <w:tbl>
      <w:tblPr>
        <w:tblStyle w:val="49"/>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0"/>
        <w:gridCol w:w="1800"/>
        <w:gridCol w:w="1260"/>
        <w:gridCol w:w="1260"/>
        <w:gridCol w:w="1440"/>
        <w:gridCol w:w="1260"/>
      </w:tblGrid>
      <w:tr w14:paraId="4F71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vAlign w:val="center"/>
          </w:tcPr>
          <w:p w14:paraId="07B85BF5">
            <w:pPr>
              <w:snapToGrid w:val="0"/>
              <w:spacing w:line="360" w:lineRule="exact"/>
              <w:rPr>
                <w:rFonts w:ascii="宋体" w:hAnsi="宋体"/>
                <w:color w:val="auto"/>
                <w:sz w:val="24"/>
                <w:highlight w:val="none"/>
              </w:rPr>
            </w:pPr>
            <w:r>
              <w:rPr>
                <w:rFonts w:hint="eastAsia" w:ascii="宋体" w:hAnsi="宋体"/>
                <w:color w:val="auto"/>
                <w:sz w:val="24"/>
                <w:highlight w:val="none"/>
              </w:rPr>
              <w:t>序号</w:t>
            </w:r>
          </w:p>
        </w:tc>
        <w:tc>
          <w:tcPr>
            <w:tcW w:w="1620" w:type="dxa"/>
            <w:vAlign w:val="center"/>
          </w:tcPr>
          <w:p w14:paraId="6E4218A6">
            <w:pPr>
              <w:snapToGrid w:val="0"/>
              <w:spacing w:line="360" w:lineRule="exact"/>
              <w:rPr>
                <w:rFonts w:ascii="宋体" w:hAnsi="宋体"/>
                <w:color w:val="auto"/>
                <w:sz w:val="24"/>
                <w:highlight w:val="none"/>
              </w:rPr>
            </w:pPr>
            <w:r>
              <w:rPr>
                <w:rFonts w:hint="eastAsia" w:ascii="宋体" w:hAnsi="宋体"/>
                <w:color w:val="auto"/>
                <w:sz w:val="24"/>
                <w:highlight w:val="none"/>
              </w:rPr>
              <w:t>服务项目</w:t>
            </w:r>
          </w:p>
        </w:tc>
        <w:tc>
          <w:tcPr>
            <w:tcW w:w="1800" w:type="dxa"/>
            <w:vAlign w:val="center"/>
          </w:tcPr>
          <w:p w14:paraId="0F5EA42E">
            <w:pPr>
              <w:snapToGrid w:val="0"/>
              <w:spacing w:line="360" w:lineRule="exact"/>
              <w:rPr>
                <w:rFonts w:ascii="宋体" w:hAnsi="宋体"/>
                <w:color w:val="auto"/>
                <w:sz w:val="24"/>
                <w:highlight w:val="none"/>
              </w:rPr>
            </w:pPr>
            <w:r>
              <w:rPr>
                <w:rFonts w:hint="eastAsia" w:ascii="宋体" w:hAnsi="宋体"/>
                <w:color w:val="auto"/>
                <w:sz w:val="24"/>
                <w:highlight w:val="none"/>
              </w:rPr>
              <w:t>服务内容、标准</w:t>
            </w:r>
          </w:p>
        </w:tc>
        <w:tc>
          <w:tcPr>
            <w:tcW w:w="1260" w:type="dxa"/>
            <w:vAlign w:val="center"/>
          </w:tcPr>
          <w:p w14:paraId="3145B557">
            <w:pPr>
              <w:snapToGrid w:val="0"/>
              <w:spacing w:line="360" w:lineRule="exact"/>
              <w:rPr>
                <w:rFonts w:ascii="宋体" w:hAnsi="宋体"/>
                <w:color w:val="auto"/>
                <w:sz w:val="24"/>
                <w:highlight w:val="none"/>
              </w:rPr>
            </w:pPr>
            <w:r>
              <w:rPr>
                <w:rFonts w:hint="eastAsia" w:ascii="宋体" w:hAnsi="宋体"/>
                <w:color w:val="auto"/>
                <w:sz w:val="24"/>
                <w:highlight w:val="none"/>
              </w:rPr>
              <w:t>数量</w:t>
            </w:r>
          </w:p>
        </w:tc>
        <w:tc>
          <w:tcPr>
            <w:tcW w:w="1260" w:type="dxa"/>
            <w:vAlign w:val="center"/>
          </w:tcPr>
          <w:p w14:paraId="2E7051C5">
            <w:pPr>
              <w:snapToGrid w:val="0"/>
              <w:spacing w:line="360" w:lineRule="exact"/>
              <w:rPr>
                <w:rFonts w:ascii="宋体" w:hAnsi="宋体"/>
                <w:color w:val="auto"/>
                <w:sz w:val="24"/>
                <w:highlight w:val="none"/>
              </w:rPr>
            </w:pPr>
            <w:r>
              <w:rPr>
                <w:rFonts w:hint="eastAsia" w:ascii="宋体" w:hAnsi="宋体"/>
                <w:color w:val="auto"/>
                <w:sz w:val="24"/>
                <w:highlight w:val="none"/>
              </w:rPr>
              <w:t>单位</w:t>
            </w:r>
          </w:p>
        </w:tc>
        <w:tc>
          <w:tcPr>
            <w:tcW w:w="1440" w:type="dxa"/>
            <w:vAlign w:val="center"/>
          </w:tcPr>
          <w:p w14:paraId="27EF33CA">
            <w:pPr>
              <w:snapToGrid w:val="0"/>
              <w:spacing w:line="360" w:lineRule="exact"/>
              <w:rPr>
                <w:rFonts w:ascii="宋体" w:hAnsi="宋体"/>
                <w:color w:val="auto"/>
                <w:sz w:val="24"/>
                <w:highlight w:val="none"/>
              </w:rPr>
            </w:pPr>
            <w:r>
              <w:rPr>
                <w:rFonts w:hint="eastAsia" w:ascii="宋体" w:hAnsi="宋体"/>
                <w:color w:val="auto"/>
                <w:sz w:val="24"/>
                <w:highlight w:val="none"/>
              </w:rPr>
              <w:t>单  价</w:t>
            </w:r>
          </w:p>
          <w:p w14:paraId="34D35C77">
            <w:pPr>
              <w:snapToGrid w:val="0"/>
              <w:spacing w:line="360" w:lineRule="exact"/>
              <w:rPr>
                <w:rFonts w:ascii="宋体" w:hAnsi="宋体"/>
                <w:color w:val="auto"/>
                <w:sz w:val="24"/>
                <w:highlight w:val="none"/>
              </w:rPr>
            </w:pPr>
            <w:r>
              <w:rPr>
                <w:rFonts w:hint="eastAsia" w:ascii="宋体" w:hAnsi="宋体"/>
                <w:color w:val="auto"/>
                <w:sz w:val="24"/>
                <w:highlight w:val="none"/>
              </w:rPr>
              <w:t>（元）</w:t>
            </w:r>
          </w:p>
        </w:tc>
        <w:tc>
          <w:tcPr>
            <w:tcW w:w="1260" w:type="dxa"/>
            <w:vAlign w:val="center"/>
          </w:tcPr>
          <w:p w14:paraId="22D8A6A7">
            <w:pPr>
              <w:snapToGrid w:val="0"/>
              <w:spacing w:line="360" w:lineRule="exact"/>
              <w:rPr>
                <w:rFonts w:ascii="宋体" w:hAnsi="宋体"/>
                <w:color w:val="auto"/>
                <w:sz w:val="24"/>
                <w:highlight w:val="none"/>
              </w:rPr>
            </w:pPr>
            <w:r>
              <w:rPr>
                <w:rFonts w:hint="eastAsia" w:ascii="宋体" w:hAnsi="宋体"/>
                <w:color w:val="auto"/>
                <w:sz w:val="24"/>
                <w:highlight w:val="none"/>
              </w:rPr>
              <w:t>金  额</w:t>
            </w:r>
          </w:p>
          <w:p w14:paraId="218476BB">
            <w:pPr>
              <w:snapToGrid w:val="0"/>
              <w:spacing w:line="360" w:lineRule="exact"/>
              <w:rPr>
                <w:rFonts w:ascii="宋体" w:hAnsi="宋体"/>
                <w:color w:val="auto"/>
                <w:sz w:val="24"/>
                <w:highlight w:val="none"/>
              </w:rPr>
            </w:pPr>
            <w:r>
              <w:rPr>
                <w:rFonts w:hint="eastAsia" w:ascii="宋体" w:hAnsi="宋体"/>
                <w:color w:val="auto"/>
                <w:sz w:val="24"/>
                <w:highlight w:val="none"/>
              </w:rPr>
              <w:t>（元）</w:t>
            </w:r>
          </w:p>
        </w:tc>
      </w:tr>
      <w:tr w14:paraId="6C48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20" w:type="dxa"/>
            <w:vAlign w:val="center"/>
          </w:tcPr>
          <w:p w14:paraId="0DA7DBE3">
            <w:pPr>
              <w:snapToGrid w:val="0"/>
              <w:spacing w:line="360" w:lineRule="exact"/>
              <w:rPr>
                <w:rFonts w:ascii="宋体" w:hAnsi="宋体"/>
                <w:color w:val="auto"/>
                <w:sz w:val="24"/>
                <w:highlight w:val="none"/>
              </w:rPr>
            </w:pPr>
          </w:p>
        </w:tc>
        <w:tc>
          <w:tcPr>
            <w:tcW w:w="1620" w:type="dxa"/>
            <w:vAlign w:val="center"/>
          </w:tcPr>
          <w:p w14:paraId="56F9A697">
            <w:pPr>
              <w:snapToGrid w:val="0"/>
              <w:spacing w:line="360" w:lineRule="exact"/>
              <w:rPr>
                <w:rFonts w:ascii="宋体" w:hAnsi="宋体"/>
                <w:color w:val="auto"/>
                <w:sz w:val="24"/>
                <w:highlight w:val="none"/>
              </w:rPr>
            </w:pPr>
          </w:p>
        </w:tc>
        <w:tc>
          <w:tcPr>
            <w:tcW w:w="1800" w:type="dxa"/>
            <w:vAlign w:val="center"/>
          </w:tcPr>
          <w:p w14:paraId="66D2509E">
            <w:pPr>
              <w:snapToGrid w:val="0"/>
              <w:spacing w:line="360" w:lineRule="exact"/>
              <w:rPr>
                <w:rFonts w:ascii="宋体" w:hAnsi="宋体"/>
                <w:color w:val="auto"/>
                <w:sz w:val="24"/>
                <w:highlight w:val="none"/>
              </w:rPr>
            </w:pPr>
          </w:p>
        </w:tc>
        <w:tc>
          <w:tcPr>
            <w:tcW w:w="1260" w:type="dxa"/>
          </w:tcPr>
          <w:p w14:paraId="607026C1">
            <w:pPr>
              <w:snapToGrid w:val="0"/>
              <w:spacing w:line="360" w:lineRule="exact"/>
              <w:rPr>
                <w:rFonts w:ascii="宋体" w:hAnsi="宋体"/>
                <w:color w:val="auto"/>
                <w:sz w:val="24"/>
                <w:highlight w:val="none"/>
              </w:rPr>
            </w:pPr>
          </w:p>
        </w:tc>
        <w:tc>
          <w:tcPr>
            <w:tcW w:w="1260" w:type="dxa"/>
          </w:tcPr>
          <w:p w14:paraId="3F4D2B58">
            <w:pPr>
              <w:snapToGrid w:val="0"/>
              <w:spacing w:line="360" w:lineRule="exact"/>
              <w:rPr>
                <w:rFonts w:ascii="宋体" w:hAnsi="宋体"/>
                <w:color w:val="auto"/>
                <w:sz w:val="24"/>
                <w:highlight w:val="none"/>
              </w:rPr>
            </w:pPr>
          </w:p>
        </w:tc>
        <w:tc>
          <w:tcPr>
            <w:tcW w:w="1440" w:type="dxa"/>
            <w:vAlign w:val="center"/>
          </w:tcPr>
          <w:p w14:paraId="0E5C7857">
            <w:pPr>
              <w:snapToGrid w:val="0"/>
              <w:spacing w:line="360" w:lineRule="exact"/>
              <w:rPr>
                <w:rFonts w:ascii="宋体" w:hAnsi="宋体"/>
                <w:color w:val="auto"/>
                <w:sz w:val="24"/>
                <w:highlight w:val="none"/>
              </w:rPr>
            </w:pPr>
          </w:p>
        </w:tc>
        <w:tc>
          <w:tcPr>
            <w:tcW w:w="1260" w:type="dxa"/>
            <w:vAlign w:val="center"/>
          </w:tcPr>
          <w:p w14:paraId="1A5B3AE9">
            <w:pPr>
              <w:snapToGrid w:val="0"/>
              <w:spacing w:line="360" w:lineRule="exact"/>
              <w:rPr>
                <w:rFonts w:ascii="宋体" w:hAnsi="宋体"/>
                <w:color w:val="auto"/>
                <w:sz w:val="24"/>
                <w:highlight w:val="none"/>
              </w:rPr>
            </w:pPr>
          </w:p>
        </w:tc>
      </w:tr>
      <w:tr w14:paraId="4B93D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20" w:type="dxa"/>
            <w:vAlign w:val="center"/>
          </w:tcPr>
          <w:p w14:paraId="6F8058ED">
            <w:pPr>
              <w:snapToGrid w:val="0"/>
              <w:spacing w:line="360" w:lineRule="exact"/>
              <w:rPr>
                <w:rFonts w:ascii="宋体" w:hAnsi="宋体"/>
                <w:color w:val="auto"/>
                <w:sz w:val="24"/>
                <w:highlight w:val="none"/>
              </w:rPr>
            </w:pPr>
          </w:p>
        </w:tc>
        <w:tc>
          <w:tcPr>
            <w:tcW w:w="1620" w:type="dxa"/>
            <w:vAlign w:val="center"/>
          </w:tcPr>
          <w:p w14:paraId="540CC5CF">
            <w:pPr>
              <w:snapToGrid w:val="0"/>
              <w:spacing w:line="360" w:lineRule="exact"/>
              <w:rPr>
                <w:rFonts w:ascii="宋体" w:hAnsi="宋体"/>
                <w:color w:val="auto"/>
                <w:sz w:val="24"/>
                <w:highlight w:val="none"/>
              </w:rPr>
            </w:pPr>
          </w:p>
        </w:tc>
        <w:tc>
          <w:tcPr>
            <w:tcW w:w="1800" w:type="dxa"/>
            <w:vAlign w:val="center"/>
          </w:tcPr>
          <w:p w14:paraId="3E5412DA">
            <w:pPr>
              <w:snapToGrid w:val="0"/>
              <w:spacing w:line="360" w:lineRule="exact"/>
              <w:rPr>
                <w:rFonts w:ascii="宋体" w:hAnsi="宋体"/>
                <w:color w:val="auto"/>
                <w:sz w:val="24"/>
                <w:highlight w:val="none"/>
              </w:rPr>
            </w:pPr>
          </w:p>
        </w:tc>
        <w:tc>
          <w:tcPr>
            <w:tcW w:w="1260" w:type="dxa"/>
          </w:tcPr>
          <w:p w14:paraId="03A958F9">
            <w:pPr>
              <w:snapToGrid w:val="0"/>
              <w:spacing w:line="360" w:lineRule="exact"/>
              <w:rPr>
                <w:rFonts w:ascii="宋体" w:hAnsi="宋体"/>
                <w:color w:val="auto"/>
                <w:sz w:val="24"/>
                <w:highlight w:val="none"/>
              </w:rPr>
            </w:pPr>
          </w:p>
        </w:tc>
        <w:tc>
          <w:tcPr>
            <w:tcW w:w="1260" w:type="dxa"/>
          </w:tcPr>
          <w:p w14:paraId="0E0CDCE4">
            <w:pPr>
              <w:snapToGrid w:val="0"/>
              <w:spacing w:line="360" w:lineRule="exact"/>
              <w:rPr>
                <w:rFonts w:ascii="宋体" w:hAnsi="宋体"/>
                <w:color w:val="auto"/>
                <w:sz w:val="24"/>
                <w:highlight w:val="none"/>
              </w:rPr>
            </w:pPr>
          </w:p>
        </w:tc>
        <w:tc>
          <w:tcPr>
            <w:tcW w:w="1440" w:type="dxa"/>
            <w:vAlign w:val="center"/>
          </w:tcPr>
          <w:p w14:paraId="6BE89FC9">
            <w:pPr>
              <w:snapToGrid w:val="0"/>
              <w:spacing w:line="360" w:lineRule="exact"/>
              <w:rPr>
                <w:rFonts w:ascii="宋体" w:hAnsi="宋体"/>
                <w:color w:val="auto"/>
                <w:sz w:val="24"/>
                <w:highlight w:val="none"/>
              </w:rPr>
            </w:pPr>
          </w:p>
        </w:tc>
        <w:tc>
          <w:tcPr>
            <w:tcW w:w="1260" w:type="dxa"/>
            <w:vAlign w:val="center"/>
          </w:tcPr>
          <w:p w14:paraId="56093EEB">
            <w:pPr>
              <w:snapToGrid w:val="0"/>
              <w:spacing w:line="360" w:lineRule="exact"/>
              <w:rPr>
                <w:rFonts w:ascii="宋体" w:hAnsi="宋体"/>
                <w:color w:val="auto"/>
                <w:sz w:val="24"/>
                <w:highlight w:val="none"/>
              </w:rPr>
            </w:pPr>
          </w:p>
        </w:tc>
      </w:tr>
      <w:tr w14:paraId="1FF6B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vAlign w:val="center"/>
          </w:tcPr>
          <w:p w14:paraId="304039C8">
            <w:pPr>
              <w:snapToGrid w:val="0"/>
              <w:spacing w:line="360" w:lineRule="exact"/>
              <w:rPr>
                <w:rFonts w:ascii="宋体" w:hAnsi="宋体"/>
                <w:color w:val="auto"/>
                <w:sz w:val="24"/>
                <w:highlight w:val="none"/>
              </w:rPr>
            </w:pPr>
            <w:r>
              <w:rPr>
                <w:rFonts w:hint="eastAsia" w:ascii="宋体" w:hAnsi="宋体"/>
                <w:color w:val="auto"/>
                <w:sz w:val="24"/>
                <w:highlight w:val="none"/>
              </w:rPr>
              <w:t xml:space="preserve">人民币合计金额（大写）                          （小写）                 </w:t>
            </w:r>
          </w:p>
        </w:tc>
      </w:tr>
    </w:tbl>
    <w:p w14:paraId="42926DBE">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二、项目内容及要求</w:t>
      </w:r>
    </w:p>
    <w:p w14:paraId="09213E03">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1、甲、乙双方应将采购文件、响应文件项目内容等作为本条款的基础。</w:t>
      </w:r>
    </w:p>
    <w:p w14:paraId="3394561E">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 xml:space="preserve">2、乙方作为承担本项目的服务商，应按响应文件承诺的内容开展本项目相关业务。 </w:t>
      </w:r>
    </w:p>
    <w:p w14:paraId="06075D38">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三、合同金额：合同的总金额为（大写）（￥）人民币。</w:t>
      </w:r>
    </w:p>
    <w:p w14:paraId="30013606">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四、合同履行期限、地点：</w:t>
      </w:r>
    </w:p>
    <w:p w14:paraId="0EAA0C0E">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合同履行期限：</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；地点：</w:t>
      </w:r>
      <w:r>
        <w:rPr>
          <w:rFonts w:ascii="宋体" w:hAnsi="宋体"/>
          <w:color w:val="auto"/>
          <w:sz w:val="24"/>
          <w:highlight w:val="none"/>
        </w:rPr>
        <w:t>采购单位指定地点。</w:t>
      </w:r>
    </w:p>
    <w:p w14:paraId="5F6F7547">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五、项目付款方式</w:t>
      </w:r>
    </w:p>
    <w:p w14:paraId="778FF08A">
      <w:pPr>
        <w:snapToGrid w:val="0"/>
        <w:spacing w:line="360" w:lineRule="exact"/>
        <w:ind w:firstLine="480" w:firstLineChars="200"/>
        <w:rPr>
          <w:rFonts w:ascii="宋体" w:hAnsi="宋体"/>
          <w:color w:val="auto"/>
          <w:sz w:val="24"/>
          <w:highlight w:val="none"/>
          <w:u w:val="single"/>
        </w:rPr>
      </w:pPr>
      <w:r>
        <w:rPr>
          <w:rFonts w:hint="eastAsia" w:ascii="宋体" w:hAnsi="宋体"/>
          <w:color w:val="auto"/>
          <w:sz w:val="24"/>
          <w:highlight w:val="none"/>
        </w:rPr>
        <w:t>1、资金性质：</w:t>
      </w:r>
      <w:r>
        <w:rPr>
          <w:rFonts w:hint="eastAsia" w:ascii="宋体" w:hAnsi="宋体"/>
          <w:color w:val="auto"/>
          <w:sz w:val="24"/>
          <w:highlight w:val="none"/>
          <w:u w:val="single"/>
        </w:rPr>
        <w:t xml:space="preserve">        。</w:t>
      </w:r>
    </w:p>
    <w:p w14:paraId="4BA14EEE">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2、付款方式：详见</w:t>
      </w:r>
      <w:r>
        <w:rPr>
          <w:rFonts w:hint="eastAsia" w:ascii="宋体" w:hAnsi="宋体"/>
          <w:color w:val="auto"/>
          <w:sz w:val="24"/>
          <w:highlight w:val="none"/>
          <w:lang w:val="en-US" w:eastAsia="zh-CN"/>
        </w:rPr>
        <w:t>招标</w:t>
      </w:r>
      <w:r>
        <w:rPr>
          <w:rFonts w:hint="eastAsia" w:ascii="宋体" w:hAnsi="宋体"/>
          <w:color w:val="auto"/>
          <w:sz w:val="24"/>
          <w:highlight w:val="none"/>
        </w:rPr>
        <w:t>文件“第二章  采购需求”中的“付款条件”。</w:t>
      </w:r>
    </w:p>
    <w:p w14:paraId="3779C51C">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六、税费本合同执行中相关的一切税费均由乙方负担。</w:t>
      </w:r>
    </w:p>
    <w:p w14:paraId="0F90332B">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七、违约责任</w:t>
      </w:r>
    </w:p>
    <w:p w14:paraId="30C6D8A9">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1、甲方违约，造成乙方损失的，甲方应按《中华人民共和国民法典》有关规定向乙方赔偿损失。</w:t>
      </w:r>
    </w:p>
    <w:p w14:paraId="4CA6A8A1">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2、乙方违约，甲方视乙方违约情况，甲方采用其他方式追究乙方的违约责任，直至终止合同。</w:t>
      </w:r>
    </w:p>
    <w:p w14:paraId="67AFA309">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八、不可抗力事件处理</w:t>
      </w:r>
    </w:p>
    <w:p w14:paraId="6BBFE56A">
      <w:pPr>
        <w:snapToGrid w:val="0"/>
        <w:spacing w:before="120" w:after="120" w:line="360" w:lineRule="exact"/>
        <w:ind w:firstLine="480" w:firstLineChars="200"/>
        <w:rPr>
          <w:rFonts w:ascii="宋体" w:hAnsi="宋体"/>
          <w:color w:val="auto"/>
          <w:sz w:val="24"/>
          <w:highlight w:val="none"/>
        </w:rPr>
      </w:pPr>
      <w:r>
        <w:rPr>
          <w:rFonts w:hint="eastAsia" w:ascii="宋体" w:hAnsi="宋体"/>
          <w:color w:val="auto"/>
          <w:sz w:val="24"/>
          <w:highlight w:val="none"/>
        </w:rPr>
        <w:t>1、在合同有效期内，任何一方因不可抗力事件导致不能履行合同，则合同履行期可延长，其延长期与不可抗力影响期相同。</w:t>
      </w:r>
    </w:p>
    <w:p w14:paraId="7350554F">
      <w:pPr>
        <w:snapToGrid w:val="0"/>
        <w:spacing w:before="120" w:after="120" w:line="360" w:lineRule="exact"/>
        <w:ind w:firstLine="480" w:firstLineChars="200"/>
        <w:rPr>
          <w:rFonts w:ascii="宋体" w:hAnsi="宋体"/>
          <w:color w:val="auto"/>
          <w:sz w:val="24"/>
          <w:highlight w:val="none"/>
        </w:rPr>
      </w:pPr>
      <w:r>
        <w:rPr>
          <w:rFonts w:hint="eastAsia" w:ascii="宋体" w:hAnsi="宋体"/>
          <w:color w:val="auto"/>
          <w:sz w:val="24"/>
          <w:highlight w:val="none"/>
        </w:rPr>
        <w:t>2、不可抗力事件发生后，应立即通知对方，并寄送有关权威机构出具的证明。</w:t>
      </w:r>
    </w:p>
    <w:p w14:paraId="6EF10CC8">
      <w:pPr>
        <w:snapToGrid w:val="0"/>
        <w:spacing w:before="120" w:after="120" w:line="360" w:lineRule="exact"/>
        <w:ind w:firstLine="480" w:firstLineChars="200"/>
        <w:rPr>
          <w:rFonts w:ascii="宋体" w:hAnsi="宋体"/>
          <w:color w:val="auto"/>
          <w:sz w:val="24"/>
          <w:highlight w:val="none"/>
        </w:rPr>
      </w:pPr>
      <w:r>
        <w:rPr>
          <w:rFonts w:hint="eastAsia" w:ascii="宋体" w:hAnsi="宋体"/>
          <w:color w:val="auto"/>
          <w:sz w:val="24"/>
          <w:highlight w:val="none"/>
        </w:rPr>
        <w:t>3、不可抗力事件延续120天以上，双方应通过友好协商，确定是否继续履行合同。</w:t>
      </w:r>
    </w:p>
    <w:p w14:paraId="195EFABD">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九、合同争议解决</w:t>
      </w:r>
    </w:p>
    <w:p w14:paraId="3DCABD3D">
      <w:pPr>
        <w:snapToGrid w:val="0"/>
        <w:spacing w:before="120" w:after="120" w:line="360" w:lineRule="exact"/>
        <w:ind w:firstLine="480" w:firstLineChars="200"/>
        <w:rPr>
          <w:rFonts w:ascii="宋体" w:hAnsi="宋体"/>
          <w:color w:val="auto"/>
          <w:sz w:val="24"/>
          <w:highlight w:val="none"/>
        </w:rPr>
      </w:pPr>
      <w:r>
        <w:rPr>
          <w:rFonts w:hint="eastAsia" w:ascii="宋体" w:hAnsi="宋体"/>
          <w:color w:val="auto"/>
          <w:sz w:val="24"/>
          <w:highlight w:val="none"/>
        </w:rPr>
        <w:t>1、因服务问题发生争议的，应邀请国家认可的质量检测机构对服务质量进行鉴定。服务符合标准的，鉴定费由甲方承担；服务不符合标准的，鉴定费由乙方承担。</w:t>
      </w:r>
    </w:p>
    <w:p w14:paraId="6496F9ED">
      <w:pPr>
        <w:snapToGrid w:val="0"/>
        <w:spacing w:before="120" w:after="120" w:line="360" w:lineRule="exact"/>
        <w:ind w:firstLine="480" w:firstLineChars="200"/>
        <w:rPr>
          <w:rFonts w:ascii="宋体" w:hAnsi="宋体"/>
          <w:color w:val="auto"/>
          <w:sz w:val="24"/>
          <w:highlight w:val="none"/>
        </w:rPr>
      </w:pPr>
      <w:r>
        <w:rPr>
          <w:rFonts w:hint="eastAsia" w:ascii="宋体" w:hAnsi="宋体"/>
          <w:color w:val="auto"/>
          <w:sz w:val="24"/>
          <w:highlight w:val="none"/>
        </w:rPr>
        <w:t>2、因履行本合同引起的或与本合同有关的争议，甲乙双方应首先通过友好协商解决，如果协商不能解决，可向甲方所在地人民法院提起诉讼。</w:t>
      </w:r>
    </w:p>
    <w:p w14:paraId="40BC70DB">
      <w:pPr>
        <w:snapToGrid w:val="0"/>
        <w:spacing w:before="120" w:after="120" w:line="360" w:lineRule="exact"/>
        <w:ind w:firstLine="480" w:firstLineChars="200"/>
        <w:rPr>
          <w:rFonts w:ascii="宋体" w:hAnsi="宋体"/>
          <w:color w:val="auto"/>
          <w:sz w:val="24"/>
          <w:highlight w:val="none"/>
        </w:rPr>
      </w:pPr>
      <w:bookmarkStart w:id="152" w:name="_Hlk138094802"/>
      <w:r>
        <w:rPr>
          <w:rFonts w:hint="eastAsia" w:ascii="宋体" w:hAnsi="宋体"/>
          <w:color w:val="auto"/>
          <w:sz w:val="24"/>
          <w:highlight w:val="none"/>
        </w:rPr>
        <w:t>3、诉讼期间，本合同继续履行。</w:t>
      </w:r>
    </w:p>
    <w:bookmarkEnd w:id="152"/>
    <w:p w14:paraId="75B82CCD">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十、诉讼</w:t>
      </w:r>
    </w:p>
    <w:p w14:paraId="63663E68">
      <w:pPr>
        <w:snapToGrid w:val="0"/>
        <w:spacing w:before="120" w:after="120" w:line="360" w:lineRule="exact"/>
        <w:ind w:left="1"/>
        <w:rPr>
          <w:rFonts w:ascii="宋体" w:hAnsi="宋体"/>
          <w:color w:val="auto"/>
          <w:sz w:val="24"/>
          <w:highlight w:val="none"/>
        </w:rPr>
      </w:pPr>
      <w:r>
        <w:rPr>
          <w:rFonts w:hint="eastAsia" w:ascii="宋体" w:hAnsi="宋体"/>
          <w:color w:val="auto"/>
          <w:sz w:val="24"/>
          <w:highlight w:val="none"/>
        </w:rPr>
        <w:t xml:space="preserve">    双方在执行合同中所发生的一切争议，应通过协商解决。如果协商不能解决，可向甲方所在地人民法院提起诉讼。</w:t>
      </w:r>
    </w:p>
    <w:p w14:paraId="41FC250B">
      <w:pPr>
        <w:snapToGrid w:val="0"/>
        <w:spacing w:before="120" w:after="120" w:line="360" w:lineRule="exact"/>
        <w:ind w:left="561" w:leftChars="267"/>
        <w:rPr>
          <w:rFonts w:ascii="宋体" w:hAnsi="宋体"/>
          <w:color w:val="auto"/>
          <w:sz w:val="24"/>
          <w:highlight w:val="none"/>
        </w:rPr>
      </w:pPr>
      <w:r>
        <w:rPr>
          <w:rFonts w:hint="eastAsia" w:ascii="宋体" w:hAnsi="宋体"/>
          <w:color w:val="auto"/>
          <w:sz w:val="24"/>
          <w:highlight w:val="none"/>
        </w:rPr>
        <w:t>十一、合同生效及其它</w:t>
      </w:r>
    </w:p>
    <w:p w14:paraId="538BFE2C">
      <w:pPr>
        <w:snapToGrid w:val="0"/>
        <w:spacing w:before="120" w:after="120" w:line="360" w:lineRule="exact"/>
        <w:ind w:left="561" w:leftChars="267"/>
        <w:rPr>
          <w:rFonts w:ascii="宋体" w:hAnsi="宋体"/>
          <w:color w:val="auto"/>
          <w:sz w:val="24"/>
          <w:highlight w:val="none"/>
        </w:rPr>
      </w:pPr>
      <w:r>
        <w:rPr>
          <w:rFonts w:hint="eastAsia" w:ascii="宋体" w:hAnsi="宋体"/>
          <w:color w:val="auto"/>
          <w:sz w:val="24"/>
          <w:highlight w:val="none"/>
        </w:rPr>
        <w:t>1、合同经双方法定代表人或授权代表签字并加盖单位公章后生效。</w:t>
      </w:r>
    </w:p>
    <w:p w14:paraId="3E364E84">
      <w:pPr>
        <w:snapToGrid w:val="0"/>
        <w:spacing w:before="120" w:after="120" w:line="360" w:lineRule="exact"/>
        <w:ind w:left="561" w:leftChars="267"/>
        <w:rPr>
          <w:rFonts w:ascii="宋体" w:hAnsi="宋体"/>
          <w:color w:val="auto"/>
          <w:sz w:val="24"/>
          <w:highlight w:val="none"/>
        </w:rPr>
      </w:pPr>
      <w:r>
        <w:rPr>
          <w:rFonts w:hint="eastAsia" w:ascii="宋体" w:hAnsi="宋体"/>
          <w:color w:val="auto"/>
          <w:sz w:val="24"/>
          <w:highlight w:val="none"/>
        </w:rPr>
        <w:t>2、本合同未尽事宜，遵照</w:t>
      </w:r>
      <w:r>
        <w:rPr>
          <w:rFonts w:hint="eastAsia" w:ascii="宋体" w:hAnsi="宋体"/>
          <w:color w:val="auto"/>
          <w:sz w:val="24"/>
          <w:szCs w:val="20"/>
          <w:highlight w:val="none"/>
        </w:rPr>
        <w:t>《中华人民共和国民法典》</w:t>
      </w:r>
      <w:r>
        <w:rPr>
          <w:rFonts w:hint="eastAsia" w:ascii="宋体" w:hAnsi="宋体"/>
          <w:color w:val="auto"/>
          <w:sz w:val="24"/>
          <w:highlight w:val="none"/>
        </w:rPr>
        <w:t>有关条文执行。</w:t>
      </w:r>
    </w:p>
    <w:p w14:paraId="0CEC697A">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十二、合同的变更、终止与转让</w:t>
      </w:r>
    </w:p>
    <w:p w14:paraId="397BE85A">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1、除《中华人民共和国政府采购法》第50条规定的情形外，本合同一经签订，甲乙双方不得擅自变更、中止或终止。</w:t>
      </w:r>
    </w:p>
    <w:p w14:paraId="1885CC76">
      <w:pPr>
        <w:snapToGrid w:val="0"/>
        <w:spacing w:before="120" w:after="120" w:line="360" w:lineRule="exact"/>
        <w:ind w:firstLine="470" w:firstLineChars="196"/>
        <w:rPr>
          <w:rFonts w:ascii="宋体" w:hAnsi="宋体"/>
          <w:b/>
          <w:color w:val="auto"/>
          <w:sz w:val="24"/>
          <w:highlight w:val="none"/>
        </w:rPr>
      </w:pPr>
      <w:r>
        <w:rPr>
          <w:rFonts w:hint="eastAsia" w:ascii="宋体" w:hAnsi="宋体"/>
          <w:color w:val="auto"/>
          <w:sz w:val="24"/>
          <w:highlight w:val="none"/>
        </w:rPr>
        <w:t>2、乙方不得擅自转让其应履行的合同义务。</w:t>
      </w:r>
    </w:p>
    <w:p w14:paraId="1D759D24">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十三、签订本合同依据</w:t>
      </w:r>
    </w:p>
    <w:p w14:paraId="1C76A016">
      <w:pPr>
        <w:snapToGrid w:val="0"/>
        <w:spacing w:line="360" w:lineRule="exact"/>
        <w:ind w:firstLine="480" w:firstLineChars="200"/>
        <w:rPr>
          <w:rFonts w:ascii="宋体" w:hAnsi="宋体"/>
          <w:color w:val="auto"/>
          <w:sz w:val="24"/>
          <w:highlight w:val="none"/>
          <w:u w:val="single"/>
        </w:rPr>
      </w:pPr>
      <w:r>
        <w:rPr>
          <w:rFonts w:hint="eastAsia" w:ascii="宋体" w:hAnsi="宋体"/>
          <w:color w:val="auto"/>
          <w:sz w:val="24"/>
          <w:highlight w:val="none"/>
        </w:rPr>
        <w:t>1、政府采购采购文件；2、乙方提供的投标文件；3、投标承诺书；4、中标或成交通知书。</w:t>
      </w:r>
    </w:p>
    <w:p w14:paraId="5C172D2F">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十四、本合同一式5份，具有同等法律效力，采购代理机构一份，甲乙双方各两份（可根据需要另增加）。</w:t>
      </w:r>
    </w:p>
    <w:p w14:paraId="0496BA14">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本合同甲乙双方签字盖章后生效，自签订之日起两个工作日内，采购人或采购代理机构应当将合同进行网上公示。</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0B22A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vAlign w:val="center"/>
          </w:tcPr>
          <w:p w14:paraId="73F7CC44">
            <w:pPr>
              <w:snapToGrid w:val="0"/>
              <w:spacing w:line="400" w:lineRule="exact"/>
              <w:rPr>
                <w:rFonts w:ascii="宋体" w:hAnsi="宋体"/>
                <w:color w:val="auto"/>
                <w:sz w:val="24"/>
                <w:highlight w:val="none"/>
              </w:rPr>
            </w:pPr>
            <w:r>
              <w:rPr>
                <w:rFonts w:hint="eastAsia" w:ascii="宋体" w:hAnsi="宋体"/>
                <w:color w:val="auto"/>
                <w:sz w:val="24"/>
                <w:highlight w:val="none"/>
              </w:rPr>
              <w:t xml:space="preserve">甲方（章）           </w:t>
            </w:r>
          </w:p>
          <w:p w14:paraId="35669D52">
            <w:pPr>
              <w:snapToGrid w:val="0"/>
              <w:spacing w:line="400" w:lineRule="exact"/>
              <w:rPr>
                <w:rFonts w:ascii="宋体" w:hAnsi="宋体"/>
                <w:color w:val="auto"/>
                <w:sz w:val="24"/>
                <w:highlight w:val="none"/>
              </w:rPr>
            </w:pPr>
          </w:p>
          <w:p w14:paraId="020C16D1">
            <w:pPr>
              <w:snapToGrid w:val="0"/>
              <w:spacing w:line="400" w:lineRule="exact"/>
              <w:ind w:firstLine="1080" w:firstLineChars="450"/>
              <w:jc w:val="right"/>
              <w:rPr>
                <w:rFonts w:ascii="宋体" w:hAnsi="宋体"/>
                <w:color w:val="auto"/>
                <w:sz w:val="24"/>
                <w:highlight w:val="none"/>
              </w:rPr>
            </w:pPr>
            <w:r>
              <w:rPr>
                <w:rFonts w:hint="eastAsia" w:ascii="宋体" w:hAnsi="宋体"/>
                <w:color w:val="auto"/>
                <w:sz w:val="24"/>
                <w:highlight w:val="none"/>
              </w:rPr>
              <w:t>年   月   日</w:t>
            </w:r>
          </w:p>
        </w:tc>
        <w:tc>
          <w:tcPr>
            <w:tcW w:w="4517" w:type="dxa"/>
            <w:vAlign w:val="center"/>
          </w:tcPr>
          <w:p w14:paraId="59943C7A">
            <w:pPr>
              <w:snapToGrid w:val="0"/>
              <w:spacing w:line="400" w:lineRule="exact"/>
              <w:rPr>
                <w:rFonts w:ascii="宋体" w:hAnsi="宋体"/>
                <w:color w:val="auto"/>
                <w:sz w:val="24"/>
                <w:highlight w:val="none"/>
              </w:rPr>
            </w:pPr>
            <w:r>
              <w:rPr>
                <w:rFonts w:hint="eastAsia" w:ascii="宋体" w:hAnsi="宋体"/>
                <w:color w:val="auto"/>
                <w:sz w:val="24"/>
                <w:highlight w:val="none"/>
              </w:rPr>
              <w:t xml:space="preserve">乙方（章）              </w:t>
            </w:r>
          </w:p>
          <w:p w14:paraId="5A87F58A">
            <w:pPr>
              <w:snapToGrid w:val="0"/>
              <w:spacing w:line="400" w:lineRule="exact"/>
              <w:rPr>
                <w:rFonts w:ascii="宋体" w:hAnsi="宋体"/>
                <w:color w:val="auto"/>
                <w:sz w:val="24"/>
                <w:highlight w:val="none"/>
              </w:rPr>
            </w:pPr>
          </w:p>
          <w:p w14:paraId="7BFC27B3">
            <w:pPr>
              <w:snapToGrid w:val="0"/>
              <w:spacing w:line="400" w:lineRule="exact"/>
              <w:jc w:val="right"/>
              <w:rPr>
                <w:rFonts w:ascii="宋体" w:hAnsi="宋体"/>
                <w:color w:val="auto"/>
                <w:sz w:val="24"/>
                <w:highlight w:val="none"/>
              </w:rPr>
            </w:pPr>
            <w:r>
              <w:rPr>
                <w:rFonts w:hint="eastAsia" w:ascii="宋体" w:hAnsi="宋体"/>
                <w:color w:val="auto"/>
                <w:sz w:val="24"/>
                <w:highlight w:val="none"/>
              </w:rPr>
              <w:t xml:space="preserve"> 年   月   日</w:t>
            </w:r>
          </w:p>
        </w:tc>
      </w:tr>
      <w:tr w14:paraId="06D2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vAlign w:val="center"/>
          </w:tcPr>
          <w:p w14:paraId="07791898">
            <w:pPr>
              <w:snapToGrid w:val="0"/>
              <w:spacing w:line="400" w:lineRule="exact"/>
              <w:rPr>
                <w:rFonts w:ascii="宋体" w:hAnsi="宋体"/>
                <w:color w:val="auto"/>
                <w:sz w:val="24"/>
                <w:highlight w:val="none"/>
              </w:rPr>
            </w:pPr>
            <w:r>
              <w:rPr>
                <w:rFonts w:hint="eastAsia" w:ascii="宋体" w:hAnsi="宋体"/>
                <w:color w:val="auto"/>
                <w:sz w:val="24"/>
                <w:highlight w:val="none"/>
              </w:rPr>
              <w:t>单位地址：</w:t>
            </w:r>
          </w:p>
        </w:tc>
        <w:tc>
          <w:tcPr>
            <w:tcW w:w="4517" w:type="dxa"/>
            <w:vAlign w:val="center"/>
          </w:tcPr>
          <w:p w14:paraId="41C3CEED">
            <w:pPr>
              <w:snapToGrid w:val="0"/>
              <w:spacing w:line="400" w:lineRule="exact"/>
              <w:rPr>
                <w:rFonts w:ascii="宋体" w:hAnsi="宋体"/>
                <w:color w:val="auto"/>
                <w:sz w:val="24"/>
                <w:highlight w:val="none"/>
              </w:rPr>
            </w:pPr>
            <w:r>
              <w:rPr>
                <w:rFonts w:hint="eastAsia" w:ascii="宋体" w:hAnsi="宋体"/>
                <w:color w:val="auto"/>
                <w:sz w:val="24"/>
                <w:highlight w:val="none"/>
              </w:rPr>
              <w:t>单位地址：</w:t>
            </w:r>
          </w:p>
        </w:tc>
      </w:tr>
      <w:tr w14:paraId="38DBC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516" w:type="dxa"/>
            <w:vAlign w:val="center"/>
          </w:tcPr>
          <w:p w14:paraId="40252F84">
            <w:pPr>
              <w:snapToGrid w:val="0"/>
              <w:spacing w:line="400" w:lineRule="exact"/>
              <w:rPr>
                <w:rFonts w:ascii="宋体" w:hAnsi="宋体"/>
                <w:color w:val="auto"/>
                <w:sz w:val="24"/>
                <w:highlight w:val="none"/>
              </w:rPr>
            </w:pPr>
            <w:r>
              <w:rPr>
                <w:rFonts w:hint="eastAsia" w:ascii="宋体" w:hAnsi="宋体"/>
                <w:color w:val="auto"/>
                <w:sz w:val="24"/>
                <w:highlight w:val="none"/>
              </w:rPr>
              <w:t>法定代表人：</w:t>
            </w:r>
          </w:p>
        </w:tc>
        <w:tc>
          <w:tcPr>
            <w:tcW w:w="4517" w:type="dxa"/>
            <w:vAlign w:val="center"/>
          </w:tcPr>
          <w:p w14:paraId="03051716">
            <w:pPr>
              <w:snapToGrid w:val="0"/>
              <w:spacing w:line="400" w:lineRule="exact"/>
              <w:rPr>
                <w:rFonts w:ascii="宋体" w:hAnsi="宋体"/>
                <w:color w:val="auto"/>
                <w:sz w:val="24"/>
                <w:highlight w:val="none"/>
              </w:rPr>
            </w:pPr>
            <w:r>
              <w:rPr>
                <w:rFonts w:hint="eastAsia" w:ascii="宋体" w:hAnsi="宋体"/>
                <w:color w:val="auto"/>
                <w:sz w:val="24"/>
                <w:highlight w:val="none"/>
              </w:rPr>
              <w:t>法定代表人：</w:t>
            </w:r>
          </w:p>
        </w:tc>
      </w:tr>
      <w:tr w14:paraId="21B9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516" w:type="dxa"/>
            <w:vAlign w:val="center"/>
          </w:tcPr>
          <w:p w14:paraId="03378969">
            <w:pPr>
              <w:snapToGrid w:val="0"/>
              <w:spacing w:line="400" w:lineRule="exact"/>
              <w:rPr>
                <w:rFonts w:ascii="宋体" w:hAnsi="宋体"/>
                <w:color w:val="auto"/>
                <w:sz w:val="24"/>
                <w:highlight w:val="none"/>
              </w:rPr>
            </w:pPr>
            <w:r>
              <w:rPr>
                <w:rFonts w:hint="eastAsia" w:ascii="宋体" w:hAnsi="宋体"/>
                <w:color w:val="auto"/>
                <w:sz w:val="24"/>
                <w:highlight w:val="none"/>
              </w:rPr>
              <w:t>授权代表：</w:t>
            </w:r>
          </w:p>
        </w:tc>
        <w:tc>
          <w:tcPr>
            <w:tcW w:w="4517" w:type="dxa"/>
            <w:vAlign w:val="center"/>
          </w:tcPr>
          <w:p w14:paraId="64764618">
            <w:pPr>
              <w:snapToGrid w:val="0"/>
              <w:spacing w:line="400" w:lineRule="exact"/>
              <w:rPr>
                <w:rFonts w:ascii="宋体" w:hAnsi="宋体"/>
                <w:color w:val="auto"/>
                <w:sz w:val="24"/>
                <w:highlight w:val="none"/>
              </w:rPr>
            </w:pPr>
            <w:r>
              <w:rPr>
                <w:rFonts w:hint="eastAsia" w:ascii="宋体" w:hAnsi="宋体"/>
                <w:color w:val="auto"/>
                <w:sz w:val="24"/>
                <w:highlight w:val="none"/>
              </w:rPr>
              <w:t>授权代表</w:t>
            </w:r>
          </w:p>
        </w:tc>
      </w:tr>
      <w:tr w14:paraId="3B0B4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vAlign w:val="center"/>
          </w:tcPr>
          <w:p w14:paraId="48B310FE">
            <w:pPr>
              <w:snapToGrid w:val="0"/>
              <w:spacing w:line="400" w:lineRule="exact"/>
              <w:rPr>
                <w:rFonts w:ascii="宋体" w:hAnsi="宋体"/>
                <w:color w:val="auto"/>
                <w:sz w:val="24"/>
                <w:highlight w:val="none"/>
              </w:rPr>
            </w:pPr>
            <w:r>
              <w:rPr>
                <w:rFonts w:hint="eastAsia" w:ascii="宋体" w:hAnsi="宋体"/>
                <w:color w:val="auto"/>
                <w:sz w:val="24"/>
                <w:highlight w:val="none"/>
              </w:rPr>
              <w:t>电话：</w:t>
            </w:r>
          </w:p>
        </w:tc>
        <w:tc>
          <w:tcPr>
            <w:tcW w:w="4517" w:type="dxa"/>
            <w:vAlign w:val="center"/>
          </w:tcPr>
          <w:p w14:paraId="63BD14B2">
            <w:pPr>
              <w:snapToGrid w:val="0"/>
              <w:spacing w:line="400" w:lineRule="exact"/>
              <w:rPr>
                <w:rFonts w:ascii="宋体" w:hAnsi="宋体"/>
                <w:color w:val="auto"/>
                <w:sz w:val="24"/>
                <w:highlight w:val="none"/>
              </w:rPr>
            </w:pPr>
            <w:r>
              <w:rPr>
                <w:rFonts w:hint="eastAsia" w:ascii="宋体" w:hAnsi="宋体"/>
                <w:color w:val="auto"/>
                <w:sz w:val="24"/>
                <w:highlight w:val="none"/>
              </w:rPr>
              <w:t>电话：</w:t>
            </w:r>
          </w:p>
        </w:tc>
      </w:tr>
      <w:tr w14:paraId="55AF1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vAlign w:val="center"/>
          </w:tcPr>
          <w:p w14:paraId="09A86CEA">
            <w:pPr>
              <w:snapToGrid w:val="0"/>
              <w:spacing w:line="400" w:lineRule="exact"/>
              <w:rPr>
                <w:rFonts w:ascii="宋体" w:hAnsi="宋体"/>
                <w:color w:val="auto"/>
                <w:sz w:val="24"/>
                <w:highlight w:val="none"/>
              </w:rPr>
            </w:pPr>
            <w:r>
              <w:rPr>
                <w:rFonts w:hint="eastAsia" w:ascii="宋体" w:hAnsi="宋体"/>
                <w:color w:val="auto"/>
                <w:sz w:val="24"/>
                <w:highlight w:val="none"/>
              </w:rPr>
              <w:t>电子邮箱：</w:t>
            </w:r>
          </w:p>
        </w:tc>
        <w:tc>
          <w:tcPr>
            <w:tcW w:w="4517" w:type="dxa"/>
            <w:vAlign w:val="center"/>
          </w:tcPr>
          <w:p w14:paraId="41CB4925">
            <w:pPr>
              <w:snapToGrid w:val="0"/>
              <w:spacing w:line="400" w:lineRule="exact"/>
              <w:rPr>
                <w:rFonts w:ascii="宋体" w:hAnsi="宋体"/>
                <w:color w:val="auto"/>
                <w:sz w:val="24"/>
                <w:highlight w:val="none"/>
              </w:rPr>
            </w:pPr>
            <w:r>
              <w:rPr>
                <w:rFonts w:hint="eastAsia" w:ascii="宋体" w:hAnsi="宋体"/>
                <w:color w:val="auto"/>
                <w:sz w:val="24"/>
                <w:highlight w:val="none"/>
              </w:rPr>
              <w:t>电子邮箱：</w:t>
            </w:r>
          </w:p>
        </w:tc>
      </w:tr>
      <w:tr w14:paraId="598E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vAlign w:val="center"/>
          </w:tcPr>
          <w:p w14:paraId="72F15D22">
            <w:pPr>
              <w:snapToGrid w:val="0"/>
              <w:spacing w:line="400" w:lineRule="exact"/>
              <w:rPr>
                <w:rFonts w:ascii="宋体" w:hAnsi="宋体"/>
                <w:color w:val="auto"/>
                <w:sz w:val="24"/>
                <w:highlight w:val="none"/>
              </w:rPr>
            </w:pPr>
            <w:r>
              <w:rPr>
                <w:rFonts w:hint="eastAsia" w:ascii="宋体" w:hAnsi="宋体"/>
                <w:color w:val="auto"/>
                <w:sz w:val="24"/>
                <w:highlight w:val="none"/>
              </w:rPr>
              <w:t>开户银行：</w:t>
            </w:r>
          </w:p>
        </w:tc>
        <w:tc>
          <w:tcPr>
            <w:tcW w:w="4517" w:type="dxa"/>
            <w:vAlign w:val="center"/>
          </w:tcPr>
          <w:p w14:paraId="5E2B1365">
            <w:pPr>
              <w:snapToGrid w:val="0"/>
              <w:spacing w:line="400" w:lineRule="exact"/>
              <w:rPr>
                <w:rFonts w:ascii="宋体" w:hAnsi="宋体"/>
                <w:color w:val="auto"/>
                <w:sz w:val="24"/>
                <w:highlight w:val="none"/>
              </w:rPr>
            </w:pPr>
            <w:r>
              <w:rPr>
                <w:rFonts w:hint="eastAsia" w:ascii="宋体" w:hAnsi="宋体"/>
                <w:color w:val="auto"/>
                <w:sz w:val="24"/>
                <w:highlight w:val="none"/>
              </w:rPr>
              <w:t>开户银行：</w:t>
            </w:r>
          </w:p>
        </w:tc>
      </w:tr>
      <w:tr w14:paraId="422FB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vAlign w:val="center"/>
          </w:tcPr>
          <w:p w14:paraId="0180B4DC">
            <w:pPr>
              <w:snapToGrid w:val="0"/>
              <w:spacing w:line="400" w:lineRule="exact"/>
              <w:rPr>
                <w:rFonts w:ascii="宋体" w:hAnsi="宋体"/>
                <w:color w:val="auto"/>
                <w:sz w:val="24"/>
                <w:highlight w:val="none"/>
              </w:rPr>
            </w:pPr>
            <w:r>
              <w:rPr>
                <w:rFonts w:hint="eastAsia" w:ascii="宋体" w:hAnsi="宋体"/>
                <w:color w:val="auto"/>
                <w:sz w:val="24"/>
                <w:highlight w:val="none"/>
              </w:rPr>
              <w:t>账号：</w:t>
            </w:r>
          </w:p>
        </w:tc>
        <w:tc>
          <w:tcPr>
            <w:tcW w:w="4517" w:type="dxa"/>
            <w:vAlign w:val="center"/>
          </w:tcPr>
          <w:p w14:paraId="30A36F5D">
            <w:pPr>
              <w:snapToGrid w:val="0"/>
              <w:spacing w:line="400" w:lineRule="exact"/>
              <w:rPr>
                <w:rFonts w:ascii="宋体" w:hAnsi="宋体"/>
                <w:color w:val="auto"/>
                <w:sz w:val="24"/>
                <w:highlight w:val="none"/>
              </w:rPr>
            </w:pPr>
            <w:r>
              <w:rPr>
                <w:rFonts w:hint="eastAsia" w:ascii="宋体" w:hAnsi="宋体"/>
                <w:color w:val="auto"/>
                <w:sz w:val="24"/>
                <w:highlight w:val="none"/>
              </w:rPr>
              <w:t>账号：</w:t>
            </w:r>
          </w:p>
        </w:tc>
      </w:tr>
      <w:tr w14:paraId="25929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vAlign w:val="center"/>
          </w:tcPr>
          <w:p w14:paraId="284008BC">
            <w:pPr>
              <w:snapToGrid w:val="0"/>
              <w:spacing w:line="400" w:lineRule="exact"/>
              <w:rPr>
                <w:rFonts w:ascii="宋体" w:hAnsi="宋体"/>
                <w:color w:val="auto"/>
                <w:sz w:val="24"/>
                <w:highlight w:val="none"/>
              </w:rPr>
            </w:pPr>
            <w:r>
              <w:rPr>
                <w:rFonts w:hint="eastAsia" w:ascii="宋体" w:hAnsi="宋体"/>
                <w:color w:val="auto"/>
                <w:sz w:val="24"/>
                <w:highlight w:val="none"/>
              </w:rPr>
              <w:t>邮政编码：</w:t>
            </w:r>
          </w:p>
        </w:tc>
        <w:tc>
          <w:tcPr>
            <w:tcW w:w="4517" w:type="dxa"/>
            <w:vAlign w:val="center"/>
          </w:tcPr>
          <w:p w14:paraId="4F2DAF93">
            <w:pPr>
              <w:snapToGrid w:val="0"/>
              <w:spacing w:line="400" w:lineRule="exact"/>
              <w:rPr>
                <w:rFonts w:ascii="宋体" w:hAnsi="宋体"/>
                <w:color w:val="auto"/>
                <w:sz w:val="24"/>
                <w:highlight w:val="none"/>
              </w:rPr>
            </w:pPr>
            <w:r>
              <w:rPr>
                <w:rFonts w:hint="eastAsia" w:ascii="宋体" w:hAnsi="宋体"/>
                <w:color w:val="auto"/>
                <w:sz w:val="24"/>
                <w:highlight w:val="none"/>
              </w:rPr>
              <w:t>邮政编码：</w:t>
            </w:r>
          </w:p>
        </w:tc>
      </w:tr>
      <w:tr w14:paraId="504ED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9033" w:type="dxa"/>
            <w:gridSpan w:val="2"/>
          </w:tcPr>
          <w:p w14:paraId="4E04D9AA">
            <w:pPr>
              <w:wordWrap w:val="0"/>
              <w:snapToGrid w:val="0"/>
              <w:spacing w:line="400" w:lineRule="exact"/>
              <w:ind w:right="240"/>
              <w:jc w:val="right"/>
              <w:rPr>
                <w:rFonts w:ascii="宋体" w:hAnsi="宋体"/>
                <w:color w:val="auto"/>
                <w:sz w:val="24"/>
                <w:highlight w:val="none"/>
              </w:rPr>
            </w:pPr>
            <w:r>
              <w:rPr>
                <w:rFonts w:hint="eastAsia" w:ascii="宋体" w:hAnsi="宋体"/>
                <w:color w:val="auto"/>
                <w:sz w:val="24"/>
                <w:highlight w:val="none"/>
              </w:rPr>
              <w:t>经办人：                                                 年    月    日</w:t>
            </w:r>
          </w:p>
        </w:tc>
      </w:tr>
    </w:tbl>
    <w:p w14:paraId="6F4029BD">
      <w:pPr>
        <w:snapToGrid w:val="0"/>
        <w:ind w:left="480" w:hanging="480" w:hangingChars="200"/>
        <w:rPr>
          <w:rFonts w:ascii="宋体" w:hAnsi="宋体"/>
          <w:color w:val="auto"/>
          <w:sz w:val="24"/>
          <w:highlight w:val="none"/>
        </w:rPr>
      </w:pPr>
    </w:p>
    <w:p w14:paraId="1DAD3ADC">
      <w:pPr>
        <w:snapToGrid w:val="0"/>
        <w:spacing w:line="360" w:lineRule="auto"/>
        <w:jc w:val="center"/>
        <w:rPr>
          <w:rFonts w:ascii="宋体" w:hAnsi="宋体"/>
          <w:b/>
          <w:color w:val="auto"/>
          <w:sz w:val="24"/>
          <w:highlight w:val="none"/>
        </w:rPr>
      </w:pPr>
    </w:p>
    <w:p w14:paraId="389F514F">
      <w:pPr>
        <w:snapToGrid w:val="0"/>
        <w:spacing w:line="360" w:lineRule="auto"/>
        <w:jc w:val="center"/>
        <w:rPr>
          <w:rFonts w:ascii="宋体" w:hAnsi="宋体"/>
          <w:b/>
          <w:color w:val="auto"/>
          <w:sz w:val="24"/>
          <w:highlight w:val="none"/>
        </w:rPr>
      </w:pPr>
      <w:r>
        <w:rPr>
          <w:rFonts w:hint="eastAsia" w:ascii="宋体" w:hAnsi="宋体"/>
          <w:b/>
          <w:color w:val="auto"/>
          <w:sz w:val="24"/>
          <w:highlight w:val="none"/>
        </w:rPr>
        <w:t>合 同 附 件</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8"/>
        <w:gridCol w:w="4860"/>
      </w:tblGrid>
      <w:tr w14:paraId="1DA9E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9108" w:type="dxa"/>
            <w:gridSpan w:val="2"/>
            <w:tcBorders>
              <w:top w:val="single" w:color="auto" w:sz="4" w:space="0"/>
              <w:left w:val="single" w:color="auto" w:sz="4" w:space="0"/>
              <w:right w:val="single" w:color="auto" w:sz="4" w:space="0"/>
            </w:tcBorders>
            <w:vAlign w:val="center"/>
          </w:tcPr>
          <w:p w14:paraId="5053EDB7">
            <w:pPr>
              <w:snapToGrid w:val="0"/>
              <w:ind w:firstLine="482"/>
              <w:rPr>
                <w:rFonts w:ascii="宋体" w:hAnsi="宋体"/>
                <w:color w:val="auto"/>
                <w:sz w:val="24"/>
                <w:highlight w:val="none"/>
              </w:rPr>
            </w:pPr>
            <w:r>
              <w:rPr>
                <w:rFonts w:hint="eastAsia" w:ascii="宋体" w:hAnsi="宋体"/>
                <w:color w:val="auto"/>
                <w:sz w:val="24"/>
                <w:highlight w:val="none"/>
              </w:rPr>
              <w:t>1.供应商承诺具体事项：</w:t>
            </w:r>
          </w:p>
        </w:tc>
      </w:tr>
      <w:tr w14:paraId="73B10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08" w:type="dxa"/>
            <w:gridSpan w:val="2"/>
            <w:tcBorders>
              <w:left w:val="single" w:color="auto" w:sz="4" w:space="0"/>
              <w:right w:val="single" w:color="auto" w:sz="4" w:space="0"/>
            </w:tcBorders>
            <w:vAlign w:val="center"/>
          </w:tcPr>
          <w:p w14:paraId="4961A5FA">
            <w:pPr>
              <w:snapToGrid w:val="0"/>
              <w:ind w:firstLine="482"/>
              <w:rPr>
                <w:rFonts w:ascii="宋体" w:hAnsi="宋体"/>
                <w:color w:val="auto"/>
                <w:sz w:val="24"/>
                <w:highlight w:val="none"/>
              </w:rPr>
            </w:pPr>
          </w:p>
        </w:tc>
      </w:tr>
      <w:tr w14:paraId="1709E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108" w:type="dxa"/>
            <w:gridSpan w:val="2"/>
            <w:tcBorders>
              <w:top w:val="single" w:color="auto" w:sz="4" w:space="0"/>
              <w:left w:val="single" w:color="auto" w:sz="4" w:space="0"/>
              <w:right w:val="single" w:color="auto" w:sz="4" w:space="0"/>
            </w:tcBorders>
            <w:vAlign w:val="center"/>
          </w:tcPr>
          <w:p w14:paraId="035F49C2">
            <w:pPr>
              <w:snapToGrid w:val="0"/>
              <w:ind w:firstLine="482"/>
              <w:rPr>
                <w:rFonts w:ascii="宋体" w:hAnsi="宋体"/>
                <w:color w:val="auto"/>
                <w:sz w:val="24"/>
                <w:highlight w:val="none"/>
              </w:rPr>
            </w:pPr>
            <w:r>
              <w:rPr>
                <w:rFonts w:hint="eastAsia" w:ascii="宋体" w:hAnsi="宋体"/>
                <w:color w:val="auto"/>
                <w:sz w:val="24"/>
                <w:highlight w:val="none"/>
              </w:rPr>
              <w:t>2.售后服务具体事项：</w:t>
            </w:r>
          </w:p>
        </w:tc>
      </w:tr>
      <w:tr w14:paraId="021B8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108" w:type="dxa"/>
            <w:gridSpan w:val="2"/>
            <w:tcBorders>
              <w:left w:val="single" w:color="auto" w:sz="4" w:space="0"/>
              <w:bottom w:val="single" w:color="auto" w:sz="4" w:space="0"/>
              <w:right w:val="single" w:color="auto" w:sz="4" w:space="0"/>
            </w:tcBorders>
            <w:vAlign w:val="center"/>
          </w:tcPr>
          <w:p w14:paraId="393630AE">
            <w:pPr>
              <w:snapToGrid w:val="0"/>
              <w:ind w:firstLine="482"/>
              <w:rPr>
                <w:rFonts w:ascii="宋体" w:hAnsi="宋体"/>
                <w:color w:val="auto"/>
                <w:sz w:val="24"/>
                <w:highlight w:val="none"/>
              </w:rPr>
            </w:pPr>
          </w:p>
        </w:tc>
      </w:tr>
      <w:tr w14:paraId="13FFF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108" w:type="dxa"/>
            <w:gridSpan w:val="2"/>
            <w:tcBorders>
              <w:top w:val="single" w:color="auto" w:sz="4" w:space="0"/>
              <w:left w:val="single" w:color="auto" w:sz="4" w:space="0"/>
              <w:right w:val="single" w:color="auto" w:sz="4" w:space="0"/>
            </w:tcBorders>
            <w:vAlign w:val="center"/>
          </w:tcPr>
          <w:p w14:paraId="4A8611B3">
            <w:pPr>
              <w:snapToGrid w:val="0"/>
              <w:ind w:firstLine="482"/>
              <w:rPr>
                <w:rFonts w:ascii="宋体" w:hAnsi="宋体"/>
                <w:color w:val="auto"/>
                <w:sz w:val="24"/>
                <w:highlight w:val="none"/>
              </w:rPr>
            </w:pPr>
            <w:r>
              <w:rPr>
                <w:rFonts w:hint="eastAsia" w:ascii="宋体" w:hAnsi="宋体"/>
                <w:color w:val="auto"/>
                <w:sz w:val="24"/>
                <w:highlight w:val="none"/>
              </w:rPr>
              <w:t>3.其他具体事项：</w:t>
            </w:r>
          </w:p>
        </w:tc>
      </w:tr>
      <w:tr w14:paraId="644EE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108" w:type="dxa"/>
            <w:gridSpan w:val="2"/>
            <w:tcBorders>
              <w:left w:val="single" w:color="auto" w:sz="4" w:space="0"/>
              <w:right w:val="single" w:color="auto" w:sz="4" w:space="0"/>
            </w:tcBorders>
            <w:vAlign w:val="center"/>
          </w:tcPr>
          <w:p w14:paraId="0B93AD26">
            <w:pPr>
              <w:snapToGrid w:val="0"/>
              <w:ind w:firstLine="482"/>
              <w:rPr>
                <w:rFonts w:ascii="宋体" w:hAnsi="宋体"/>
                <w:color w:val="auto"/>
                <w:sz w:val="24"/>
                <w:highlight w:val="none"/>
              </w:rPr>
            </w:pPr>
          </w:p>
        </w:tc>
      </w:tr>
      <w:tr w14:paraId="2666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atLeast"/>
        </w:trPr>
        <w:tc>
          <w:tcPr>
            <w:tcW w:w="4248" w:type="dxa"/>
            <w:tcBorders>
              <w:top w:val="single" w:color="auto" w:sz="4" w:space="0"/>
              <w:left w:val="single" w:color="auto" w:sz="4" w:space="0"/>
              <w:bottom w:val="single" w:color="auto" w:sz="4" w:space="0"/>
              <w:right w:val="single" w:color="auto" w:sz="4" w:space="0"/>
            </w:tcBorders>
            <w:vAlign w:val="center"/>
          </w:tcPr>
          <w:p w14:paraId="7CF2E446">
            <w:pPr>
              <w:snapToGrid w:val="0"/>
              <w:ind w:firstLine="482"/>
              <w:rPr>
                <w:rFonts w:ascii="宋体" w:hAnsi="宋体"/>
                <w:color w:val="auto"/>
                <w:sz w:val="24"/>
                <w:highlight w:val="none"/>
              </w:rPr>
            </w:pPr>
            <w:r>
              <w:rPr>
                <w:rFonts w:hint="eastAsia" w:ascii="宋体" w:hAnsi="宋体"/>
                <w:color w:val="auto"/>
                <w:sz w:val="24"/>
                <w:highlight w:val="none"/>
              </w:rPr>
              <w:t>甲方（章）</w:t>
            </w:r>
          </w:p>
          <w:p w14:paraId="3D699E58">
            <w:pPr>
              <w:snapToGrid w:val="0"/>
              <w:ind w:firstLine="482"/>
              <w:rPr>
                <w:rFonts w:ascii="宋体" w:hAnsi="宋体"/>
                <w:color w:val="auto"/>
                <w:sz w:val="24"/>
                <w:highlight w:val="none"/>
              </w:rPr>
            </w:pPr>
          </w:p>
          <w:p w14:paraId="1D9C9069">
            <w:pPr>
              <w:snapToGrid w:val="0"/>
              <w:ind w:firstLine="482"/>
              <w:rPr>
                <w:rFonts w:ascii="宋体" w:hAnsi="宋体"/>
                <w:color w:val="auto"/>
                <w:sz w:val="24"/>
                <w:highlight w:val="none"/>
              </w:rPr>
            </w:pPr>
          </w:p>
          <w:p w14:paraId="6600221B">
            <w:pPr>
              <w:snapToGrid w:val="0"/>
              <w:ind w:firstLine="482"/>
              <w:rPr>
                <w:rFonts w:ascii="宋体" w:hAnsi="宋体"/>
                <w:color w:val="auto"/>
                <w:sz w:val="24"/>
                <w:highlight w:val="none"/>
              </w:rPr>
            </w:pPr>
          </w:p>
          <w:p w14:paraId="7825975D">
            <w:pPr>
              <w:snapToGrid w:val="0"/>
              <w:ind w:firstLine="482"/>
              <w:rPr>
                <w:rFonts w:ascii="宋体" w:hAnsi="宋体"/>
                <w:color w:val="auto"/>
                <w:sz w:val="24"/>
                <w:highlight w:val="none"/>
              </w:rPr>
            </w:pPr>
          </w:p>
          <w:p w14:paraId="696A9387">
            <w:pPr>
              <w:snapToGrid w:val="0"/>
              <w:ind w:firstLine="482"/>
              <w:rPr>
                <w:rFonts w:ascii="宋体" w:hAnsi="宋体"/>
                <w:color w:val="auto"/>
                <w:sz w:val="24"/>
                <w:highlight w:val="none"/>
              </w:rPr>
            </w:pPr>
          </w:p>
          <w:p w14:paraId="7FA2D5C0">
            <w:pPr>
              <w:snapToGrid w:val="0"/>
              <w:ind w:firstLine="482"/>
              <w:rPr>
                <w:rFonts w:ascii="宋体" w:hAnsi="宋体"/>
                <w:color w:val="auto"/>
                <w:sz w:val="24"/>
                <w:highlight w:val="none"/>
              </w:rPr>
            </w:pPr>
            <w:r>
              <w:rPr>
                <w:rFonts w:hint="eastAsia" w:ascii="宋体" w:hAnsi="宋体"/>
                <w:color w:val="auto"/>
                <w:sz w:val="24"/>
                <w:highlight w:val="none"/>
              </w:rPr>
              <w:t xml:space="preserve">                 年   月   日 </w:t>
            </w:r>
          </w:p>
        </w:tc>
        <w:tc>
          <w:tcPr>
            <w:tcW w:w="4860" w:type="dxa"/>
            <w:tcBorders>
              <w:top w:val="single" w:color="auto" w:sz="4" w:space="0"/>
              <w:left w:val="single" w:color="auto" w:sz="4" w:space="0"/>
              <w:bottom w:val="single" w:color="auto" w:sz="4" w:space="0"/>
              <w:right w:val="single" w:color="auto" w:sz="4" w:space="0"/>
            </w:tcBorders>
            <w:vAlign w:val="center"/>
          </w:tcPr>
          <w:p w14:paraId="48E13658">
            <w:pPr>
              <w:snapToGrid w:val="0"/>
              <w:ind w:firstLine="482"/>
              <w:rPr>
                <w:rFonts w:ascii="宋体" w:hAnsi="宋体"/>
                <w:color w:val="auto"/>
                <w:sz w:val="24"/>
                <w:highlight w:val="none"/>
              </w:rPr>
            </w:pPr>
            <w:r>
              <w:rPr>
                <w:rFonts w:hint="eastAsia" w:ascii="宋体" w:hAnsi="宋体"/>
                <w:color w:val="auto"/>
                <w:sz w:val="24"/>
                <w:highlight w:val="none"/>
              </w:rPr>
              <w:t>乙方（章）</w:t>
            </w:r>
          </w:p>
          <w:p w14:paraId="02E1BEB4">
            <w:pPr>
              <w:snapToGrid w:val="0"/>
              <w:ind w:firstLine="482"/>
              <w:rPr>
                <w:rFonts w:ascii="宋体" w:hAnsi="宋体"/>
                <w:color w:val="auto"/>
                <w:sz w:val="24"/>
                <w:highlight w:val="none"/>
              </w:rPr>
            </w:pPr>
          </w:p>
          <w:p w14:paraId="60EBBD2C">
            <w:pPr>
              <w:snapToGrid w:val="0"/>
              <w:ind w:firstLine="482"/>
              <w:rPr>
                <w:rFonts w:ascii="宋体" w:hAnsi="宋体"/>
                <w:color w:val="auto"/>
                <w:sz w:val="24"/>
                <w:highlight w:val="none"/>
              </w:rPr>
            </w:pPr>
          </w:p>
          <w:p w14:paraId="574A2D8D">
            <w:pPr>
              <w:snapToGrid w:val="0"/>
              <w:ind w:firstLine="482"/>
              <w:rPr>
                <w:rFonts w:ascii="宋体" w:hAnsi="宋体"/>
                <w:color w:val="auto"/>
                <w:sz w:val="24"/>
                <w:highlight w:val="none"/>
              </w:rPr>
            </w:pPr>
          </w:p>
          <w:p w14:paraId="0229C7EB">
            <w:pPr>
              <w:snapToGrid w:val="0"/>
              <w:ind w:firstLine="482"/>
              <w:rPr>
                <w:rFonts w:ascii="宋体" w:hAnsi="宋体"/>
                <w:color w:val="auto"/>
                <w:sz w:val="24"/>
                <w:highlight w:val="none"/>
              </w:rPr>
            </w:pPr>
          </w:p>
          <w:p w14:paraId="71797416">
            <w:pPr>
              <w:snapToGrid w:val="0"/>
              <w:ind w:firstLine="482"/>
              <w:rPr>
                <w:rFonts w:ascii="宋体" w:hAnsi="宋体"/>
                <w:color w:val="auto"/>
                <w:sz w:val="24"/>
                <w:highlight w:val="none"/>
              </w:rPr>
            </w:pPr>
          </w:p>
          <w:p w14:paraId="3874F091">
            <w:pPr>
              <w:snapToGrid w:val="0"/>
              <w:ind w:firstLine="482"/>
              <w:rPr>
                <w:rFonts w:ascii="宋体" w:hAnsi="宋体"/>
                <w:color w:val="auto"/>
                <w:sz w:val="24"/>
                <w:highlight w:val="none"/>
              </w:rPr>
            </w:pPr>
            <w:r>
              <w:rPr>
                <w:rFonts w:hint="eastAsia" w:ascii="宋体" w:hAnsi="宋体"/>
                <w:color w:val="auto"/>
                <w:sz w:val="24"/>
                <w:highlight w:val="none"/>
              </w:rPr>
              <w:t xml:space="preserve">                年   月   日</w:t>
            </w:r>
          </w:p>
        </w:tc>
      </w:tr>
    </w:tbl>
    <w:p w14:paraId="247DA207">
      <w:pPr>
        <w:snapToGrid w:val="0"/>
        <w:rPr>
          <w:rFonts w:ascii="宋体" w:hAnsi="宋体"/>
          <w:color w:val="auto"/>
          <w:sz w:val="24"/>
          <w:highlight w:val="none"/>
        </w:rPr>
      </w:pPr>
      <w:r>
        <w:rPr>
          <w:rFonts w:hint="eastAsia" w:ascii="宋体" w:hAnsi="宋体"/>
          <w:color w:val="auto"/>
          <w:sz w:val="24"/>
          <w:highlight w:val="none"/>
        </w:rPr>
        <w:t xml:space="preserve">  注：售后服务事项填不下时可另加附页</w:t>
      </w:r>
    </w:p>
    <w:p w14:paraId="1EE51DE0">
      <w:pPr>
        <w:snapToGrid w:val="0"/>
        <w:jc w:val="center"/>
        <w:rPr>
          <w:rFonts w:ascii="宋体" w:hAnsi="宋体"/>
          <w:bCs/>
          <w:color w:val="auto"/>
          <w:sz w:val="32"/>
          <w:szCs w:val="32"/>
          <w:highlight w:val="none"/>
        </w:rPr>
      </w:pPr>
      <w:r>
        <w:rPr>
          <w:rFonts w:ascii="宋体" w:hAnsi="宋体"/>
          <w:b/>
          <w:color w:val="auto"/>
          <w:sz w:val="32"/>
          <w:szCs w:val="32"/>
          <w:highlight w:val="none"/>
        </w:rPr>
        <w:br w:type="page"/>
      </w:r>
    </w:p>
    <w:bookmarkEnd w:id="151"/>
    <w:p w14:paraId="39BF0071">
      <w:pPr>
        <w:snapToGrid w:val="0"/>
        <w:spacing w:line="480" w:lineRule="auto"/>
        <w:rPr>
          <w:rFonts w:ascii="宋体" w:hAnsi="宋体"/>
          <w:bCs/>
          <w:color w:val="auto"/>
          <w:sz w:val="32"/>
          <w:szCs w:val="32"/>
          <w:highlight w:val="none"/>
        </w:rPr>
      </w:pPr>
    </w:p>
    <w:p w14:paraId="0E75AE79">
      <w:pPr>
        <w:snapToGrid w:val="0"/>
        <w:jc w:val="center"/>
        <w:rPr>
          <w:rFonts w:ascii="宋体" w:hAnsi="宋体"/>
          <w:bCs/>
          <w:color w:val="auto"/>
          <w:sz w:val="32"/>
          <w:szCs w:val="32"/>
          <w:highlight w:val="none"/>
        </w:rPr>
      </w:pPr>
    </w:p>
    <w:p w14:paraId="30865428">
      <w:pPr>
        <w:snapToGrid w:val="0"/>
        <w:jc w:val="center"/>
        <w:rPr>
          <w:rFonts w:ascii="宋体" w:hAnsi="宋体"/>
          <w:bCs/>
          <w:color w:val="auto"/>
          <w:sz w:val="32"/>
          <w:szCs w:val="32"/>
          <w:highlight w:val="none"/>
        </w:rPr>
      </w:pPr>
    </w:p>
    <w:p w14:paraId="5075EDC8">
      <w:pPr>
        <w:snapToGrid w:val="0"/>
        <w:jc w:val="center"/>
        <w:rPr>
          <w:rFonts w:ascii="宋体" w:hAnsi="宋体"/>
          <w:bCs/>
          <w:color w:val="auto"/>
          <w:sz w:val="32"/>
          <w:szCs w:val="32"/>
          <w:highlight w:val="none"/>
        </w:rPr>
      </w:pPr>
    </w:p>
    <w:p w14:paraId="04CE6804">
      <w:pPr>
        <w:snapToGrid w:val="0"/>
        <w:jc w:val="center"/>
        <w:rPr>
          <w:rFonts w:ascii="宋体" w:hAnsi="宋体"/>
          <w:bCs/>
          <w:color w:val="auto"/>
          <w:sz w:val="32"/>
          <w:szCs w:val="32"/>
          <w:highlight w:val="none"/>
        </w:rPr>
      </w:pPr>
    </w:p>
    <w:p w14:paraId="52592C2B">
      <w:pPr>
        <w:snapToGrid w:val="0"/>
        <w:jc w:val="center"/>
        <w:rPr>
          <w:rFonts w:ascii="宋体" w:hAnsi="宋体"/>
          <w:bCs/>
          <w:color w:val="auto"/>
          <w:sz w:val="32"/>
          <w:szCs w:val="32"/>
          <w:highlight w:val="none"/>
        </w:rPr>
      </w:pPr>
    </w:p>
    <w:p w14:paraId="07E57650">
      <w:pPr>
        <w:snapToGrid w:val="0"/>
        <w:jc w:val="center"/>
        <w:rPr>
          <w:rFonts w:ascii="宋体" w:hAnsi="宋体"/>
          <w:bCs/>
          <w:color w:val="auto"/>
          <w:sz w:val="32"/>
          <w:szCs w:val="32"/>
          <w:highlight w:val="none"/>
        </w:rPr>
      </w:pPr>
    </w:p>
    <w:p w14:paraId="0713F444">
      <w:pPr>
        <w:snapToGrid w:val="0"/>
        <w:jc w:val="center"/>
        <w:rPr>
          <w:rFonts w:ascii="宋体" w:hAnsi="宋体"/>
          <w:bCs/>
          <w:color w:val="auto"/>
          <w:sz w:val="32"/>
          <w:szCs w:val="32"/>
          <w:highlight w:val="none"/>
        </w:rPr>
      </w:pPr>
    </w:p>
    <w:p w14:paraId="4ACD9DB5">
      <w:pPr>
        <w:snapToGrid w:val="0"/>
        <w:jc w:val="center"/>
        <w:rPr>
          <w:rFonts w:ascii="宋体" w:hAnsi="宋体"/>
          <w:bCs/>
          <w:color w:val="auto"/>
          <w:sz w:val="32"/>
          <w:szCs w:val="32"/>
          <w:highlight w:val="none"/>
        </w:rPr>
      </w:pPr>
    </w:p>
    <w:p w14:paraId="6F8E211E">
      <w:pPr>
        <w:snapToGrid w:val="0"/>
        <w:jc w:val="center"/>
        <w:rPr>
          <w:rFonts w:ascii="宋体" w:hAnsi="宋体"/>
          <w:bCs/>
          <w:color w:val="auto"/>
          <w:sz w:val="32"/>
          <w:szCs w:val="32"/>
          <w:highlight w:val="none"/>
        </w:rPr>
      </w:pPr>
    </w:p>
    <w:p w14:paraId="31674870">
      <w:pPr>
        <w:snapToGrid w:val="0"/>
        <w:jc w:val="center"/>
        <w:rPr>
          <w:rFonts w:ascii="宋体" w:hAnsi="宋体"/>
          <w:bCs/>
          <w:color w:val="auto"/>
          <w:sz w:val="32"/>
          <w:szCs w:val="32"/>
          <w:highlight w:val="none"/>
        </w:rPr>
      </w:pPr>
    </w:p>
    <w:p w14:paraId="2A359CA2">
      <w:pPr>
        <w:snapToGrid w:val="0"/>
        <w:jc w:val="center"/>
        <w:rPr>
          <w:rFonts w:ascii="宋体" w:hAnsi="宋体"/>
          <w:bCs/>
          <w:color w:val="auto"/>
          <w:sz w:val="32"/>
          <w:szCs w:val="32"/>
          <w:highlight w:val="none"/>
        </w:rPr>
      </w:pPr>
    </w:p>
    <w:p w14:paraId="35DDFFF4">
      <w:pPr>
        <w:pStyle w:val="2"/>
        <w:jc w:val="center"/>
        <w:rPr>
          <w:rFonts w:ascii="宋体" w:hAnsi="宋体" w:eastAsia="宋体"/>
          <w:color w:val="auto"/>
          <w:highlight w:val="none"/>
        </w:rPr>
      </w:pPr>
      <w:bookmarkStart w:id="153" w:name="_Toc18213"/>
      <w:r>
        <w:rPr>
          <w:rFonts w:hint="eastAsia" w:ascii="宋体" w:hAnsi="宋体" w:eastAsia="宋体"/>
          <w:color w:val="auto"/>
          <w:highlight w:val="none"/>
        </w:rPr>
        <w:t>第六章　投标文件格式</w:t>
      </w:r>
      <w:bookmarkEnd w:id="153"/>
    </w:p>
    <w:p w14:paraId="6B5A7098">
      <w:pPr>
        <w:snapToGrid w:val="0"/>
        <w:spacing w:before="50" w:after="50"/>
        <w:outlineLvl w:val="1"/>
        <w:rPr>
          <w:rFonts w:ascii="宋体" w:hAnsi="宋体"/>
          <w:color w:val="auto"/>
          <w:sz w:val="32"/>
          <w:szCs w:val="20"/>
          <w:highlight w:val="none"/>
        </w:rPr>
      </w:pPr>
    </w:p>
    <w:p w14:paraId="1EA13F79">
      <w:pPr>
        <w:snapToGrid w:val="0"/>
        <w:spacing w:before="50" w:after="50"/>
        <w:outlineLvl w:val="1"/>
        <w:rPr>
          <w:rFonts w:ascii="宋体" w:hAnsi="宋体"/>
          <w:color w:val="auto"/>
          <w:sz w:val="32"/>
          <w:szCs w:val="20"/>
          <w:highlight w:val="none"/>
        </w:rPr>
      </w:pPr>
    </w:p>
    <w:p w14:paraId="132CF3F6">
      <w:pPr>
        <w:snapToGrid w:val="0"/>
        <w:spacing w:before="50" w:after="50"/>
        <w:outlineLvl w:val="1"/>
        <w:rPr>
          <w:rFonts w:ascii="宋体" w:hAnsi="宋体"/>
          <w:color w:val="auto"/>
          <w:sz w:val="32"/>
          <w:szCs w:val="20"/>
          <w:highlight w:val="none"/>
        </w:rPr>
      </w:pPr>
    </w:p>
    <w:p w14:paraId="1D5FA7CA">
      <w:pPr>
        <w:snapToGrid w:val="0"/>
        <w:spacing w:before="50" w:after="50"/>
        <w:outlineLvl w:val="1"/>
        <w:rPr>
          <w:rFonts w:ascii="宋体" w:hAnsi="宋体"/>
          <w:color w:val="auto"/>
          <w:sz w:val="32"/>
          <w:szCs w:val="20"/>
          <w:highlight w:val="none"/>
        </w:rPr>
      </w:pPr>
    </w:p>
    <w:p w14:paraId="202BA175">
      <w:pPr>
        <w:snapToGrid w:val="0"/>
        <w:spacing w:before="50" w:after="50"/>
        <w:outlineLvl w:val="1"/>
        <w:rPr>
          <w:rFonts w:ascii="宋体" w:hAnsi="宋体"/>
          <w:color w:val="auto"/>
          <w:sz w:val="32"/>
          <w:szCs w:val="20"/>
          <w:highlight w:val="none"/>
        </w:rPr>
      </w:pPr>
    </w:p>
    <w:p w14:paraId="2811D64C">
      <w:pPr>
        <w:snapToGrid w:val="0"/>
        <w:spacing w:before="50" w:after="50"/>
        <w:outlineLvl w:val="1"/>
        <w:rPr>
          <w:rFonts w:ascii="宋体" w:hAnsi="宋体"/>
          <w:color w:val="auto"/>
          <w:sz w:val="32"/>
          <w:szCs w:val="20"/>
          <w:highlight w:val="none"/>
        </w:rPr>
      </w:pPr>
    </w:p>
    <w:p w14:paraId="14239C15">
      <w:pPr>
        <w:snapToGrid w:val="0"/>
        <w:spacing w:before="50" w:after="50"/>
        <w:outlineLvl w:val="1"/>
        <w:rPr>
          <w:rFonts w:ascii="宋体" w:hAnsi="宋体"/>
          <w:color w:val="auto"/>
          <w:sz w:val="32"/>
          <w:szCs w:val="20"/>
          <w:highlight w:val="none"/>
        </w:rPr>
      </w:pPr>
    </w:p>
    <w:p w14:paraId="528B81C9">
      <w:pPr>
        <w:snapToGrid w:val="0"/>
        <w:spacing w:before="50" w:after="50"/>
        <w:outlineLvl w:val="1"/>
        <w:rPr>
          <w:rFonts w:ascii="宋体" w:hAnsi="宋体"/>
          <w:color w:val="auto"/>
          <w:sz w:val="32"/>
          <w:szCs w:val="20"/>
          <w:highlight w:val="none"/>
        </w:rPr>
      </w:pPr>
    </w:p>
    <w:p w14:paraId="64182A37">
      <w:pPr>
        <w:snapToGrid w:val="0"/>
        <w:spacing w:before="50" w:after="50"/>
        <w:outlineLvl w:val="1"/>
        <w:rPr>
          <w:rFonts w:ascii="宋体" w:hAnsi="宋体"/>
          <w:color w:val="auto"/>
          <w:sz w:val="32"/>
          <w:szCs w:val="20"/>
          <w:highlight w:val="none"/>
        </w:rPr>
      </w:pPr>
    </w:p>
    <w:p w14:paraId="255F7A44">
      <w:pPr>
        <w:snapToGrid w:val="0"/>
        <w:spacing w:before="50" w:after="50"/>
        <w:outlineLvl w:val="1"/>
        <w:rPr>
          <w:rFonts w:ascii="宋体" w:hAnsi="宋体"/>
          <w:color w:val="auto"/>
          <w:sz w:val="32"/>
          <w:szCs w:val="20"/>
          <w:highlight w:val="none"/>
        </w:rPr>
      </w:pPr>
    </w:p>
    <w:p w14:paraId="5E84EA58">
      <w:pPr>
        <w:snapToGrid w:val="0"/>
        <w:spacing w:before="50" w:after="50"/>
        <w:outlineLvl w:val="1"/>
        <w:rPr>
          <w:rFonts w:ascii="宋体" w:hAnsi="宋体"/>
          <w:color w:val="auto"/>
          <w:sz w:val="32"/>
          <w:szCs w:val="20"/>
          <w:highlight w:val="none"/>
        </w:rPr>
      </w:pPr>
    </w:p>
    <w:p w14:paraId="04686B30">
      <w:pPr>
        <w:snapToGrid w:val="0"/>
        <w:spacing w:beforeLines="50" w:after="50"/>
        <w:jc w:val="center"/>
        <w:outlineLvl w:val="1"/>
        <w:rPr>
          <w:rFonts w:ascii="宋体" w:hAnsi="宋体"/>
          <w:color w:val="auto"/>
          <w:highlight w:val="none"/>
        </w:rPr>
      </w:pPr>
    </w:p>
    <w:p w14:paraId="6D252B9B">
      <w:pPr>
        <w:rPr>
          <w:rFonts w:ascii="宋体" w:hAnsi="宋体"/>
          <w:b/>
          <w:color w:val="auto"/>
          <w:sz w:val="28"/>
          <w:szCs w:val="28"/>
          <w:highlight w:val="none"/>
        </w:rPr>
      </w:pPr>
      <w:bookmarkStart w:id="154" w:name="_Toc19686836"/>
      <w:bookmarkStart w:id="155" w:name="_Toc254970698"/>
      <w:bookmarkStart w:id="156" w:name="_Toc254970557"/>
      <w:r>
        <w:rPr>
          <w:rFonts w:ascii="宋体" w:hAnsi="宋体"/>
          <w:b/>
          <w:color w:val="auto"/>
          <w:sz w:val="28"/>
          <w:szCs w:val="28"/>
          <w:highlight w:val="none"/>
        </w:rPr>
        <w:br w:type="page"/>
      </w:r>
      <w:r>
        <w:rPr>
          <w:rFonts w:hint="eastAsia" w:ascii="宋体" w:hAnsi="宋体"/>
          <w:b/>
          <w:color w:val="auto"/>
          <w:sz w:val="28"/>
          <w:szCs w:val="28"/>
          <w:highlight w:val="none"/>
        </w:rPr>
        <w:t>一、报价文件格式</w:t>
      </w:r>
      <w:bookmarkEnd w:id="154"/>
    </w:p>
    <w:p w14:paraId="185F13DB">
      <w:pPr>
        <w:snapToGrid w:val="0"/>
        <w:spacing w:beforeLines="50" w:after="50" w:line="360" w:lineRule="auto"/>
        <w:ind w:left="142"/>
        <w:jc w:val="left"/>
        <w:rPr>
          <w:rFonts w:ascii="宋体" w:hAnsi="宋体"/>
          <w:color w:val="auto"/>
          <w:sz w:val="24"/>
          <w:szCs w:val="20"/>
          <w:highlight w:val="none"/>
        </w:rPr>
      </w:pPr>
      <w:r>
        <w:rPr>
          <w:rFonts w:hint="eastAsia" w:ascii="宋体" w:hAnsi="宋体"/>
          <w:b/>
          <w:color w:val="auto"/>
          <w:sz w:val="24"/>
          <w:highlight w:val="none"/>
        </w:rPr>
        <w:t xml:space="preserve">1. 报价文件封面格式： </w:t>
      </w:r>
    </w:p>
    <w:p w14:paraId="032C858D">
      <w:pPr>
        <w:snapToGrid w:val="0"/>
        <w:spacing w:beforeLines="50" w:after="50" w:line="400" w:lineRule="exact"/>
        <w:rPr>
          <w:rFonts w:ascii="宋体" w:hAnsi="宋体"/>
          <w:bCs/>
          <w:color w:val="auto"/>
          <w:sz w:val="32"/>
          <w:szCs w:val="20"/>
          <w:highlight w:val="none"/>
        </w:rPr>
      </w:pPr>
    </w:p>
    <w:p w14:paraId="446A03D0">
      <w:pPr>
        <w:snapToGrid w:val="0"/>
        <w:spacing w:beforeLines="50" w:after="50" w:line="400" w:lineRule="exact"/>
        <w:jc w:val="center"/>
        <w:rPr>
          <w:rFonts w:ascii="宋体" w:hAnsi="宋体"/>
          <w:bCs/>
          <w:color w:val="auto"/>
          <w:sz w:val="24"/>
          <w:szCs w:val="20"/>
          <w:highlight w:val="none"/>
        </w:rPr>
      </w:pPr>
    </w:p>
    <w:p w14:paraId="7AB642FB">
      <w:pPr>
        <w:snapToGrid w:val="0"/>
        <w:spacing w:beforeLines="50" w:after="50"/>
        <w:jc w:val="center"/>
        <w:rPr>
          <w:rFonts w:ascii="宋体" w:hAnsi="宋体" w:cs="方正小标宋简体"/>
          <w:color w:val="auto"/>
          <w:sz w:val="84"/>
          <w:szCs w:val="84"/>
          <w:highlight w:val="none"/>
        </w:rPr>
      </w:pPr>
      <w:r>
        <w:rPr>
          <w:rFonts w:hint="eastAsia" w:ascii="宋体" w:hAnsi="宋体" w:cs="方正小标宋简体"/>
          <w:color w:val="auto"/>
          <w:sz w:val="84"/>
          <w:szCs w:val="84"/>
          <w:highlight w:val="none"/>
        </w:rPr>
        <w:t>投  标  文  件</w:t>
      </w:r>
    </w:p>
    <w:p w14:paraId="52D3D6ED">
      <w:pPr>
        <w:snapToGrid w:val="0"/>
        <w:spacing w:beforeLines="50" w:after="50" w:line="400" w:lineRule="exact"/>
        <w:jc w:val="center"/>
        <w:rPr>
          <w:rFonts w:ascii="宋体" w:hAnsi="宋体"/>
          <w:bCs/>
          <w:color w:val="auto"/>
          <w:sz w:val="32"/>
          <w:szCs w:val="32"/>
          <w:highlight w:val="none"/>
        </w:rPr>
      </w:pPr>
    </w:p>
    <w:p w14:paraId="68F75850">
      <w:pPr>
        <w:snapToGrid w:val="0"/>
        <w:spacing w:beforeLines="50" w:after="50" w:line="400" w:lineRule="exact"/>
        <w:jc w:val="center"/>
        <w:rPr>
          <w:rFonts w:ascii="宋体" w:hAnsi="宋体" w:cs="方正小标宋简体"/>
          <w:color w:val="auto"/>
          <w:sz w:val="32"/>
          <w:szCs w:val="32"/>
          <w:highlight w:val="none"/>
        </w:rPr>
      </w:pPr>
      <w:r>
        <w:rPr>
          <w:rFonts w:hint="eastAsia" w:ascii="宋体" w:hAnsi="宋体" w:cs="方正小标宋简体"/>
          <w:color w:val="auto"/>
          <w:sz w:val="32"/>
          <w:szCs w:val="32"/>
          <w:highlight w:val="none"/>
        </w:rPr>
        <w:t>报  价  文  件</w:t>
      </w:r>
    </w:p>
    <w:p w14:paraId="4112F960">
      <w:pPr>
        <w:snapToGrid w:val="0"/>
        <w:spacing w:beforeLines="50" w:after="50" w:line="400" w:lineRule="exact"/>
        <w:rPr>
          <w:rFonts w:ascii="宋体" w:hAnsi="宋体"/>
          <w:bCs/>
          <w:color w:val="auto"/>
          <w:sz w:val="24"/>
          <w:szCs w:val="20"/>
          <w:highlight w:val="none"/>
        </w:rPr>
      </w:pPr>
    </w:p>
    <w:p w14:paraId="0525DFE4">
      <w:pPr>
        <w:snapToGrid w:val="0"/>
        <w:spacing w:beforeLines="50" w:after="50" w:line="400" w:lineRule="exact"/>
        <w:rPr>
          <w:rFonts w:ascii="宋体" w:hAnsi="宋体"/>
          <w:bCs/>
          <w:color w:val="auto"/>
          <w:sz w:val="24"/>
          <w:szCs w:val="20"/>
          <w:highlight w:val="none"/>
        </w:rPr>
      </w:pPr>
    </w:p>
    <w:p w14:paraId="32B62B91">
      <w:pPr>
        <w:snapToGrid w:val="0"/>
        <w:spacing w:beforeLines="50" w:after="50" w:line="400" w:lineRule="exact"/>
        <w:rPr>
          <w:rFonts w:ascii="宋体" w:hAnsi="宋体"/>
          <w:bCs/>
          <w:color w:val="auto"/>
          <w:sz w:val="24"/>
          <w:szCs w:val="20"/>
          <w:highlight w:val="none"/>
        </w:rPr>
      </w:pPr>
    </w:p>
    <w:p w14:paraId="24F2A3D9">
      <w:pPr>
        <w:snapToGrid w:val="0"/>
        <w:spacing w:beforeLines="50" w:after="50" w:line="400" w:lineRule="exact"/>
        <w:rPr>
          <w:rFonts w:ascii="宋体" w:hAnsi="宋体"/>
          <w:bCs/>
          <w:color w:val="auto"/>
          <w:sz w:val="24"/>
          <w:szCs w:val="20"/>
          <w:highlight w:val="none"/>
        </w:rPr>
      </w:pPr>
    </w:p>
    <w:p w14:paraId="13190BD5">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p>
    <w:p w14:paraId="337FFB78">
      <w:pPr>
        <w:snapToGrid w:val="0"/>
        <w:spacing w:beforeLines="50" w:after="50" w:line="400" w:lineRule="exact"/>
        <w:ind w:firstLine="360" w:firstLineChars="150"/>
        <w:rPr>
          <w:rFonts w:ascii="宋体" w:hAnsi="宋体"/>
          <w:bCs/>
          <w:color w:val="auto"/>
          <w:sz w:val="24"/>
          <w:highlight w:val="none"/>
        </w:rPr>
      </w:pPr>
    </w:p>
    <w:p w14:paraId="36692F99">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1C17DAC5">
      <w:pPr>
        <w:snapToGrid w:val="0"/>
        <w:spacing w:beforeLines="50" w:after="50" w:line="400" w:lineRule="exact"/>
        <w:ind w:firstLine="360" w:firstLineChars="150"/>
        <w:rPr>
          <w:rFonts w:ascii="宋体" w:hAnsi="宋体"/>
          <w:bCs/>
          <w:color w:val="auto"/>
          <w:sz w:val="24"/>
          <w:highlight w:val="none"/>
        </w:rPr>
      </w:pPr>
    </w:p>
    <w:p w14:paraId="06E8380D">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所投分标：</w:t>
      </w:r>
    </w:p>
    <w:p w14:paraId="7037E9D5">
      <w:pPr>
        <w:snapToGrid w:val="0"/>
        <w:spacing w:beforeLines="50" w:after="50" w:line="400" w:lineRule="exact"/>
        <w:ind w:firstLine="360" w:firstLineChars="150"/>
        <w:rPr>
          <w:rFonts w:ascii="宋体" w:hAnsi="宋体"/>
          <w:bCs/>
          <w:color w:val="auto"/>
          <w:sz w:val="24"/>
          <w:highlight w:val="none"/>
        </w:rPr>
      </w:pPr>
    </w:p>
    <w:p w14:paraId="48300D1E">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5D80EE66">
      <w:pPr>
        <w:snapToGrid w:val="0"/>
        <w:spacing w:beforeLines="50" w:after="50" w:line="400" w:lineRule="exact"/>
        <w:ind w:firstLine="360" w:firstLineChars="150"/>
        <w:rPr>
          <w:rFonts w:ascii="宋体" w:hAnsi="宋体"/>
          <w:bCs/>
          <w:color w:val="auto"/>
          <w:sz w:val="24"/>
          <w:highlight w:val="none"/>
        </w:rPr>
      </w:pPr>
    </w:p>
    <w:p w14:paraId="4716A2BE">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投标人地址：</w:t>
      </w:r>
    </w:p>
    <w:p w14:paraId="677D3665">
      <w:pPr>
        <w:pStyle w:val="14"/>
        <w:snapToGrid w:val="0"/>
        <w:spacing w:before="50" w:after="50" w:line="400" w:lineRule="exact"/>
        <w:ind w:firstLine="960" w:firstLineChars="400"/>
        <w:rPr>
          <w:rFonts w:ascii="宋体" w:hAnsi="宋体"/>
          <w:bCs/>
          <w:color w:val="auto"/>
          <w:sz w:val="24"/>
          <w:szCs w:val="24"/>
          <w:highlight w:val="none"/>
        </w:rPr>
      </w:pPr>
    </w:p>
    <w:p w14:paraId="3DB1B7B0">
      <w:pPr>
        <w:snapToGrid w:val="0"/>
        <w:spacing w:beforeLines="50" w:after="50" w:line="400" w:lineRule="exact"/>
        <w:rPr>
          <w:rFonts w:ascii="宋体" w:hAnsi="宋体"/>
          <w:color w:val="auto"/>
          <w:sz w:val="30"/>
          <w:szCs w:val="20"/>
          <w:highlight w:val="none"/>
        </w:rPr>
      </w:pPr>
      <w:r>
        <w:rPr>
          <w:rFonts w:hint="eastAsia" w:ascii="宋体" w:hAnsi="宋体"/>
          <w:color w:val="auto"/>
          <w:sz w:val="24"/>
          <w:highlight w:val="none"/>
        </w:rPr>
        <w:t xml:space="preserve">                                   年  月  日</w:t>
      </w:r>
    </w:p>
    <w:p w14:paraId="7B9944D2">
      <w:pPr>
        <w:snapToGrid w:val="0"/>
        <w:spacing w:beforeLines="50" w:after="50" w:line="360" w:lineRule="auto"/>
        <w:jc w:val="left"/>
        <w:rPr>
          <w:rFonts w:ascii="宋体" w:hAnsi="宋体"/>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0DF4F6DB">
      <w:pPr>
        <w:snapToGrid w:val="0"/>
        <w:spacing w:before="50" w:afterLines="50" w:line="360" w:lineRule="auto"/>
        <w:jc w:val="left"/>
        <w:rPr>
          <w:rFonts w:ascii="宋体" w:hAnsi="宋体"/>
          <w:b/>
          <w:color w:val="auto"/>
          <w:sz w:val="24"/>
          <w:highlight w:val="none"/>
        </w:rPr>
      </w:pPr>
      <w:r>
        <w:rPr>
          <w:rFonts w:hint="eastAsia" w:ascii="宋体" w:hAnsi="宋体"/>
          <w:color w:val="auto"/>
          <w:szCs w:val="21"/>
          <w:highlight w:val="none"/>
        </w:rPr>
        <w:t>根据招标文件规定及投标人提供的材料自行编写目录。</w:t>
      </w:r>
    </w:p>
    <w:p w14:paraId="7E794541">
      <w:pPr>
        <w:snapToGrid w:val="0"/>
        <w:spacing w:beforeLines="50" w:after="50"/>
        <w:rPr>
          <w:rFonts w:ascii="宋体" w:hAnsi="宋体"/>
          <w:b/>
          <w:color w:val="auto"/>
          <w:sz w:val="24"/>
          <w:highlight w:val="none"/>
        </w:rPr>
      </w:pPr>
    </w:p>
    <w:p w14:paraId="75DEF134">
      <w:pPr>
        <w:snapToGrid w:val="0"/>
        <w:spacing w:beforeLines="50" w:after="50"/>
        <w:rPr>
          <w:rFonts w:ascii="宋体" w:hAnsi="宋体"/>
          <w:b/>
          <w:color w:val="auto"/>
          <w:sz w:val="24"/>
          <w:highlight w:val="none"/>
        </w:rPr>
      </w:pPr>
    </w:p>
    <w:p w14:paraId="4142ED88">
      <w:pPr>
        <w:snapToGrid w:val="0"/>
        <w:spacing w:beforeLines="50" w:after="50"/>
        <w:rPr>
          <w:rFonts w:ascii="宋体" w:hAnsi="宋体"/>
          <w:b/>
          <w:color w:val="auto"/>
          <w:sz w:val="24"/>
          <w:highlight w:val="none"/>
        </w:rPr>
      </w:pPr>
    </w:p>
    <w:p w14:paraId="7556404C">
      <w:pPr>
        <w:snapToGrid w:val="0"/>
        <w:spacing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投标函格式：</w:t>
      </w:r>
    </w:p>
    <w:p w14:paraId="782E67A1">
      <w:pPr>
        <w:snapToGrid w:val="0"/>
        <w:jc w:val="center"/>
        <w:rPr>
          <w:rFonts w:ascii="宋体" w:hAnsi="宋体" w:cs="方正小标宋简体"/>
          <w:bCs/>
          <w:color w:val="auto"/>
          <w:sz w:val="44"/>
          <w:szCs w:val="44"/>
          <w:highlight w:val="none"/>
        </w:rPr>
      </w:pPr>
      <w:r>
        <w:rPr>
          <w:rFonts w:hint="eastAsia" w:ascii="宋体" w:hAnsi="宋体" w:cs="方正小标宋简体"/>
          <w:bCs/>
          <w:color w:val="auto"/>
          <w:sz w:val="44"/>
          <w:szCs w:val="44"/>
          <w:highlight w:val="none"/>
        </w:rPr>
        <w:t>投 标 函</w:t>
      </w:r>
    </w:p>
    <w:p w14:paraId="0AC7BDF5">
      <w:pPr>
        <w:spacing w:line="440" w:lineRule="exact"/>
        <w:contextualSpacing/>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采购人名称</w:t>
      </w:r>
    </w:p>
    <w:p w14:paraId="23CB9582">
      <w:pPr>
        <w:spacing w:line="440" w:lineRule="exact"/>
        <w:ind w:firstLine="480"/>
        <w:contextualSpacing/>
        <w:rPr>
          <w:rFonts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 xml:space="preserve"> 项目名称</w:t>
      </w:r>
      <w:r>
        <w:rPr>
          <w:rFonts w:hint="eastAsia" w:ascii="宋体" w:hAnsi="宋体"/>
          <w:color w:val="auto"/>
          <w:sz w:val="24"/>
          <w:highlight w:val="none"/>
        </w:rPr>
        <w:t>（项目编号：）的招标公告，签字代表______（姓名）经正式授权并代表投标人（投标人名称）提交投标文件。</w:t>
      </w:r>
    </w:p>
    <w:p w14:paraId="0E64AFBE">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据此函，我方宣布同意如下：</w:t>
      </w:r>
    </w:p>
    <w:p w14:paraId="1EA12D62">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2E67DBD2">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2.我方在投标之前已经完全理解并接受招标文件的各项规定和要求，对招标文件的合理性、合法性不再有异议。</w:t>
      </w:r>
    </w:p>
    <w:p w14:paraId="0698950C">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3.本投标有效期自投标截止之日起日。</w:t>
      </w:r>
    </w:p>
    <w:p w14:paraId="7EEF7507">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4.如中标，本投标文件至本项目合同履行完毕止均保持有效，我方将按“招标文件”及政府采购法律、法规的规定履行合同责任和义务。</w:t>
      </w:r>
    </w:p>
    <w:p w14:paraId="461427E8">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5.我方同意按照贵方要求提供与投标有关的一切数据或者资料。</w:t>
      </w:r>
    </w:p>
    <w:p w14:paraId="2F8DC534">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6.我方向贵方提交的所有投标文件、资料都是准确的和真实的。</w:t>
      </w:r>
    </w:p>
    <w:p w14:paraId="7126B8A2">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7.以上事项如有虚假或者隐瞒，我方愿意承担一切后果，并不再寻求任何旨在减轻或者免除法律责任的辩解。</w:t>
      </w:r>
    </w:p>
    <w:p w14:paraId="38AE274A">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8.根据</w:t>
      </w:r>
      <w:r>
        <w:rPr>
          <w:rFonts w:ascii="宋体" w:hAnsi="宋体"/>
          <w:color w:val="auto"/>
          <w:sz w:val="24"/>
          <w:highlight w:val="none"/>
        </w:rPr>
        <w:t>《中华人民共和国政府采购法实施条例》第五十条要求对政府采购合同进行公告</w:t>
      </w:r>
      <w:r>
        <w:rPr>
          <w:rFonts w:hint="eastAsia" w:ascii="宋体" w:hAnsi="宋体"/>
          <w:color w:val="auto"/>
          <w:sz w:val="24"/>
          <w:highlight w:val="none"/>
        </w:rPr>
        <w:t>，</w:t>
      </w:r>
      <w:r>
        <w:rPr>
          <w:rFonts w:ascii="宋体" w:hAnsi="宋体"/>
          <w:color w:val="auto"/>
          <w:sz w:val="24"/>
          <w:highlight w:val="none"/>
        </w:rPr>
        <w:t>但政府采购合同中涉及国家秘密、商业秘密的内容除外。</w:t>
      </w:r>
      <w:r>
        <w:rPr>
          <w:rFonts w:hint="eastAsia" w:ascii="宋体" w:hAnsi="宋体"/>
          <w:color w:val="auto"/>
          <w:sz w:val="24"/>
          <w:highlight w:val="none"/>
        </w:rPr>
        <w:t>我方就对本次投标文件进行注明如下：（两项内容中必须选择一项）</w:t>
      </w:r>
    </w:p>
    <w:p w14:paraId="45B57C71">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内容中</w:t>
      </w:r>
      <w:r>
        <w:rPr>
          <w:rFonts w:hint="eastAsia" w:ascii="宋体" w:hAnsi="宋体"/>
          <w:color w:val="auto"/>
          <w:sz w:val="24"/>
          <w:highlight w:val="none"/>
        </w:rPr>
        <w:t>未</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w:t>
      </w:r>
    </w:p>
    <w:p w14:paraId="4A6092C2">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的</w:t>
      </w:r>
      <w:r>
        <w:rPr>
          <w:rFonts w:ascii="宋体" w:hAnsi="宋体" w:cs="宋体"/>
          <w:color w:val="auto"/>
          <w:kern w:val="0"/>
          <w:sz w:val="24"/>
          <w:highlight w:val="none"/>
        </w:rPr>
        <w:t>内容</w:t>
      </w:r>
      <w:r>
        <w:rPr>
          <w:rFonts w:hint="eastAsia" w:ascii="宋体" w:hAnsi="宋体" w:cs="宋体"/>
          <w:color w:val="auto"/>
          <w:kern w:val="0"/>
          <w:sz w:val="24"/>
          <w:highlight w:val="none"/>
        </w:rPr>
        <w:t>有：；</w:t>
      </w:r>
    </w:p>
    <w:p w14:paraId="07567E22">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9.与本投标有关的一切正式往来信函请寄：</w:t>
      </w:r>
    </w:p>
    <w:p w14:paraId="13A16283">
      <w:pPr>
        <w:spacing w:line="440" w:lineRule="exact"/>
        <w:ind w:firstLine="480" w:firstLineChars="200"/>
        <w:contextualSpacing/>
        <w:rPr>
          <w:rFonts w:ascii="宋体" w:hAnsi="宋体"/>
          <w:color w:val="auto"/>
          <w:sz w:val="24"/>
          <w:highlight w:val="none"/>
          <w:u w:val="single"/>
        </w:rPr>
      </w:pPr>
      <w:r>
        <w:rPr>
          <w:rFonts w:hint="eastAsia" w:ascii="宋体" w:hAnsi="宋体"/>
          <w:color w:val="auto"/>
          <w:sz w:val="24"/>
          <w:highlight w:val="none"/>
        </w:rPr>
        <w:t>地址：邮编：</w:t>
      </w:r>
    </w:p>
    <w:p w14:paraId="7DB3192D">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电话：传真：</w:t>
      </w:r>
    </w:p>
    <w:p w14:paraId="3DD79531">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投标人名称:</w:t>
      </w:r>
    </w:p>
    <w:p w14:paraId="233EB065">
      <w:pPr>
        <w:spacing w:line="44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开户银行：   银行帐号：</w:t>
      </w:r>
    </w:p>
    <w:p w14:paraId="2677A971">
      <w:pPr>
        <w:spacing w:line="44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 xml:space="preserve">法定代表人或者委托代理人签字:___________ </w:t>
      </w:r>
    </w:p>
    <w:p w14:paraId="01274B3C">
      <w:pPr>
        <w:pStyle w:val="25"/>
        <w:spacing w:line="440" w:lineRule="exact"/>
        <w:contextualSpacing/>
        <w:jc w:val="center"/>
        <w:rPr>
          <w:rFonts w:hAnsi="宋体"/>
          <w:color w:val="auto"/>
          <w:sz w:val="24"/>
          <w:szCs w:val="24"/>
          <w:highlight w:val="none"/>
          <w:u w:val="single"/>
        </w:rPr>
      </w:pPr>
      <w:r>
        <w:rPr>
          <w:rFonts w:hint="eastAsia" w:hAnsi="宋体"/>
          <w:color w:val="auto"/>
          <w:sz w:val="24"/>
          <w:highlight w:val="none"/>
        </w:rPr>
        <w:t>投标人（盖公章）：</w:t>
      </w:r>
    </w:p>
    <w:p w14:paraId="6DABC7B5">
      <w:pPr>
        <w:pStyle w:val="25"/>
        <w:spacing w:line="440" w:lineRule="exact"/>
        <w:contextualSpacing/>
        <w:rPr>
          <w:rFonts w:hAnsi="宋体"/>
          <w:color w:val="auto"/>
          <w:sz w:val="24"/>
          <w:highlight w:val="none"/>
        </w:rPr>
      </w:pPr>
      <w:r>
        <w:rPr>
          <w:rFonts w:hint="eastAsia" w:hAnsi="宋体"/>
          <w:color w:val="auto"/>
          <w:sz w:val="24"/>
          <w:szCs w:val="24"/>
          <w:highlight w:val="none"/>
        </w:rPr>
        <w:t>年月日</w:t>
      </w:r>
    </w:p>
    <w:p w14:paraId="23E89264">
      <w:pPr>
        <w:snapToGrid w:val="0"/>
        <w:spacing w:beforeLines="50" w:after="50" w:line="440" w:lineRule="exact"/>
        <w:jc w:val="left"/>
        <w:rPr>
          <w:rFonts w:ascii="宋体" w:hAnsi="宋体"/>
          <w:b/>
          <w:color w:val="auto"/>
          <w:sz w:val="24"/>
          <w:szCs w:val="20"/>
          <w:highlight w:val="none"/>
        </w:rPr>
      </w:pPr>
      <w:r>
        <w:rPr>
          <w:rFonts w:ascii="宋体" w:hAnsi="宋体"/>
          <w:color w:val="auto"/>
          <w:highlight w:val="none"/>
          <w:u w:val="single"/>
        </w:rPr>
        <w:br w:type="page"/>
      </w:r>
      <w:r>
        <w:rPr>
          <w:rFonts w:hint="eastAsia" w:ascii="宋体" w:hAnsi="宋体"/>
          <w:b/>
          <w:color w:val="auto"/>
          <w:sz w:val="24"/>
          <w:highlight w:val="none"/>
        </w:rPr>
        <w:t>4. 开标一览表</w:t>
      </w:r>
    </w:p>
    <w:p w14:paraId="4B5167C4">
      <w:pPr>
        <w:snapToGrid w:val="0"/>
        <w:spacing w:before="50" w:after="50"/>
        <w:jc w:val="center"/>
        <w:rPr>
          <w:rFonts w:ascii="宋体" w:hAnsi="宋体"/>
          <w:b/>
          <w:color w:val="auto"/>
          <w:sz w:val="30"/>
          <w:highlight w:val="none"/>
        </w:rPr>
      </w:pPr>
      <w:r>
        <w:rPr>
          <w:rFonts w:hint="eastAsia" w:ascii="宋体" w:hAnsi="宋体"/>
          <w:b/>
          <w:color w:val="auto"/>
          <w:sz w:val="30"/>
          <w:highlight w:val="none"/>
        </w:rPr>
        <w:t>开标一览表</w:t>
      </w:r>
    </w:p>
    <w:p w14:paraId="0D711EE1">
      <w:pPr>
        <w:snapToGrid w:val="0"/>
        <w:spacing w:before="50" w:after="50"/>
        <w:jc w:val="center"/>
        <w:rPr>
          <w:rFonts w:ascii="宋体" w:hAnsi="宋体"/>
          <w:b/>
          <w:color w:val="auto"/>
          <w:sz w:val="30"/>
          <w:szCs w:val="20"/>
          <w:highlight w:val="none"/>
        </w:rPr>
      </w:pPr>
    </w:p>
    <w:p w14:paraId="3AB0FFBA">
      <w:pPr>
        <w:snapToGrid w:val="0"/>
        <w:spacing w:before="50" w:after="50" w:line="360" w:lineRule="auto"/>
        <w:rPr>
          <w:rFonts w:ascii="宋体" w:hAnsi="宋体"/>
          <w:color w:val="auto"/>
          <w:sz w:val="24"/>
          <w:highlight w:val="none"/>
          <w:u w:val="single"/>
        </w:rPr>
      </w:pPr>
      <w:r>
        <w:rPr>
          <w:rFonts w:hint="eastAsia" w:ascii="宋体" w:hAnsi="宋体"/>
          <w:color w:val="auto"/>
          <w:sz w:val="24"/>
          <w:highlight w:val="none"/>
        </w:rPr>
        <w:t xml:space="preserve">项目名称：      项目编号：        </w:t>
      </w:r>
    </w:p>
    <w:p w14:paraId="2E67BCDE">
      <w:pPr>
        <w:snapToGrid w:val="0"/>
        <w:spacing w:before="50" w:after="50" w:line="360" w:lineRule="auto"/>
        <w:rPr>
          <w:rFonts w:ascii="宋体" w:hAnsi="宋体" w:cs="仿宋_GB2312"/>
          <w:color w:val="auto"/>
          <w:sz w:val="24"/>
          <w:highlight w:val="none"/>
        </w:rPr>
      </w:pPr>
      <w:r>
        <w:rPr>
          <w:rFonts w:hint="eastAsia" w:ascii="宋体" w:hAnsi="宋体"/>
          <w:color w:val="auto"/>
          <w:sz w:val="24"/>
          <w:highlight w:val="none"/>
        </w:rPr>
        <w:t>投标人名称：                       单位：元</w:t>
      </w:r>
    </w:p>
    <w:p w14:paraId="2A694098">
      <w:pPr>
        <w:snapToGrid w:val="0"/>
        <w:spacing w:before="50" w:after="50" w:line="360" w:lineRule="auto"/>
        <w:rPr>
          <w:rFonts w:ascii="宋体" w:hAnsi="宋体"/>
          <w:color w:val="auto"/>
          <w:sz w:val="24"/>
          <w:highlight w:val="none"/>
        </w:rPr>
      </w:pPr>
      <w:r>
        <w:rPr>
          <w:rFonts w:hint="eastAsia" w:ascii="宋体" w:hAnsi="宋体" w:cs="仿宋_GB2312"/>
          <w:color w:val="auto"/>
          <w:sz w:val="24"/>
          <w:highlight w:val="none"/>
        </w:rPr>
        <w:t xml:space="preserve">分标：                       </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947"/>
        <w:gridCol w:w="1521"/>
        <w:gridCol w:w="1418"/>
        <w:gridCol w:w="1673"/>
        <w:gridCol w:w="1184"/>
      </w:tblGrid>
      <w:tr w14:paraId="1D4C4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40067BFE">
            <w:pPr>
              <w:spacing w:line="360" w:lineRule="auto"/>
              <w:jc w:val="center"/>
              <w:rPr>
                <w:rFonts w:ascii="宋体" w:hAnsi="宋体" w:cs="仿宋_GB2312"/>
                <w:color w:val="auto"/>
                <w:sz w:val="24"/>
                <w:highlight w:val="none"/>
              </w:rPr>
            </w:pPr>
            <w:r>
              <w:rPr>
                <w:rFonts w:ascii="宋体" w:hAnsi="宋体" w:cs="仿宋_GB2312"/>
                <w:color w:val="auto"/>
                <w:sz w:val="24"/>
                <w:highlight w:val="none"/>
              </w:rPr>
              <w:t>序号</w:t>
            </w:r>
          </w:p>
        </w:tc>
        <w:tc>
          <w:tcPr>
            <w:tcW w:w="2947" w:type="dxa"/>
            <w:tcBorders>
              <w:top w:val="single" w:color="auto" w:sz="4" w:space="0"/>
              <w:left w:val="single" w:color="auto" w:sz="4" w:space="0"/>
              <w:bottom w:val="single" w:color="auto" w:sz="4" w:space="0"/>
              <w:right w:val="single" w:color="auto" w:sz="4" w:space="0"/>
            </w:tcBorders>
            <w:vAlign w:val="center"/>
          </w:tcPr>
          <w:p w14:paraId="4C531E3A">
            <w:pPr>
              <w:spacing w:line="360" w:lineRule="auto"/>
              <w:jc w:val="center"/>
              <w:rPr>
                <w:rFonts w:ascii="宋体" w:hAnsi="宋体" w:cs="仿宋_GB2312"/>
                <w:color w:val="auto"/>
                <w:sz w:val="24"/>
                <w:highlight w:val="none"/>
              </w:rPr>
            </w:pPr>
            <w:r>
              <w:rPr>
                <w:rFonts w:hint="eastAsia" w:ascii="宋体" w:hAnsi="宋体"/>
                <w:b/>
                <w:color w:val="auto"/>
                <w:sz w:val="24"/>
                <w:highlight w:val="none"/>
              </w:rPr>
              <w:t>标的的名称</w:t>
            </w:r>
          </w:p>
        </w:tc>
        <w:tc>
          <w:tcPr>
            <w:tcW w:w="1521" w:type="dxa"/>
            <w:tcBorders>
              <w:top w:val="single" w:color="auto" w:sz="4" w:space="0"/>
              <w:left w:val="single" w:color="auto" w:sz="4" w:space="0"/>
              <w:bottom w:val="single" w:color="auto" w:sz="4" w:space="0"/>
              <w:right w:val="single" w:color="auto" w:sz="4" w:space="0"/>
            </w:tcBorders>
            <w:vAlign w:val="center"/>
          </w:tcPr>
          <w:p w14:paraId="554B992A">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数量及单位</w:t>
            </w:r>
          </w:p>
        </w:tc>
        <w:tc>
          <w:tcPr>
            <w:tcW w:w="1418" w:type="dxa"/>
            <w:tcBorders>
              <w:top w:val="single" w:color="auto" w:sz="4" w:space="0"/>
              <w:left w:val="single" w:color="auto" w:sz="4" w:space="0"/>
              <w:bottom w:val="single" w:color="auto" w:sz="4" w:space="0"/>
              <w:right w:val="single" w:color="auto" w:sz="4" w:space="0"/>
            </w:tcBorders>
            <w:vAlign w:val="center"/>
          </w:tcPr>
          <w:p w14:paraId="1DA4B0F4">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单价</w:t>
            </w:r>
          </w:p>
        </w:tc>
        <w:tc>
          <w:tcPr>
            <w:tcW w:w="1673" w:type="dxa"/>
            <w:tcBorders>
              <w:top w:val="single" w:color="auto" w:sz="4" w:space="0"/>
              <w:left w:val="single" w:color="auto" w:sz="4" w:space="0"/>
              <w:bottom w:val="single" w:color="auto" w:sz="4" w:space="0"/>
              <w:right w:val="single" w:color="auto" w:sz="4" w:space="0"/>
            </w:tcBorders>
            <w:vAlign w:val="center"/>
          </w:tcPr>
          <w:p w14:paraId="57EFE37C">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总价</w:t>
            </w:r>
          </w:p>
        </w:tc>
        <w:tc>
          <w:tcPr>
            <w:tcW w:w="1184" w:type="dxa"/>
            <w:tcBorders>
              <w:top w:val="single" w:color="auto" w:sz="4" w:space="0"/>
              <w:left w:val="single" w:color="auto" w:sz="4" w:space="0"/>
              <w:bottom w:val="single" w:color="auto" w:sz="4" w:space="0"/>
              <w:right w:val="single" w:color="auto" w:sz="4" w:space="0"/>
            </w:tcBorders>
            <w:vAlign w:val="center"/>
          </w:tcPr>
          <w:p w14:paraId="04EECDFA">
            <w:pPr>
              <w:spacing w:line="360" w:lineRule="auto"/>
              <w:jc w:val="center"/>
              <w:rPr>
                <w:rFonts w:ascii="宋体" w:hAnsi="宋体" w:cs="仿宋_GB2312"/>
                <w:color w:val="auto"/>
                <w:sz w:val="24"/>
                <w:highlight w:val="none"/>
              </w:rPr>
            </w:pPr>
            <w:r>
              <w:rPr>
                <w:rFonts w:ascii="宋体" w:hAnsi="宋体" w:cs="仿宋_GB2312"/>
                <w:color w:val="auto"/>
                <w:sz w:val="24"/>
                <w:highlight w:val="none"/>
              </w:rPr>
              <w:t>备注</w:t>
            </w:r>
          </w:p>
        </w:tc>
      </w:tr>
      <w:tr w14:paraId="3F21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24D122DD">
            <w:pPr>
              <w:spacing w:line="360" w:lineRule="auto"/>
              <w:jc w:val="center"/>
              <w:rPr>
                <w:rFonts w:ascii="宋体" w:hAnsi="宋体" w:cs="仿宋_GB2312"/>
                <w:color w:val="auto"/>
                <w:sz w:val="24"/>
                <w:highlight w:val="none"/>
              </w:rPr>
            </w:pPr>
          </w:p>
        </w:tc>
        <w:tc>
          <w:tcPr>
            <w:tcW w:w="2947" w:type="dxa"/>
            <w:tcBorders>
              <w:top w:val="single" w:color="auto" w:sz="4" w:space="0"/>
              <w:left w:val="single" w:color="auto" w:sz="4" w:space="0"/>
              <w:bottom w:val="single" w:color="auto" w:sz="4" w:space="0"/>
              <w:right w:val="single" w:color="auto" w:sz="4" w:space="0"/>
            </w:tcBorders>
            <w:vAlign w:val="center"/>
          </w:tcPr>
          <w:p w14:paraId="2778518D">
            <w:pPr>
              <w:spacing w:line="360" w:lineRule="auto"/>
              <w:jc w:val="center"/>
              <w:rPr>
                <w:rFonts w:ascii="宋体" w:hAnsi="宋体" w:cs="仿宋_GB2312"/>
                <w:color w:val="auto"/>
                <w:sz w:val="24"/>
                <w:highlight w:val="none"/>
              </w:rPr>
            </w:pPr>
          </w:p>
        </w:tc>
        <w:tc>
          <w:tcPr>
            <w:tcW w:w="1521" w:type="dxa"/>
            <w:tcBorders>
              <w:top w:val="single" w:color="auto" w:sz="4" w:space="0"/>
              <w:left w:val="single" w:color="auto" w:sz="4" w:space="0"/>
              <w:bottom w:val="single" w:color="auto" w:sz="4" w:space="0"/>
              <w:right w:val="single" w:color="auto" w:sz="4" w:space="0"/>
            </w:tcBorders>
            <w:vAlign w:val="center"/>
          </w:tcPr>
          <w:p w14:paraId="529D001E">
            <w:pPr>
              <w:spacing w:line="360" w:lineRule="auto"/>
              <w:jc w:val="center"/>
              <w:rPr>
                <w:rFonts w:ascii="宋体" w:hAnsi="宋体" w:cs="仿宋_GB2312"/>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740B13DB">
            <w:pPr>
              <w:spacing w:line="360" w:lineRule="auto"/>
              <w:rPr>
                <w:rFonts w:ascii="宋体" w:hAnsi="宋体" w:cs="仿宋_GB2312"/>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tcPr>
          <w:p w14:paraId="1DFEBC11">
            <w:pPr>
              <w:spacing w:line="360" w:lineRule="auto"/>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3DBA8993">
            <w:pPr>
              <w:spacing w:line="360" w:lineRule="auto"/>
              <w:rPr>
                <w:rFonts w:ascii="宋体" w:hAnsi="宋体" w:cs="仿宋_GB2312"/>
                <w:color w:val="auto"/>
                <w:sz w:val="24"/>
                <w:highlight w:val="none"/>
              </w:rPr>
            </w:pPr>
          </w:p>
        </w:tc>
      </w:tr>
      <w:tr w14:paraId="21F8C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73F7FCEF">
            <w:pPr>
              <w:spacing w:line="360" w:lineRule="auto"/>
              <w:jc w:val="center"/>
              <w:rPr>
                <w:rFonts w:ascii="宋体" w:hAnsi="宋体" w:cs="仿宋_GB2312"/>
                <w:color w:val="auto"/>
                <w:sz w:val="24"/>
                <w:highlight w:val="none"/>
              </w:rPr>
            </w:pPr>
          </w:p>
        </w:tc>
        <w:tc>
          <w:tcPr>
            <w:tcW w:w="2947" w:type="dxa"/>
            <w:tcBorders>
              <w:top w:val="single" w:color="auto" w:sz="4" w:space="0"/>
              <w:left w:val="single" w:color="auto" w:sz="4" w:space="0"/>
              <w:bottom w:val="single" w:color="auto" w:sz="4" w:space="0"/>
              <w:right w:val="single" w:color="auto" w:sz="4" w:space="0"/>
            </w:tcBorders>
            <w:vAlign w:val="center"/>
          </w:tcPr>
          <w:p w14:paraId="5B75E910">
            <w:pPr>
              <w:spacing w:line="360" w:lineRule="auto"/>
              <w:jc w:val="center"/>
              <w:rPr>
                <w:rFonts w:ascii="宋体" w:hAnsi="宋体" w:cs="仿宋_GB2312"/>
                <w:color w:val="auto"/>
                <w:sz w:val="24"/>
                <w:highlight w:val="none"/>
              </w:rPr>
            </w:pPr>
          </w:p>
        </w:tc>
        <w:tc>
          <w:tcPr>
            <w:tcW w:w="1521" w:type="dxa"/>
            <w:tcBorders>
              <w:top w:val="single" w:color="auto" w:sz="4" w:space="0"/>
              <w:left w:val="single" w:color="auto" w:sz="4" w:space="0"/>
              <w:bottom w:val="single" w:color="auto" w:sz="4" w:space="0"/>
              <w:right w:val="single" w:color="auto" w:sz="4" w:space="0"/>
            </w:tcBorders>
            <w:vAlign w:val="center"/>
          </w:tcPr>
          <w:p w14:paraId="297AFD2B">
            <w:pPr>
              <w:spacing w:line="360" w:lineRule="auto"/>
              <w:jc w:val="center"/>
              <w:rPr>
                <w:rFonts w:ascii="宋体" w:hAnsi="宋体" w:cs="仿宋_GB2312"/>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4517C64D">
            <w:pPr>
              <w:spacing w:line="360" w:lineRule="auto"/>
              <w:rPr>
                <w:rFonts w:ascii="宋体" w:hAnsi="宋体" w:cs="仿宋_GB2312"/>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tcPr>
          <w:p w14:paraId="3E654C8A">
            <w:pPr>
              <w:spacing w:line="360" w:lineRule="auto"/>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36049E3A">
            <w:pPr>
              <w:spacing w:line="360" w:lineRule="auto"/>
              <w:rPr>
                <w:rFonts w:ascii="宋体" w:hAnsi="宋体" w:cs="仿宋_GB2312"/>
                <w:color w:val="auto"/>
                <w:sz w:val="24"/>
                <w:highlight w:val="none"/>
              </w:rPr>
            </w:pPr>
          </w:p>
        </w:tc>
      </w:tr>
      <w:tr w14:paraId="5743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2E95E049">
            <w:pPr>
              <w:spacing w:line="360" w:lineRule="auto"/>
              <w:jc w:val="center"/>
              <w:rPr>
                <w:rFonts w:ascii="宋体" w:hAnsi="宋体" w:cs="仿宋_GB2312"/>
                <w:color w:val="auto"/>
                <w:sz w:val="24"/>
                <w:highlight w:val="none"/>
              </w:rPr>
            </w:pPr>
            <w:r>
              <w:rPr>
                <w:rFonts w:hint="eastAsia" w:ascii="宋体" w:hAnsi="宋体"/>
                <w:b/>
                <w:color w:val="auto"/>
                <w:sz w:val="24"/>
                <w:highlight w:val="none"/>
              </w:rPr>
              <w:t>……</w:t>
            </w:r>
          </w:p>
        </w:tc>
        <w:tc>
          <w:tcPr>
            <w:tcW w:w="2947" w:type="dxa"/>
            <w:tcBorders>
              <w:top w:val="single" w:color="auto" w:sz="4" w:space="0"/>
              <w:left w:val="single" w:color="auto" w:sz="4" w:space="0"/>
              <w:bottom w:val="single" w:color="auto" w:sz="4" w:space="0"/>
              <w:right w:val="single" w:color="auto" w:sz="4" w:space="0"/>
            </w:tcBorders>
            <w:vAlign w:val="center"/>
          </w:tcPr>
          <w:p w14:paraId="525A79C0">
            <w:pPr>
              <w:spacing w:line="360" w:lineRule="auto"/>
              <w:jc w:val="center"/>
              <w:rPr>
                <w:rFonts w:ascii="宋体" w:hAnsi="宋体" w:cs="仿宋_GB2312"/>
                <w:color w:val="auto"/>
                <w:sz w:val="24"/>
                <w:highlight w:val="none"/>
              </w:rPr>
            </w:pPr>
            <w:r>
              <w:rPr>
                <w:rFonts w:hint="eastAsia" w:ascii="宋体" w:hAnsi="宋体"/>
                <w:b/>
                <w:color w:val="auto"/>
                <w:sz w:val="24"/>
                <w:highlight w:val="none"/>
              </w:rPr>
              <w:t>……</w:t>
            </w:r>
          </w:p>
        </w:tc>
        <w:tc>
          <w:tcPr>
            <w:tcW w:w="1521" w:type="dxa"/>
            <w:tcBorders>
              <w:top w:val="single" w:color="auto" w:sz="4" w:space="0"/>
              <w:left w:val="single" w:color="auto" w:sz="4" w:space="0"/>
              <w:bottom w:val="single" w:color="auto" w:sz="4" w:space="0"/>
              <w:right w:val="single" w:color="auto" w:sz="4" w:space="0"/>
            </w:tcBorders>
            <w:vAlign w:val="center"/>
          </w:tcPr>
          <w:p w14:paraId="3093FF59">
            <w:pPr>
              <w:spacing w:line="360" w:lineRule="auto"/>
              <w:rPr>
                <w:rFonts w:ascii="宋体" w:hAnsi="宋体" w:cs="仿宋_GB2312"/>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32694BD2">
            <w:pPr>
              <w:spacing w:line="360" w:lineRule="auto"/>
              <w:rPr>
                <w:rFonts w:ascii="宋体" w:hAnsi="宋体" w:cs="仿宋_GB2312"/>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tcPr>
          <w:p w14:paraId="6E517BD2">
            <w:pPr>
              <w:spacing w:line="360" w:lineRule="auto"/>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258A4CC4">
            <w:pPr>
              <w:spacing w:line="360" w:lineRule="auto"/>
              <w:rPr>
                <w:rFonts w:ascii="宋体" w:hAnsi="宋体" w:cs="仿宋_GB2312"/>
                <w:color w:val="auto"/>
                <w:sz w:val="24"/>
                <w:highlight w:val="none"/>
              </w:rPr>
            </w:pPr>
          </w:p>
        </w:tc>
      </w:tr>
      <w:tr w14:paraId="639A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550" w:type="dxa"/>
            <w:gridSpan w:val="6"/>
            <w:tcBorders>
              <w:top w:val="single" w:color="auto" w:sz="4" w:space="0"/>
              <w:left w:val="single" w:color="auto" w:sz="4" w:space="0"/>
              <w:bottom w:val="single" w:color="auto" w:sz="4" w:space="0"/>
              <w:right w:val="single" w:color="auto" w:sz="4" w:space="0"/>
            </w:tcBorders>
            <w:vAlign w:val="center"/>
          </w:tcPr>
          <w:p w14:paraId="2636ADD3">
            <w:pPr>
              <w:snapToGrid w:val="0"/>
              <w:spacing w:before="50" w:after="50" w:line="360" w:lineRule="auto"/>
              <w:rPr>
                <w:rFonts w:ascii="宋体" w:hAnsi="宋体" w:cs="仿宋_GB2312"/>
                <w:color w:val="auto"/>
                <w:sz w:val="24"/>
                <w:highlight w:val="none"/>
              </w:rPr>
            </w:pPr>
            <w:r>
              <w:rPr>
                <w:rFonts w:hint="eastAsia" w:ascii="宋体" w:hAnsi="宋体" w:cs="仿宋_GB2312"/>
                <w:color w:val="auto"/>
                <w:sz w:val="24"/>
                <w:highlight w:val="none"/>
              </w:rPr>
              <w:t>合计金额大写：人民币（￥）</w:t>
            </w:r>
          </w:p>
        </w:tc>
      </w:tr>
      <w:tr w14:paraId="0AE1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550" w:type="dxa"/>
            <w:gridSpan w:val="6"/>
            <w:tcBorders>
              <w:top w:val="single" w:color="auto" w:sz="4" w:space="0"/>
              <w:left w:val="single" w:color="auto" w:sz="4" w:space="0"/>
              <w:bottom w:val="single" w:color="auto" w:sz="4" w:space="0"/>
              <w:right w:val="single" w:color="auto" w:sz="4" w:space="0"/>
            </w:tcBorders>
            <w:vAlign w:val="center"/>
          </w:tcPr>
          <w:p w14:paraId="260A3626">
            <w:pPr>
              <w:snapToGrid w:val="0"/>
              <w:spacing w:before="50" w:after="50" w:line="360" w:lineRule="auto"/>
              <w:rPr>
                <w:rFonts w:ascii="宋体" w:hAnsi="宋体" w:cs="仿宋_GB2312"/>
                <w:color w:val="auto"/>
                <w:sz w:val="24"/>
                <w:highlight w:val="none"/>
              </w:rPr>
            </w:pPr>
            <w:r>
              <w:rPr>
                <w:rFonts w:hint="eastAsia" w:ascii="宋体" w:hAnsi="宋体" w:cs="仿宋_GB2312"/>
                <w:color w:val="auto"/>
                <w:sz w:val="24"/>
                <w:highlight w:val="none"/>
              </w:rPr>
              <w:t>合同履行期限：</w:t>
            </w:r>
          </w:p>
        </w:tc>
      </w:tr>
    </w:tbl>
    <w:p w14:paraId="75EDAE0E">
      <w:pPr>
        <w:snapToGrid w:val="0"/>
        <w:spacing w:before="50" w:after="50" w:line="360" w:lineRule="auto"/>
        <w:jc w:val="left"/>
        <w:rPr>
          <w:rFonts w:ascii="宋体" w:hAnsi="宋体"/>
          <w:color w:val="auto"/>
          <w:sz w:val="24"/>
          <w:highlight w:val="none"/>
        </w:rPr>
      </w:pPr>
      <w:r>
        <w:rPr>
          <w:rFonts w:hint="eastAsia" w:ascii="宋体" w:hAnsi="宋体"/>
          <w:color w:val="auto"/>
          <w:sz w:val="24"/>
          <w:highlight w:val="none"/>
        </w:rPr>
        <w:t xml:space="preserve">注: </w:t>
      </w:r>
    </w:p>
    <w:p w14:paraId="178C649F">
      <w:pPr>
        <w:snapToGrid w:val="0"/>
        <w:spacing w:before="50" w:after="50"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1.投标人的开标一览表必须加盖投标人公章并由</w:t>
      </w:r>
      <w:r>
        <w:rPr>
          <w:rFonts w:ascii="宋体" w:hAnsi="宋体"/>
          <w:color w:val="auto"/>
          <w:sz w:val="24"/>
          <w:highlight w:val="none"/>
        </w:rPr>
        <w:t>法定代表人或者委托代理人</w:t>
      </w:r>
      <w:r>
        <w:rPr>
          <w:rFonts w:hint="eastAsia" w:ascii="宋体" w:hAnsi="宋体"/>
          <w:color w:val="auto"/>
          <w:sz w:val="24"/>
          <w:highlight w:val="none"/>
        </w:rPr>
        <w:t>签字，</w:t>
      </w:r>
      <w:r>
        <w:rPr>
          <w:rFonts w:hint="eastAsia" w:ascii="宋体" w:hAnsi="宋体"/>
          <w:b/>
          <w:color w:val="auto"/>
          <w:sz w:val="24"/>
          <w:highlight w:val="none"/>
        </w:rPr>
        <w:t>否则其投标作无效标处理</w:t>
      </w:r>
      <w:r>
        <w:rPr>
          <w:rFonts w:hint="eastAsia" w:ascii="宋体" w:hAnsi="宋体"/>
          <w:color w:val="auto"/>
          <w:sz w:val="24"/>
          <w:highlight w:val="none"/>
        </w:rPr>
        <w:t>。</w:t>
      </w:r>
    </w:p>
    <w:p w14:paraId="5F326523">
      <w:pPr>
        <w:snapToGrid w:val="0"/>
        <w:spacing w:before="50" w:after="50" w:line="360" w:lineRule="auto"/>
        <w:ind w:firstLine="480" w:firstLineChars="200"/>
        <w:jc w:val="left"/>
        <w:rPr>
          <w:rFonts w:ascii="宋体" w:hAnsi="宋体"/>
          <w:b/>
          <w:color w:val="auto"/>
          <w:sz w:val="24"/>
          <w:highlight w:val="none"/>
        </w:rPr>
      </w:pPr>
      <w:r>
        <w:rPr>
          <w:rFonts w:hint="eastAsia" w:ascii="宋体" w:hAnsi="宋体"/>
          <w:bCs/>
          <w:color w:val="auto"/>
          <w:sz w:val="24"/>
          <w:highlight w:val="none"/>
        </w:rPr>
        <w:t>2.</w:t>
      </w:r>
      <w:r>
        <w:rPr>
          <w:rFonts w:hint="eastAsia" w:ascii="宋体" w:hAnsi="宋体"/>
          <w:color w:val="auto"/>
          <w:sz w:val="24"/>
          <w:highlight w:val="none"/>
        </w:rPr>
        <w:t>报价一经涂改，应在涂改处加盖投标人公章或者由法定代表人或者委托代理人签字或者盖章</w:t>
      </w:r>
      <w:r>
        <w:rPr>
          <w:rFonts w:hint="eastAsia" w:ascii="宋体" w:hAnsi="宋体"/>
          <w:b/>
          <w:color w:val="auto"/>
          <w:sz w:val="24"/>
          <w:highlight w:val="none"/>
        </w:rPr>
        <w:t>，否则其投标作无效标处理。</w:t>
      </w:r>
    </w:p>
    <w:p w14:paraId="447B65A3">
      <w:pPr>
        <w:snapToGrid w:val="0"/>
        <w:spacing w:before="50" w:after="50"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3.如为联合体投标，“投标人名称”处必须列明联合体各方名称，并标注联合体牵头人名称，</w:t>
      </w:r>
      <w:r>
        <w:rPr>
          <w:rFonts w:hint="eastAsia" w:ascii="宋体" w:hAnsi="宋体"/>
          <w:b/>
          <w:color w:val="auto"/>
          <w:sz w:val="24"/>
          <w:highlight w:val="none"/>
        </w:rPr>
        <w:t>否则其投标作无效标处理。</w:t>
      </w:r>
    </w:p>
    <w:p w14:paraId="1D8D6E8D">
      <w:pPr>
        <w:snapToGrid w:val="0"/>
        <w:spacing w:before="50" w:after="50" w:line="360" w:lineRule="auto"/>
        <w:ind w:firstLine="456" w:firstLineChars="200"/>
        <w:jc w:val="left"/>
        <w:rPr>
          <w:rFonts w:ascii="宋体" w:hAnsi="宋体"/>
          <w:color w:val="auto"/>
          <w:spacing w:val="-6"/>
          <w:sz w:val="24"/>
          <w:highlight w:val="none"/>
        </w:rPr>
      </w:pPr>
      <w:r>
        <w:rPr>
          <w:rFonts w:hint="eastAsia" w:ascii="宋体" w:hAnsi="宋体"/>
          <w:color w:val="auto"/>
          <w:spacing w:val="-6"/>
          <w:sz w:val="24"/>
          <w:highlight w:val="none"/>
        </w:rPr>
        <w:t>4.如为联合体投标，盖章处须加盖联合体各方公章，</w:t>
      </w:r>
      <w:r>
        <w:rPr>
          <w:rFonts w:hint="eastAsia" w:ascii="宋体" w:hAnsi="宋体"/>
          <w:b/>
          <w:color w:val="auto"/>
          <w:spacing w:val="-6"/>
          <w:sz w:val="24"/>
          <w:highlight w:val="none"/>
        </w:rPr>
        <w:t>否则其投标作无效标处理。</w:t>
      </w:r>
    </w:p>
    <w:p w14:paraId="452C7054">
      <w:pPr>
        <w:snapToGrid w:val="0"/>
        <w:spacing w:before="50" w:after="50" w:line="360" w:lineRule="auto"/>
        <w:ind w:firstLine="480" w:firstLineChars="200"/>
        <w:rPr>
          <w:rFonts w:ascii="宋体" w:hAnsi="宋体"/>
          <w:b/>
          <w:color w:val="auto"/>
          <w:sz w:val="24"/>
          <w:highlight w:val="none"/>
        </w:rPr>
      </w:pPr>
      <w:r>
        <w:rPr>
          <w:rFonts w:hint="eastAsia" w:ascii="宋体" w:hAnsi="宋体"/>
          <w:color w:val="auto"/>
          <w:sz w:val="24"/>
          <w:highlight w:val="none"/>
        </w:rPr>
        <w:t>5.如有多分标，按分标分别提供开标一览表，</w:t>
      </w:r>
      <w:r>
        <w:rPr>
          <w:rFonts w:hint="eastAsia" w:ascii="宋体" w:hAnsi="宋体"/>
          <w:b/>
          <w:color w:val="auto"/>
          <w:sz w:val="24"/>
          <w:highlight w:val="none"/>
        </w:rPr>
        <w:t>否则投标无效。</w:t>
      </w:r>
    </w:p>
    <w:p w14:paraId="1B39FDF8">
      <w:pPr>
        <w:snapToGrid w:val="0"/>
        <w:spacing w:before="50" w:after="50" w:line="360" w:lineRule="auto"/>
        <w:ind w:firstLine="482" w:firstLineChars="200"/>
        <w:rPr>
          <w:rFonts w:ascii="宋体" w:hAnsi="宋体"/>
          <w:b/>
          <w:color w:val="auto"/>
          <w:sz w:val="24"/>
          <w:highlight w:val="none"/>
        </w:rPr>
      </w:pPr>
    </w:p>
    <w:p w14:paraId="6F4A640B">
      <w:pPr>
        <w:snapToGrid w:val="0"/>
        <w:spacing w:before="50" w:after="50" w:line="360" w:lineRule="auto"/>
        <w:ind w:left="-2" w:leftChars="-1" w:right="-817" w:rightChars="-389"/>
        <w:rPr>
          <w:rFonts w:ascii="宋体" w:hAnsi="宋体"/>
          <w:color w:val="auto"/>
          <w:sz w:val="24"/>
          <w:highlight w:val="none"/>
        </w:rPr>
      </w:pPr>
      <w:r>
        <w:rPr>
          <w:rFonts w:hint="eastAsia" w:ascii="宋体" w:hAnsi="宋体"/>
          <w:color w:val="auto"/>
          <w:sz w:val="24"/>
          <w:highlight w:val="none"/>
        </w:rPr>
        <w:t xml:space="preserve">法定代表人或者委托代理人（签字）：                    </w:t>
      </w:r>
    </w:p>
    <w:p w14:paraId="0A90498E">
      <w:pPr>
        <w:snapToGrid w:val="0"/>
        <w:spacing w:before="50" w:after="50" w:line="360" w:lineRule="auto"/>
        <w:ind w:left="-3" w:leftChars="-15" w:right="-817" w:rightChars="-389" w:hanging="28" w:hangingChars="12"/>
        <w:rPr>
          <w:rFonts w:ascii="宋体" w:hAnsi="宋体"/>
          <w:color w:val="auto"/>
          <w:szCs w:val="21"/>
          <w:highlight w:val="none"/>
        </w:rPr>
      </w:pPr>
      <w:r>
        <w:rPr>
          <w:rFonts w:hint="eastAsia" w:ascii="宋体" w:hAnsi="宋体"/>
          <w:color w:val="auto"/>
          <w:sz w:val="24"/>
          <w:highlight w:val="none"/>
        </w:rPr>
        <w:t>投标人（盖公章）：                                 日期：    年   月   日</w:t>
      </w:r>
    </w:p>
    <w:p w14:paraId="33376056">
      <w:pPr>
        <w:snapToGrid w:val="0"/>
        <w:spacing w:before="50" w:after="50" w:line="360" w:lineRule="auto"/>
        <w:ind w:left="-6" w:leftChars="-15" w:right="-817" w:rightChars="-389" w:hanging="25" w:hangingChars="12"/>
        <w:rPr>
          <w:rFonts w:ascii="宋体" w:hAnsi="宋体"/>
          <w:color w:val="auto"/>
          <w:szCs w:val="21"/>
          <w:highlight w:val="none"/>
        </w:rPr>
      </w:pPr>
    </w:p>
    <w:p w14:paraId="16F79D9D">
      <w:pPr>
        <w:rPr>
          <w:rFonts w:ascii="宋体" w:hAnsi="宋体"/>
          <w:b/>
          <w:color w:val="auto"/>
          <w:sz w:val="28"/>
          <w:szCs w:val="28"/>
          <w:highlight w:val="none"/>
        </w:rPr>
      </w:pPr>
      <w:bookmarkStart w:id="157" w:name="_Toc19686837"/>
    </w:p>
    <w:p w14:paraId="4277ADEE">
      <w:pPr>
        <w:rPr>
          <w:rFonts w:ascii="宋体" w:hAnsi="宋体"/>
          <w:b/>
          <w:color w:val="auto"/>
          <w:sz w:val="28"/>
          <w:szCs w:val="28"/>
          <w:highlight w:val="none"/>
        </w:rPr>
      </w:pPr>
    </w:p>
    <w:p w14:paraId="45AF4720">
      <w:pPr>
        <w:rPr>
          <w:rFonts w:ascii="宋体" w:hAnsi="宋体"/>
          <w:b/>
          <w:color w:val="auto"/>
          <w:sz w:val="28"/>
          <w:szCs w:val="28"/>
          <w:highlight w:val="none"/>
        </w:rPr>
      </w:pPr>
    </w:p>
    <w:p w14:paraId="4E422560">
      <w:pPr>
        <w:rPr>
          <w:rFonts w:ascii="宋体" w:hAnsi="宋体"/>
          <w:b/>
          <w:color w:val="auto"/>
          <w:sz w:val="28"/>
          <w:szCs w:val="28"/>
          <w:highlight w:val="none"/>
        </w:rPr>
      </w:pPr>
      <w:r>
        <w:rPr>
          <w:rFonts w:hint="eastAsia" w:ascii="宋体" w:hAnsi="宋体"/>
          <w:b/>
          <w:color w:val="auto"/>
          <w:sz w:val="28"/>
          <w:szCs w:val="28"/>
          <w:highlight w:val="none"/>
        </w:rPr>
        <w:t>二、资格证明文件格式</w:t>
      </w:r>
      <w:bookmarkEnd w:id="155"/>
      <w:bookmarkEnd w:id="156"/>
      <w:bookmarkEnd w:id="157"/>
    </w:p>
    <w:p w14:paraId="632D5008">
      <w:pPr>
        <w:numPr>
          <w:ilvl w:val="2"/>
          <w:numId w:val="4"/>
        </w:numPr>
        <w:snapToGrid w:val="0"/>
        <w:spacing w:beforeLines="50" w:after="50" w:line="360" w:lineRule="auto"/>
        <w:ind w:left="0" w:firstLine="0"/>
        <w:jc w:val="left"/>
        <w:rPr>
          <w:rFonts w:ascii="宋体" w:hAnsi="宋体"/>
          <w:b/>
          <w:color w:val="auto"/>
          <w:sz w:val="24"/>
          <w:highlight w:val="none"/>
        </w:rPr>
      </w:pPr>
      <w:r>
        <w:rPr>
          <w:rFonts w:hint="eastAsia" w:ascii="宋体" w:hAnsi="宋体"/>
          <w:b/>
          <w:color w:val="auto"/>
          <w:sz w:val="24"/>
          <w:highlight w:val="none"/>
        </w:rPr>
        <w:t xml:space="preserve">资格证明文件封面格式： </w:t>
      </w:r>
    </w:p>
    <w:p w14:paraId="3A1D93DB">
      <w:pPr>
        <w:snapToGrid w:val="0"/>
        <w:spacing w:beforeLines="50" w:after="50"/>
        <w:rPr>
          <w:rFonts w:ascii="宋体" w:hAnsi="宋体"/>
          <w:bCs/>
          <w:color w:val="auto"/>
          <w:sz w:val="32"/>
          <w:szCs w:val="20"/>
          <w:highlight w:val="none"/>
        </w:rPr>
      </w:pPr>
    </w:p>
    <w:p w14:paraId="7CCF7FF9">
      <w:pPr>
        <w:snapToGrid w:val="0"/>
        <w:spacing w:beforeLines="50" w:after="50"/>
        <w:rPr>
          <w:rFonts w:ascii="宋体" w:hAnsi="宋体"/>
          <w:color w:val="auto"/>
          <w:sz w:val="24"/>
          <w:szCs w:val="20"/>
          <w:highlight w:val="none"/>
        </w:rPr>
      </w:pPr>
    </w:p>
    <w:p w14:paraId="68F737D0">
      <w:pPr>
        <w:snapToGrid w:val="0"/>
        <w:spacing w:beforeLines="50" w:after="50"/>
        <w:rPr>
          <w:rFonts w:ascii="宋体" w:hAnsi="宋体"/>
          <w:color w:val="auto"/>
          <w:sz w:val="24"/>
          <w:szCs w:val="20"/>
          <w:highlight w:val="none"/>
        </w:rPr>
      </w:pPr>
    </w:p>
    <w:p w14:paraId="7C13B869">
      <w:pPr>
        <w:snapToGrid w:val="0"/>
        <w:spacing w:beforeLines="50" w:after="50"/>
        <w:jc w:val="center"/>
        <w:rPr>
          <w:rFonts w:ascii="宋体" w:hAnsi="宋体" w:cs="方正小标宋简体"/>
          <w:color w:val="auto"/>
          <w:sz w:val="84"/>
          <w:szCs w:val="84"/>
          <w:highlight w:val="none"/>
        </w:rPr>
      </w:pPr>
      <w:r>
        <w:rPr>
          <w:rFonts w:hint="eastAsia" w:ascii="宋体" w:hAnsi="宋体" w:cs="方正小标宋简体"/>
          <w:color w:val="auto"/>
          <w:sz w:val="84"/>
          <w:szCs w:val="84"/>
          <w:highlight w:val="none"/>
        </w:rPr>
        <w:t>投  标  文  件</w:t>
      </w:r>
    </w:p>
    <w:p w14:paraId="5D3DBF86">
      <w:pPr>
        <w:snapToGrid w:val="0"/>
        <w:spacing w:beforeLines="50" w:after="50"/>
        <w:rPr>
          <w:rFonts w:ascii="宋体" w:hAnsi="宋体"/>
          <w:color w:val="auto"/>
          <w:sz w:val="24"/>
          <w:szCs w:val="20"/>
          <w:highlight w:val="none"/>
        </w:rPr>
      </w:pPr>
    </w:p>
    <w:p w14:paraId="2DF10396">
      <w:pPr>
        <w:snapToGrid w:val="0"/>
        <w:spacing w:beforeLines="50" w:after="50"/>
        <w:rPr>
          <w:rFonts w:ascii="宋体" w:hAnsi="宋体"/>
          <w:color w:val="auto"/>
          <w:sz w:val="24"/>
          <w:szCs w:val="20"/>
          <w:highlight w:val="none"/>
        </w:rPr>
      </w:pPr>
    </w:p>
    <w:p w14:paraId="6F03D433">
      <w:pPr>
        <w:snapToGrid w:val="0"/>
        <w:spacing w:beforeLines="50" w:after="50"/>
        <w:jc w:val="center"/>
        <w:rPr>
          <w:rFonts w:ascii="宋体" w:hAnsi="宋体"/>
          <w:b/>
          <w:color w:val="auto"/>
          <w:sz w:val="24"/>
          <w:szCs w:val="20"/>
          <w:highlight w:val="none"/>
        </w:rPr>
      </w:pPr>
      <w:r>
        <w:rPr>
          <w:rFonts w:hint="eastAsia" w:ascii="宋体" w:hAnsi="宋体"/>
          <w:b/>
          <w:color w:val="auto"/>
          <w:sz w:val="32"/>
          <w:szCs w:val="32"/>
          <w:highlight w:val="none"/>
        </w:rPr>
        <w:t>资 格 证 明 文 件</w:t>
      </w:r>
    </w:p>
    <w:p w14:paraId="1F2DB64A">
      <w:pPr>
        <w:snapToGrid w:val="0"/>
        <w:spacing w:beforeLines="50" w:after="50"/>
        <w:rPr>
          <w:rFonts w:ascii="宋体" w:hAnsi="宋体"/>
          <w:bCs/>
          <w:color w:val="auto"/>
          <w:sz w:val="24"/>
          <w:szCs w:val="20"/>
          <w:highlight w:val="none"/>
        </w:rPr>
      </w:pPr>
    </w:p>
    <w:p w14:paraId="10C4934E">
      <w:pPr>
        <w:snapToGrid w:val="0"/>
        <w:spacing w:beforeLines="50" w:after="50"/>
        <w:rPr>
          <w:rFonts w:ascii="宋体" w:hAnsi="宋体"/>
          <w:bCs/>
          <w:color w:val="auto"/>
          <w:sz w:val="24"/>
          <w:szCs w:val="20"/>
          <w:highlight w:val="none"/>
        </w:rPr>
      </w:pPr>
    </w:p>
    <w:p w14:paraId="252A989C">
      <w:pPr>
        <w:snapToGrid w:val="0"/>
        <w:spacing w:beforeLines="50" w:after="50"/>
        <w:rPr>
          <w:rFonts w:ascii="宋体" w:hAnsi="宋体"/>
          <w:bCs/>
          <w:color w:val="auto"/>
          <w:sz w:val="24"/>
          <w:szCs w:val="20"/>
          <w:highlight w:val="none"/>
        </w:rPr>
      </w:pPr>
    </w:p>
    <w:p w14:paraId="212CB083">
      <w:pPr>
        <w:snapToGrid w:val="0"/>
        <w:spacing w:beforeLines="50" w:after="50"/>
        <w:rPr>
          <w:rFonts w:ascii="宋体" w:hAnsi="宋体"/>
          <w:bCs/>
          <w:color w:val="auto"/>
          <w:sz w:val="24"/>
          <w:szCs w:val="20"/>
          <w:highlight w:val="none"/>
        </w:rPr>
      </w:pPr>
    </w:p>
    <w:p w14:paraId="4C779904">
      <w:pPr>
        <w:snapToGrid w:val="0"/>
        <w:spacing w:beforeLines="50" w:after="50"/>
        <w:rPr>
          <w:rFonts w:ascii="宋体" w:hAnsi="宋体"/>
          <w:bCs/>
          <w:color w:val="auto"/>
          <w:sz w:val="24"/>
          <w:szCs w:val="20"/>
          <w:highlight w:val="none"/>
        </w:rPr>
      </w:pPr>
    </w:p>
    <w:p w14:paraId="0E76249B">
      <w:pPr>
        <w:snapToGrid w:val="0"/>
        <w:spacing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项目名称：</w:t>
      </w:r>
    </w:p>
    <w:p w14:paraId="25335D45">
      <w:pPr>
        <w:snapToGrid w:val="0"/>
        <w:spacing w:beforeLines="50" w:after="50"/>
        <w:ind w:firstLine="540" w:firstLineChars="225"/>
        <w:rPr>
          <w:rFonts w:ascii="宋体" w:hAnsi="宋体"/>
          <w:bCs/>
          <w:color w:val="auto"/>
          <w:sz w:val="24"/>
          <w:szCs w:val="20"/>
          <w:highlight w:val="none"/>
        </w:rPr>
      </w:pPr>
    </w:p>
    <w:p w14:paraId="6C88418C">
      <w:pPr>
        <w:snapToGrid w:val="0"/>
        <w:spacing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项目编号：</w:t>
      </w:r>
    </w:p>
    <w:p w14:paraId="24657F17">
      <w:pPr>
        <w:snapToGrid w:val="0"/>
        <w:spacing w:beforeLines="50" w:after="50"/>
        <w:ind w:firstLine="540" w:firstLineChars="225"/>
        <w:rPr>
          <w:rFonts w:ascii="宋体" w:hAnsi="宋体"/>
          <w:bCs/>
          <w:color w:val="auto"/>
          <w:sz w:val="24"/>
          <w:szCs w:val="20"/>
          <w:highlight w:val="none"/>
        </w:rPr>
      </w:pPr>
    </w:p>
    <w:p w14:paraId="11E63F1D">
      <w:pPr>
        <w:snapToGrid w:val="0"/>
        <w:spacing w:beforeLines="50" w:after="50"/>
        <w:ind w:firstLine="540" w:firstLineChars="225"/>
        <w:rPr>
          <w:rFonts w:ascii="宋体" w:hAnsi="宋体"/>
          <w:bCs/>
          <w:color w:val="auto"/>
          <w:sz w:val="24"/>
          <w:highlight w:val="none"/>
        </w:rPr>
      </w:pPr>
      <w:r>
        <w:rPr>
          <w:rFonts w:hint="eastAsia" w:ascii="宋体" w:hAnsi="宋体"/>
          <w:bCs/>
          <w:color w:val="auto"/>
          <w:sz w:val="24"/>
          <w:highlight w:val="none"/>
        </w:rPr>
        <w:t>所投分标：</w:t>
      </w:r>
    </w:p>
    <w:p w14:paraId="21894679">
      <w:pPr>
        <w:pStyle w:val="14"/>
        <w:snapToGrid w:val="0"/>
        <w:spacing w:before="50" w:after="50"/>
        <w:ind w:firstLine="540" w:firstLineChars="225"/>
        <w:rPr>
          <w:rFonts w:ascii="宋体" w:hAnsi="宋体"/>
          <w:bCs/>
          <w:color w:val="auto"/>
          <w:sz w:val="24"/>
          <w:szCs w:val="24"/>
          <w:highlight w:val="none"/>
        </w:rPr>
      </w:pPr>
    </w:p>
    <w:p w14:paraId="6C3A1B07">
      <w:pPr>
        <w:pStyle w:val="14"/>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投标人名称：</w:t>
      </w:r>
    </w:p>
    <w:p w14:paraId="07C95017">
      <w:pPr>
        <w:pStyle w:val="14"/>
        <w:snapToGrid w:val="0"/>
        <w:spacing w:before="50" w:after="50"/>
        <w:ind w:firstLine="540" w:firstLineChars="225"/>
        <w:rPr>
          <w:rFonts w:ascii="宋体" w:hAnsi="宋体"/>
          <w:bCs/>
          <w:color w:val="auto"/>
          <w:sz w:val="24"/>
          <w:szCs w:val="24"/>
          <w:highlight w:val="none"/>
        </w:rPr>
      </w:pPr>
    </w:p>
    <w:p w14:paraId="3AAF4EF6">
      <w:pPr>
        <w:pStyle w:val="14"/>
        <w:snapToGrid w:val="0"/>
        <w:spacing w:before="50" w:after="50"/>
        <w:ind w:firstLine="960" w:firstLineChars="400"/>
        <w:rPr>
          <w:rFonts w:ascii="宋体" w:hAnsi="宋体"/>
          <w:bCs/>
          <w:color w:val="auto"/>
          <w:sz w:val="24"/>
          <w:szCs w:val="24"/>
          <w:highlight w:val="none"/>
        </w:rPr>
      </w:pPr>
    </w:p>
    <w:p w14:paraId="59934517">
      <w:pPr>
        <w:snapToGrid w:val="0"/>
        <w:spacing w:beforeLines="5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62FD41D1">
      <w:pPr>
        <w:snapToGrid w:val="0"/>
        <w:spacing w:beforeLines="50" w:after="50"/>
        <w:rPr>
          <w:rFonts w:ascii="宋体" w:hAnsi="宋体"/>
          <w:color w:val="auto"/>
          <w:sz w:val="24"/>
          <w:szCs w:val="20"/>
          <w:highlight w:val="none"/>
        </w:rPr>
      </w:pPr>
    </w:p>
    <w:p w14:paraId="7500A824">
      <w:pPr>
        <w:snapToGrid w:val="0"/>
        <w:spacing w:beforeLines="50" w:after="50"/>
        <w:rPr>
          <w:rFonts w:ascii="宋体" w:hAnsi="宋体"/>
          <w:color w:val="auto"/>
          <w:sz w:val="24"/>
          <w:szCs w:val="20"/>
          <w:highlight w:val="none"/>
        </w:rPr>
      </w:pPr>
    </w:p>
    <w:p w14:paraId="0300DBEB">
      <w:pPr>
        <w:numPr>
          <w:ilvl w:val="2"/>
          <w:numId w:val="4"/>
        </w:numPr>
        <w:snapToGrid w:val="0"/>
        <w:spacing w:beforeLines="50" w:after="50" w:line="360" w:lineRule="auto"/>
        <w:ind w:left="0" w:firstLine="0"/>
        <w:jc w:val="left"/>
        <w:rPr>
          <w:rFonts w:ascii="宋体" w:hAnsi="宋体"/>
          <w:color w:val="auto"/>
          <w:sz w:val="24"/>
          <w:szCs w:val="20"/>
          <w:highlight w:val="none"/>
        </w:rPr>
      </w:pPr>
      <w:r>
        <w:rPr>
          <w:rFonts w:ascii="宋体" w:hAnsi="宋体"/>
          <w:b/>
          <w:bCs/>
          <w:color w:val="auto"/>
          <w:sz w:val="24"/>
          <w:highlight w:val="none"/>
        </w:rPr>
        <w:br w:type="page"/>
      </w:r>
      <w:r>
        <w:rPr>
          <w:rFonts w:hint="eastAsia" w:ascii="宋体" w:hAnsi="宋体"/>
          <w:b/>
          <w:bCs/>
          <w:color w:val="auto"/>
          <w:sz w:val="24"/>
          <w:highlight w:val="none"/>
        </w:rPr>
        <w:t>资格证明文件目录</w:t>
      </w:r>
    </w:p>
    <w:p w14:paraId="22DA99A2">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2E769E03">
      <w:pPr>
        <w:snapToGrid w:val="0"/>
        <w:spacing w:before="50" w:afterLines="50"/>
        <w:jc w:val="left"/>
        <w:rPr>
          <w:rFonts w:ascii="宋体" w:hAnsi="宋体"/>
          <w:color w:val="auto"/>
          <w:sz w:val="24"/>
          <w:highlight w:val="none"/>
        </w:rPr>
      </w:pPr>
    </w:p>
    <w:p w14:paraId="0249A458">
      <w:pPr>
        <w:snapToGrid w:val="0"/>
        <w:spacing w:before="50" w:afterLines="50"/>
        <w:jc w:val="left"/>
        <w:rPr>
          <w:rFonts w:ascii="宋体" w:hAnsi="宋体"/>
          <w:color w:val="auto"/>
          <w:sz w:val="24"/>
          <w:highlight w:val="none"/>
        </w:rPr>
      </w:pPr>
    </w:p>
    <w:p w14:paraId="51872602">
      <w:pPr>
        <w:numPr>
          <w:ilvl w:val="2"/>
          <w:numId w:val="4"/>
        </w:numPr>
        <w:snapToGrid w:val="0"/>
        <w:spacing w:beforeLines="50" w:after="50"/>
        <w:ind w:left="0" w:firstLine="0"/>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8"/>
          <w:szCs w:val="28"/>
          <w:highlight w:val="none"/>
        </w:rPr>
        <w:t>投标人直接控股、管理关系信息表</w:t>
      </w:r>
    </w:p>
    <w:p w14:paraId="4702DED0">
      <w:pPr>
        <w:snapToGrid w:val="0"/>
        <w:spacing w:before="50" w:afterLines="50"/>
        <w:jc w:val="center"/>
        <w:rPr>
          <w:rFonts w:ascii="宋体" w:hAnsi="宋体"/>
          <w:b/>
          <w:color w:val="auto"/>
          <w:sz w:val="28"/>
          <w:szCs w:val="28"/>
          <w:highlight w:val="none"/>
        </w:rPr>
      </w:pPr>
    </w:p>
    <w:p w14:paraId="3DD41A5B">
      <w:pPr>
        <w:snapToGrid w:val="0"/>
        <w:spacing w:before="50" w:afterLines="50" w:line="360" w:lineRule="auto"/>
        <w:jc w:val="center"/>
        <w:rPr>
          <w:rFonts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49"/>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3B06CB24">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B5CD19C">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77F8C8E">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2E1B6A2">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0F32E2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FA3F96E">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8CB582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3EA82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9CE75F">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8620B8">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36BA8F">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3D173B">
            <w:pPr>
              <w:spacing w:line="360" w:lineRule="auto"/>
              <w:jc w:val="center"/>
              <w:rPr>
                <w:rFonts w:ascii="宋体" w:hAnsi="宋体" w:cs="宋体"/>
                <w:color w:val="auto"/>
                <w:kern w:val="0"/>
                <w:sz w:val="24"/>
                <w:highlight w:val="none"/>
              </w:rPr>
            </w:pPr>
          </w:p>
        </w:tc>
      </w:tr>
      <w:tr w14:paraId="40E28AE0">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EAC58D">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486DB5">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98E032F">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4665BF">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3F64AD">
            <w:pPr>
              <w:spacing w:line="360" w:lineRule="auto"/>
              <w:jc w:val="center"/>
              <w:rPr>
                <w:rFonts w:ascii="宋体" w:hAnsi="宋体" w:cs="宋体"/>
                <w:color w:val="auto"/>
                <w:kern w:val="0"/>
                <w:sz w:val="24"/>
                <w:highlight w:val="none"/>
              </w:rPr>
            </w:pPr>
          </w:p>
        </w:tc>
      </w:tr>
      <w:tr w14:paraId="1961509C">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664152">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F74B05">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297707">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499DEF">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B86D44">
            <w:pPr>
              <w:spacing w:line="360" w:lineRule="auto"/>
              <w:jc w:val="center"/>
              <w:rPr>
                <w:rFonts w:ascii="宋体" w:hAnsi="宋体" w:cs="宋体"/>
                <w:color w:val="auto"/>
                <w:kern w:val="0"/>
                <w:sz w:val="24"/>
                <w:highlight w:val="none"/>
              </w:rPr>
            </w:pPr>
          </w:p>
        </w:tc>
      </w:tr>
      <w:tr w14:paraId="50228BFC">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05CF2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95C536">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990A08">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5BCCBF">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2DC9ED">
            <w:pPr>
              <w:spacing w:line="360" w:lineRule="auto"/>
              <w:jc w:val="center"/>
              <w:rPr>
                <w:rFonts w:ascii="宋体" w:hAnsi="宋体" w:cs="宋体"/>
                <w:color w:val="auto"/>
                <w:kern w:val="0"/>
                <w:sz w:val="24"/>
                <w:highlight w:val="none"/>
              </w:rPr>
            </w:pPr>
          </w:p>
        </w:tc>
      </w:tr>
    </w:tbl>
    <w:p w14:paraId="7635A536">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745E6EA4">
      <w:pPr>
        <w:snapToGrid w:val="0"/>
        <w:spacing w:line="360" w:lineRule="auto"/>
        <w:jc w:val="left"/>
        <w:rPr>
          <w:rFonts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F2426F0">
      <w:pPr>
        <w:snapToGrid w:val="0"/>
        <w:spacing w:line="360" w:lineRule="auto"/>
        <w:jc w:val="left"/>
        <w:rPr>
          <w:rFonts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22BB8704">
      <w:pPr>
        <w:snapToGrid w:val="0"/>
        <w:spacing w:line="360" w:lineRule="auto"/>
        <w:jc w:val="left"/>
        <w:rPr>
          <w:rFonts w:ascii="宋体" w:hAnsi="宋体"/>
          <w:color w:val="auto"/>
          <w:sz w:val="24"/>
          <w:highlight w:val="none"/>
        </w:rPr>
      </w:pPr>
      <w:r>
        <w:rPr>
          <w:rFonts w:hint="eastAsia" w:ascii="宋体" w:hAnsi="宋体"/>
          <w:color w:val="auto"/>
          <w:sz w:val="24"/>
          <w:highlight w:val="none"/>
        </w:rPr>
        <w:t>3.供应商不存在直接控股股东的，则填“无”。</w:t>
      </w:r>
    </w:p>
    <w:p w14:paraId="75A29C9D">
      <w:pPr>
        <w:snapToGrid w:val="0"/>
        <w:spacing w:line="360" w:lineRule="auto"/>
        <w:jc w:val="left"/>
        <w:rPr>
          <w:rFonts w:ascii="宋体" w:hAnsi="宋体"/>
          <w:color w:val="auto"/>
          <w:sz w:val="24"/>
          <w:highlight w:val="none"/>
        </w:rPr>
      </w:pPr>
    </w:p>
    <w:p w14:paraId="670BE104">
      <w:pPr>
        <w:snapToGrid w:val="0"/>
        <w:spacing w:line="360" w:lineRule="auto"/>
        <w:jc w:val="left"/>
        <w:rPr>
          <w:rFonts w:ascii="宋体" w:hAnsi="宋体"/>
          <w:color w:val="auto"/>
          <w:sz w:val="24"/>
          <w:highlight w:val="none"/>
        </w:rPr>
      </w:pPr>
    </w:p>
    <w:p w14:paraId="6EC45877">
      <w:pPr>
        <w:snapToGrid w:val="0"/>
        <w:spacing w:line="360" w:lineRule="auto"/>
        <w:jc w:val="left"/>
        <w:rPr>
          <w:rFonts w:ascii="宋体" w:hAnsi="宋体"/>
          <w:color w:val="auto"/>
          <w:sz w:val="24"/>
          <w:highlight w:val="none"/>
        </w:rPr>
      </w:pPr>
    </w:p>
    <w:p w14:paraId="6569D756">
      <w:pPr>
        <w:snapToGrid w:val="0"/>
        <w:spacing w:line="360" w:lineRule="auto"/>
        <w:jc w:val="left"/>
        <w:rPr>
          <w:rFonts w:ascii="宋体" w:hAnsi="宋体"/>
          <w:color w:val="auto"/>
          <w:sz w:val="24"/>
          <w:highlight w:val="none"/>
        </w:rPr>
      </w:pPr>
    </w:p>
    <w:p w14:paraId="78E73F32">
      <w:pPr>
        <w:snapToGrid w:val="0"/>
        <w:spacing w:line="360" w:lineRule="auto"/>
        <w:jc w:val="left"/>
        <w:rPr>
          <w:rFonts w:ascii="宋体" w:hAnsi="宋体"/>
          <w:color w:val="auto"/>
          <w:sz w:val="24"/>
          <w:highlight w:val="none"/>
        </w:rPr>
      </w:pPr>
    </w:p>
    <w:p w14:paraId="3969CAF7">
      <w:pPr>
        <w:snapToGrid w:val="0"/>
        <w:spacing w:beforeLines="50" w:line="360" w:lineRule="auto"/>
        <w:ind w:right="480" w:firstLine="3967" w:firstLineChars="1653"/>
        <w:rPr>
          <w:rFonts w:ascii="宋体" w:hAnsi="宋体"/>
          <w:color w:val="auto"/>
          <w:sz w:val="24"/>
          <w:highlight w:val="none"/>
          <w:u w:val="single"/>
        </w:rPr>
      </w:pPr>
      <w:r>
        <w:rPr>
          <w:rFonts w:hint="eastAsia" w:ascii="宋体" w:hAnsi="宋体"/>
          <w:color w:val="auto"/>
          <w:sz w:val="24"/>
          <w:highlight w:val="none"/>
        </w:rPr>
        <w:t>法定代表人或者委托代理人（签字）：</w:t>
      </w:r>
    </w:p>
    <w:p w14:paraId="00983B00">
      <w:pPr>
        <w:snapToGrid w:val="0"/>
        <w:spacing w:beforeLines="50" w:after="50" w:line="360" w:lineRule="auto"/>
        <w:ind w:right="480" w:firstLine="5520" w:firstLineChars="2300"/>
        <w:rPr>
          <w:rFonts w:ascii="宋体" w:hAnsi="宋体"/>
          <w:color w:val="auto"/>
          <w:sz w:val="24"/>
          <w:highlight w:val="none"/>
          <w:u w:val="single"/>
        </w:rPr>
      </w:pPr>
      <w:r>
        <w:rPr>
          <w:rFonts w:hint="eastAsia" w:ascii="宋体" w:hAnsi="宋体"/>
          <w:color w:val="auto"/>
          <w:sz w:val="24"/>
          <w:highlight w:val="none"/>
        </w:rPr>
        <w:t>投标人（盖公章）：</w:t>
      </w:r>
    </w:p>
    <w:p w14:paraId="2B94F6B8">
      <w:pPr>
        <w:snapToGrid w:val="0"/>
        <w:spacing w:beforeLines="50" w:after="50" w:line="360" w:lineRule="auto"/>
        <w:ind w:right="480" w:firstLine="5520" w:firstLineChars="2300"/>
        <w:rPr>
          <w:rFonts w:ascii="宋体" w:hAnsi="宋体"/>
          <w:color w:val="auto"/>
          <w:szCs w:val="21"/>
          <w:highlight w:val="none"/>
        </w:rPr>
      </w:pPr>
      <w:r>
        <w:rPr>
          <w:rFonts w:hint="eastAsia" w:ascii="宋体" w:hAnsi="宋体"/>
          <w:color w:val="auto"/>
          <w:sz w:val="24"/>
          <w:highlight w:val="none"/>
        </w:rPr>
        <w:t>年    月    日</w:t>
      </w:r>
    </w:p>
    <w:p w14:paraId="161A96F4">
      <w:pPr>
        <w:snapToGrid w:val="0"/>
        <w:jc w:val="center"/>
        <w:rPr>
          <w:rFonts w:ascii="宋体" w:hAnsi="宋体"/>
          <w:b/>
          <w:color w:val="auto"/>
          <w:sz w:val="28"/>
          <w:szCs w:val="28"/>
          <w:highlight w:val="none"/>
        </w:rPr>
      </w:pPr>
    </w:p>
    <w:p w14:paraId="296EE0B2">
      <w:pPr>
        <w:snapToGrid w:val="0"/>
        <w:spacing w:line="360" w:lineRule="auto"/>
        <w:jc w:val="center"/>
        <w:rPr>
          <w:rFonts w:ascii="宋体" w:hAnsi="宋体"/>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投标人直接管理关系信息表</w:t>
      </w:r>
    </w:p>
    <w:tbl>
      <w:tblPr>
        <w:tblStyle w:val="49"/>
        <w:tblW w:w="0" w:type="auto"/>
        <w:tblInd w:w="0" w:type="dxa"/>
        <w:tblLayout w:type="fixed"/>
        <w:tblCellMar>
          <w:top w:w="0" w:type="dxa"/>
          <w:left w:w="0" w:type="dxa"/>
          <w:bottom w:w="0" w:type="dxa"/>
          <w:right w:w="0" w:type="dxa"/>
        </w:tblCellMar>
      </w:tblPr>
      <w:tblGrid>
        <w:gridCol w:w="1005"/>
        <w:gridCol w:w="2659"/>
        <w:gridCol w:w="3924"/>
        <w:gridCol w:w="2064"/>
      </w:tblGrid>
      <w:tr w14:paraId="15952BB7">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2812D5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2941A4C">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DF5439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436DB4A">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C2EAC7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594BE5F">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77313D9">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FD25683">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A19AC7D">
            <w:pPr>
              <w:spacing w:line="360" w:lineRule="auto"/>
              <w:jc w:val="center"/>
              <w:rPr>
                <w:rFonts w:ascii="宋体" w:hAnsi="宋体" w:cs="宋体"/>
                <w:color w:val="auto"/>
                <w:kern w:val="0"/>
                <w:sz w:val="24"/>
                <w:highlight w:val="none"/>
              </w:rPr>
            </w:pPr>
          </w:p>
        </w:tc>
      </w:tr>
      <w:tr w14:paraId="074AEB4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4A344FD">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CA24996">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E8A1E65">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6915910">
            <w:pPr>
              <w:spacing w:line="360" w:lineRule="auto"/>
              <w:jc w:val="center"/>
              <w:rPr>
                <w:rFonts w:ascii="宋体" w:hAnsi="宋体" w:cs="宋体"/>
                <w:color w:val="auto"/>
                <w:kern w:val="0"/>
                <w:sz w:val="24"/>
                <w:highlight w:val="none"/>
              </w:rPr>
            </w:pPr>
          </w:p>
        </w:tc>
      </w:tr>
      <w:tr w14:paraId="5E872F8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E7887A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A8BEDF2">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75B5F18">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0BACAC1">
            <w:pPr>
              <w:spacing w:line="360" w:lineRule="auto"/>
              <w:jc w:val="center"/>
              <w:rPr>
                <w:rFonts w:ascii="宋体" w:hAnsi="宋体" w:cs="宋体"/>
                <w:color w:val="auto"/>
                <w:kern w:val="0"/>
                <w:sz w:val="24"/>
                <w:highlight w:val="none"/>
              </w:rPr>
            </w:pPr>
          </w:p>
        </w:tc>
      </w:tr>
      <w:tr w14:paraId="15ECBDF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AA1696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DA65A36">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D1C1251">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142AB94">
            <w:pPr>
              <w:spacing w:line="360" w:lineRule="auto"/>
              <w:jc w:val="center"/>
              <w:rPr>
                <w:rFonts w:ascii="宋体" w:hAnsi="宋体" w:cs="宋体"/>
                <w:color w:val="auto"/>
                <w:kern w:val="0"/>
                <w:sz w:val="24"/>
                <w:highlight w:val="none"/>
              </w:rPr>
            </w:pPr>
          </w:p>
        </w:tc>
      </w:tr>
    </w:tbl>
    <w:p w14:paraId="302C0751">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69B93DCD">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67685E30">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2FAE4A1E">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3.供应商不存在直接管理关系的，则填“无”。</w:t>
      </w:r>
    </w:p>
    <w:p w14:paraId="1D43D7F0">
      <w:pPr>
        <w:snapToGrid w:val="0"/>
        <w:spacing w:line="360" w:lineRule="auto"/>
        <w:jc w:val="left"/>
        <w:rPr>
          <w:rFonts w:ascii="宋体" w:hAnsi="宋体"/>
          <w:color w:val="auto"/>
          <w:sz w:val="24"/>
          <w:highlight w:val="none"/>
        </w:rPr>
      </w:pPr>
    </w:p>
    <w:p w14:paraId="67F85CF9">
      <w:pPr>
        <w:snapToGrid w:val="0"/>
        <w:spacing w:line="360" w:lineRule="auto"/>
        <w:jc w:val="left"/>
        <w:rPr>
          <w:rFonts w:ascii="宋体" w:hAnsi="宋体"/>
          <w:color w:val="auto"/>
          <w:sz w:val="24"/>
          <w:highlight w:val="none"/>
        </w:rPr>
      </w:pPr>
    </w:p>
    <w:p w14:paraId="206705E6">
      <w:pPr>
        <w:snapToGrid w:val="0"/>
        <w:spacing w:line="360" w:lineRule="auto"/>
        <w:jc w:val="left"/>
        <w:rPr>
          <w:rFonts w:ascii="宋体" w:hAnsi="宋体"/>
          <w:color w:val="auto"/>
          <w:sz w:val="24"/>
          <w:highlight w:val="none"/>
        </w:rPr>
      </w:pPr>
    </w:p>
    <w:p w14:paraId="2B469D0D">
      <w:pPr>
        <w:snapToGrid w:val="0"/>
        <w:spacing w:line="360" w:lineRule="auto"/>
        <w:jc w:val="left"/>
        <w:rPr>
          <w:rFonts w:ascii="宋体" w:hAnsi="宋体"/>
          <w:color w:val="auto"/>
          <w:sz w:val="24"/>
          <w:highlight w:val="none"/>
        </w:rPr>
      </w:pPr>
    </w:p>
    <w:p w14:paraId="2EB3A0A1">
      <w:pPr>
        <w:snapToGrid w:val="0"/>
        <w:spacing w:line="360" w:lineRule="auto"/>
        <w:jc w:val="left"/>
        <w:rPr>
          <w:rFonts w:ascii="宋体" w:hAnsi="宋体"/>
          <w:color w:val="auto"/>
          <w:sz w:val="24"/>
          <w:highlight w:val="none"/>
        </w:rPr>
      </w:pPr>
    </w:p>
    <w:p w14:paraId="72EFB41E">
      <w:pPr>
        <w:snapToGrid w:val="0"/>
        <w:spacing w:line="360" w:lineRule="auto"/>
        <w:jc w:val="left"/>
        <w:rPr>
          <w:rFonts w:ascii="宋体" w:hAnsi="宋体"/>
          <w:color w:val="auto"/>
          <w:sz w:val="24"/>
          <w:highlight w:val="none"/>
        </w:rPr>
      </w:pPr>
    </w:p>
    <w:p w14:paraId="6F3C8AF9">
      <w:pPr>
        <w:snapToGrid w:val="0"/>
        <w:spacing w:line="360" w:lineRule="auto"/>
        <w:jc w:val="left"/>
        <w:rPr>
          <w:rFonts w:ascii="宋体" w:hAnsi="宋体"/>
          <w:color w:val="auto"/>
          <w:sz w:val="24"/>
          <w:highlight w:val="none"/>
        </w:rPr>
      </w:pPr>
    </w:p>
    <w:p w14:paraId="4623867A">
      <w:pPr>
        <w:snapToGrid w:val="0"/>
        <w:spacing w:beforeLines="50" w:line="360" w:lineRule="auto"/>
        <w:ind w:right="480" w:firstLine="3967" w:firstLineChars="1653"/>
        <w:rPr>
          <w:rFonts w:ascii="宋体" w:hAnsi="宋体"/>
          <w:color w:val="auto"/>
          <w:sz w:val="24"/>
          <w:highlight w:val="none"/>
          <w:u w:val="single"/>
        </w:rPr>
      </w:pPr>
      <w:r>
        <w:rPr>
          <w:rFonts w:hint="eastAsia" w:ascii="宋体" w:hAnsi="宋体"/>
          <w:color w:val="auto"/>
          <w:sz w:val="24"/>
          <w:highlight w:val="none"/>
        </w:rPr>
        <w:t>法定代表人或者委托代理人（签字）：</w:t>
      </w:r>
    </w:p>
    <w:p w14:paraId="699F7CC5">
      <w:pPr>
        <w:snapToGrid w:val="0"/>
        <w:spacing w:beforeLines="50" w:after="50" w:line="360" w:lineRule="auto"/>
        <w:ind w:right="480" w:firstLine="5520" w:firstLineChars="2300"/>
        <w:rPr>
          <w:rFonts w:ascii="宋体" w:hAnsi="宋体"/>
          <w:color w:val="auto"/>
          <w:sz w:val="24"/>
          <w:highlight w:val="none"/>
        </w:rPr>
      </w:pPr>
      <w:r>
        <w:rPr>
          <w:rFonts w:hint="eastAsia" w:ascii="宋体" w:hAnsi="宋体"/>
          <w:color w:val="auto"/>
          <w:sz w:val="24"/>
          <w:highlight w:val="none"/>
        </w:rPr>
        <w:t>投标人（盖公章）：</w:t>
      </w:r>
    </w:p>
    <w:p w14:paraId="329EEDD7">
      <w:pPr>
        <w:snapToGrid w:val="0"/>
        <w:spacing w:beforeLines="50" w:after="50" w:line="360" w:lineRule="auto"/>
        <w:ind w:right="480" w:firstLine="240" w:firstLineChars="100"/>
        <w:jc w:val="right"/>
        <w:rPr>
          <w:rFonts w:ascii="宋体" w:hAnsi="宋体"/>
          <w:color w:val="auto"/>
          <w:sz w:val="24"/>
          <w:highlight w:val="none"/>
        </w:rPr>
      </w:pPr>
      <w:r>
        <w:rPr>
          <w:rFonts w:hint="eastAsia" w:ascii="宋体" w:hAnsi="宋体"/>
          <w:color w:val="auto"/>
          <w:sz w:val="24"/>
          <w:highlight w:val="none"/>
        </w:rPr>
        <w:t xml:space="preserve"> 年    月    日</w:t>
      </w:r>
    </w:p>
    <w:p w14:paraId="51C702F1">
      <w:pPr>
        <w:snapToGrid w:val="0"/>
        <w:spacing w:before="50" w:afterLines="50"/>
        <w:jc w:val="left"/>
        <w:rPr>
          <w:rFonts w:ascii="宋体" w:hAnsi="宋体"/>
          <w:color w:val="auto"/>
          <w:szCs w:val="21"/>
          <w:highlight w:val="none"/>
        </w:rPr>
      </w:pPr>
    </w:p>
    <w:p w14:paraId="3123ED5B">
      <w:pPr>
        <w:snapToGrid w:val="0"/>
        <w:spacing w:beforeLines="50" w:after="50"/>
        <w:jc w:val="left"/>
        <w:rPr>
          <w:rFonts w:ascii="宋体" w:hAnsi="宋体"/>
          <w:b/>
          <w:color w:val="auto"/>
          <w:sz w:val="24"/>
          <w:szCs w:val="20"/>
          <w:highlight w:val="none"/>
        </w:rPr>
      </w:pPr>
    </w:p>
    <w:p w14:paraId="103CBF45">
      <w:pPr>
        <w:numPr>
          <w:ilvl w:val="2"/>
          <w:numId w:val="4"/>
        </w:numPr>
        <w:snapToGrid w:val="0"/>
        <w:spacing w:beforeLines="50" w:after="50"/>
        <w:ind w:left="0" w:firstLine="0"/>
        <w:jc w:val="left"/>
        <w:rPr>
          <w:rFonts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投标声明格式</w:t>
      </w:r>
    </w:p>
    <w:p w14:paraId="689F46A6">
      <w:pPr>
        <w:snapToGrid w:val="0"/>
        <w:spacing w:before="50" w:afterLines="50"/>
        <w:jc w:val="left"/>
        <w:rPr>
          <w:rFonts w:ascii="宋体" w:hAnsi="宋体"/>
          <w:color w:val="auto"/>
          <w:highlight w:val="none"/>
        </w:rPr>
      </w:pPr>
    </w:p>
    <w:p w14:paraId="09AB4918">
      <w:pPr>
        <w:snapToGrid w:val="0"/>
        <w:spacing w:before="50" w:afterLines="50"/>
        <w:jc w:val="center"/>
        <w:rPr>
          <w:rFonts w:ascii="宋体" w:hAnsi="宋体" w:cs="方正小标宋简体"/>
          <w:bCs/>
          <w:color w:val="auto"/>
          <w:sz w:val="44"/>
          <w:szCs w:val="44"/>
          <w:highlight w:val="none"/>
        </w:rPr>
      </w:pPr>
      <w:r>
        <w:rPr>
          <w:rFonts w:hint="eastAsia" w:ascii="宋体" w:hAnsi="宋体" w:cs="方正小标宋简体"/>
          <w:bCs/>
          <w:color w:val="auto"/>
          <w:sz w:val="44"/>
          <w:szCs w:val="44"/>
          <w:highlight w:val="none"/>
        </w:rPr>
        <w:t>投标声明</w:t>
      </w:r>
    </w:p>
    <w:p w14:paraId="6D4D8C99">
      <w:pPr>
        <w:snapToGrid w:val="0"/>
        <w:spacing w:before="50" w:afterLines="50"/>
        <w:jc w:val="center"/>
        <w:rPr>
          <w:rFonts w:ascii="宋体" w:hAnsi="宋体" w:cs="方正小标宋简体"/>
          <w:bCs/>
          <w:color w:val="auto"/>
          <w:sz w:val="44"/>
          <w:szCs w:val="44"/>
          <w:highlight w:val="none"/>
        </w:rPr>
      </w:pPr>
    </w:p>
    <w:p w14:paraId="07A081A7">
      <w:pPr>
        <w:spacing w:line="400" w:lineRule="exact"/>
        <w:contextualSpacing/>
        <w:jc w:val="left"/>
        <w:rPr>
          <w:rFonts w:ascii="宋体" w:hAnsi="宋体"/>
          <w:color w:val="auto"/>
          <w:sz w:val="24"/>
          <w:highlight w:val="none"/>
        </w:rPr>
      </w:pPr>
      <w:r>
        <w:rPr>
          <w:rFonts w:hint="eastAsia" w:ascii="宋体" w:hAnsi="宋体"/>
          <w:color w:val="auto"/>
          <w:sz w:val="24"/>
          <w:highlight w:val="none"/>
        </w:rPr>
        <w:t>（采购人名称）：</w:t>
      </w:r>
    </w:p>
    <w:p w14:paraId="2B73FFAF">
      <w:pPr>
        <w:spacing w:line="400" w:lineRule="exact"/>
        <w:ind w:firstLine="523" w:firstLineChars="218"/>
        <w:contextualSpacing/>
        <w:jc w:val="left"/>
        <w:rPr>
          <w:rFonts w:ascii="宋体" w:hAnsi="宋体"/>
          <w:color w:val="auto"/>
          <w:sz w:val="24"/>
          <w:highlight w:val="none"/>
        </w:rPr>
      </w:pPr>
      <w:r>
        <w:rPr>
          <w:rFonts w:hint="eastAsia" w:ascii="宋体" w:hAnsi="宋体"/>
          <w:color w:val="auto"/>
          <w:sz w:val="24"/>
          <w:highlight w:val="none"/>
        </w:rPr>
        <w:t>我方参加贵单位组织项目（项目编号：）的政府采购活动。我方在此郑重声明：</w:t>
      </w:r>
    </w:p>
    <w:p w14:paraId="5B20755E">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C84EED9">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2.我方不是为本次采购项目提供整体设计、规范编制或者项目管理、监理、检测等服务的供应商。</w:t>
      </w:r>
    </w:p>
    <w:p w14:paraId="1308E113">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12EC0D22">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（一）具有独立承担民事责任的能力；</w:t>
      </w:r>
    </w:p>
    <w:p w14:paraId="2226CA29">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（二）具有良好的商业信誉和健全的财务会计制度；</w:t>
      </w:r>
    </w:p>
    <w:p w14:paraId="7F9A912F">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（三）具有履行合同所必需的设备和专业技术能力；</w:t>
      </w:r>
    </w:p>
    <w:p w14:paraId="68DB0F96">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（四）有依法缴纳税收和社会保障资金的良好记录；</w:t>
      </w:r>
    </w:p>
    <w:p w14:paraId="73F22B68">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12F98847">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（六）法律、行政法规规定的其他条件。</w:t>
      </w:r>
    </w:p>
    <w:p w14:paraId="6F25954E">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0587F7E5">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特此承诺。</w:t>
      </w:r>
    </w:p>
    <w:p w14:paraId="36BD4427">
      <w:pPr>
        <w:spacing w:line="400" w:lineRule="exact"/>
        <w:contextualSpacing/>
        <w:jc w:val="left"/>
        <w:rPr>
          <w:rFonts w:ascii="宋体" w:hAnsi="宋体"/>
          <w:b/>
          <w:color w:val="auto"/>
          <w:sz w:val="24"/>
          <w:highlight w:val="none"/>
        </w:rPr>
      </w:pPr>
      <w:r>
        <w:rPr>
          <w:rFonts w:hint="eastAsia" w:ascii="宋体" w:hAnsi="宋体"/>
          <w:b/>
          <w:color w:val="auto"/>
          <w:sz w:val="24"/>
          <w:highlight w:val="none"/>
        </w:rPr>
        <w:t xml:space="preserve">    注：如为联合体投标，盖章处须加盖联合体各方公章并由联合体各方法定代表人分别签字，否则投标无效。</w:t>
      </w:r>
    </w:p>
    <w:p w14:paraId="1A5CFF0E">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法定代表人（签字或者盖章）：</w:t>
      </w:r>
    </w:p>
    <w:p w14:paraId="271C7156">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投标人（盖公章）：</w:t>
      </w:r>
    </w:p>
    <w:p w14:paraId="3D75A2E1">
      <w:pPr>
        <w:spacing w:line="400" w:lineRule="exact"/>
        <w:contextualSpacing/>
        <w:jc w:val="left"/>
        <w:rPr>
          <w:rFonts w:ascii="宋体" w:hAnsi="宋体"/>
          <w:color w:val="auto"/>
          <w:highlight w:val="none"/>
        </w:rPr>
      </w:pPr>
      <w:r>
        <w:rPr>
          <w:rFonts w:hint="eastAsia" w:ascii="宋体" w:hAnsi="宋体"/>
          <w:color w:val="auto"/>
          <w:sz w:val="24"/>
          <w:highlight w:val="none"/>
        </w:rPr>
        <w:t xml:space="preserve">                                                  年    月    日</w:t>
      </w:r>
    </w:p>
    <w:p w14:paraId="01D38E1B">
      <w:pPr>
        <w:rPr>
          <w:rFonts w:ascii="宋体" w:hAnsi="宋体"/>
          <w:b/>
          <w:color w:val="auto"/>
          <w:sz w:val="28"/>
          <w:szCs w:val="28"/>
          <w:highlight w:val="none"/>
        </w:rPr>
      </w:pPr>
      <w:bookmarkStart w:id="158" w:name="_Toc19686838"/>
      <w:r>
        <w:rPr>
          <w:rFonts w:ascii="宋体" w:hAnsi="宋体"/>
          <w:b/>
          <w:color w:val="auto"/>
          <w:sz w:val="28"/>
          <w:szCs w:val="28"/>
          <w:highlight w:val="none"/>
        </w:rPr>
        <w:br w:type="page"/>
      </w:r>
      <w:r>
        <w:rPr>
          <w:rFonts w:hint="eastAsia" w:ascii="宋体" w:hAnsi="宋体"/>
          <w:b/>
          <w:color w:val="auto"/>
          <w:sz w:val="28"/>
          <w:szCs w:val="28"/>
          <w:highlight w:val="none"/>
        </w:rPr>
        <w:t>三、商务文件格式</w:t>
      </w:r>
      <w:bookmarkEnd w:id="158"/>
    </w:p>
    <w:p w14:paraId="49CE5C1E">
      <w:pPr>
        <w:snapToGrid w:val="0"/>
        <w:spacing w:beforeLines="50" w:after="50" w:line="360" w:lineRule="auto"/>
        <w:jc w:val="left"/>
        <w:rPr>
          <w:rFonts w:ascii="宋体" w:hAnsi="宋体"/>
          <w:b/>
          <w:color w:val="auto"/>
          <w:sz w:val="24"/>
          <w:highlight w:val="none"/>
        </w:rPr>
      </w:pPr>
      <w:r>
        <w:rPr>
          <w:rFonts w:hint="eastAsia" w:ascii="宋体" w:hAnsi="宋体"/>
          <w:b/>
          <w:color w:val="auto"/>
          <w:sz w:val="24"/>
          <w:highlight w:val="none"/>
        </w:rPr>
        <w:t xml:space="preserve">1.商务文件封面格式： </w:t>
      </w:r>
    </w:p>
    <w:p w14:paraId="42EFBA15">
      <w:pPr>
        <w:snapToGrid w:val="0"/>
        <w:spacing w:beforeLines="50" w:after="50"/>
        <w:rPr>
          <w:rFonts w:ascii="宋体" w:hAnsi="宋体"/>
          <w:bCs/>
          <w:color w:val="auto"/>
          <w:sz w:val="32"/>
          <w:szCs w:val="20"/>
          <w:highlight w:val="none"/>
        </w:rPr>
      </w:pPr>
    </w:p>
    <w:p w14:paraId="5E2A1D08">
      <w:pPr>
        <w:snapToGrid w:val="0"/>
        <w:spacing w:beforeLines="50" w:after="50"/>
        <w:rPr>
          <w:rFonts w:ascii="宋体" w:hAnsi="宋体"/>
          <w:color w:val="auto"/>
          <w:sz w:val="24"/>
          <w:szCs w:val="20"/>
          <w:highlight w:val="none"/>
        </w:rPr>
      </w:pPr>
    </w:p>
    <w:p w14:paraId="4358F8DA">
      <w:pPr>
        <w:snapToGrid w:val="0"/>
        <w:spacing w:beforeLines="50" w:after="50"/>
        <w:rPr>
          <w:rFonts w:ascii="宋体" w:hAnsi="宋体"/>
          <w:color w:val="auto"/>
          <w:sz w:val="24"/>
          <w:szCs w:val="20"/>
          <w:highlight w:val="none"/>
        </w:rPr>
      </w:pPr>
    </w:p>
    <w:p w14:paraId="26886BB0">
      <w:pPr>
        <w:snapToGrid w:val="0"/>
        <w:spacing w:beforeLines="50" w:after="50"/>
        <w:rPr>
          <w:rFonts w:ascii="宋体" w:hAnsi="宋体"/>
          <w:color w:val="auto"/>
          <w:sz w:val="24"/>
          <w:szCs w:val="20"/>
          <w:highlight w:val="none"/>
        </w:rPr>
      </w:pPr>
    </w:p>
    <w:p w14:paraId="6D02A81E">
      <w:pPr>
        <w:snapToGrid w:val="0"/>
        <w:spacing w:beforeLines="50" w:after="50"/>
        <w:jc w:val="center"/>
        <w:rPr>
          <w:rFonts w:ascii="宋体" w:hAnsi="宋体" w:cs="方正小标宋简体"/>
          <w:color w:val="auto"/>
          <w:sz w:val="84"/>
          <w:szCs w:val="84"/>
          <w:highlight w:val="none"/>
        </w:rPr>
      </w:pPr>
      <w:r>
        <w:rPr>
          <w:rFonts w:hint="eastAsia" w:ascii="宋体" w:hAnsi="宋体" w:cs="方正小标宋简体"/>
          <w:color w:val="auto"/>
          <w:sz w:val="84"/>
          <w:szCs w:val="84"/>
          <w:highlight w:val="none"/>
        </w:rPr>
        <w:t>投  标  文  件</w:t>
      </w:r>
    </w:p>
    <w:p w14:paraId="62BEBF46">
      <w:pPr>
        <w:snapToGrid w:val="0"/>
        <w:spacing w:beforeLines="50" w:after="50"/>
        <w:rPr>
          <w:rFonts w:ascii="宋体" w:hAnsi="宋体"/>
          <w:color w:val="auto"/>
          <w:sz w:val="24"/>
          <w:szCs w:val="20"/>
          <w:highlight w:val="none"/>
        </w:rPr>
      </w:pPr>
    </w:p>
    <w:p w14:paraId="19016987">
      <w:pPr>
        <w:snapToGrid w:val="0"/>
        <w:spacing w:beforeLines="50" w:after="50"/>
        <w:rPr>
          <w:rFonts w:ascii="宋体" w:hAnsi="宋体"/>
          <w:color w:val="auto"/>
          <w:sz w:val="24"/>
          <w:szCs w:val="20"/>
          <w:highlight w:val="none"/>
        </w:rPr>
      </w:pPr>
    </w:p>
    <w:p w14:paraId="6ED2B258">
      <w:pPr>
        <w:snapToGrid w:val="0"/>
        <w:spacing w:beforeLines="50" w:after="50"/>
        <w:jc w:val="center"/>
        <w:rPr>
          <w:rFonts w:ascii="宋体" w:hAnsi="宋体" w:cs="方正小标宋简体"/>
          <w:bCs/>
          <w:color w:val="auto"/>
          <w:sz w:val="32"/>
          <w:szCs w:val="32"/>
          <w:highlight w:val="none"/>
        </w:rPr>
      </w:pPr>
      <w:r>
        <w:rPr>
          <w:rFonts w:hint="eastAsia" w:ascii="宋体" w:hAnsi="宋体" w:cs="方正小标宋简体"/>
          <w:bCs/>
          <w:color w:val="auto"/>
          <w:sz w:val="32"/>
          <w:szCs w:val="32"/>
          <w:highlight w:val="none"/>
        </w:rPr>
        <w:t>商  务  文  件</w:t>
      </w:r>
    </w:p>
    <w:p w14:paraId="58E07F6D">
      <w:pPr>
        <w:snapToGrid w:val="0"/>
        <w:spacing w:beforeLines="50" w:after="50"/>
        <w:rPr>
          <w:rFonts w:ascii="宋体" w:hAnsi="宋体"/>
          <w:bCs/>
          <w:color w:val="auto"/>
          <w:sz w:val="24"/>
          <w:szCs w:val="20"/>
          <w:highlight w:val="none"/>
        </w:rPr>
      </w:pPr>
    </w:p>
    <w:p w14:paraId="2F0F22D2">
      <w:pPr>
        <w:snapToGrid w:val="0"/>
        <w:spacing w:beforeLines="50" w:after="50"/>
        <w:ind w:firstLine="540" w:firstLineChars="225"/>
        <w:rPr>
          <w:rFonts w:ascii="宋体" w:hAnsi="宋体"/>
          <w:bCs/>
          <w:color w:val="auto"/>
          <w:sz w:val="24"/>
          <w:highlight w:val="none"/>
        </w:rPr>
      </w:pPr>
    </w:p>
    <w:p w14:paraId="61358B82">
      <w:pPr>
        <w:snapToGrid w:val="0"/>
        <w:spacing w:beforeLines="50" w:after="50"/>
        <w:ind w:firstLine="540" w:firstLineChars="225"/>
        <w:rPr>
          <w:rFonts w:ascii="宋体" w:hAnsi="宋体"/>
          <w:bCs/>
          <w:color w:val="auto"/>
          <w:sz w:val="24"/>
          <w:highlight w:val="none"/>
        </w:rPr>
      </w:pPr>
    </w:p>
    <w:p w14:paraId="08176AE2">
      <w:pPr>
        <w:snapToGrid w:val="0"/>
        <w:spacing w:beforeLines="50" w:after="50"/>
        <w:ind w:firstLine="540" w:firstLineChars="225"/>
        <w:rPr>
          <w:rFonts w:ascii="宋体" w:hAnsi="宋体"/>
          <w:bCs/>
          <w:color w:val="auto"/>
          <w:sz w:val="24"/>
          <w:highlight w:val="none"/>
        </w:rPr>
      </w:pPr>
    </w:p>
    <w:p w14:paraId="00B72B01">
      <w:pPr>
        <w:snapToGrid w:val="0"/>
        <w:spacing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项目名称：</w:t>
      </w:r>
    </w:p>
    <w:p w14:paraId="1D989FBE">
      <w:pPr>
        <w:snapToGrid w:val="0"/>
        <w:spacing w:beforeLines="50" w:after="50"/>
        <w:ind w:firstLine="540" w:firstLineChars="225"/>
        <w:rPr>
          <w:rFonts w:ascii="宋体" w:hAnsi="宋体"/>
          <w:bCs/>
          <w:color w:val="auto"/>
          <w:sz w:val="24"/>
          <w:szCs w:val="20"/>
          <w:highlight w:val="none"/>
        </w:rPr>
      </w:pPr>
    </w:p>
    <w:p w14:paraId="52445E55">
      <w:pPr>
        <w:snapToGrid w:val="0"/>
        <w:spacing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项目编号：</w:t>
      </w:r>
    </w:p>
    <w:p w14:paraId="338938C4">
      <w:pPr>
        <w:snapToGrid w:val="0"/>
        <w:spacing w:beforeLines="50" w:after="50"/>
        <w:ind w:firstLine="540" w:firstLineChars="225"/>
        <w:rPr>
          <w:rFonts w:ascii="宋体" w:hAnsi="宋体"/>
          <w:bCs/>
          <w:color w:val="auto"/>
          <w:sz w:val="24"/>
          <w:szCs w:val="20"/>
          <w:highlight w:val="none"/>
        </w:rPr>
      </w:pPr>
    </w:p>
    <w:p w14:paraId="0F69642E">
      <w:pPr>
        <w:snapToGrid w:val="0"/>
        <w:spacing w:beforeLines="50" w:after="50"/>
        <w:ind w:firstLine="540" w:firstLineChars="225"/>
        <w:rPr>
          <w:rFonts w:ascii="宋体" w:hAnsi="宋体"/>
          <w:bCs/>
          <w:color w:val="auto"/>
          <w:sz w:val="24"/>
          <w:highlight w:val="none"/>
        </w:rPr>
      </w:pPr>
      <w:r>
        <w:rPr>
          <w:rFonts w:hint="eastAsia" w:ascii="宋体" w:hAnsi="宋体"/>
          <w:bCs/>
          <w:color w:val="auto"/>
          <w:sz w:val="24"/>
          <w:highlight w:val="none"/>
        </w:rPr>
        <w:t>所投分标：</w:t>
      </w:r>
    </w:p>
    <w:p w14:paraId="6B9DC6CA">
      <w:pPr>
        <w:snapToGrid w:val="0"/>
        <w:spacing w:beforeLines="50" w:after="50"/>
        <w:ind w:firstLine="540" w:firstLineChars="225"/>
        <w:rPr>
          <w:rFonts w:ascii="宋体" w:hAnsi="宋体"/>
          <w:bCs/>
          <w:color w:val="auto"/>
          <w:sz w:val="24"/>
          <w:szCs w:val="20"/>
          <w:highlight w:val="none"/>
        </w:rPr>
      </w:pPr>
    </w:p>
    <w:p w14:paraId="4ACB9E7E">
      <w:pPr>
        <w:pStyle w:val="14"/>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投标人名称：</w:t>
      </w:r>
    </w:p>
    <w:p w14:paraId="67F25476">
      <w:pPr>
        <w:pStyle w:val="14"/>
        <w:snapToGrid w:val="0"/>
        <w:spacing w:before="50" w:after="50"/>
        <w:ind w:firstLine="540" w:firstLineChars="225"/>
        <w:rPr>
          <w:rFonts w:ascii="宋体" w:hAnsi="宋体"/>
          <w:bCs/>
          <w:color w:val="auto"/>
          <w:sz w:val="24"/>
          <w:szCs w:val="24"/>
          <w:highlight w:val="none"/>
        </w:rPr>
      </w:pPr>
    </w:p>
    <w:p w14:paraId="46B77133">
      <w:pPr>
        <w:pStyle w:val="14"/>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投标人地址：</w:t>
      </w:r>
    </w:p>
    <w:p w14:paraId="26A3949A">
      <w:pPr>
        <w:pStyle w:val="14"/>
        <w:snapToGrid w:val="0"/>
        <w:spacing w:before="50" w:after="50"/>
        <w:ind w:firstLine="960" w:firstLineChars="400"/>
        <w:rPr>
          <w:rFonts w:ascii="宋体" w:hAnsi="宋体"/>
          <w:bCs/>
          <w:color w:val="auto"/>
          <w:sz w:val="24"/>
          <w:szCs w:val="24"/>
          <w:highlight w:val="none"/>
        </w:rPr>
      </w:pPr>
    </w:p>
    <w:p w14:paraId="510B1AC7">
      <w:pPr>
        <w:snapToGrid w:val="0"/>
        <w:spacing w:beforeLines="50" w:after="50"/>
        <w:ind w:firstLine="645"/>
        <w:rPr>
          <w:rFonts w:ascii="宋体" w:hAnsi="宋体"/>
          <w:color w:val="auto"/>
          <w:sz w:val="24"/>
          <w:highlight w:val="none"/>
        </w:rPr>
      </w:pPr>
      <w:r>
        <w:rPr>
          <w:rFonts w:hint="eastAsia" w:ascii="宋体" w:hAnsi="宋体"/>
          <w:color w:val="auto"/>
          <w:sz w:val="24"/>
          <w:highlight w:val="none"/>
        </w:rPr>
        <w:t xml:space="preserve">                        年  月  日</w:t>
      </w:r>
    </w:p>
    <w:p w14:paraId="3DBA395B">
      <w:pPr>
        <w:snapToGrid w:val="0"/>
        <w:spacing w:beforeLines="50" w:after="50"/>
        <w:rPr>
          <w:rFonts w:ascii="宋体" w:hAnsi="宋体"/>
          <w:color w:val="auto"/>
          <w:sz w:val="24"/>
          <w:szCs w:val="20"/>
          <w:highlight w:val="none"/>
        </w:rPr>
      </w:pPr>
    </w:p>
    <w:p w14:paraId="395E367E">
      <w:pPr>
        <w:snapToGrid w:val="0"/>
        <w:spacing w:line="360" w:lineRule="auto"/>
        <w:jc w:val="left"/>
        <w:rPr>
          <w:rFonts w:ascii="宋体" w:hAnsi="宋体"/>
          <w:b/>
          <w:bCs/>
          <w:color w:val="auto"/>
          <w:sz w:val="28"/>
          <w:szCs w:val="28"/>
          <w:highlight w:val="none"/>
        </w:rPr>
      </w:pPr>
      <w:r>
        <w:rPr>
          <w:rFonts w:ascii="宋体" w:hAnsi="宋体"/>
          <w:color w:val="auto"/>
          <w:sz w:val="24"/>
          <w:szCs w:val="20"/>
          <w:highlight w:val="none"/>
        </w:rPr>
        <w:br w:type="page"/>
      </w:r>
      <w:r>
        <w:rPr>
          <w:rFonts w:hint="eastAsia" w:ascii="宋体" w:hAnsi="宋体"/>
          <w:b/>
          <w:bCs/>
          <w:color w:val="auto"/>
          <w:sz w:val="24"/>
          <w:highlight w:val="none"/>
        </w:rPr>
        <w:t>2.商务文件目录</w:t>
      </w:r>
    </w:p>
    <w:p w14:paraId="051DD547">
      <w:pPr>
        <w:snapToGrid w:val="0"/>
        <w:spacing w:before="50" w:afterLines="50" w:line="360" w:lineRule="auto"/>
        <w:ind w:firstLine="480" w:firstLineChars="200"/>
        <w:jc w:val="left"/>
        <w:rPr>
          <w:rFonts w:ascii="宋体" w:hAnsi="宋体"/>
          <w:b/>
          <w:bCs/>
          <w:color w:val="auto"/>
          <w:sz w:val="32"/>
          <w:szCs w:val="32"/>
          <w:highlight w:val="none"/>
        </w:rPr>
      </w:pPr>
      <w:r>
        <w:rPr>
          <w:rFonts w:hint="eastAsia" w:ascii="宋体" w:hAnsi="宋体"/>
          <w:color w:val="auto"/>
          <w:sz w:val="24"/>
          <w:highlight w:val="none"/>
        </w:rPr>
        <w:t>根据招标文件规定及投标人提供的材料自行编写目录。</w:t>
      </w:r>
    </w:p>
    <w:p w14:paraId="22296C1C">
      <w:pPr>
        <w:snapToGrid w:val="0"/>
        <w:spacing w:before="50" w:afterLines="50"/>
        <w:jc w:val="left"/>
        <w:rPr>
          <w:rFonts w:ascii="宋体" w:hAnsi="宋体"/>
          <w:color w:val="auto"/>
          <w:highlight w:val="none"/>
        </w:rPr>
      </w:pPr>
    </w:p>
    <w:p w14:paraId="01B5961B">
      <w:pPr>
        <w:snapToGrid w:val="0"/>
        <w:spacing w:beforeLines="50" w:after="50"/>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3.投标人参加本项目无围标串标行为的承诺</w:t>
      </w:r>
    </w:p>
    <w:p w14:paraId="33862100">
      <w:pPr>
        <w:snapToGrid w:val="0"/>
        <w:spacing w:beforeLines="50" w:after="50"/>
        <w:jc w:val="left"/>
        <w:rPr>
          <w:rFonts w:ascii="宋体" w:hAnsi="宋体"/>
          <w:b/>
          <w:color w:val="auto"/>
          <w:sz w:val="24"/>
          <w:highlight w:val="none"/>
        </w:rPr>
      </w:pPr>
    </w:p>
    <w:p w14:paraId="45F309F6">
      <w:pPr>
        <w:spacing w:line="360" w:lineRule="auto"/>
        <w:ind w:left="420"/>
        <w:contextualSpacing/>
        <w:jc w:val="center"/>
        <w:rPr>
          <w:rFonts w:ascii="宋体" w:hAnsi="宋体"/>
          <w:b/>
          <w:color w:val="auto"/>
          <w:sz w:val="24"/>
          <w:highlight w:val="none"/>
        </w:rPr>
      </w:pPr>
      <w:r>
        <w:rPr>
          <w:rFonts w:hint="eastAsia" w:ascii="宋体" w:hAnsi="宋体" w:cs="方正小标宋简体"/>
          <w:bCs/>
          <w:color w:val="auto"/>
          <w:spacing w:val="-11"/>
          <w:sz w:val="44"/>
          <w:szCs w:val="44"/>
          <w:highlight w:val="none"/>
        </w:rPr>
        <w:t>投标人参加本项目无围标串标行为的承诺函</w:t>
      </w:r>
    </w:p>
    <w:p w14:paraId="50703308">
      <w:pPr>
        <w:spacing w:line="440" w:lineRule="exact"/>
        <w:contextualSpacing/>
        <w:jc w:val="left"/>
        <w:rPr>
          <w:rFonts w:ascii="宋体" w:hAnsi="宋体"/>
          <w:b/>
          <w:color w:val="auto"/>
          <w:sz w:val="24"/>
          <w:highlight w:val="none"/>
        </w:rPr>
      </w:pPr>
      <w:r>
        <w:rPr>
          <w:rFonts w:hint="eastAsia" w:ascii="宋体" w:hAnsi="宋体"/>
          <w:b/>
          <w:color w:val="auto"/>
          <w:sz w:val="24"/>
          <w:highlight w:val="none"/>
        </w:rPr>
        <w:t>一、我方承诺无下列相互串通投标的情形：</w:t>
      </w:r>
    </w:p>
    <w:p w14:paraId="27DE8191">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1.不同投标人的投标文件由同一单位或者个人编制；</w:t>
      </w:r>
    </w:p>
    <w:p w14:paraId="1E40517A">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2.不同投标人委托同一单位或者个人办理投标事宜；</w:t>
      </w:r>
    </w:p>
    <w:p w14:paraId="4EB9D447">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0298651A">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54F0DC4B">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5.不同投标人的投标文件相互混装；</w:t>
      </w:r>
    </w:p>
    <w:p w14:paraId="529AE867">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6.不同投标人的投标保证金从同一单位或者个人账户转出。</w:t>
      </w:r>
    </w:p>
    <w:p w14:paraId="081DD99D">
      <w:pPr>
        <w:spacing w:line="440" w:lineRule="exact"/>
        <w:contextualSpacing/>
        <w:jc w:val="left"/>
        <w:rPr>
          <w:rFonts w:ascii="宋体" w:hAnsi="宋体"/>
          <w:color w:val="auto"/>
          <w:sz w:val="24"/>
          <w:highlight w:val="none"/>
        </w:rPr>
      </w:pPr>
      <w:r>
        <w:rPr>
          <w:rFonts w:hint="eastAsia" w:ascii="宋体" w:hAnsi="宋体"/>
          <w:b/>
          <w:color w:val="auto"/>
          <w:sz w:val="24"/>
          <w:highlight w:val="none"/>
        </w:rPr>
        <w:t>二、我方承诺无下列恶意串通的情形：</w:t>
      </w:r>
    </w:p>
    <w:p w14:paraId="6F36391A">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1.投标人直接或者间接从采购人或者采购代理机构处获得其他投标人的相关信息并修改其投标文件或者响应文件；</w:t>
      </w:r>
    </w:p>
    <w:p w14:paraId="7951DF2D">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2.投标人按照采购人或者采购代理机构的授意撤换、修改投标文件或者响应文件；</w:t>
      </w:r>
    </w:p>
    <w:p w14:paraId="475299B3">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3.投标人之间协商报价、技术方案等投标文件或者响应文件的实质性内容；</w:t>
      </w:r>
    </w:p>
    <w:p w14:paraId="70338E28">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2B754774">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5B6C9A2C">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44403A9C">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33B04CBB">
      <w:pPr>
        <w:spacing w:line="440" w:lineRule="exact"/>
        <w:ind w:firstLine="472" w:firstLineChars="196"/>
        <w:contextualSpacing/>
        <w:jc w:val="left"/>
        <w:rPr>
          <w:rFonts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3C56BF99">
      <w:pPr>
        <w:pStyle w:val="25"/>
        <w:spacing w:line="440" w:lineRule="exact"/>
        <w:ind w:firstLine="6840" w:firstLineChars="2850"/>
        <w:contextualSpacing/>
        <w:rPr>
          <w:rFonts w:hAnsi="宋体"/>
          <w:color w:val="auto"/>
          <w:sz w:val="24"/>
          <w:szCs w:val="24"/>
          <w:highlight w:val="none"/>
        </w:rPr>
      </w:pPr>
    </w:p>
    <w:p w14:paraId="26D4FBAB">
      <w:pPr>
        <w:pStyle w:val="25"/>
        <w:spacing w:line="440" w:lineRule="exact"/>
        <w:contextualSpacing/>
        <w:jc w:val="center"/>
        <w:rPr>
          <w:rFonts w:hAnsi="宋体"/>
          <w:color w:val="auto"/>
          <w:sz w:val="24"/>
          <w:szCs w:val="24"/>
          <w:highlight w:val="none"/>
        </w:rPr>
      </w:pPr>
      <w:r>
        <w:rPr>
          <w:rFonts w:hint="eastAsia" w:hAnsi="宋体"/>
          <w:color w:val="auto"/>
          <w:sz w:val="24"/>
          <w:szCs w:val="24"/>
          <w:highlight w:val="none"/>
        </w:rPr>
        <w:t>投标人名称（公章）</w:t>
      </w:r>
    </w:p>
    <w:p w14:paraId="3CBF4E33">
      <w:pPr>
        <w:pStyle w:val="25"/>
        <w:spacing w:line="440" w:lineRule="exact"/>
        <w:contextualSpacing/>
        <w:rPr>
          <w:rFonts w:hAnsi="宋体"/>
          <w:color w:val="auto"/>
          <w:sz w:val="24"/>
          <w:highlight w:val="none"/>
        </w:rPr>
      </w:pPr>
      <w:r>
        <w:rPr>
          <w:rFonts w:hint="eastAsia" w:hAnsi="宋体"/>
          <w:color w:val="auto"/>
          <w:sz w:val="24"/>
          <w:highlight w:val="none"/>
        </w:rPr>
        <w:t>年月日</w:t>
      </w:r>
    </w:p>
    <w:p w14:paraId="0BC7106A">
      <w:pPr>
        <w:snapToGrid w:val="0"/>
        <w:spacing w:beforeLines="50" w:after="50"/>
        <w:jc w:val="left"/>
        <w:rPr>
          <w:rFonts w:ascii="宋体" w:hAnsi="宋体"/>
          <w:b/>
          <w:color w:val="auto"/>
          <w:sz w:val="24"/>
          <w:szCs w:val="20"/>
          <w:highlight w:val="none"/>
        </w:rPr>
      </w:pPr>
      <w:r>
        <w:rPr>
          <w:rFonts w:hint="eastAsia" w:ascii="宋体" w:hAnsi="宋体"/>
          <w:b/>
          <w:color w:val="auto"/>
          <w:sz w:val="24"/>
          <w:highlight w:val="none"/>
        </w:rPr>
        <w:t>4.法定代表人身份证明</w:t>
      </w:r>
    </w:p>
    <w:p w14:paraId="16F1549F">
      <w:pPr>
        <w:spacing w:beforeLines="100" w:afterLines="50"/>
        <w:ind w:left="540"/>
        <w:jc w:val="center"/>
        <w:rPr>
          <w:rFonts w:ascii="宋体" w:hAnsi="宋体"/>
          <w:b/>
          <w:color w:val="auto"/>
          <w:sz w:val="32"/>
          <w:szCs w:val="32"/>
          <w:highlight w:val="none"/>
        </w:rPr>
      </w:pPr>
    </w:p>
    <w:p w14:paraId="45F15AF1">
      <w:pPr>
        <w:spacing w:beforeLines="100" w:afterLines="50"/>
        <w:ind w:left="540"/>
        <w:jc w:val="center"/>
        <w:rPr>
          <w:rFonts w:ascii="宋体" w:hAnsi="宋体" w:cs="方正小标宋简体"/>
          <w:bCs/>
          <w:color w:val="auto"/>
          <w:sz w:val="44"/>
          <w:szCs w:val="44"/>
          <w:highlight w:val="none"/>
        </w:rPr>
      </w:pPr>
      <w:r>
        <w:rPr>
          <w:rFonts w:ascii="宋体" w:hAnsi="宋体" w:cs="方正小标宋简体"/>
          <w:bCs/>
          <w:color w:val="auto"/>
          <w:sz w:val="44"/>
          <w:szCs w:val="44"/>
          <w:highlight w:val="none"/>
        </w:rPr>
        <w:br w:type="page"/>
      </w:r>
      <w:r>
        <w:rPr>
          <w:rFonts w:hint="eastAsia" w:ascii="宋体" w:hAnsi="宋体" w:cs="方正小标宋简体"/>
          <w:bCs/>
          <w:color w:val="auto"/>
          <w:sz w:val="44"/>
          <w:szCs w:val="44"/>
          <w:highlight w:val="none"/>
        </w:rPr>
        <w:t>法定代表人身份证明</w:t>
      </w:r>
    </w:p>
    <w:p w14:paraId="51CA5651">
      <w:pPr>
        <w:spacing w:line="500" w:lineRule="exact"/>
        <w:ind w:left="540"/>
        <w:rPr>
          <w:rFonts w:ascii="宋体" w:hAnsi="宋体"/>
          <w:color w:val="auto"/>
          <w:sz w:val="24"/>
          <w:highlight w:val="none"/>
        </w:rPr>
      </w:pPr>
      <w:r>
        <w:rPr>
          <w:rFonts w:hint="eastAsia" w:ascii="宋体" w:hAnsi="宋体"/>
          <w:color w:val="auto"/>
          <w:sz w:val="24"/>
          <w:highlight w:val="none"/>
        </w:rPr>
        <w:t>投 标 人：</w:t>
      </w:r>
    </w:p>
    <w:p w14:paraId="77E59BF3">
      <w:pPr>
        <w:spacing w:line="500" w:lineRule="exact"/>
        <w:ind w:left="540"/>
        <w:rPr>
          <w:rFonts w:ascii="宋体" w:hAnsi="宋体"/>
          <w:color w:val="auto"/>
          <w:sz w:val="24"/>
          <w:highlight w:val="none"/>
        </w:rPr>
      </w:pPr>
      <w:r>
        <w:rPr>
          <w:rFonts w:hint="eastAsia" w:ascii="宋体" w:hAnsi="宋体"/>
          <w:color w:val="auto"/>
          <w:sz w:val="24"/>
          <w:highlight w:val="none"/>
        </w:rPr>
        <w:t>地    址：</w:t>
      </w:r>
    </w:p>
    <w:p w14:paraId="79AE2708">
      <w:pPr>
        <w:spacing w:line="500" w:lineRule="exact"/>
        <w:ind w:left="540"/>
        <w:rPr>
          <w:rFonts w:ascii="宋体" w:hAnsi="宋体"/>
          <w:color w:val="auto"/>
          <w:sz w:val="24"/>
          <w:highlight w:val="none"/>
        </w:rPr>
      </w:pPr>
      <w:r>
        <w:rPr>
          <w:rFonts w:hint="eastAsia" w:ascii="宋体" w:hAnsi="宋体"/>
          <w:color w:val="auto"/>
          <w:sz w:val="24"/>
          <w:highlight w:val="none"/>
        </w:rPr>
        <w:t>姓    名：性      别：</w:t>
      </w:r>
    </w:p>
    <w:p w14:paraId="741D99E9">
      <w:pPr>
        <w:spacing w:line="500" w:lineRule="exact"/>
        <w:ind w:left="540"/>
        <w:rPr>
          <w:rFonts w:ascii="宋体" w:hAnsi="宋体"/>
          <w:color w:val="auto"/>
          <w:sz w:val="24"/>
          <w:highlight w:val="none"/>
          <w:u w:val="single"/>
        </w:rPr>
      </w:pPr>
      <w:r>
        <w:rPr>
          <w:rFonts w:hint="eastAsia" w:ascii="宋体" w:hAnsi="宋体"/>
          <w:color w:val="auto"/>
          <w:sz w:val="24"/>
          <w:highlight w:val="none"/>
        </w:rPr>
        <w:t>年    龄：职      务：</w:t>
      </w:r>
    </w:p>
    <w:p w14:paraId="13F0B79F">
      <w:pPr>
        <w:spacing w:line="500" w:lineRule="exact"/>
        <w:ind w:left="540"/>
        <w:rPr>
          <w:rFonts w:ascii="宋体" w:hAnsi="宋体"/>
          <w:color w:val="auto"/>
          <w:sz w:val="24"/>
          <w:highlight w:val="none"/>
        </w:rPr>
      </w:pPr>
      <w:r>
        <w:rPr>
          <w:rFonts w:hint="eastAsia" w:ascii="宋体" w:hAnsi="宋体"/>
          <w:color w:val="auto"/>
          <w:sz w:val="24"/>
          <w:highlight w:val="none"/>
        </w:rPr>
        <w:t>身份证号码：</w:t>
      </w:r>
    </w:p>
    <w:p w14:paraId="7343B353">
      <w:pPr>
        <w:spacing w:line="500" w:lineRule="exact"/>
        <w:ind w:left="540"/>
        <w:rPr>
          <w:rFonts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3E0FB464">
      <w:pPr>
        <w:spacing w:line="500" w:lineRule="exact"/>
        <w:ind w:left="540"/>
        <w:rPr>
          <w:rFonts w:ascii="宋体" w:hAnsi="宋体"/>
          <w:color w:val="auto"/>
          <w:sz w:val="24"/>
          <w:highlight w:val="none"/>
        </w:rPr>
      </w:pPr>
      <w:r>
        <w:rPr>
          <w:rFonts w:hint="eastAsia" w:ascii="宋体" w:hAnsi="宋体"/>
          <w:color w:val="auto"/>
          <w:sz w:val="24"/>
          <w:highlight w:val="none"/>
        </w:rPr>
        <w:t>特此证明。</w:t>
      </w:r>
    </w:p>
    <w:p w14:paraId="3F6AE755">
      <w:pPr>
        <w:spacing w:line="500" w:lineRule="exact"/>
        <w:ind w:left="540"/>
        <w:rPr>
          <w:rFonts w:ascii="宋体" w:hAnsi="宋体"/>
          <w:color w:val="auto"/>
          <w:sz w:val="24"/>
          <w:highlight w:val="none"/>
        </w:rPr>
      </w:pPr>
    </w:p>
    <w:p w14:paraId="210DFE45">
      <w:pPr>
        <w:spacing w:line="500" w:lineRule="exact"/>
        <w:ind w:left="540"/>
        <w:rPr>
          <w:rFonts w:ascii="宋体" w:hAnsi="宋体"/>
          <w:color w:val="auto"/>
          <w:sz w:val="24"/>
          <w:highlight w:val="none"/>
        </w:rPr>
      </w:pPr>
    </w:p>
    <w:p w14:paraId="3161CBB2">
      <w:pPr>
        <w:spacing w:line="500" w:lineRule="exact"/>
        <w:ind w:left="540"/>
        <w:rPr>
          <w:rFonts w:ascii="宋体" w:hAnsi="宋体"/>
          <w:color w:val="auto"/>
          <w:sz w:val="24"/>
          <w:highlight w:val="none"/>
        </w:rPr>
      </w:pPr>
      <w:r>
        <w:rPr>
          <w:rFonts w:hint="eastAsia" w:ascii="宋体" w:hAnsi="宋体"/>
          <w:color w:val="auto"/>
          <w:sz w:val="24"/>
          <w:highlight w:val="none"/>
        </w:rPr>
        <w:t>附件：法定代表人有效身份证正反面复印件</w:t>
      </w:r>
    </w:p>
    <w:p w14:paraId="6A85EC5E">
      <w:pPr>
        <w:spacing w:line="500" w:lineRule="exact"/>
        <w:ind w:left="540"/>
        <w:rPr>
          <w:rFonts w:ascii="宋体" w:hAnsi="宋体"/>
          <w:color w:val="auto"/>
          <w:sz w:val="24"/>
          <w:highlight w:val="none"/>
        </w:rPr>
      </w:pPr>
    </w:p>
    <w:p w14:paraId="2DA5219E">
      <w:pPr>
        <w:spacing w:line="500" w:lineRule="exact"/>
        <w:ind w:left="540"/>
        <w:jc w:val="right"/>
        <w:rPr>
          <w:rFonts w:ascii="宋体" w:hAnsi="宋体"/>
          <w:color w:val="auto"/>
          <w:sz w:val="24"/>
          <w:highlight w:val="none"/>
        </w:rPr>
      </w:pPr>
      <w:r>
        <w:rPr>
          <w:rFonts w:hint="eastAsia" w:ascii="宋体" w:hAnsi="宋体"/>
          <w:color w:val="auto"/>
          <w:sz w:val="24"/>
          <w:highlight w:val="none"/>
        </w:rPr>
        <w:t>投标人名称（公章）</w:t>
      </w:r>
    </w:p>
    <w:p w14:paraId="359A7F3A">
      <w:pPr>
        <w:spacing w:line="500" w:lineRule="exact"/>
        <w:ind w:left="540"/>
        <w:jc w:val="right"/>
        <w:rPr>
          <w:rFonts w:ascii="宋体" w:hAnsi="宋体"/>
          <w:color w:val="auto"/>
          <w:sz w:val="24"/>
          <w:highlight w:val="none"/>
        </w:rPr>
      </w:pPr>
    </w:p>
    <w:p w14:paraId="1CEBFAB4">
      <w:pPr>
        <w:snapToGrid w:val="0"/>
        <w:spacing w:beforeLines="50" w:after="50"/>
        <w:ind w:left="540"/>
        <w:jc w:val="right"/>
        <w:rPr>
          <w:rFonts w:ascii="宋体" w:hAnsi="宋体"/>
          <w:color w:val="auto"/>
          <w:sz w:val="24"/>
          <w:highlight w:val="none"/>
        </w:rPr>
      </w:pPr>
      <w:r>
        <w:rPr>
          <w:rFonts w:hint="eastAsia" w:ascii="宋体" w:hAnsi="宋体"/>
          <w:color w:val="auto"/>
          <w:sz w:val="24"/>
          <w:highlight w:val="none"/>
        </w:rPr>
        <w:t>年月日</w:t>
      </w:r>
    </w:p>
    <w:p w14:paraId="3165AF03">
      <w:pPr>
        <w:snapToGrid w:val="0"/>
        <w:spacing w:beforeLines="50" w:after="50"/>
        <w:jc w:val="center"/>
        <w:rPr>
          <w:rFonts w:ascii="宋体" w:hAnsi="宋体"/>
          <w:b/>
          <w:color w:val="auto"/>
          <w:sz w:val="24"/>
          <w:highlight w:val="none"/>
        </w:rPr>
      </w:pPr>
    </w:p>
    <w:p w14:paraId="32FDA81A">
      <w:pPr>
        <w:snapToGrid w:val="0"/>
        <w:spacing w:beforeLines="50" w:after="50"/>
        <w:jc w:val="left"/>
        <w:rPr>
          <w:rFonts w:ascii="宋体" w:hAnsi="宋体"/>
          <w:b/>
          <w:color w:val="auto"/>
          <w:sz w:val="24"/>
          <w:szCs w:val="20"/>
          <w:highlight w:val="none"/>
        </w:rPr>
      </w:pPr>
      <w:r>
        <w:rPr>
          <w:rFonts w:hint="eastAsia" w:ascii="宋体" w:hAnsi="宋体"/>
          <w:color w:val="auto"/>
          <w:sz w:val="24"/>
          <w:highlight w:val="none"/>
        </w:rPr>
        <w:t>注：自然人投标的无需提供</w:t>
      </w:r>
    </w:p>
    <w:p w14:paraId="50414488">
      <w:pPr>
        <w:snapToGrid w:val="0"/>
        <w:spacing w:beforeLines="50" w:after="50"/>
        <w:jc w:val="left"/>
        <w:rPr>
          <w:rFonts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5.授权委托书格式</w:t>
      </w:r>
    </w:p>
    <w:p w14:paraId="0335B87E">
      <w:pPr>
        <w:snapToGrid w:val="0"/>
        <w:spacing w:beforeLines="50" w:after="50"/>
        <w:jc w:val="center"/>
        <w:rPr>
          <w:rFonts w:ascii="宋体" w:hAnsi="宋体"/>
          <w:b/>
          <w:color w:val="auto"/>
          <w:sz w:val="44"/>
          <w:szCs w:val="44"/>
          <w:highlight w:val="none"/>
        </w:rPr>
      </w:pPr>
    </w:p>
    <w:p w14:paraId="261E2242">
      <w:pPr>
        <w:spacing w:line="360" w:lineRule="auto"/>
        <w:contextualSpacing/>
        <w:jc w:val="center"/>
        <w:rPr>
          <w:rFonts w:ascii="宋体" w:hAnsi="宋体" w:cs="方正小标宋简体"/>
          <w:bCs/>
          <w:color w:val="auto"/>
          <w:sz w:val="44"/>
          <w:szCs w:val="44"/>
          <w:highlight w:val="none"/>
        </w:rPr>
      </w:pPr>
      <w:r>
        <w:rPr>
          <w:rFonts w:hint="eastAsia" w:ascii="宋体" w:hAnsi="宋体" w:cs="方正小标宋简体"/>
          <w:bCs/>
          <w:color w:val="auto"/>
          <w:sz w:val="44"/>
          <w:szCs w:val="44"/>
          <w:highlight w:val="none"/>
        </w:rPr>
        <w:t>授权委托书</w:t>
      </w:r>
    </w:p>
    <w:p w14:paraId="0D33B48B">
      <w:pPr>
        <w:spacing w:line="360" w:lineRule="auto"/>
        <w:contextualSpacing/>
        <w:jc w:val="center"/>
        <w:rPr>
          <w:rFonts w:ascii="宋体" w:hAnsi="宋体" w:cs="方正小标宋简体"/>
          <w:bCs/>
          <w:color w:val="auto"/>
          <w:sz w:val="32"/>
          <w:szCs w:val="32"/>
          <w:highlight w:val="none"/>
        </w:rPr>
      </w:pPr>
      <w:r>
        <w:rPr>
          <w:rFonts w:hint="eastAsia" w:ascii="宋体" w:hAnsi="宋体" w:cs="方正小标宋简体"/>
          <w:bCs/>
          <w:color w:val="auto"/>
          <w:sz w:val="32"/>
          <w:szCs w:val="32"/>
          <w:highlight w:val="none"/>
        </w:rPr>
        <w:t>（非联合体投标格式）</w:t>
      </w:r>
    </w:p>
    <w:p w14:paraId="17BA5BF4">
      <w:pPr>
        <w:spacing w:line="360" w:lineRule="auto"/>
        <w:contextualSpacing/>
        <w:jc w:val="center"/>
        <w:rPr>
          <w:rFonts w:ascii="宋体" w:hAnsi="宋体" w:cs="方正小标宋简体"/>
          <w:bCs/>
          <w:color w:val="auto"/>
          <w:sz w:val="24"/>
          <w:highlight w:val="none"/>
        </w:rPr>
      </w:pPr>
      <w:r>
        <w:rPr>
          <w:rFonts w:hint="eastAsia" w:ascii="宋体" w:hAnsi="宋体" w:cs="方正小标宋简体"/>
          <w:bCs/>
          <w:color w:val="auto"/>
          <w:sz w:val="32"/>
          <w:szCs w:val="32"/>
          <w:highlight w:val="none"/>
        </w:rPr>
        <w:t>（如有委托时）</w:t>
      </w:r>
    </w:p>
    <w:p w14:paraId="50BE2766">
      <w:pPr>
        <w:spacing w:line="440" w:lineRule="exact"/>
        <w:contextualSpacing/>
        <w:jc w:val="center"/>
        <w:rPr>
          <w:rFonts w:ascii="宋体" w:hAnsi="宋体"/>
          <w:b/>
          <w:color w:val="auto"/>
          <w:sz w:val="24"/>
          <w:highlight w:val="none"/>
        </w:rPr>
      </w:pPr>
    </w:p>
    <w:p w14:paraId="262A5313">
      <w:pPr>
        <w:spacing w:line="440" w:lineRule="exact"/>
        <w:contextualSpacing/>
        <w:rPr>
          <w:rFonts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79BA6D10">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我（姓名）系（投标人名称）的法定代表人，现授权委托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以我方的名义参加项目的投标活动，并代表我方全权办理针对上述项目的所有采购程序和环节的具体事务和签署相关文件。</w:t>
      </w:r>
    </w:p>
    <w:p w14:paraId="6FE19BD0">
      <w:pPr>
        <w:spacing w:line="440" w:lineRule="exact"/>
        <w:contextualSpacing/>
        <w:rPr>
          <w:rFonts w:ascii="宋体" w:hAnsi="宋体"/>
          <w:color w:val="auto"/>
          <w:sz w:val="24"/>
          <w:highlight w:val="none"/>
        </w:rPr>
      </w:pPr>
      <w:r>
        <w:rPr>
          <w:rFonts w:hint="eastAsia" w:ascii="宋体" w:hAnsi="宋体"/>
          <w:color w:val="auto"/>
          <w:sz w:val="24"/>
          <w:highlight w:val="none"/>
        </w:rPr>
        <w:t xml:space="preserve">    我方对委托代理人的签字事项负全部责任。</w:t>
      </w:r>
    </w:p>
    <w:p w14:paraId="4960CCDD">
      <w:pPr>
        <w:spacing w:line="440" w:lineRule="exact"/>
        <w:ind w:firstLine="480"/>
        <w:contextualSpacing/>
        <w:rPr>
          <w:rFonts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304FBE92">
      <w:pPr>
        <w:spacing w:line="440" w:lineRule="exact"/>
        <w:ind w:firstLine="480"/>
        <w:contextualSpacing/>
        <w:rPr>
          <w:rFonts w:ascii="宋体" w:hAnsi="宋体"/>
          <w:color w:val="auto"/>
          <w:sz w:val="24"/>
          <w:highlight w:val="none"/>
        </w:rPr>
      </w:pPr>
      <w:r>
        <w:rPr>
          <w:rFonts w:hint="eastAsia" w:ascii="宋体" w:hAnsi="宋体"/>
          <w:color w:val="auto"/>
          <w:sz w:val="24"/>
          <w:highlight w:val="none"/>
        </w:rPr>
        <w:t>委托代理人无转委托权，特此委托。</w:t>
      </w:r>
    </w:p>
    <w:p w14:paraId="090D4533">
      <w:pPr>
        <w:spacing w:line="440" w:lineRule="exact"/>
        <w:ind w:firstLine="480"/>
        <w:contextualSpacing/>
        <w:rPr>
          <w:rFonts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38D878F7">
      <w:pPr>
        <w:spacing w:line="440" w:lineRule="exact"/>
        <w:contextualSpacing/>
        <w:rPr>
          <w:rFonts w:ascii="宋体" w:hAnsi="宋体"/>
          <w:color w:val="auto"/>
          <w:sz w:val="24"/>
          <w:highlight w:val="none"/>
        </w:rPr>
      </w:pPr>
    </w:p>
    <w:p w14:paraId="7814354C">
      <w:pPr>
        <w:spacing w:line="440" w:lineRule="exact"/>
        <w:contextualSpacing/>
        <w:rPr>
          <w:rFonts w:ascii="宋体" w:hAnsi="宋体"/>
          <w:color w:val="auto"/>
          <w:sz w:val="24"/>
          <w:highlight w:val="none"/>
          <w:u w:val="single"/>
        </w:rPr>
      </w:pPr>
      <w:r>
        <w:rPr>
          <w:rFonts w:hint="eastAsia" w:ascii="宋体" w:hAnsi="宋体"/>
          <w:color w:val="auto"/>
          <w:sz w:val="24"/>
          <w:highlight w:val="none"/>
        </w:rPr>
        <w:t>委托代理人（签字）：            法定代表人（签字或者盖章）：</w:t>
      </w:r>
    </w:p>
    <w:p w14:paraId="018DEDB6">
      <w:pPr>
        <w:spacing w:line="440" w:lineRule="exact"/>
        <w:contextualSpacing/>
        <w:rPr>
          <w:rFonts w:ascii="宋体" w:hAnsi="宋体"/>
          <w:color w:val="auto"/>
          <w:sz w:val="24"/>
          <w:highlight w:val="none"/>
        </w:rPr>
      </w:pPr>
      <w:r>
        <w:rPr>
          <w:rFonts w:hint="eastAsia" w:ascii="宋体" w:hAnsi="宋体"/>
          <w:color w:val="auto"/>
          <w:sz w:val="24"/>
          <w:highlight w:val="none"/>
        </w:rPr>
        <w:t>委托代理人身份证号码：</w:t>
      </w:r>
    </w:p>
    <w:p w14:paraId="104E4CC3">
      <w:pPr>
        <w:spacing w:line="440" w:lineRule="exact"/>
        <w:contextualSpacing/>
        <w:jc w:val="center"/>
        <w:rPr>
          <w:rFonts w:ascii="宋体" w:hAnsi="宋体"/>
          <w:color w:val="auto"/>
          <w:sz w:val="24"/>
          <w:highlight w:val="none"/>
        </w:rPr>
      </w:pPr>
      <w:r>
        <w:rPr>
          <w:rFonts w:hint="eastAsia" w:ascii="宋体" w:hAnsi="宋体"/>
          <w:color w:val="auto"/>
          <w:sz w:val="24"/>
          <w:highlight w:val="none"/>
        </w:rPr>
        <w:t xml:space="preserve">                                                投标人（盖公章）：</w:t>
      </w:r>
    </w:p>
    <w:p w14:paraId="7F7892F4">
      <w:pPr>
        <w:spacing w:line="440" w:lineRule="exact"/>
        <w:contextualSpacing/>
        <w:jc w:val="center"/>
        <w:rPr>
          <w:rFonts w:ascii="宋体" w:hAnsi="宋体"/>
          <w:color w:val="auto"/>
          <w:sz w:val="24"/>
          <w:highlight w:val="none"/>
        </w:rPr>
      </w:pPr>
      <w:r>
        <w:rPr>
          <w:rFonts w:hint="eastAsia" w:ascii="宋体" w:hAnsi="宋体"/>
          <w:color w:val="auto"/>
          <w:sz w:val="24"/>
          <w:highlight w:val="none"/>
        </w:rPr>
        <w:t xml:space="preserve">                                              年    月    日</w:t>
      </w:r>
    </w:p>
    <w:p w14:paraId="29B47A6D">
      <w:pPr>
        <w:spacing w:line="440" w:lineRule="exact"/>
        <w:contextualSpacing/>
        <w:rPr>
          <w:rFonts w:ascii="宋体" w:hAnsi="宋体" w:cs="仿宋_GB2312"/>
          <w:color w:val="auto"/>
          <w:sz w:val="24"/>
          <w:highlight w:val="none"/>
        </w:rPr>
      </w:pPr>
      <w:r>
        <w:rPr>
          <w:rFonts w:hint="eastAsia" w:ascii="宋体" w:hAnsi="宋体" w:cs="仿宋_GB2312"/>
          <w:color w:val="auto"/>
          <w:sz w:val="24"/>
          <w:highlight w:val="none"/>
        </w:rPr>
        <w:t>注：1.</w:t>
      </w:r>
      <w:bookmarkStart w:id="159" w:name="_Hlk65851555"/>
      <w:bookmarkStart w:id="160" w:name="_Hlk65851620"/>
      <w:r>
        <w:rPr>
          <w:rFonts w:hint="eastAsia" w:ascii="宋体" w:hAnsi="宋体" w:cs="仿宋_GB2312"/>
          <w:color w:val="auto"/>
          <w:sz w:val="24"/>
          <w:highlight w:val="none"/>
        </w:rPr>
        <w:t>法定代表人必须在授权委托书上亲笔签字或者盖章，</w:t>
      </w:r>
      <w:bookmarkEnd w:id="159"/>
      <w:r>
        <w:rPr>
          <w:rFonts w:hint="eastAsia" w:ascii="宋体" w:hAnsi="宋体" w:cs="仿宋_GB2312"/>
          <w:color w:val="auto"/>
          <w:sz w:val="24"/>
          <w:highlight w:val="none"/>
        </w:rPr>
        <w:t>委托代理人必须在授权委托书上亲笔签字，</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bookmarkEnd w:id="160"/>
    </w:p>
    <w:p w14:paraId="5D7993F0">
      <w:pPr>
        <w:spacing w:line="440" w:lineRule="exact"/>
        <w:ind w:firstLine="480" w:firstLineChars="200"/>
        <w:contextualSpacing/>
        <w:jc w:val="left"/>
        <w:rPr>
          <w:rFonts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1F973EE9">
      <w:pPr>
        <w:snapToGrid w:val="0"/>
        <w:spacing w:beforeLines="50" w:after="50"/>
        <w:ind w:firstLine="566" w:firstLineChars="236"/>
        <w:jc w:val="center"/>
        <w:rPr>
          <w:rFonts w:ascii="宋体" w:hAnsi="宋体" w:cs="方正小标宋简体"/>
          <w:color w:val="auto"/>
          <w:sz w:val="44"/>
          <w:szCs w:val="44"/>
          <w:highlight w:val="none"/>
        </w:rPr>
      </w:pPr>
      <w:r>
        <w:rPr>
          <w:rFonts w:ascii="宋体" w:hAnsi="宋体"/>
          <w:color w:val="auto"/>
          <w:sz w:val="24"/>
          <w:highlight w:val="none"/>
        </w:rPr>
        <w:br w:type="page"/>
      </w:r>
      <w:r>
        <w:rPr>
          <w:rFonts w:hint="eastAsia" w:ascii="宋体" w:hAnsi="宋体" w:cs="方正小标宋简体"/>
          <w:color w:val="auto"/>
          <w:sz w:val="44"/>
          <w:szCs w:val="44"/>
          <w:highlight w:val="none"/>
        </w:rPr>
        <w:t>授权委托书</w:t>
      </w:r>
    </w:p>
    <w:p w14:paraId="1E6F10E3">
      <w:pPr>
        <w:snapToGrid w:val="0"/>
        <w:spacing w:beforeLines="50" w:after="50"/>
        <w:ind w:firstLine="755" w:firstLineChars="236"/>
        <w:jc w:val="center"/>
        <w:rPr>
          <w:rFonts w:ascii="宋体" w:hAnsi="宋体" w:cs="方正小标宋简体"/>
          <w:color w:val="auto"/>
          <w:sz w:val="32"/>
          <w:szCs w:val="32"/>
          <w:highlight w:val="none"/>
        </w:rPr>
      </w:pPr>
      <w:r>
        <w:rPr>
          <w:rFonts w:hint="eastAsia" w:ascii="宋体" w:hAnsi="宋体" w:cs="方正小标宋简体"/>
          <w:color w:val="auto"/>
          <w:sz w:val="32"/>
          <w:szCs w:val="32"/>
          <w:highlight w:val="none"/>
        </w:rPr>
        <w:t>（联合体投标格式）</w:t>
      </w:r>
    </w:p>
    <w:p w14:paraId="5228F515">
      <w:pPr>
        <w:snapToGrid w:val="0"/>
        <w:spacing w:beforeLines="50" w:after="50"/>
        <w:ind w:firstLine="755" w:firstLineChars="236"/>
        <w:jc w:val="center"/>
        <w:rPr>
          <w:rFonts w:ascii="宋体" w:hAnsi="宋体" w:cs="方正小标宋简体"/>
          <w:color w:val="auto"/>
          <w:sz w:val="24"/>
          <w:highlight w:val="none"/>
        </w:rPr>
      </w:pPr>
      <w:r>
        <w:rPr>
          <w:rFonts w:hint="eastAsia" w:ascii="宋体" w:hAnsi="宋体" w:cs="方正小标宋简体"/>
          <w:color w:val="auto"/>
          <w:sz w:val="32"/>
          <w:szCs w:val="32"/>
          <w:highlight w:val="none"/>
        </w:rPr>
        <w:t>（如有委托时）</w:t>
      </w:r>
    </w:p>
    <w:p w14:paraId="385B71CE">
      <w:pPr>
        <w:spacing w:line="440" w:lineRule="exact"/>
        <w:contextualSpacing/>
        <w:jc w:val="left"/>
        <w:rPr>
          <w:rFonts w:ascii="宋体" w:hAnsi="宋体"/>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101F9A44">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 xml:space="preserve">根据 </w:t>
      </w:r>
      <w:r>
        <w:rPr>
          <w:rFonts w:hint="eastAsia" w:ascii="宋体" w:hAnsi="宋体"/>
          <w:color w:val="auto"/>
          <w:sz w:val="24"/>
          <w:highlight w:val="none"/>
          <w:u w:val="single"/>
        </w:rPr>
        <w:t xml:space="preserve"> （牵头人名称）</w:t>
      </w:r>
      <w:r>
        <w:rPr>
          <w:rFonts w:hint="eastAsia" w:ascii="宋体" w:hAnsi="宋体"/>
          <w:color w:val="auto"/>
          <w:sz w:val="24"/>
          <w:highlight w:val="none"/>
        </w:rPr>
        <w:t>与</w:t>
      </w:r>
      <w:r>
        <w:rPr>
          <w:rFonts w:hint="eastAsia" w:ascii="宋体" w:hAnsi="宋体"/>
          <w:color w:val="auto"/>
          <w:sz w:val="24"/>
          <w:highlight w:val="none"/>
          <w:u w:val="single"/>
        </w:rPr>
        <w:t>（联合体其他成员名称）</w:t>
      </w:r>
      <w:r>
        <w:rPr>
          <w:rFonts w:hint="eastAsia" w:ascii="宋体" w:hAnsi="宋体"/>
          <w:color w:val="auto"/>
          <w:sz w:val="24"/>
          <w:highlight w:val="none"/>
        </w:rPr>
        <w:t>签订的《联合体投标协议书》的内容，</w:t>
      </w:r>
      <w:r>
        <w:rPr>
          <w:rFonts w:hint="eastAsia" w:ascii="宋体" w:hAnsi="宋体"/>
          <w:color w:val="auto"/>
          <w:sz w:val="24"/>
          <w:highlight w:val="none"/>
          <w:u w:val="single"/>
        </w:rPr>
        <w:t>（牵头人名称）</w:t>
      </w:r>
      <w:r>
        <w:rPr>
          <w:rFonts w:hint="eastAsia" w:ascii="宋体" w:hAnsi="宋体"/>
          <w:color w:val="auto"/>
          <w:sz w:val="24"/>
          <w:highlight w:val="none"/>
        </w:rPr>
        <w:t>的法定代表人</w:t>
      </w:r>
      <w:r>
        <w:rPr>
          <w:rFonts w:hint="eastAsia" w:ascii="宋体" w:hAnsi="宋体"/>
          <w:color w:val="auto"/>
          <w:sz w:val="24"/>
          <w:highlight w:val="none"/>
          <w:u w:val="single"/>
        </w:rPr>
        <w:t>（姓名）</w:t>
      </w:r>
      <w:r>
        <w:rPr>
          <w:rFonts w:hint="eastAsia" w:ascii="宋体" w:hAnsi="宋体"/>
          <w:color w:val="auto"/>
          <w:sz w:val="24"/>
          <w:highlight w:val="none"/>
        </w:rPr>
        <w:t>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以我方的名义参加项目的投标活动，并代表我方全权办理针对上述项目的所有采购程序和环节的具体事务和签署相关文件。</w:t>
      </w:r>
    </w:p>
    <w:p w14:paraId="09BB7735">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我方对委托代理人的签字事项负全部责任。</w:t>
      </w:r>
    </w:p>
    <w:p w14:paraId="5A8E651D">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本授权书自签署之日起生效，在撤销授权的书面通知以前，本授权书一直有效。委托代理人在授权书有效期内签署的所有文件不因授权的撤销而失效。</w:t>
      </w:r>
    </w:p>
    <w:p w14:paraId="6B7F84D7">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委托代理人无转委托权，特此委托。</w:t>
      </w:r>
    </w:p>
    <w:p w14:paraId="585EA07F">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附：牵头人法定代表人身份证明及委托代理人有效身份证正反面复印件</w:t>
      </w:r>
    </w:p>
    <w:p w14:paraId="43805694">
      <w:pPr>
        <w:spacing w:line="440" w:lineRule="exact"/>
        <w:ind w:firstLine="566" w:firstLineChars="236"/>
        <w:contextualSpacing/>
        <w:rPr>
          <w:rFonts w:ascii="宋体" w:hAnsi="宋体"/>
          <w:color w:val="auto"/>
          <w:sz w:val="24"/>
          <w:highlight w:val="none"/>
        </w:rPr>
      </w:pPr>
    </w:p>
    <w:p w14:paraId="71787EF1">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牵头人法定代表人（签字或者盖章）：</w:t>
      </w:r>
    </w:p>
    <w:p w14:paraId="5D85B4CA">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牵头人（盖公章）：</w:t>
      </w:r>
    </w:p>
    <w:p w14:paraId="0CE6295F">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日期：    年   月   日</w:t>
      </w:r>
    </w:p>
    <w:p w14:paraId="65DAEE80">
      <w:pPr>
        <w:spacing w:line="440" w:lineRule="exact"/>
        <w:ind w:firstLine="566" w:firstLineChars="236"/>
        <w:contextualSpacing/>
        <w:rPr>
          <w:rFonts w:ascii="宋体" w:hAnsi="宋体"/>
          <w:color w:val="auto"/>
          <w:sz w:val="24"/>
          <w:highlight w:val="none"/>
        </w:rPr>
      </w:pPr>
    </w:p>
    <w:p w14:paraId="66FDCFB3">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被授权人（签字）：</w:t>
      </w:r>
    </w:p>
    <w:p w14:paraId="27C9F2A9">
      <w:pPr>
        <w:spacing w:line="440" w:lineRule="exact"/>
        <w:ind w:firstLine="566" w:firstLineChars="236"/>
        <w:contextualSpacing/>
        <w:rPr>
          <w:rFonts w:ascii="宋体" w:hAnsi="宋体" w:cs="仿宋_GB2312"/>
          <w:color w:val="auto"/>
          <w:sz w:val="32"/>
          <w:szCs w:val="32"/>
          <w:highlight w:val="none"/>
        </w:rPr>
      </w:pPr>
      <w:r>
        <w:rPr>
          <w:rFonts w:hint="eastAsia" w:ascii="宋体" w:hAnsi="宋体"/>
          <w:color w:val="auto"/>
          <w:sz w:val="24"/>
          <w:highlight w:val="none"/>
        </w:rPr>
        <w:t>日期：    年   月   日</w:t>
      </w:r>
    </w:p>
    <w:p w14:paraId="0DFCDD75">
      <w:pPr>
        <w:spacing w:line="440" w:lineRule="exact"/>
        <w:contextualSpacing/>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法定代表人必须在授权委托书上亲笔签字或者盖章，委托代理人必须在授权委托书上亲笔签字，</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p>
    <w:p w14:paraId="42DA2697">
      <w:pPr>
        <w:spacing w:line="440" w:lineRule="exact"/>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rPr>
        <w:t>2.本授权委托书应由联合体牵头人的法定代表人按上述规定签字。</w:t>
      </w:r>
    </w:p>
    <w:p w14:paraId="1F0EDD0E">
      <w:pPr>
        <w:spacing w:line="440" w:lineRule="exact"/>
        <w:ind w:firstLine="480" w:firstLineChars="200"/>
        <w:contextualSpacing/>
        <w:jc w:val="left"/>
        <w:rPr>
          <w:rFonts w:ascii="宋体" w:hAnsi="宋体"/>
          <w:color w:val="auto"/>
          <w:sz w:val="24"/>
          <w:highlight w:val="none"/>
        </w:rPr>
      </w:pPr>
      <w:r>
        <w:rPr>
          <w:rFonts w:hint="eastAsia" w:ascii="宋体" w:hAnsi="宋体" w:cs="仿宋_GB2312"/>
          <w:color w:val="auto"/>
          <w:sz w:val="24"/>
          <w:highlight w:val="none"/>
        </w:rPr>
        <w:t>3</w:t>
      </w:r>
      <w:r>
        <w:rPr>
          <w:rFonts w:ascii="宋体" w:hAnsi="宋体" w:cs="仿宋_GB2312"/>
          <w:color w:val="auto"/>
          <w:sz w:val="24"/>
          <w:highlight w:val="none"/>
        </w:rPr>
        <w:t>.</w:t>
      </w:r>
      <w:r>
        <w:rPr>
          <w:rFonts w:hint="eastAsia" w:ascii="宋体" w:hAnsi="宋体" w:cs="仿宋_GB2312"/>
          <w:color w:val="auto"/>
          <w:sz w:val="24"/>
          <w:highlight w:val="none"/>
        </w:rPr>
        <w:t>法人、其他组织投标时“我方”是指“我单位”，自然人投标时“我方”是指“本人”。</w:t>
      </w:r>
    </w:p>
    <w:p w14:paraId="098A1218">
      <w:pPr>
        <w:snapToGrid w:val="0"/>
        <w:spacing w:before="50" w:afterLines="50"/>
        <w:ind w:firstLine="480" w:firstLineChars="200"/>
        <w:jc w:val="left"/>
        <w:rPr>
          <w:rFonts w:ascii="宋体" w:hAnsi="宋体"/>
          <w:color w:val="auto"/>
          <w:sz w:val="24"/>
          <w:highlight w:val="none"/>
        </w:rPr>
        <w:sectPr>
          <w:footerReference r:id="rId9" w:type="first"/>
          <w:headerReference r:id="rId6" w:type="default"/>
          <w:footerReference r:id="rId7" w:type="default"/>
          <w:footerReference r:id="rId8" w:type="even"/>
          <w:pgSz w:w="11906" w:h="16838"/>
          <w:pgMar w:top="1134" w:right="1134" w:bottom="1276" w:left="1134" w:header="851" w:footer="567" w:gutter="0"/>
          <w:cols w:space="720" w:num="1"/>
          <w:titlePg/>
          <w:docGrid w:linePitch="312" w:charSpace="0"/>
        </w:sectPr>
      </w:pPr>
    </w:p>
    <w:p w14:paraId="13B40C85">
      <w:pPr>
        <w:rPr>
          <w:rFonts w:ascii="宋体" w:hAnsi="宋体"/>
          <w:color w:val="auto"/>
          <w:sz w:val="24"/>
          <w:highlight w:val="none"/>
        </w:rPr>
      </w:pPr>
    </w:p>
    <w:p w14:paraId="69C612BC">
      <w:pPr>
        <w:rPr>
          <w:rFonts w:ascii="宋体" w:hAnsi="宋体"/>
          <w:b/>
          <w:color w:val="auto"/>
          <w:sz w:val="24"/>
          <w:szCs w:val="20"/>
          <w:highlight w:val="none"/>
        </w:rPr>
      </w:pPr>
      <w:r>
        <w:rPr>
          <w:rFonts w:hint="eastAsia" w:ascii="宋体" w:hAnsi="宋体"/>
          <w:b/>
          <w:color w:val="auto"/>
          <w:sz w:val="24"/>
          <w:highlight w:val="none"/>
        </w:rPr>
        <w:t>6.商务要求偏离表格式（注：按项目需求表具体项目修改）</w:t>
      </w:r>
    </w:p>
    <w:p w14:paraId="5F2EF1EA">
      <w:pPr>
        <w:snapToGrid w:val="0"/>
        <w:spacing w:before="50"/>
        <w:jc w:val="left"/>
        <w:rPr>
          <w:rFonts w:ascii="宋体" w:hAnsi="宋体"/>
          <w:color w:val="auto"/>
          <w:sz w:val="24"/>
          <w:highlight w:val="none"/>
        </w:rPr>
      </w:pPr>
    </w:p>
    <w:p w14:paraId="64DED171">
      <w:pPr>
        <w:pStyle w:val="25"/>
        <w:rPr>
          <w:rFonts w:hAnsi="宋体"/>
          <w:color w:val="auto"/>
          <w:sz w:val="24"/>
          <w:szCs w:val="24"/>
          <w:highlight w:val="none"/>
        </w:rPr>
      </w:pPr>
      <w:r>
        <w:rPr>
          <w:rFonts w:hint="eastAsia" w:hAnsi="宋体"/>
          <w:color w:val="auto"/>
          <w:sz w:val="24"/>
          <w:szCs w:val="24"/>
          <w:highlight w:val="none"/>
        </w:rPr>
        <w:t>所投分标：分标</w:t>
      </w:r>
    </w:p>
    <w:p w14:paraId="3BB245F3">
      <w:pPr>
        <w:snapToGrid w:val="0"/>
        <w:spacing w:before="50"/>
        <w:jc w:val="left"/>
        <w:rPr>
          <w:rFonts w:ascii="宋体" w:hAnsi="宋体"/>
          <w:color w:val="auto"/>
          <w:sz w:val="24"/>
          <w:highlight w:val="none"/>
          <w:u w:val="single"/>
        </w:rPr>
      </w:pPr>
    </w:p>
    <w:tbl>
      <w:tblPr>
        <w:tblStyle w:val="49"/>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049FCB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64CC6520">
            <w:pPr>
              <w:snapToGrid w:val="0"/>
              <w:spacing w:beforeLines="50"/>
              <w:jc w:val="center"/>
              <w:rPr>
                <w:rFonts w:ascii="宋体" w:hAnsi="宋体"/>
                <w:color w:val="auto"/>
                <w:sz w:val="24"/>
                <w:highlight w:val="none"/>
              </w:rPr>
            </w:pPr>
            <w:r>
              <w:rPr>
                <w:rFonts w:hint="eastAsia" w:ascii="宋体" w:hAnsi="宋体"/>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tcPr>
          <w:p w14:paraId="1AC22619">
            <w:pPr>
              <w:snapToGrid w:val="0"/>
              <w:spacing w:beforeLines="50"/>
              <w:jc w:val="center"/>
              <w:rPr>
                <w:rFonts w:ascii="宋体" w:hAnsi="宋体"/>
                <w:color w:val="auto"/>
                <w:sz w:val="24"/>
                <w:highlight w:val="none"/>
              </w:rPr>
            </w:pPr>
            <w:r>
              <w:rPr>
                <w:rFonts w:hint="eastAsia" w:ascii="宋体" w:hAnsi="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32EC24CC">
            <w:pPr>
              <w:snapToGrid w:val="0"/>
              <w:spacing w:beforeLines="50"/>
              <w:jc w:val="center"/>
              <w:rPr>
                <w:rFonts w:ascii="宋体" w:hAnsi="宋体"/>
                <w:color w:val="auto"/>
                <w:sz w:val="24"/>
                <w:highlight w:val="none"/>
              </w:rPr>
            </w:pPr>
            <w:r>
              <w:rPr>
                <w:rFonts w:hint="eastAsia" w:ascii="宋体" w:hAnsi="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tcPr>
          <w:p w14:paraId="66E88987">
            <w:pPr>
              <w:snapToGrid w:val="0"/>
              <w:spacing w:beforeLines="50"/>
              <w:jc w:val="center"/>
              <w:rPr>
                <w:rFonts w:ascii="宋体" w:hAnsi="宋体"/>
                <w:color w:val="auto"/>
                <w:sz w:val="24"/>
                <w:highlight w:val="none"/>
              </w:rPr>
            </w:pPr>
            <w:r>
              <w:rPr>
                <w:rFonts w:hint="eastAsia" w:ascii="宋体" w:hAnsi="宋体"/>
                <w:color w:val="auto"/>
                <w:sz w:val="24"/>
                <w:highlight w:val="none"/>
              </w:rPr>
              <w:t>偏离说明</w:t>
            </w:r>
          </w:p>
        </w:tc>
      </w:tr>
      <w:tr w14:paraId="2574E0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vAlign w:val="center"/>
          </w:tcPr>
          <w:p w14:paraId="5162F59C">
            <w:pPr>
              <w:jc w:val="center"/>
              <w:rPr>
                <w:rFonts w:ascii="宋体" w:hAnsi="宋体"/>
                <w:color w:val="auto"/>
                <w:sz w:val="24"/>
                <w:highlight w:val="none"/>
              </w:rPr>
            </w:pPr>
            <w:r>
              <w:rPr>
                <w:rFonts w:hint="eastAsia" w:ascii="宋体" w:hAnsi="宋体"/>
                <w:color w:val="auto"/>
                <w:sz w:val="24"/>
                <w:highlight w:val="none"/>
              </w:rPr>
              <w:t>交付（实施）的时间（期限）和地点（范围）</w:t>
            </w:r>
          </w:p>
        </w:tc>
        <w:tc>
          <w:tcPr>
            <w:tcW w:w="3336" w:type="dxa"/>
            <w:tcBorders>
              <w:top w:val="single" w:color="auto" w:sz="4" w:space="0"/>
              <w:left w:val="single" w:color="auto" w:sz="4" w:space="0"/>
              <w:bottom w:val="single" w:color="auto" w:sz="4" w:space="0"/>
              <w:right w:val="single" w:color="auto" w:sz="4" w:space="0"/>
            </w:tcBorders>
          </w:tcPr>
          <w:p w14:paraId="6F09BC57">
            <w:pPr>
              <w:snapToGrid w:val="0"/>
              <w:spacing w:beforeLines="50"/>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325F8895">
            <w:pPr>
              <w:snapToGrid w:val="0"/>
              <w:spacing w:beforeLines="5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176CE524">
            <w:pPr>
              <w:snapToGrid w:val="0"/>
              <w:spacing w:beforeLines="50"/>
              <w:jc w:val="center"/>
              <w:rPr>
                <w:rFonts w:ascii="宋体" w:hAnsi="宋体"/>
                <w:color w:val="auto"/>
                <w:sz w:val="24"/>
                <w:highlight w:val="none"/>
              </w:rPr>
            </w:pPr>
          </w:p>
        </w:tc>
      </w:tr>
      <w:tr w14:paraId="561089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vAlign w:val="center"/>
          </w:tcPr>
          <w:p w14:paraId="39D89169">
            <w:pPr>
              <w:jc w:val="center"/>
              <w:rPr>
                <w:rFonts w:ascii="宋体" w:hAnsi="宋体"/>
                <w:color w:val="auto"/>
                <w:sz w:val="24"/>
                <w:highlight w:val="none"/>
              </w:rPr>
            </w:pPr>
            <w:r>
              <w:rPr>
                <w:rFonts w:hint="eastAsia" w:ascii="宋体" w:hAnsi="宋体"/>
                <w:color w:val="auto"/>
                <w:sz w:val="24"/>
                <w:highlight w:val="none"/>
              </w:rPr>
              <w:t>合同签订时间</w:t>
            </w:r>
          </w:p>
        </w:tc>
        <w:tc>
          <w:tcPr>
            <w:tcW w:w="3336" w:type="dxa"/>
            <w:tcBorders>
              <w:top w:val="single" w:color="auto" w:sz="4" w:space="0"/>
              <w:left w:val="single" w:color="auto" w:sz="4" w:space="0"/>
              <w:bottom w:val="single" w:color="auto" w:sz="4" w:space="0"/>
              <w:right w:val="single" w:color="auto" w:sz="4" w:space="0"/>
            </w:tcBorders>
          </w:tcPr>
          <w:p w14:paraId="1AEC895C">
            <w:pPr>
              <w:snapToGrid w:val="0"/>
              <w:spacing w:beforeLines="50"/>
              <w:rPr>
                <w:rFonts w:ascii="宋体" w:hAnsi="宋体"/>
                <w:color w:val="auto"/>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tcPr>
          <w:p w14:paraId="6B1A1B26">
            <w:pPr>
              <w:snapToGrid w:val="0"/>
              <w:spacing w:beforeLines="5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5B73C822">
            <w:pPr>
              <w:snapToGrid w:val="0"/>
              <w:spacing w:beforeLines="50"/>
              <w:ind w:left="43"/>
              <w:jc w:val="center"/>
              <w:rPr>
                <w:rFonts w:ascii="宋体" w:hAnsi="宋体"/>
                <w:color w:val="auto"/>
                <w:sz w:val="24"/>
                <w:highlight w:val="none"/>
              </w:rPr>
            </w:pPr>
          </w:p>
        </w:tc>
      </w:tr>
      <w:tr w14:paraId="5E0418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0C712BB9">
            <w:pPr>
              <w:snapToGrid w:val="0"/>
              <w:spacing w:beforeLines="50"/>
              <w:jc w:val="center"/>
              <w:rPr>
                <w:rFonts w:ascii="宋体" w:hAnsi="宋体"/>
                <w:color w:val="auto"/>
                <w:sz w:val="24"/>
                <w:highlight w:val="none"/>
              </w:rPr>
            </w:pPr>
            <w:r>
              <w:rPr>
                <w:rFonts w:hint="eastAsia" w:ascii="宋体" w:hAnsi="宋体"/>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tcPr>
          <w:p w14:paraId="601588BD">
            <w:pPr>
              <w:snapToGrid w:val="0"/>
              <w:spacing w:beforeLines="50"/>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044FD37D">
            <w:pPr>
              <w:snapToGrid w:val="0"/>
              <w:spacing w:beforeLines="5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2604A51B">
            <w:pPr>
              <w:snapToGrid w:val="0"/>
              <w:spacing w:beforeLines="50"/>
              <w:jc w:val="center"/>
              <w:rPr>
                <w:rFonts w:ascii="宋体" w:hAnsi="宋体"/>
                <w:color w:val="auto"/>
                <w:sz w:val="24"/>
                <w:highlight w:val="none"/>
              </w:rPr>
            </w:pPr>
          </w:p>
        </w:tc>
      </w:tr>
    </w:tbl>
    <w:p w14:paraId="2C2FB99E">
      <w:pPr>
        <w:pStyle w:val="18"/>
        <w:rPr>
          <w:rFonts w:ascii="宋体" w:hAnsi="宋体"/>
          <w:color w:val="auto"/>
          <w:highlight w:val="none"/>
        </w:rPr>
      </w:pPr>
      <w:r>
        <w:rPr>
          <w:rFonts w:hint="eastAsia" w:ascii="宋体" w:hAnsi="宋体"/>
          <w:color w:val="auto"/>
          <w:highlight w:val="none"/>
        </w:rPr>
        <w:t>注：</w:t>
      </w:r>
    </w:p>
    <w:p w14:paraId="1EECE9F2">
      <w:pPr>
        <w:pStyle w:val="20"/>
        <w:spacing w:line="520" w:lineRule="exact"/>
        <w:rPr>
          <w:rFonts w:ascii="宋体" w:hAnsi="宋体" w:cs="仿宋_GB2312"/>
          <w:color w:val="auto"/>
          <w:szCs w:val="32"/>
          <w:highlight w:val="none"/>
        </w:rPr>
      </w:pPr>
      <w:r>
        <w:rPr>
          <w:rFonts w:hint="eastAsia" w:ascii="宋体" w:hAnsi="宋体"/>
          <w:color w:val="auto"/>
          <w:sz w:val="24"/>
          <w:highlight w:val="none"/>
        </w:rPr>
        <w:t>1.说明：应对照招标文件“第二章 采购需求”中的商务要求逐条作明确的投标响应，并作出偏离说明。</w:t>
      </w:r>
    </w:p>
    <w:p w14:paraId="0DE0025F">
      <w:pPr>
        <w:pStyle w:val="18"/>
        <w:rPr>
          <w:rFonts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419F2B49">
      <w:pPr>
        <w:snapToGrid w:val="0"/>
        <w:spacing w:before="50" w:after="50"/>
        <w:rPr>
          <w:rFonts w:ascii="宋体" w:hAnsi="宋体"/>
          <w:color w:val="auto"/>
          <w:sz w:val="24"/>
          <w:highlight w:val="none"/>
        </w:rPr>
      </w:pPr>
    </w:p>
    <w:p w14:paraId="51F2B4D6">
      <w:pPr>
        <w:snapToGrid w:val="0"/>
        <w:spacing w:before="50" w:after="50"/>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p>
    <w:p w14:paraId="6492495D">
      <w:pPr>
        <w:snapToGrid w:val="0"/>
        <w:spacing w:beforeLines="50"/>
        <w:rPr>
          <w:rFonts w:ascii="宋体" w:hAnsi="宋体"/>
          <w:color w:val="auto"/>
          <w:spacing w:val="20"/>
          <w:sz w:val="24"/>
          <w:highlight w:val="none"/>
        </w:rPr>
      </w:pPr>
      <w:r>
        <w:rPr>
          <w:rFonts w:hint="eastAsia" w:ascii="宋体" w:hAnsi="宋体"/>
          <w:color w:val="auto"/>
          <w:spacing w:val="20"/>
          <w:sz w:val="24"/>
          <w:highlight w:val="none"/>
        </w:rPr>
        <w:t>投标人盖公章：</w:t>
      </w:r>
    </w:p>
    <w:p w14:paraId="7AED56FE">
      <w:pPr>
        <w:snapToGrid w:val="0"/>
        <w:spacing w:beforeLines="50"/>
        <w:rPr>
          <w:rFonts w:ascii="宋体" w:hAnsi="宋体"/>
          <w:color w:val="auto"/>
          <w:sz w:val="24"/>
          <w:szCs w:val="20"/>
          <w:highlight w:val="none"/>
        </w:rPr>
      </w:pPr>
      <w:r>
        <w:rPr>
          <w:rFonts w:hint="eastAsia" w:ascii="宋体" w:hAnsi="宋体"/>
          <w:color w:val="auto"/>
          <w:spacing w:val="20"/>
          <w:sz w:val="24"/>
          <w:highlight w:val="none"/>
        </w:rPr>
        <w:t>日  期：</w:t>
      </w:r>
    </w:p>
    <w:p w14:paraId="76D1A834">
      <w:pPr>
        <w:snapToGrid w:val="0"/>
        <w:spacing w:beforeLines="50"/>
        <w:rPr>
          <w:rFonts w:ascii="宋体" w:hAnsi="宋体"/>
          <w:color w:val="auto"/>
          <w:sz w:val="24"/>
          <w:szCs w:val="20"/>
          <w:highlight w:val="none"/>
        </w:rPr>
      </w:pPr>
    </w:p>
    <w:p w14:paraId="1F4B3DA8">
      <w:pPr>
        <w:snapToGrid w:val="0"/>
        <w:spacing w:beforeLines="50" w:after="50"/>
        <w:jc w:val="left"/>
        <w:rPr>
          <w:rFonts w:ascii="宋体" w:hAnsi="宋体"/>
          <w:color w:val="auto"/>
          <w:sz w:val="24"/>
          <w:szCs w:val="20"/>
          <w:highlight w:val="none"/>
        </w:rPr>
      </w:pPr>
    </w:p>
    <w:p w14:paraId="37262CAE">
      <w:pPr>
        <w:snapToGrid w:val="0"/>
        <w:spacing w:beforeLines="50" w:after="50"/>
        <w:jc w:val="left"/>
        <w:rPr>
          <w:rFonts w:ascii="宋体" w:hAnsi="宋体"/>
          <w:b/>
          <w:color w:val="auto"/>
          <w:sz w:val="24"/>
          <w:highlight w:val="none"/>
        </w:rPr>
      </w:pPr>
      <w:r>
        <w:rPr>
          <w:rFonts w:ascii="宋体" w:hAnsi="宋体"/>
          <w:color w:val="auto"/>
          <w:sz w:val="24"/>
          <w:szCs w:val="20"/>
          <w:highlight w:val="none"/>
        </w:rPr>
        <w:br w:type="page"/>
      </w:r>
      <w:r>
        <w:rPr>
          <w:rFonts w:hint="eastAsia" w:ascii="宋体" w:hAnsi="宋体"/>
          <w:b/>
          <w:color w:val="auto"/>
          <w:sz w:val="24"/>
          <w:highlight w:val="none"/>
        </w:rPr>
        <w:t>7.投标人业绩证明材料</w:t>
      </w:r>
    </w:p>
    <w:p w14:paraId="077FD5B1">
      <w:pPr>
        <w:pStyle w:val="36"/>
        <w:snapToGrid w:val="0"/>
        <w:ind w:left="480" w:hanging="480"/>
        <w:rPr>
          <w:rFonts w:ascii="宋体" w:hAnsi="宋体"/>
          <w:color w:val="auto"/>
          <w:sz w:val="24"/>
          <w:highlight w:val="none"/>
        </w:rPr>
      </w:pPr>
    </w:p>
    <w:p w14:paraId="5FF2F443">
      <w:pPr>
        <w:pStyle w:val="36"/>
        <w:snapToGrid w:val="0"/>
        <w:ind w:left="480" w:hanging="480"/>
        <w:rPr>
          <w:rFonts w:ascii="宋体" w:hAnsi="宋体"/>
          <w:color w:val="auto"/>
          <w:sz w:val="24"/>
          <w:highlight w:val="none"/>
        </w:rPr>
      </w:pPr>
      <w:r>
        <w:rPr>
          <w:rFonts w:hint="eastAsia" w:ascii="宋体" w:hAnsi="宋体"/>
          <w:color w:val="auto"/>
          <w:sz w:val="24"/>
          <w:highlight w:val="none"/>
        </w:rPr>
        <w:t xml:space="preserve">投标人业绩情况一览表格式： </w:t>
      </w:r>
    </w:p>
    <w:tbl>
      <w:tblPr>
        <w:tblStyle w:val="49"/>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93"/>
        <w:gridCol w:w="1987"/>
        <w:gridCol w:w="1987"/>
        <w:gridCol w:w="3204"/>
      </w:tblGrid>
      <w:tr w14:paraId="11C869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vAlign w:val="center"/>
          </w:tcPr>
          <w:p w14:paraId="52451330">
            <w:pPr>
              <w:snapToGrid w:val="0"/>
              <w:spacing w:line="240" w:lineRule="exact"/>
              <w:jc w:val="center"/>
              <w:rPr>
                <w:rFonts w:ascii="宋体" w:hAnsi="宋体"/>
                <w:color w:val="auto"/>
                <w:sz w:val="24"/>
                <w:highlight w:val="none"/>
              </w:rPr>
            </w:pPr>
            <w:r>
              <w:rPr>
                <w:rFonts w:hint="eastAsia" w:ascii="宋体" w:hAnsi="宋体"/>
                <w:color w:val="auto"/>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29EEBF51">
            <w:pPr>
              <w:snapToGrid w:val="0"/>
              <w:spacing w:line="240" w:lineRule="exact"/>
              <w:jc w:val="center"/>
              <w:rPr>
                <w:rFonts w:ascii="宋体" w:hAnsi="宋体"/>
                <w:color w:val="auto"/>
                <w:sz w:val="24"/>
                <w:highlight w:val="none"/>
              </w:rPr>
            </w:pPr>
            <w:r>
              <w:rPr>
                <w:rFonts w:hint="eastAsia" w:ascii="宋体" w:hAnsi="宋体"/>
                <w:color w:val="auto"/>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725C07CC">
            <w:pPr>
              <w:snapToGrid w:val="0"/>
              <w:spacing w:line="240" w:lineRule="exact"/>
              <w:jc w:val="center"/>
              <w:rPr>
                <w:rFonts w:ascii="宋体" w:hAnsi="宋体"/>
                <w:color w:val="auto"/>
                <w:sz w:val="24"/>
                <w:highlight w:val="none"/>
              </w:rPr>
            </w:pPr>
            <w:r>
              <w:rPr>
                <w:rFonts w:hint="eastAsia" w:ascii="宋体" w:hAnsi="宋体"/>
                <w:color w:val="auto"/>
                <w:sz w:val="24"/>
                <w:highlight w:val="none"/>
              </w:rPr>
              <w:t>合同金额</w:t>
            </w:r>
          </w:p>
          <w:p w14:paraId="73CE089F">
            <w:pPr>
              <w:snapToGrid w:val="0"/>
              <w:spacing w:line="240" w:lineRule="exact"/>
              <w:jc w:val="center"/>
              <w:rPr>
                <w:rFonts w:ascii="宋体" w:hAnsi="宋体"/>
                <w:color w:val="auto"/>
                <w:sz w:val="24"/>
                <w:highlight w:val="none"/>
              </w:rPr>
            </w:pPr>
            <w:r>
              <w:rPr>
                <w:rFonts w:hint="eastAsia" w:ascii="宋体" w:hAnsi="宋体"/>
                <w:color w:val="auto"/>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14:paraId="6AB03554">
            <w:pPr>
              <w:snapToGrid w:val="0"/>
              <w:spacing w:line="240" w:lineRule="exact"/>
              <w:jc w:val="center"/>
              <w:rPr>
                <w:rFonts w:ascii="宋体" w:hAnsi="宋体"/>
                <w:color w:val="auto"/>
                <w:sz w:val="24"/>
                <w:highlight w:val="none"/>
              </w:rPr>
            </w:pPr>
            <w:r>
              <w:rPr>
                <w:rFonts w:hint="eastAsia" w:ascii="宋体" w:hAnsi="宋体"/>
                <w:color w:val="auto"/>
                <w:sz w:val="24"/>
                <w:highlight w:val="none"/>
              </w:rPr>
              <w:t>采购人联系人及</w:t>
            </w:r>
          </w:p>
          <w:p w14:paraId="3652CEF5">
            <w:pPr>
              <w:snapToGrid w:val="0"/>
              <w:spacing w:line="240" w:lineRule="exact"/>
              <w:jc w:val="center"/>
              <w:rPr>
                <w:rFonts w:ascii="宋体" w:hAnsi="宋体"/>
                <w:color w:val="auto"/>
                <w:sz w:val="24"/>
                <w:highlight w:val="none"/>
              </w:rPr>
            </w:pPr>
            <w:r>
              <w:rPr>
                <w:rFonts w:hint="eastAsia" w:ascii="宋体" w:hAnsi="宋体"/>
                <w:color w:val="auto"/>
                <w:sz w:val="24"/>
                <w:highlight w:val="none"/>
              </w:rPr>
              <w:t>联系电话</w:t>
            </w:r>
          </w:p>
        </w:tc>
      </w:tr>
      <w:tr w14:paraId="176F02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vAlign w:val="center"/>
          </w:tcPr>
          <w:p w14:paraId="72DF45AF">
            <w:pPr>
              <w:jc w:val="left"/>
              <w:rPr>
                <w:rFonts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53F25AB6">
            <w:pPr>
              <w:jc w:val="left"/>
              <w:rPr>
                <w:rFonts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79246EE3">
            <w:pPr>
              <w:jc w:val="left"/>
              <w:rPr>
                <w:rFonts w:ascii="宋体" w:hAnsi="宋体"/>
                <w:color w:val="auto"/>
                <w:sz w:val="24"/>
                <w:highlight w:val="none"/>
              </w:rPr>
            </w:pPr>
          </w:p>
        </w:tc>
        <w:tc>
          <w:tcPr>
            <w:tcW w:w="1674" w:type="pct"/>
            <w:vMerge w:val="continue"/>
            <w:tcBorders>
              <w:top w:val="single" w:color="auto" w:sz="4" w:space="0"/>
              <w:left w:val="single" w:color="auto" w:sz="4" w:space="0"/>
              <w:bottom w:val="single" w:color="auto" w:sz="4" w:space="0"/>
              <w:right w:val="single" w:color="auto" w:sz="4" w:space="0"/>
            </w:tcBorders>
            <w:vAlign w:val="center"/>
          </w:tcPr>
          <w:p w14:paraId="61128699">
            <w:pPr>
              <w:jc w:val="left"/>
              <w:rPr>
                <w:rFonts w:ascii="宋体" w:hAnsi="宋体"/>
                <w:color w:val="auto"/>
                <w:sz w:val="24"/>
                <w:highlight w:val="none"/>
              </w:rPr>
            </w:pPr>
          </w:p>
        </w:tc>
      </w:tr>
      <w:tr w14:paraId="46351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tcPr>
          <w:p w14:paraId="3524F22F">
            <w:pPr>
              <w:snapToGrid w:val="0"/>
              <w:spacing w:line="24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2B5833F2">
            <w:pPr>
              <w:snapToGrid w:val="0"/>
              <w:spacing w:line="24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4C8F6227">
            <w:pPr>
              <w:snapToGrid w:val="0"/>
              <w:spacing w:line="240" w:lineRule="exact"/>
              <w:jc w:val="left"/>
              <w:rPr>
                <w:rFonts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18A984D0">
            <w:pPr>
              <w:snapToGrid w:val="0"/>
              <w:spacing w:line="240" w:lineRule="exact"/>
              <w:jc w:val="left"/>
              <w:rPr>
                <w:rFonts w:ascii="宋体" w:hAnsi="宋体"/>
                <w:color w:val="auto"/>
                <w:sz w:val="24"/>
                <w:highlight w:val="none"/>
              </w:rPr>
            </w:pPr>
          </w:p>
        </w:tc>
      </w:tr>
      <w:tr w14:paraId="74F2F0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5AC6F3C1">
            <w:pPr>
              <w:snapToGrid w:val="0"/>
              <w:spacing w:before="5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29A2C991">
            <w:pPr>
              <w:snapToGrid w:val="0"/>
              <w:spacing w:before="5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4BFC4B7B">
            <w:pPr>
              <w:snapToGrid w:val="0"/>
              <w:spacing w:before="50" w:afterLines="50" w:line="400" w:lineRule="exact"/>
              <w:jc w:val="left"/>
              <w:rPr>
                <w:rFonts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3EA05EF7">
            <w:pPr>
              <w:snapToGrid w:val="0"/>
              <w:spacing w:before="50" w:afterLines="50" w:line="400" w:lineRule="exact"/>
              <w:jc w:val="left"/>
              <w:rPr>
                <w:rFonts w:ascii="宋体" w:hAnsi="宋体"/>
                <w:color w:val="auto"/>
                <w:sz w:val="24"/>
                <w:highlight w:val="none"/>
              </w:rPr>
            </w:pPr>
          </w:p>
        </w:tc>
      </w:tr>
      <w:tr w14:paraId="0E4D28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tcPr>
          <w:p w14:paraId="73232CDA">
            <w:pPr>
              <w:snapToGrid w:val="0"/>
              <w:spacing w:before="5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62DB5D8F">
            <w:pPr>
              <w:snapToGrid w:val="0"/>
              <w:spacing w:before="5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06CC455F">
            <w:pPr>
              <w:snapToGrid w:val="0"/>
              <w:spacing w:before="50" w:afterLines="50" w:line="400" w:lineRule="exact"/>
              <w:jc w:val="left"/>
              <w:rPr>
                <w:rFonts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01E73F65">
            <w:pPr>
              <w:snapToGrid w:val="0"/>
              <w:spacing w:before="50" w:afterLines="50" w:line="400" w:lineRule="exact"/>
              <w:jc w:val="left"/>
              <w:rPr>
                <w:rFonts w:ascii="宋体" w:hAnsi="宋体"/>
                <w:color w:val="auto"/>
                <w:sz w:val="24"/>
                <w:highlight w:val="none"/>
              </w:rPr>
            </w:pPr>
          </w:p>
        </w:tc>
      </w:tr>
      <w:tr w14:paraId="000537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39F2F041">
            <w:pPr>
              <w:snapToGrid w:val="0"/>
              <w:spacing w:before="5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012A8848">
            <w:pPr>
              <w:snapToGrid w:val="0"/>
              <w:spacing w:before="5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6D77C99C">
            <w:pPr>
              <w:snapToGrid w:val="0"/>
              <w:spacing w:before="50" w:afterLines="50" w:line="400" w:lineRule="exact"/>
              <w:jc w:val="left"/>
              <w:rPr>
                <w:rFonts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493BB07D">
            <w:pPr>
              <w:snapToGrid w:val="0"/>
              <w:spacing w:before="50" w:afterLines="50" w:line="400" w:lineRule="exact"/>
              <w:jc w:val="left"/>
              <w:rPr>
                <w:rFonts w:ascii="宋体" w:hAnsi="宋体"/>
                <w:color w:val="auto"/>
                <w:sz w:val="24"/>
                <w:highlight w:val="none"/>
              </w:rPr>
            </w:pPr>
          </w:p>
        </w:tc>
      </w:tr>
      <w:tr w14:paraId="187F0D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3420303A">
            <w:pPr>
              <w:snapToGrid w:val="0"/>
              <w:spacing w:before="5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092A9B3F">
            <w:pPr>
              <w:snapToGrid w:val="0"/>
              <w:spacing w:before="5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58D59E99">
            <w:pPr>
              <w:snapToGrid w:val="0"/>
              <w:spacing w:before="50" w:afterLines="50" w:line="400" w:lineRule="exact"/>
              <w:jc w:val="left"/>
              <w:rPr>
                <w:rFonts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192FEBA2">
            <w:pPr>
              <w:snapToGrid w:val="0"/>
              <w:spacing w:before="50" w:afterLines="50" w:line="400" w:lineRule="exact"/>
              <w:jc w:val="left"/>
              <w:rPr>
                <w:rFonts w:ascii="宋体" w:hAnsi="宋体"/>
                <w:color w:val="auto"/>
                <w:sz w:val="24"/>
                <w:highlight w:val="none"/>
              </w:rPr>
            </w:pPr>
          </w:p>
        </w:tc>
      </w:tr>
    </w:tbl>
    <w:p w14:paraId="6C1AFDFE">
      <w:pPr>
        <w:pStyle w:val="15"/>
        <w:spacing w:before="0" w:after="0" w:line="360" w:lineRule="auto"/>
        <w:contextualSpacing/>
        <w:rPr>
          <w:rFonts w:ascii="宋体" w:hAnsi="宋体" w:eastAsia="宋体"/>
          <w:color w:val="auto"/>
          <w:sz w:val="24"/>
          <w:szCs w:val="24"/>
          <w:highlight w:val="none"/>
        </w:rPr>
      </w:pPr>
    </w:p>
    <w:p w14:paraId="58786150">
      <w:pPr>
        <w:pStyle w:val="15"/>
        <w:spacing w:before="0" w:after="0" w:line="360" w:lineRule="auto"/>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eastAsia="宋体"/>
          <w:color w:val="auto"/>
          <w:sz w:val="24"/>
          <w:highlight w:val="none"/>
        </w:rPr>
        <w:t>投标人根据评标标准具体要求附业绩证明材料。</w:t>
      </w:r>
    </w:p>
    <w:p w14:paraId="3BD8C0C9">
      <w:pPr>
        <w:pStyle w:val="15"/>
        <w:spacing w:before="0" w:after="0" w:line="360" w:lineRule="auto"/>
        <w:contextualSpacing/>
        <w:jc w:val="left"/>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w:t>
      </w:r>
      <w:r>
        <w:rPr>
          <w:rFonts w:hint="eastAsia" w:ascii="宋体" w:hAnsi="宋体" w:eastAsia="宋体"/>
          <w:color w:val="auto"/>
          <w:sz w:val="24"/>
          <w:szCs w:val="24"/>
          <w:highlight w:val="none"/>
          <w:u w:val="single"/>
        </w:rPr>
        <w:t>　　　　　</w:t>
      </w:r>
    </w:p>
    <w:p w14:paraId="2C3191A4">
      <w:pPr>
        <w:spacing w:line="360" w:lineRule="auto"/>
        <w:ind w:right="480"/>
        <w:contextualSpacing/>
        <w:jc w:val="left"/>
        <w:rPr>
          <w:rFonts w:ascii="宋体" w:hAnsi="宋体"/>
          <w:color w:val="auto"/>
          <w:sz w:val="24"/>
          <w:szCs w:val="20"/>
          <w:highlight w:val="none"/>
        </w:rPr>
      </w:pPr>
      <w:r>
        <w:rPr>
          <w:rFonts w:hint="eastAsia" w:ascii="宋体" w:hAnsi="宋体" w:cs="Arial"/>
          <w:color w:val="auto"/>
          <w:sz w:val="24"/>
          <w:highlight w:val="none"/>
        </w:rPr>
        <w:t xml:space="preserve">投标人（盖公章）： </w:t>
      </w:r>
      <w:r>
        <w:rPr>
          <w:rFonts w:hint="eastAsia" w:ascii="宋体" w:hAnsi="宋体"/>
          <w:color w:val="auto"/>
          <w:sz w:val="24"/>
          <w:highlight w:val="none"/>
        </w:rPr>
        <w:t xml:space="preserve">                                                              年    月    日</w:t>
      </w:r>
    </w:p>
    <w:p w14:paraId="36719EE8">
      <w:pPr>
        <w:snapToGrid w:val="0"/>
        <w:spacing w:before="50"/>
        <w:ind w:firstLine="480" w:firstLineChars="200"/>
        <w:jc w:val="left"/>
        <w:rPr>
          <w:rFonts w:ascii="宋体" w:hAnsi="宋体"/>
          <w:color w:val="auto"/>
          <w:sz w:val="24"/>
          <w:szCs w:val="20"/>
          <w:highlight w:val="none"/>
        </w:rPr>
      </w:pPr>
    </w:p>
    <w:p w14:paraId="4B816111">
      <w:pPr>
        <w:snapToGrid w:val="0"/>
        <w:spacing w:before="50"/>
        <w:jc w:val="left"/>
        <w:rPr>
          <w:rFonts w:ascii="宋体" w:hAnsi="宋体"/>
          <w:color w:val="auto"/>
          <w:sz w:val="24"/>
          <w:highlight w:val="none"/>
        </w:rPr>
      </w:pPr>
    </w:p>
    <w:p w14:paraId="4D9DB404">
      <w:pPr>
        <w:snapToGrid w:val="0"/>
        <w:spacing w:beforeLines="50"/>
        <w:rPr>
          <w:rFonts w:ascii="宋体" w:hAnsi="宋体"/>
          <w:color w:val="auto"/>
          <w:sz w:val="24"/>
          <w:szCs w:val="20"/>
          <w:highlight w:val="none"/>
        </w:rPr>
        <w:sectPr>
          <w:pgSz w:w="11906" w:h="16838"/>
          <w:pgMar w:top="1440" w:right="1133" w:bottom="1440" w:left="1418" w:header="851" w:footer="992" w:gutter="0"/>
          <w:cols w:space="720" w:num="1"/>
          <w:docGrid w:linePitch="312" w:charSpace="0"/>
        </w:sectPr>
      </w:pPr>
    </w:p>
    <w:p w14:paraId="26D4BBDB">
      <w:pPr>
        <w:rPr>
          <w:rFonts w:ascii="宋体" w:hAnsi="宋体"/>
          <w:b/>
          <w:color w:val="auto"/>
          <w:sz w:val="28"/>
          <w:szCs w:val="28"/>
          <w:highlight w:val="none"/>
        </w:rPr>
      </w:pPr>
      <w:r>
        <w:rPr>
          <w:rFonts w:hint="eastAsia" w:ascii="宋体" w:hAnsi="宋体"/>
          <w:b/>
          <w:color w:val="auto"/>
          <w:sz w:val="28"/>
          <w:szCs w:val="28"/>
          <w:highlight w:val="none"/>
        </w:rPr>
        <w:t>四、技术文件格式</w:t>
      </w:r>
    </w:p>
    <w:p w14:paraId="5934B7E9">
      <w:pPr>
        <w:snapToGrid w:val="0"/>
        <w:spacing w:beforeLines="50" w:after="50"/>
        <w:ind w:left="142"/>
        <w:jc w:val="left"/>
        <w:rPr>
          <w:rFonts w:ascii="宋体" w:hAnsi="宋体"/>
          <w:b/>
          <w:color w:val="auto"/>
          <w:sz w:val="24"/>
          <w:highlight w:val="none"/>
        </w:rPr>
      </w:pPr>
      <w:r>
        <w:rPr>
          <w:rFonts w:hint="eastAsia" w:ascii="宋体" w:hAnsi="宋体"/>
          <w:b/>
          <w:color w:val="auto"/>
          <w:sz w:val="24"/>
          <w:highlight w:val="none"/>
        </w:rPr>
        <w:t xml:space="preserve">1. 技术文件封面格式： </w:t>
      </w:r>
    </w:p>
    <w:p w14:paraId="582E0D73">
      <w:pPr>
        <w:snapToGrid w:val="0"/>
        <w:spacing w:beforeLines="50" w:after="50"/>
        <w:rPr>
          <w:rFonts w:ascii="宋体" w:hAnsi="宋体"/>
          <w:b/>
          <w:bCs/>
          <w:color w:val="auto"/>
          <w:sz w:val="32"/>
          <w:szCs w:val="20"/>
          <w:highlight w:val="none"/>
        </w:rPr>
      </w:pPr>
    </w:p>
    <w:p w14:paraId="7931DDC3">
      <w:pPr>
        <w:snapToGrid w:val="0"/>
        <w:spacing w:beforeLines="50" w:after="50"/>
        <w:rPr>
          <w:rFonts w:ascii="宋体" w:hAnsi="宋体"/>
          <w:color w:val="auto"/>
          <w:sz w:val="24"/>
          <w:szCs w:val="20"/>
          <w:highlight w:val="none"/>
        </w:rPr>
      </w:pPr>
    </w:p>
    <w:p w14:paraId="65A7FD11">
      <w:pPr>
        <w:snapToGrid w:val="0"/>
        <w:spacing w:beforeLines="50" w:after="50"/>
        <w:rPr>
          <w:rFonts w:ascii="宋体" w:hAnsi="宋体"/>
          <w:color w:val="auto"/>
          <w:sz w:val="24"/>
          <w:szCs w:val="20"/>
          <w:highlight w:val="none"/>
        </w:rPr>
      </w:pPr>
    </w:p>
    <w:p w14:paraId="45D4A67F">
      <w:pPr>
        <w:snapToGrid w:val="0"/>
        <w:spacing w:beforeLines="50" w:after="50"/>
        <w:jc w:val="center"/>
        <w:rPr>
          <w:rFonts w:ascii="宋体" w:hAnsi="宋体" w:cs="方正小标宋简体"/>
          <w:color w:val="auto"/>
          <w:sz w:val="84"/>
          <w:szCs w:val="84"/>
          <w:highlight w:val="none"/>
        </w:rPr>
      </w:pPr>
      <w:r>
        <w:rPr>
          <w:rFonts w:hint="eastAsia" w:ascii="宋体" w:hAnsi="宋体" w:cs="方正小标宋简体"/>
          <w:color w:val="auto"/>
          <w:sz w:val="84"/>
          <w:szCs w:val="84"/>
          <w:highlight w:val="none"/>
        </w:rPr>
        <w:t>投  标  文  件</w:t>
      </w:r>
    </w:p>
    <w:p w14:paraId="496CE7A7">
      <w:pPr>
        <w:snapToGrid w:val="0"/>
        <w:spacing w:beforeLines="50" w:after="50"/>
        <w:rPr>
          <w:rFonts w:ascii="宋体" w:hAnsi="宋体"/>
          <w:color w:val="auto"/>
          <w:sz w:val="24"/>
          <w:szCs w:val="20"/>
          <w:highlight w:val="none"/>
        </w:rPr>
      </w:pPr>
    </w:p>
    <w:p w14:paraId="1FA82A4F">
      <w:pPr>
        <w:snapToGrid w:val="0"/>
        <w:spacing w:beforeLines="50" w:after="50"/>
        <w:rPr>
          <w:rFonts w:ascii="宋体" w:hAnsi="宋体"/>
          <w:color w:val="auto"/>
          <w:sz w:val="24"/>
          <w:szCs w:val="20"/>
          <w:highlight w:val="none"/>
        </w:rPr>
      </w:pPr>
    </w:p>
    <w:p w14:paraId="6D85DDA4">
      <w:pPr>
        <w:snapToGrid w:val="0"/>
        <w:spacing w:beforeLines="50" w:after="50"/>
        <w:jc w:val="center"/>
        <w:rPr>
          <w:rFonts w:ascii="宋体" w:hAnsi="宋体"/>
          <w:b/>
          <w:bCs/>
          <w:color w:val="auto"/>
          <w:sz w:val="32"/>
          <w:szCs w:val="32"/>
          <w:highlight w:val="none"/>
        </w:rPr>
      </w:pPr>
      <w:r>
        <w:rPr>
          <w:rFonts w:hint="eastAsia" w:ascii="宋体" w:hAnsi="宋体"/>
          <w:b/>
          <w:bCs/>
          <w:color w:val="auto"/>
          <w:sz w:val="32"/>
          <w:szCs w:val="32"/>
          <w:highlight w:val="none"/>
        </w:rPr>
        <w:t>技  术  文  件</w:t>
      </w:r>
    </w:p>
    <w:p w14:paraId="54D6241F">
      <w:pPr>
        <w:snapToGrid w:val="0"/>
        <w:spacing w:beforeLines="50" w:after="50"/>
        <w:rPr>
          <w:rFonts w:ascii="宋体" w:hAnsi="宋体"/>
          <w:bCs/>
          <w:color w:val="auto"/>
          <w:sz w:val="24"/>
          <w:szCs w:val="20"/>
          <w:highlight w:val="none"/>
        </w:rPr>
      </w:pPr>
    </w:p>
    <w:p w14:paraId="7EC713C5">
      <w:pPr>
        <w:snapToGrid w:val="0"/>
        <w:spacing w:beforeLines="50" w:after="50"/>
        <w:rPr>
          <w:rFonts w:ascii="宋体" w:hAnsi="宋体"/>
          <w:bCs/>
          <w:color w:val="auto"/>
          <w:sz w:val="24"/>
          <w:szCs w:val="20"/>
          <w:highlight w:val="none"/>
        </w:rPr>
      </w:pPr>
    </w:p>
    <w:p w14:paraId="5262FCA8">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p>
    <w:p w14:paraId="567D4A27">
      <w:pPr>
        <w:snapToGrid w:val="0"/>
        <w:spacing w:beforeLines="50" w:after="50" w:line="400" w:lineRule="exact"/>
        <w:ind w:firstLine="360" w:firstLineChars="150"/>
        <w:rPr>
          <w:rFonts w:ascii="宋体" w:hAnsi="宋体"/>
          <w:bCs/>
          <w:color w:val="auto"/>
          <w:sz w:val="24"/>
          <w:szCs w:val="20"/>
          <w:highlight w:val="none"/>
        </w:rPr>
      </w:pPr>
    </w:p>
    <w:p w14:paraId="7CBDCAA7">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73497D9F">
      <w:pPr>
        <w:snapToGrid w:val="0"/>
        <w:spacing w:beforeLines="50" w:after="50" w:line="400" w:lineRule="exact"/>
        <w:ind w:firstLine="360" w:firstLineChars="150"/>
        <w:rPr>
          <w:rFonts w:ascii="宋体" w:hAnsi="宋体"/>
          <w:bCs/>
          <w:color w:val="auto"/>
          <w:sz w:val="24"/>
          <w:highlight w:val="none"/>
        </w:rPr>
      </w:pPr>
    </w:p>
    <w:p w14:paraId="1B4CD24E">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所投分标：</w:t>
      </w:r>
    </w:p>
    <w:p w14:paraId="3396E74E">
      <w:pPr>
        <w:snapToGrid w:val="0"/>
        <w:spacing w:beforeLines="50" w:after="50" w:line="400" w:lineRule="exact"/>
        <w:ind w:firstLine="360" w:firstLineChars="150"/>
        <w:rPr>
          <w:rFonts w:ascii="宋体" w:hAnsi="宋体"/>
          <w:bCs/>
          <w:color w:val="auto"/>
          <w:sz w:val="24"/>
          <w:highlight w:val="none"/>
        </w:rPr>
      </w:pPr>
    </w:p>
    <w:p w14:paraId="0AC05DC9">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731EBF5C">
      <w:pPr>
        <w:snapToGrid w:val="0"/>
        <w:spacing w:beforeLines="50" w:after="50" w:line="400" w:lineRule="exact"/>
        <w:ind w:firstLine="360" w:firstLineChars="150"/>
        <w:rPr>
          <w:rFonts w:ascii="宋体" w:hAnsi="宋体"/>
          <w:bCs/>
          <w:color w:val="auto"/>
          <w:sz w:val="24"/>
          <w:highlight w:val="none"/>
        </w:rPr>
      </w:pPr>
    </w:p>
    <w:p w14:paraId="22440597">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投标人地址：</w:t>
      </w:r>
    </w:p>
    <w:p w14:paraId="1A9CCFFE">
      <w:pPr>
        <w:snapToGrid w:val="0"/>
        <w:spacing w:beforeLines="50" w:after="50" w:line="400" w:lineRule="exact"/>
        <w:ind w:firstLine="360" w:firstLineChars="150"/>
        <w:rPr>
          <w:rFonts w:ascii="宋体" w:hAnsi="宋体"/>
          <w:bCs/>
          <w:color w:val="auto"/>
          <w:sz w:val="24"/>
          <w:highlight w:val="none"/>
        </w:rPr>
      </w:pPr>
    </w:p>
    <w:p w14:paraId="45460D6D">
      <w:pPr>
        <w:snapToGrid w:val="0"/>
        <w:spacing w:beforeLines="50" w:after="50"/>
        <w:ind w:firstLine="645"/>
        <w:jc w:val="center"/>
        <w:rPr>
          <w:rFonts w:ascii="宋体" w:hAnsi="宋体"/>
          <w:color w:val="auto"/>
          <w:sz w:val="24"/>
          <w:highlight w:val="none"/>
        </w:rPr>
      </w:pPr>
    </w:p>
    <w:p w14:paraId="3EAA0D28">
      <w:pPr>
        <w:snapToGrid w:val="0"/>
        <w:spacing w:beforeLines="50" w:after="50"/>
        <w:ind w:firstLine="645"/>
        <w:jc w:val="center"/>
        <w:rPr>
          <w:rFonts w:ascii="宋体" w:hAnsi="宋体"/>
          <w:color w:val="auto"/>
          <w:sz w:val="24"/>
          <w:highlight w:val="none"/>
        </w:rPr>
      </w:pPr>
    </w:p>
    <w:p w14:paraId="276FDEBD">
      <w:pPr>
        <w:snapToGrid w:val="0"/>
        <w:spacing w:beforeLines="5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4CCB2978">
      <w:pPr>
        <w:snapToGrid w:val="0"/>
        <w:spacing w:beforeLines="50" w:after="50"/>
        <w:ind w:firstLine="645"/>
        <w:jc w:val="center"/>
        <w:rPr>
          <w:rFonts w:ascii="宋体" w:hAnsi="宋体"/>
          <w:color w:val="auto"/>
          <w:sz w:val="24"/>
          <w:szCs w:val="20"/>
          <w:highlight w:val="none"/>
        </w:rPr>
      </w:pPr>
    </w:p>
    <w:p w14:paraId="6828802B">
      <w:pPr>
        <w:snapToGrid w:val="0"/>
        <w:spacing w:beforeLines="50" w:after="50"/>
        <w:ind w:left="142"/>
        <w:jc w:val="left"/>
        <w:rPr>
          <w:rFonts w:ascii="宋体" w:hAnsi="宋体"/>
          <w:b/>
          <w:bCs/>
          <w:color w:val="auto"/>
          <w:sz w:val="24"/>
          <w:highlight w:val="none"/>
        </w:rPr>
      </w:pPr>
      <w:r>
        <w:rPr>
          <w:rFonts w:ascii="宋体" w:hAnsi="宋体"/>
          <w:b/>
          <w:bCs/>
          <w:color w:val="auto"/>
          <w:sz w:val="24"/>
          <w:highlight w:val="none"/>
        </w:rPr>
        <w:br w:type="page"/>
      </w:r>
      <w:r>
        <w:rPr>
          <w:rFonts w:hint="eastAsia" w:ascii="宋体" w:hAnsi="宋体"/>
          <w:b/>
          <w:bCs/>
          <w:color w:val="auto"/>
          <w:sz w:val="24"/>
          <w:highlight w:val="none"/>
        </w:rPr>
        <w:t>2.技术文件目录</w:t>
      </w:r>
    </w:p>
    <w:p w14:paraId="40A06234">
      <w:pPr>
        <w:snapToGrid w:val="0"/>
        <w:spacing w:before="50" w:afterLines="50"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根据招标文件规定及投标人提供的材料自行编写目录。</w:t>
      </w:r>
    </w:p>
    <w:p w14:paraId="71F3726F">
      <w:pPr>
        <w:snapToGrid w:val="0"/>
        <w:spacing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技术要求偏离表格式</w:t>
      </w:r>
    </w:p>
    <w:p w14:paraId="3FAEF126">
      <w:pPr>
        <w:snapToGrid w:val="0"/>
        <w:spacing w:beforeLines="50" w:after="50"/>
        <w:ind w:left="142"/>
        <w:jc w:val="left"/>
        <w:rPr>
          <w:rFonts w:ascii="宋体" w:hAnsi="宋体"/>
          <w:b/>
          <w:color w:val="auto"/>
          <w:sz w:val="24"/>
          <w:highlight w:val="none"/>
        </w:rPr>
      </w:pPr>
    </w:p>
    <w:p w14:paraId="3C40A89C">
      <w:pPr>
        <w:snapToGrid w:val="0"/>
        <w:spacing w:beforeLines="50" w:after="50"/>
        <w:ind w:left="142"/>
        <w:jc w:val="center"/>
        <w:rPr>
          <w:rFonts w:ascii="宋体" w:hAnsi="宋体"/>
          <w:b/>
          <w:color w:val="auto"/>
          <w:sz w:val="32"/>
          <w:szCs w:val="32"/>
          <w:highlight w:val="none"/>
        </w:rPr>
      </w:pPr>
      <w:r>
        <w:rPr>
          <w:rFonts w:hint="eastAsia" w:ascii="宋体" w:hAnsi="宋体"/>
          <w:b/>
          <w:color w:val="auto"/>
          <w:sz w:val="32"/>
          <w:szCs w:val="32"/>
          <w:highlight w:val="none"/>
        </w:rPr>
        <w:t>技术要求偏离表</w:t>
      </w:r>
    </w:p>
    <w:p w14:paraId="22AB4A93">
      <w:pPr>
        <w:pStyle w:val="25"/>
        <w:rPr>
          <w:rFonts w:hAnsi="宋体"/>
          <w:color w:val="auto"/>
          <w:sz w:val="24"/>
          <w:szCs w:val="24"/>
          <w:highlight w:val="none"/>
        </w:rPr>
      </w:pPr>
      <w:r>
        <w:rPr>
          <w:rFonts w:hint="eastAsia" w:hAnsi="宋体"/>
          <w:color w:val="auto"/>
          <w:sz w:val="24"/>
          <w:szCs w:val="24"/>
          <w:highlight w:val="none"/>
        </w:rPr>
        <w:t>所投分标：分标</w:t>
      </w:r>
    </w:p>
    <w:tbl>
      <w:tblPr>
        <w:tblStyle w:val="49"/>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462C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0FA786FB">
            <w:pPr>
              <w:pStyle w:val="25"/>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项号</w:t>
            </w:r>
          </w:p>
        </w:tc>
        <w:tc>
          <w:tcPr>
            <w:tcW w:w="2143" w:type="dxa"/>
            <w:vAlign w:val="center"/>
          </w:tcPr>
          <w:p w14:paraId="4999D0CB">
            <w:pPr>
              <w:pStyle w:val="25"/>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标的的名称</w:t>
            </w:r>
          </w:p>
        </w:tc>
        <w:tc>
          <w:tcPr>
            <w:tcW w:w="1834" w:type="dxa"/>
            <w:vAlign w:val="center"/>
          </w:tcPr>
          <w:p w14:paraId="42D3A2D5">
            <w:pPr>
              <w:pStyle w:val="25"/>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技术要求</w:t>
            </w:r>
          </w:p>
        </w:tc>
        <w:tc>
          <w:tcPr>
            <w:tcW w:w="2181" w:type="dxa"/>
            <w:vAlign w:val="center"/>
          </w:tcPr>
          <w:p w14:paraId="524E1C4F">
            <w:pPr>
              <w:pStyle w:val="25"/>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投标响应</w:t>
            </w:r>
          </w:p>
        </w:tc>
        <w:tc>
          <w:tcPr>
            <w:tcW w:w="1934" w:type="dxa"/>
            <w:vAlign w:val="center"/>
          </w:tcPr>
          <w:p w14:paraId="735A03F7">
            <w:pPr>
              <w:pStyle w:val="25"/>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偏离说明</w:t>
            </w:r>
          </w:p>
        </w:tc>
      </w:tr>
      <w:tr w14:paraId="0017D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0EAC949">
            <w:pPr>
              <w:pStyle w:val="25"/>
              <w:spacing w:line="600" w:lineRule="exact"/>
              <w:jc w:val="center"/>
              <w:rPr>
                <w:rFonts w:hAnsi="宋体" w:cs="Courier New"/>
                <w:color w:val="auto"/>
                <w:kern w:val="2"/>
                <w:sz w:val="24"/>
                <w:szCs w:val="24"/>
                <w:highlight w:val="none"/>
              </w:rPr>
            </w:pPr>
          </w:p>
        </w:tc>
        <w:tc>
          <w:tcPr>
            <w:tcW w:w="2143" w:type="dxa"/>
            <w:vAlign w:val="center"/>
          </w:tcPr>
          <w:p w14:paraId="12C3A63E">
            <w:pPr>
              <w:pStyle w:val="25"/>
              <w:spacing w:line="600" w:lineRule="exact"/>
              <w:jc w:val="center"/>
              <w:rPr>
                <w:rFonts w:hAnsi="宋体" w:cs="Courier New"/>
                <w:color w:val="auto"/>
                <w:kern w:val="2"/>
                <w:sz w:val="24"/>
                <w:szCs w:val="24"/>
                <w:highlight w:val="none"/>
              </w:rPr>
            </w:pPr>
          </w:p>
        </w:tc>
        <w:tc>
          <w:tcPr>
            <w:tcW w:w="1834" w:type="dxa"/>
            <w:vAlign w:val="center"/>
          </w:tcPr>
          <w:p w14:paraId="15B4D019">
            <w:pPr>
              <w:pStyle w:val="25"/>
              <w:spacing w:line="600" w:lineRule="exact"/>
              <w:jc w:val="center"/>
              <w:rPr>
                <w:rFonts w:hAnsi="宋体" w:cs="Courier New"/>
                <w:color w:val="auto"/>
                <w:kern w:val="2"/>
                <w:sz w:val="24"/>
                <w:szCs w:val="24"/>
                <w:highlight w:val="none"/>
              </w:rPr>
            </w:pPr>
          </w:p>
        </w:tc>
        <w:tc>
          <w:tcPr>
            <w:tcW w:w="2181" w:type="dxa"/>
            <w:vAlign w:val="center"/>
          </w:tcPr>
          <w:p w14:paraId="5B8CD81E">
            <w:pPr>
              <w:pStyle w:val="25"/>
              <w:spacing w:line="600" w:lineRule="exact"/>
              <w:jc w:val="center"/>
              <w:rPr>
                <w:rFonts w:hAnsi="宋体" w:cs="Courier New"/>
                <w:color w:val="auto"/>
                <w:kern w:val="2"/>
                <w:sz w:val="24"/>
                <w:szCs w:val="24"/>
                <w:highlight w:val="none"/>
              </w:rPr>
            </w:pPr>
          </w:p>
        </w:tc>
        <w:tc>
          <w:tcPr>
            <w:tcW w:w="1934" w:type="dxa"/>
            <w:vAlign w:val="center"/>
          </w:tcPr>
          <w:p w14:paraId="6074432F">
            <w:pPr>
              <w:pStyle w:val="25"/>
              <w:spacing w:line="600" w:lineRule="exact"/>
              <w:jc w:val="center"/>
              <w:rPr>
                <w:rFonts w:hAnsi="宋体" w:cs="Courier New"/>
                <w:color w:val="auto"/>
                <w:kern w:val="2"/>
                <w:sz w:val="24"/>
                <w:szCs w:val="24"/>
                <w:highlight w:val="none"/>
              </w:rPr>
            </w:pPr>
          </w:p>
        </w:tc>
      </w:tr>
      <w:tr w14:paraId="74B3B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059ABBE">
            <w:pPr>
              <w:pStyle w:val="25"/>
              <w:spacing w:line="600" w:lineRule="exact"/>
              <w:rPr>
                <w:rFonts w:hAnsi="宋体" w:cs="Courier New"/>
                <w:color w:val="auto"/>
                <w:kern w:val="2"/>
                <w:sz w:val="24"/>
                <w:szCs w:val="24"/>
                <w:highlight w:val="none"/>
              </w:rPr>
            </w:pPr>
          </w:p>
        </w:tc>
        <w:tc>
          <w:tcPr>
            <w:tcW w:w="2143" w:type="dxa"/>
          </w:tcPr>
          <w:p w14:paraId="43CEDC53">
            <w:pPr>
              <w:pStyle w:val="25"/>
              <w:spacing w:line="600" w:lineRule="exact"/>
              <w:rPr>
                <w:rFonts w:hAnsi="宋体" w:cs="Courier New"/>
                <w:color w:val="auto"/>
                <w:kern w:val="2"/>
                <w:sz w:val="24"/>
                <w:szCs w:val="24"/>
                <w:highlight w:val="none"/>
              </w:rPr>
            </w:pPr>
          </w:p>
        </w:tc>
        <w:tc>
          <w:tcPr>
            <w:tcW w:w="1834" w:type="dxa"/>
          </w:tcPr>
          <w:p w14:paraId="302D7933">
            <w:pPr>
              <w:pStyle w:val="25"/>
              <w:spacing w:line="600" w:lineRule="exact"/>
              <w:rPr>
                <w:rFonts w:hAnsi="宋体" w:cs="Courier New"/>
                <w:color w:val="auto"/>
                <w:kern w:val="2"/>
                <w:sz w:val="24"/>
                <w:szCs w:val="24"/>
                <w:highlight w:val="none"/>
              </w:rPr>
            </w:pPr>
          </w:p>
        </w:tc>
        <w:tc>
          <w:tcPr>
            <w:tcW w:w="2181" w:type="dxa"/>
          </w:tcPr>
          <w:p w14:paraId="5F3615AE">
            <w:pPr>
              <w:pStyle w:val="25"/>
              <w:spacing w:line="600" w:lineRule="exact"/>
              <w:rPr>
                <w:rFonts w:hAnsi="宋体" w:cs="Courier New"/>
                <w:color w:val="auto"/>
                <w:kern w:val="2"/>
                <w:sz w:val="24"/>
                <w:szCs w:val="24"/>
                <w:highlight w:val="none"/>
              </w:rPr>
            </w:pPr>
          </w:p>
        </w:tc>
        <w:tc>
          <w:tcPr>
            <w:tcW w:w="1934" w:type="dxa"/>
          </w:tcPr>
          <w:p w14:paraId="2D39EF44">
            <w:pPr>
              <w:pStyle w:val="25"/>
              <w:spacing w:line="600" w:lineRule="exact"/>
              <w:rPr>
                <w:rFonts w:hAnsi="宋体" w:cs="Courier New"/>
                <w:color w:val="auto"/>
                <w:kern w:val="2"/>
                <w:sz w:val="24"/>
                <w:szCs w:val="24"/>
                <w:highlight w:val="none"/>
              </w:rPr>
            </w:pPr>
          </w:p>
        </w:tc>
      </w:tr>
      <w:tr w14:paraId="641F7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5A1719C">
            <w:pPr>
              <w:pStyle w:val="25"/>
              <w:spacing w:line="600" w:lineRule="exact"/>
              <w:rPr>
                <w:rFonts w:hAnsi="宋体" w:cs="Courier New"/>
                <w:color w:val="auto"/>
                <w:kern w:val="2"/>
                <w:sz w:val="24"/>
                <w:szCs w:val="24"/>
                <w:highlight w:val="none"/>
              </w:rPr>
            </w:pPr>
          </w:p>
        </w:tc>
        <w:tc>
          <w:tcPr>
            <w:tcW w:w="2143" w:type="dxa"/>
          </w:tcPr>
          <w:p w14:paraId="601828DC">
            <w:pPr>
              <w:pStyle w:val="25"/>
              <w:spacing w:line="600" w:lineRule="exact"/>
              <w:rPr>
                <w:rFonts w:hAnsi="宋体" w:cs="Courier New"/>
                <w:color w:val="auto"/>
                <w:kern w:val="2"/>
                <w:sz w:val="24"/>
                <w:szCs w:val="24"/>
                <w:highlight w:val="none"/>
              </w:rPr>
            </w:pPr>
          </w:p>
        </w:tc>
        <w:tc>
          <w:tcPr>
            <w:tcW w:w="1834" w:type="dxa"/>
          </w:tcPr>
          <w:p w14:paraId="1535F791">
            <w:pPr>
              <w:pStyle w:val="25"/>
              <w:spacing w:line="600" w:lineRule="exact"/>
              <w:rPr>
                <w:rFonts w:hAnsi="宋体" w:cs="Courier New"/>
                <w:color w:val="auto"/>
                <w:kern w:val="2"/>
                <w:sz w:val="24"/>
                <w:szCs w:val="24"/>
                <w:highlight w:val="none"/>
              </w:rPr>
            </w:pPr>
          </w:p>
        </w:tc>
        <w:tc>
          <w:tcPr>
            <w:tcW w:w="2181" w:type="dxa"/>
          </w:tcPr>
          <w:p w14:paraId="33145ACC">
            <w:pPr>
              <w:pStyle w:val="25"/>
              <w:spacing w:line="600" w:lineRule="exact"/>
              <w:rPr>
                <w:rFonts w:hAnsi="宋体" w:cs="Courier New"/>
                <w:color w:val="auto"/>
                <w:kern w:val="2"/>
                <w:sz w:val="24"/>
                <w:szCs w:val="24"/>
                <w:highlight w:val="none"/>
              </w:rPr>
            </w:pPr>
          </w:p>
        </w:tc>
        <w:tc>
          <w:tcPr>
            <w:tcW w:w="1934" w:type="dxa"/>
          </w:tcPr>
          <w:p w14:paraId="3D9350A1">
            <w:pPr>
              <w:pStyle w:val="25"/>
              <w:spacing w:line="600" w:lineRule="exact"/>
              <w:rPr>
                <w:rFonts w:hAnsi="宋体" w:cs="Courier New"/>
                <w:color w:val="auto"/>
                <w:kern w:val="2"/>
                <w:sz w:val="24"/>
                <w:szCs w:val="24"/>
                <w:highlight w:val="none"/>
              </w:rPr>
            </w:pPr>
          </w:p>
        </w:tc>
      </w:tr>
      <w:tr w14:paraId="1100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3C05404">
            <w:pPr>
              <w:pStyle w:val="25"/>
              <w:spacing w:line="600" w:lineRule="exact"/>
              <w:rPr>
                <w:rFonts w:hAnsi="宋体" w:cs="Courier New"/>
                <w:color w:val="auto"/>
                <w:kern w:val="2"/>
                <w:sz w:val="24"/>
                <w:szCs w:val="24"/>
                <w:highlight w:val="none"/>
              </w:rPr>
            </w:pPr>
          </w:p>
        </w:tc>
        <w:tc>
          <w:tcPr>
            <w:tcW w:w="2143" w:type="dxa"/>
          </w:tcPr>
          <w:p w14:paraId="4E59A203">
            <w:pPr>
              <w:pStyle w:val="25"/>
              <w:spacing w:line="600" w:lineRule="exact"/>
              <w:rPr>
                <w:rFonts w:hAnsi="宋体" w:cs="Courier New"/>
                <w:color w:val="auto"/>
                <w:kern w:val="2"/>
                <w:sz w:val="24"/>
                <w:szCs w:val="24"/>
                <w:highlight w:val="none"/>
              </w:rPr>
            </w:pPr>
          </w:p>
        </w:tc>
        <w:tc>
          <w:tcPr>
            <w:tcW w:w="1834" w:type="dxa"/>
          </w:tcPr>
          <w:p w14:paraId="3A8D9748">
            <w:pPr>
              <w:pStyle w:val="25"/>
              <w:spacing w:line="600" w:lineRule="exact"/>
              <w:rPr>
                <w:rFonts w:hAnsi="宋体" w:cs="Courier New"/>
                <w:color w:val="auto"/>
                <w:kern w:val="2"/>
                <w:sz w:val="24"/>
                <w:szCs w:val="24"/>
                <w:highlight w:val="none"/>
              </w:rPr>
            </w:pPr>
          </w:p>
        </w:tc>
        <w:tc>
          <w:tcPr>
            <w:tcW w:w="2181" w:type="dxa"/>
          </w:tcPr>
          <w:p w14:paraId="007C5619">
            <w:pPr>
              <w:pStyle w:val="25"/>
              <w:spacing w:line="600" w:lineRule="exact"/>
              <w:rPr>
                <w:rFonts w:hAnsi="宋体" w:cs="Courier New"/>
                <w:color w:val="auto"/>
                <w:kern w:val="2"/>
                <w:sz w:val="24"/>
                <w:szCs w:val="24"/>
                <w:highlight w:val="none"/>
              </w:rPr>
            </w:pPr>
          </w:p>
        </w:tc>
        <w:tc>
          <w:tcPr>
            <w:tcW w:w="1934" w:type="dxa"/>
          </w:tcPr>
          <w:p w14:paraId="09FF6FA5">
            <w:pPr>
              <w:pStyle w:val="25"/>
              <w:spacing w:line="600" w:lineRule="exact"/>
              <w:rPr>
                <w:rFonts w:hAnsi="宋体" w:cs="Courier New"/>
                <w:color w:val="auto"/>
                <w:kern w:val="2"/>
                <w:sz w:val="24"/>
                <w:szCs w:val="24"/>
                <w:highlight w:val="none"/>
              </w:rPr>
            </w:pPr>
          </w:p>
        </w:tc>
      </w:tr>
      <w:tr w14:paraId="3387B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63C65B6">
            <w:pPr>
              <w:pStyle w:val="25"/>
              <w:spacing w:line="600" w:lineRule="exact"/>
              <w:rPr>
                <w:rFonts w:hAnsi="宋体" w:cs="Courier New"/>
                <w:color w:val="auto"/>
                <w:kern w:val="2"/>
                <w:sz w:val="24"/>
                <w:szCs w:val="24"/>
                <w:highlight w:val="none"/>
              </w:rPr>
            </w:pPr>
          </w:p>
        </w:tc>
        <w:tc>
          <w:tcPr>
            <w:tcW w:w="2143" w:type="dxa"/>
          </w:tcPr>
          <w:p w14:paraId="1434CC7E">
            <w:pPr>
              <w:pStyle w:val="25"/>
              <w:spacing w:line="600" w:lineRule="exact"/>
              <w:rPr>
                <w:rFonts w:hAnsi="宋体" w:cs="Courier New"/>
                <w:color w:val="auto"/>
                <w:kern w:val="2"/>
                <w:sz w:val="24"/>
                <w:szCs w:val="24"/>
                <w:highlight w:val="none"/>
              </w:rPr>
            </w:pPr>
          </w:p>
        </w:tc>
        <w:tc>
          <w:tcPr>
            <w:tcW w:w="1834" w:type="dxa"/>
          </w:tcPr>
          <w:p w14:paraId="1C2A2D58">
            <w:pPr>
              <w:pStyle w:val="25"/>
              <w:spacing w:line="600" w:lineRule="exact"/>
              <w:rPr>
                <w:rFonts w:hAnsi="宋体" w:cs="Courier New"/>
                <w:color w:val="auto"/>
                <w:kern w:val="2"/>
                <w:sz w:val="24"/>
                <w:szCs w:val="24"/>
                <w:highlight w:val="none"/>
              </w:rPr>
            </w:pPr>
          </w:p>
        </w:tc>
        <w:tc>
          <w:tcPr>
            <w:tcW w:w="2181" w:type="dxa"/>
          </w:tcPr>
          <w:p w14:paraId="4D0DA8D4">
            <w:pPr>
              <w:pStyle w:val="25"/>
              <w:spacing w:line="600" w:lineRule="exact"/>
              <w:rPr>
                <w:rFonts w:hAnsi="宋体" w:cs="Courier New"/>
                <w:color w:val="auto"/>
                <w:kern w:val="2"/>
                <w:sz w:val="24"/>
                <w:szCs w:val="24"/>
                <w:highlight w:val="none"/>
              </w:rPr>
            </w:pPr>
          </w:p>
        </w:tc>
        <w:tc>
          <w:tcPr>
            <w:tcW w:w="1934" w:type="dxa"/>
          </w:tcPr>
          <w:p w14:paraId="72FF19EC">
            <w:pPr>
              <w:pStyle w:val="25"/>
              <w:spacing w:line="600" w:lineRule="exact"/>
              <w:rPr>
                <w:rFonts w:hAnsi="宋体" w:cs="Courier New"/>
                <w:color w:val="auto"/>
                <w:kern w:val="2"/>
                <w:sz w:val="24"/>
                <w:szCs w:val="24"/>
                <w:highlight w:val="none"/>
              </w:rPr>
            </w:pPr>
          </w:p>
        </w:tc>
      </w:tr>
      <w:tr w14:paraId="07F4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2882B5E">
            <w:pPr>
              <w:pStyle w:val="25"/>
              <w:spacing w:line="600" w:lineRule="exact"/>
              <w:rPr>
                <w:rFonts w:hAnsi="宋体" w:cs="Courier New"/>
                <w:color w:val="auto"/>
                <w:kern w:val="2"/>
                <w:sz w:val="24"/>
                <w:szCs w:val="24"/>
                <w:highlight w:val="none"/>
              </w:rPr>
            </w:pPr>
          </w:p>
        </w:tc>
        <w:tc>
          <w:tcPr>
            <w:tcW w:w="2143" w:type="dxa"/>
          </w:tcPr>
          <w:p w14:paraId="0D9C4F81">
            <w:pPr>
              <w:pStyle w:val="25"/>
              <w:spacing w:line="600" w:lineRule="exact"/>
              <w:rPr>
                <w:rFonts w:hAnsi="宋体" w:cs="Courier New"/>
                <w:color w:val="auto"/>
                <w:kern w:val="2"/>
                <w:sz w:val="24"/>
                <w:szCs w:val="24"/>
                <w:highlight w:val="none"/>
              </w:rPr>
            </w:pPr>
          </w:p>
        </w:tc>
        <w:tc>
          <w:tcPr>
            <w:tcW w:w="1834" w:type="dxa"/>
          </w:tcPr>
          <w:p w14:paraId="51F6AEC5">
            <w:pPr>
              <w:pStyle w:val="25"/>
              <w:spacing w:line="600" w:lineRule="exact"/>
              <w:rPr>
                <w:rFonts w:hAnsi="宋体" w:cs="Courier New"/>
                <w:color w:val="auto"/>
                <w:kern w:val="2"/>
                <w:sz w:val="24"/>
                <w:szCs w:val="24"/>
                <w:highlight w:val="none"/>
              </w:rPr>
            </w:pPr>
          </w:p>
        </w:tc>
        <w:tc>
          <w:tcPr>
            <w:tcW w:w="2181" w:type="dxa"/>
          </w:tcPr>
          <w:p w14:paraId="4B36C2F2">
            <w:pPr>
              <w:pStyle w:val="25"/>
              <w:spacing w:line="600" w:lineRule="exact"/>
              <w:rPr>
                <w:rFonts w:hAnsi="宋体" w:cs="Courier New"/>
                <w:color w:val="auto"/>
                <w:kern w:val="2"/>
                <w:sz w:val="24"/>
                <w:szCs w:val="24"/>
                <w:highlight w:val="none"/>
              </w:rPr>
            </w:pPr>
          </w:p>
        </w:tc>
        <w:tc>
          <w:tcPr>
            <w:tcW w:w="1934" w:type="dxa"/>
          </w:tcPr>
          <w:p w14:paraId="0B153C73">
            <w:pPr>
              <w:pStyle w:val="25"/>
              <w:spacing w:line="600" w:lineRule="exact"/>
              <w:rPr>
                <w:rFonts w:hAnsi="宋体" w:cs="Courier New"/>
                <w:color w:val="auto"/>
                <w:kern w:val="2"/>
                <w:sz w:val="24"/>
                <w:szCs w:val="24"/>
                <w:highlight w:val="none"/>
              </w:rPr>
            </w:pPr>
          </w:p>
        </w:tc>
      </w:tr>
    </w:tbl>
    <w:p w14:paraId="333B1476">
      <w:pPr>
        <w:pStyle w:val="18"/>
        <w:rPr>
          <w:rFonts w:ascii="宋体" w:hAnsi="宋体"/>
          <w:color w:val="auto"/>
          <w:highlight w:val="none"/>
        </w:rPr>
      </w:pPr>
      <w:r>
        <w:rPr>
          <w:rFonts w:hint="eastAsia" w:ascii="宋体" w:hAnsi="宋体"/>
          <w:color w:val="auto"/>
          <w:highlight w:val="none"/>
        </w:rPr>
        <w:t>注：</w:t>
      </w:r>
    </w:p>
    <w:p w14:paraId="39AACCE8">
      <w:pPr>
        <w:pStyle w:val="20"/>
        <w:spacing w:line="360" w:lineRule="auto"/>
        <w:contextualSpacing/>
        <w:rPr>
          <w:rFonts w:ascii="宋体" w:hAnsi="宋体" w:cs="仿宋_GB2312"/>
          <w:color w:val="auto"/>
          <w:szCs w:val="32"/>
          <w:highlight w:val="none"/>
        </w:rPr>
      </w:pPr>
      <w:r>
        <w:rPr>
          <w:rFonts w:hint="eastAsia" w:ascii="宋体" w:hAnsi="宋体"/>
          <w:color w:val="auto"/>
          <w:sz w:val="24"/>
          <w:highlight w:val="none"/>
        </w:rPr>
        <w:t>1.说明：应对照招标文件“第二章 采购需求”中的“技术要求”逐条作明确的投标响应，并作出偏离说明。</w:t>
      </w:r>
    </w:p>
    <w:p w14:paraId="2340A008">
      <w:pPr>
        <w:pStyle w:val="18"/>
        <w:spacing w:line="360" w:lineRule="auto"/>
        <w:contextualSpacing/>
        <w:rPr>
          <w:rFonts w:ascii="宋体" w:hAnsi="宋体"/>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3363CA23">
      <w:pPr>
        <w:snapToGrid w:val="0"/>
        <w:spacing w:before="50" w:after="50" w:line="360" w:lineRule="auto"/>
        <w:rPr>
          <w:rFonts w:ascii="宋体" w:hAnsi="宋体"/>
          <w:color w:val="auto"/>
          <w:sz w:val="24"/>
          <w:highlight w:val="none"/>
        </w:rPr>
      </w:pPr>
    </w:p>
    <w:p w14:paraId="44E54CF5">
      <w:pPr>
        <w:snapToGrid w:val="0"/>
        <w:spacing w:before="50" w:after="50" w:line="360" w:lineRule="auto"/>
        <w:rPr>
          <w:rFonts w:ascii="宋体" w:hAnsi="宋体"/>
          <w:color w:val="auto"/>
          <w:sz w:val="24"/>
          <w:highlight w:val="none"/>
        </w:rPr>
      </w:pPr>
    </w:p>
    <w:p w14:paraId="5867244F">
      <w:pPr>
        <w:snapToGrid w:val="0"/>
        <w:spacing w:before="50" w:after="50" w:line="360" w:lineRule="auto"/>
        <w:rPr>
          <w:rFonts w:ascii="宋体" w:hAnsi="宋体"/>
          <w:color w:val="auto"/>
          <w:sz w:val="24"/>
          <w:highlight w:val="none"/>
        </w:rPr>
      </w:pPr>
    </w:p>
    <w:p w14:paraId="18D21E99">
      <w:pPr>
        <w:snapToGrid w:val="0"/>
        <w:spacing w:before="50" w:after="50" w:line="360" w:lineRule="auto"/>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p>
    <w:p w14:paraId="4EA81686">
      <w:pPr>
        <w:snapToGrid w:val="0"/>
        <w:spacing w:before="50" w:after="50" w:line="360" w:lineRule="auto"/>
        <w:rPr>
          <w:rFonts w:ascii="宋体" w:hAnsi="宋体"/>
          <w:color w:val="auto"/>
          <w:spacing w:val="20"/>
          <w:sz w:val="24"/>
          <w:highlight w:val="none"/>
          <w:u w:val="single"/>
        </w:rPr>
      </w:pPr>
      <w:r>
        <w:rPr>
          <w:rFonts w:hint="eastAsia" w:ascii="宋体" w:hAnsi="宋体"/>
          <w:color w:val="auto"/>
          <w:spacing w:val="20"/>
          <w:sz w:val="24"/>
          <w:highlight w:val="none"/>
        </w:rPr>
        <w:t>投标人（盖公章）：              日 期：</w:t>
      </w:r>
    </w:p>
    <w:p w14:paraId="65A9FE23">
      <w:pPr>
        <w:snapToGrid w:val="0"/>
        <w:spacing w:before="50" w:after="50" w:line="360" w:lineRule="auto"/>
        <w:rPr>
          <w:rFonts w:ascii="宋体" w:hAnsi="宋体"/>
          <w:color w:val="auto"/>
          <w:sz w:val="24"/>
          <w:szCs w:val="20"/>
          <w:highlight w:val="none"/>
        </w:rPr>
      </w:pPr>
    </w:p>
    <w:p w14:paraId="2FD23BB9">
      <w:pPr>
        <w:snapToGrid w:val="0"/>
        <w:spacing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4. 项目实施人员一览表格式</w:t>
      </w:r>
    </w:p>
    <w:p w14:paraId="397C1105">
      <w:pPr>
        <w:snapToGrid w:val="0"/>
        <w:spacing w:beforeLines="50" w:after="50"/>
        <w:ind w:left="142"/>
        <w:jc w:val="left"/>
        <w:rPr>
          <w:rFonts w:ascii="宋体" w:hAnsi="宋体"/>
          <w:b/>
          <w:color w:val="auto"/>
          <w:sz w:val="24"/>
          <w:highlight w:val="none"/>
        </w:rPr>
      </w:pPr>
    </w:p>
    <w:p w14:paraId="2A8064E2">
      <w:pPr>
        <w:snapToGrid w:val="0"/>
        <w:spacing w:beforeLines="50" w:after="50"/>
        <w:ind w:left="142"/>
        <w:jc w:val="center"/>
        <w:rPr>
          <w:rFonts w:ascii="宋体" w:hAnsi="宋体"/>
          <w:b/>
          <w:color w:val="auto"/>
          <w:sz w:val="32"/>
          <w:szCs w:val="32"/>
          <w:highlight w:val="none"/>
        </w:rPr>
      </w:pPr>
      <w:r>
        <w:rPr>
          <w:rFonts w:hint="eastAsia" w:ascii="宋体" w:hAnsi="宋体"/>
          <w:b/>
          <w:color w:val="auto"/>
          <w:sz w:val="32"/>
          <w:szCs w:val="32"/>
          <w:highlight w:val="none"/>
        </w:rPr>
        <w:t>项目实施人员一览表</w:t>
      </w:r>
    </w:p>
    <w:p w14:paraId="76125206">
      <w:pPr>
        <w:pStyle w:val="25"/>
        <w:rPr>
          <w:rFonts w:hAnsi="宋体"/>
          <w:color w:val="auto"/>
          <w:sz w:val="24"/>
          <w:szCs w:val="24"/>
          <w:highlight w:val="none"/>
        </w:rPr>
      </w:pPr>
      <w:r>
        <w:rPr>
          <w:rFonts w:hint="eastAsia" w:hAnsi="宋体"/>
          <w:color w:val="auto"/>
          <w:sz w:val="24"/>
          <w:szCs w:val="24"/>
          <w:highlight w:val="none"/>
        </w:rPr>
        <w:t>所投分标：分标</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43067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C69C868">
            <w:pPr>
              <w:snapToGrid w:val="0"/>
              <w:spacing w:before="50" w:afterLines="50"/>
              <w:jc w:val="center"/>
              <w:rPr>
                <w:rFonts w:ascii="宋体" w:hAnsi="宋体"/>
                <w:color w:val="auto"/>
                <w:sz w:val="24"/>
                <w:szCs w:val="20"/>
                <w:highlight w:val="none"/>
              </w:rPr>
            </w:pPr>
            <w:r>
              <w:rPr>
                <w:rFonts w:hint="eastAsia" w:ascii="宋体" w:hAnsi="宋体"/>
                <w:color w:val="auto"/>
                <w:sz w:val="24"/>
                <w:szCs w:val="20"/>
                <w:highlight w:val="none"/>
              </w:rPr>
              <w:t>姓名</w:t>
            </w:r>
          </w:p>
        </w:tc>
        <w:tc>
          <w:tcPr>
            <w:tcW w:w="709" w:type="dxa"/>
            <w:vAlign w:val="center"/>
          </w:tcPr>
          <w:p w14:paraId="11DF32F7">
            <w:pPr>
              <w:snapToGrid w:val="0"/>
              <w:spacing w:before="50" w:afterLines="50"/>
              <w:jc w:val="center"/>
              <w:rPr>
                <w:rFonts w:ascii="宋体" w:hAnsi="宋体"/>
                <w:color w:val="auto"/>
                <w:sz w:val="24"/>
                <w:szCs w:val="20"/>
                <w:highlight w:val="none"/>
              </w:rPr>
            </w:pPr>
            <w:r>
              <w:rPr>
                <w:rFonts w:hint="eastAsia" w:ascii="宋体" w:hAnsi="宋体"/>
                <w:color w:val="auto"/>
                <w:sz w:val="24"/>
                <w:szCs w:val="20"/>
                <w:highlight w:val="none"/>
              </w:rPr>
              <w:t>职务</w:t>
            </w:r>
          </w:p>
        </w:tc>
        <w:tc>
          <w:tcPr>
            <w:tcW w:w="1701" w:type="dxa"/>
            <w:vAlign w:val="center"/>
          </w:tcPr>
          <w:p w14:paraId="29699A7C">
            <w:pPr>
              <w:snapToGrid w:val="0"/>
              <w:spacing w:before="50" w:afterLines="50"/>
              <w:jc w:val="center"/>
              <w:rPr>
                <w:rFonts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vAlign w:val="center"/>
          </w:tcPr>
          <w:p w14:paraId="6EDEDDD8">
            <w:pPr>
              <w:snapToGrid w:val="0"/>
              <w:spacing w:before="50" w:afterLines="50"/>
              <w:jc w:val="center"/>
              <w:rPr>
                <w:rFonts w:ascii="宋体" w:hAnsi="宋体"/>
                <w:color w:val="auto"/>
                <w:sz w:val="24"/>
                <w:szCs w:val="20"/>
                <w:highlight w:val="none"/>
              </w:rPr>
            </w:pPr>
            <w:r>
              <w:rPr>
                <w:rFonts w:hint="eastAsia" w:ascii="宋体" w:hAnsi="宋体"/>
                <w:color w:val="auto"/>
                <w:sz w:val="24"/>
                <w:szCs w:val="20"/>
                <w:highlight w:val="none"/>
              </w:rPr>
              <w:t>证书编号</w:t>
            </w:r>
          </w:p>
        </w:tc>
        <w:tc>
          <w:tcPr>
            <w:tcW w:w="1698" w:type="dxa"/>
            <w:vAlign w:val="center"/>
          </w:tcPr>
          <w:p w14:paraId="6388B204">
            <w:pPr>
              <w:snapToGrid w:val="0"/>
              <w:spacing w:before="50" w:afterLines="50"/>
              <w:jc w:val="center"/>
              <w:rPr>
                <w:rFonts w:ascii="宋体" w:hAnsi="宋体"/>
                <w:color w:val="auto"/>
                <w:sz w:val="24"/>
                <w:szCs w:val="20"/>
                <w:highlight w:val="none"/>
              </w:rPr>
            </w:pPr>
            <w:r>
              <w:rPr>
                <w:rFonts w:hint="eastAsia" w:ascii="宋体" w:hAnsi="宋体"/>
                <w:color w:val="auto"/>
                <w:sz w:val="24"/>
                <w:szCs w:val="20"/>
                <w:highlight w:val="none"/>
              </w:rPr>
              <w:t>参加本单位</w:t>
            </w:r>
          </w:p>
          <w:p w14:paraId="2C1CA87F">
            <w:pPr>
              <w:snapToGrid w:val="0"/>
              <w:spacing w:before="50" w:afterLines="50"/>
              <w:jc w:val="center"/>
              <w:rPr>
                <w:rFonts w:ascii="宋体" w:hAnsi="宋体"/>
                <w:color w:val="auto"/>
                <w:sz w:val="24"/>
                <w:szCs w:val="20"/>
                <w:highlight w:val="none"/>
              </w:rPr>
            </w:pPr>
            <w:r>
              <w:rPr>
                <w:rFonts w:hint="eastAsia" w:ascii="宋体" w:hAnsi="宋体"/>
                <w:color w:val="auto"/>
                <w:sz w:val="24"/>
                <w:szCs w:val="20"/>
                <w:highlight w:val="none"/>
              </w:rPr>
              <w:t>工作时间</w:t>
            </w:r>
          </w:p>
        </w:tc>
        <w:tc>
          <w:tcPr>
            <w:tcW w:w="1843" w:type="dxa"/>
            <w:vAlign w:val="center"/>
          </w:tcPr>
          <w:p w14:paraId="40194669">
            <w:pPr>
              <w:snapToGrid w:val="0"/>
              <w:spacing w:before="50" w:afterLines="50"/>
              <w:jc w:val="center"/>
              <w:rPr>
                <w:rFonts w:ascii="宋体" w:hAnsi="宋体"/>
                <w:color w:val="auto"/>
                <w:sz w:val="24"/>
                <w:szCs w:val="20"/>
                <w:highlight w:val="none"/>
              </w:rPr>
            </w:pPr>
            <w:r>
              <w:rPr>
                <w:rFonts w:hint="eastAsia" w:ascii="宋体" w:hAnsi="宋体"/>
                <w:color w:val="auto"/>
                <w:sz w:val="24"/>
                <w:szCs w:val="20"/>
                <w:highlight w:val="none"/>
              </w:rPr>
              <w:t>劳动合同编号</w:t>
            </w:r>
          </w:p>
        </w:tc>
      </w:tr>
      <w:tr w14:paraId="22589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8C7ECD0">
            <w:pPr>
              <w:snapToGrid w:val="0"/>
              <w:spacing w:before="50" w:afterLines="50"/>
              <w:jc w:val="center"/>
              <w:rPr>
                <w:rFonts w:ascii="宋体" w:hAnsi="宋体"/>
                <w:color w:val="auto"/>
                <w:sz w:val="24"/>
                <w:szCs w:val="20"/>
                <w:highlight w:val="none"/>
              </w:rPr>
            </w:pPr>
          </w:p>
        </w:tc>
        <w:tc>
          <w:tcPr>
            <w:tcW w:w="709" w:type="dxa"/>
            <w:vAlign w:val="center"/>
          </w:tcPr>
          <w:p w14:paraId="22BF988B">
            <w:pPr>
              <w:snapToGrid w:val="0"/>
              <w:spacing w:before="50" w:afterLines="50"/>
              <w:jc w:val="center"/>
              <w:rPr>
                <w:rFonts w:ascii="宋体" w:hAnsi="宋体"/>
                <w:color w:val="auto"/>
                <w:sz w:val="24"/>
                <w:szCs w:val="20"/>
                <w:highlight w:val="none"/>
              </w:rPr>
            </w:pPr>
          </w:p>
        </w:tc>
        <w:tc>
          <w:tcPr>
            <w:tcW w:w="1701" w:type="dxa"/>
            <w:vAlign w:val="center"/>
          </w:tcPr>
          <w:p w14:paraId="7538D4DA">
            <w:pPr>
              <w:snapToGrid w:val="0"/>
              <w:spacing w:before="50" w:afterLines="50"/>
              <w:jc w:val="center"/>
              <w:rPr>
                <w:rFonts w:ascii="宋体" w:hAnsi="宋体"/>
                <w:color w:val="auto"/>
                <w:sz w:val="24"/>
                <w:szCs w:val="20"/>
                <w:highlight w:val="none"/>
              </w:rPr>
            </w:pPr>
          </w:p>
        </w:tc>
        <w:tc>
          <w:tcPr>
            <w:tcW w:w="1420" w:type="dxa"/>
            <w:vAlign w:val="center"/>
          </w:tcPr>
          <w:p w14:paraId="264E326F">
            <w:pPr>
              <w:snapToGrid w:val="0"/>
              <w:spacing w:before="50" w:afterLines="50"/>
              <w:jc w:val="center"/>
              <w:rPr>
                <w:rFonts w:ascii="宋体" w:hAnsi="宋体"/>
                <w:color w:val="auto"/>
                <w:sz w:val="24"/>
                <w:szCs w:val="20"/>
                <w:highlight w:val="none"/>
              </w:rPr>
            </w:pPr>
          </w:p>
        </w:tc>
        <w:tc>
          <w:tcPr>
            <w:tcW w:w="1698" w:type="dxa"/>
            <w:vAlign w:val="center"/>
          </w:tcPr>
          <w:p w14:paraId="09A7D521">
            <w:pPr>
              <w:snapToGrid w:val="0"/>
              <w:spacing w:before="50" w:afterLines="50"/>
              <w:jc w:val="center"/>
              <w:rPr>
                <w:rFonts w:ascii="宋体" w:hAnsi="宋体"/>
                <w:color w:val="auto"/>
                <w:sz w:val="24"/>
                <w:szCs w:val="20"/>
                <w:highlight w:val="none"/>
              </w:rPr>
            </w:pPr>
          </w:p>
        </w:tc>
        <w:tc>
          <w:tcPr>
            <w:tcW w:w="1843" w:type="dxa"/>
            <w:vAlign w:val="center"/>
          </w:tcPr>
          <w:p w14:paraId="1A1EE782">
            <w:pPr>
              <w:snapToGrid w:val="0"/>
              <w:spacing w:before="50" w:afterLines="50"/>
              <w:jc w:val="center"/>
              <w:rPr>
                <w:rFonts w:ascii="宋体" w:hAnsi="宋体"/>
                <w:color w:val="auto"/>
                <w:sz w:val="24"/>
                <w:szCs w:val="20"/>
                <w:highlight w:val="none"/>
              </w:rPr>
            </w:pPr>
          </w:p>
        </w:tc>
      </w:tr>
      <w:tr w14:paraId="04039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0A83FC3">
            <w:pPr>
              <w:snapToGrid w:val="0"/>
              <w:spacing w:before="50" w:afterLines="50"/>
              <w:jc w:val="center"/>
              <w:rPr>
                <w:rFonts w:ascii="宋体" w:hAnsi="宋体"/>
                <w:color w:val="auto"/>
                <w:sz w:val="24"/>
                <w:szCs w:val="20"/>
                <w:highlight w:val="none"/>
              </w:rPr>
            </w:pPr>
          </w:p>
        </w:tc>
        <w:tc>
          <w:tcPr>
            <w:tcW w:w="709" w:type="dxa"/>
            <w:vAlign w:val="center"/>
          </w:tcPr>
          <w:p w14:paraId="08E752C1">
            <w:pPr>
              <w:snapToGrid w:val="0"/>
              <w:spacing w:before="50" w:afterLines="50"/>
              <w:jc w:val="center"/>
              <w:rPr>
                <w:rFonts w:ascii="宋体" w:hAnsi="宋体"/>
                <w:color w:val="auto"/>
                <w:sz w:val="24"/>
                <w:szCs w:val="20"/>
                <w:highlight w:val="none"/>
              </w:rPr>
            </w:pPr>
          </w:p>
        </w:tc>
        <w:tc>
          <w:tcPr>
            <w:tcW w:w="1701" w:type="dxa"/>
            <w:vAlign w:val="center"/>
          </w:tcPr>
          <w:p w14:paraId="533CE5AF">
            <w:pPr>
              <w:snapToGrid w:val="0"/>
              <w:spacing w:before="50" w:afterLines="50"/>
              <w:jc w:val="center"/>
              <w:rPr>
                <w:rFonts w:ascii="宋体" w:hAnsi="宋体"/>
                <w:color w:val="auto"/>
                <w:sz w:val="24"/>
                <w:szCs w:val="20"/>
                <w:highlight w:val="none"/>
              </w:rPr>
            </w:pPr>
          </w:p>
        </w:tc>
        <w:tc>
          <w:tcPr>
            <w:tcW w:w="1420" w:type="dxa"/>
            <w:vAlign w:val="center"/>
          </w:tcPr>
          <w:p w14:paraId="5163C8AA">
            <w:pPr>
              <w:snapToGrid w:val="0"/>
              <w:spacing w:before="50" w:afterLines="50"/>
              <w:jc w:val="center"/>
              <w:rPr>
                <w:rFonts w:ascii="宋体" w:hAnsi="宋体"/>
                <w:color w:val="auto"/>
                <w:sz w:val="24"/>
                <w:szCs w:val="20"/>
                <w:highlight w:val="none"/>
              </w:rPr>
            </w:pPr>
          </w:p>
        </w:tc>
        <w:tc>
          <w:tcPr>
            <w:tcW w:w="1698" w:type="dxa"/>
            <w:vAlign w:val="center"/>
          </w:tcPr>
          <w:p w14:paraId="07D40BAA">
            <w:pPr>
              <w:snapToGrid w:val="0"/>
              <w:spacing w:before="50" w:afterLines="50"/>
              <w:jc w:val="center"/>
              <w:rPr>
                <w:rFonts w:ascii="宋体" w:hAnsi="宋体"/>
                <w:color w:val="auto"/>
                <w:sz w:val="24"/>
                <w:szCs w:val="20"/>
                <w:highlight w:val="none"/>
              </w:rPr>
            </w:pPr>
          </w:p>
        </w:tc>
        <w:tc>
          <w:tcPr>
            <w:tcW w:w="1843" w:type="dxa"/>
            <w:vAlign w:val="center"/>
          </w:tcPr>
          <w:p w14:paraId="5C6AE7DD">
            <w:pPr>
              <w:snapToGrid w:val="0"/>
              <w:spacing w:before="50" w:afterLines="50"/>
              <w:jc w:val="center"/>
              <w:rPr>
                <w:rFonts w:ascii="宋体" w:hAnsi="宋体"/>
                <w:color w:val="auto"/>
                <w:sz w:val="24"/>
                <w:szCs w:val="20"/>
                <w:highlight w:val="none"/>
              </w:rPr>
            </w:pPr>
          </w:p>
        </w:tc>
      </w:tr>
      <w:tr w14:paraId="1EAFE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78FDA98">
            <w:pPr>
              <w:snapToGrid w:val="0"/>
              <w:spacing w:before="50" w:afterLines="50"/>
              <w:jc w:val="center"/>
              <w:rPr>
                <w:rFonts w:ascii="宋体" w:hAnsi="宋体"/>
                <w:color w:val="auto"/>
                <w:sz w:val="24"/>
                <w:szCs w:val="20"/>
                <w:highlight w:val="none"/>
              </w:rPr>
            </w:pPr>
          </w:p>
        </w:tc>
        <w:tc>
          <w:tcPr>
            <w:tcW w:w="709" w:type="dxa"/>
            <w:vAlign w:val="center"/>
          </w:tcPr>
          <w:p w14:paraId="15D8CBBC">
            <w:pPr>
              <w:snapToGrid w:val="0"/>
              <w:spacing w:before="50" w:afterLines="50"/>
              <w:jc w:val="center"/>
              <w:rPr>
                <w:rFonts w:ascii="宋体" w:hAnsi="宋体"/>
                <w:color w:val="auto"/>
                <w:sz w:val="24"/>
                <w:szCs w:val="20"/>
                <w:highlight w:val="none"/>
              </w:rPr>
            </w:pPr>
          </w:p>
        </w:tc>
        <w:tc>
          <w:tcPr>
            <w:tcW w:w="1701" w:type="dxa"/>
            <w:vAlign w:val="center"/>
          </w:tcPr>
          <w:p w14:paraId="53857C20">
            <w:pPr>
              <w:snapToGrid w:val="0"/>
              <w:spacing w:before="50" w:afterLines="50"/>
              <w:jc w:val="center"/>
              <w:rPr>
                <w:rFonts w:ascii="宋体" w:hAnsi="宋体"/>
                <w:color w:val="auto"/>
                <w:sz w:val="24"/>
                <w:szCs w:val="20"/>
                <w:highlight w:val="none"/>
              </w:rPr>
            </w:pPr>
          </w:p>
        </w:tc>
        <w:tc>
          <w:tcPr>
            <w:tcW w:w="1420" w:type="dxa"/>
            <w:vAlign w:val="center"/>
          </w:tcPr>
          <w:p w14:paraId="46CE6148">
            <w:pPr>
              <w:snapToGrid w:val="0"/>
              <w:spacing w:before="50" w:afterLines="50"/>
              <w:jc w:val="center"/>
              <w:rPr>
                <w:rFonts w:ascii="宋体" w:hAnsi="宋体"/>
                <w:color w:val="auto"/>
                <w:sz w:val="24"/>
                <w:szCs w:val="20"/>
                <w:highlight w:val="none"/>
              </w:rPr>
            </w:pPr>
          </w:p>
        </w:tc>
        <w:tc>
          <w:tcPr>
            <w:tcW w:w="1698" w:type="dxa"/>
            <w:vAlign w:val="center"/>
          </w:tcPr>
          <w:p w14:paraId="58241CDC">
            <w:pPr>
              <w:snapToGrid w:val="0"/>
              <w:spacing w:before="50" w:afterLines="50"/>
              <w:jc w:val="center"/>
              <w:rPr>
                <w:rFonts w:ascii="宋体" w:hAnsi="宋体"/>
                <w:color w:val="auto"/>
                <w:sz w:val="24"/>
                <w:szCs w:val="20"/>
                <w:highlight w:val="none"/>
              </w:rPr>
            </w:pPr>
          </w:p>
        </w:tc>
        <w:tc>
          <w:tcPr>
            <w:tcW w:w="1843" w:type="dxa"/>
            <w:vAlign w:val="center"/>
          </w:tcPr>
          <w:p w14:paraId="69EB956C">
            <w:pPr>
              <w:snapToGrid w:val="0"/>
              <w:spacing w:before="50" w:afterLines="50"/>
              <w:jc w:val="center"/>
              <w:rPr>
                <w:rFonts w:ascii="宋体" w:hAnsi="宋体"/>
                <w:color w:val="auto"/>
                <w:sz w:val="24"/>
                <w:szCs w:val="20"/>
                <w:highlight w:val="none"/>
              </w:rPr>
            </w:pPr>
          </w:p>
        </w:tc>
      </w:tr>
    </w:tbl>
    <w:p w14:paraId="60D2AD26">
      <w:pPr>
        <w:snapToGrid w:val="0"/>
        <w:spacing w:before="50" w:afterLines="50"/>
        <w:jc w:val="left"/>
        <w:rPr>
          <w:rFonts w:ascii="宋体" w:hAnsi="宋体"/>
          <w:color w:val="auto"/>
          <w:sz w:val="24"/>
          <w:szCs w:val="20"/>
          <w:highlight w:val="none"/>
        </w:rPr>
      </w:pPr>
    </w:p>
    <w:p w14:paraId="21C9DC10">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注：</w:t>
      </w:r>
    </w:p>
    <w:p w14:paraId="630D48B0">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在填写时，如本表格不适合投标单位的实际情况，可根据本表格式自行制表填写。</w:t>
      </w:r>
    </w:p>
    <w:p w14:paraId="08EF1218">
      <w:pPr>
        <w:spacing w:line="360" w:lineRule="auto"/>
        <w:contextualSpacing/>
        <w:jc w:val="left"/>
        <w:rPr>
          <w:rFonts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投标人应当附本表所列证书的复印件并加盖投标人公章。</w:t>
      </w:r>
    </w:p>
    <w:p w14:paraId="6365A5A1">
      <w:pPr>
        <w:spacing w:line="360" w:lineRule="auto"/>
        <w:contextualSpacing/>
        <w:rPr>
          <w:rFonts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p>
    <w:p w14:paraId="639485C5">
      <w:pPr>
        <w:spacing w:line="360" w:lineRule="auto"/>
        <w:contextualSpacing/>
        <w:jc w:val="left"/>
        <w:rPr>
          <w:rFonts w:ascii="宋体" w:hAnsi="宋体"/>
          <w:color w:val="auto"/>
          <w:sz w:val="24"/>
          <w:szCs w:val="20"/>
          <w:highlight w:val="none"/>
        </w:rPr>
      </w:pPr>
      <w:r>
        <w:rPr>
          <w:rFonts w:hint="eastAsia" w:ascii="宋体" w:hAnsi="宋体"/>
          <w:color w:val="auto"/>
          <w:spacing w:val="20"/>
          <w:sz w:val="24"/>
          <w:highlight w:val="none"/>
        </w:rPr>
        <w:t>投标人（盖公章）：              日 期：</w:t>
      </w:r>
    </w:p>
    <w:p w14:paraId="2111E3A7">
      <w:pPr>
        <w:snapToGrid w:val="0"/>
        <w:spacing w:before="50" w:afterLines="50"/>
        <w:jc w:val="left"/>
        <w:rPr>
          <w:rFonts w:ascii="宋体" w:hAnsi="宋体"/>
          <w:color w:val="auto"/>
          <w:sz w:val="24"/>
          <w:szCs w:val="20"/>
          <w:highlight w:val="none"/>
        </w:rPr>
      </w:pPr>
    </w:p>
    <w:p w14:paraId="14EB7C3C">
      <w:pPr>
        <w:snapToGrid w:val="0"/>
        <w:spacing w:beforeLines="50" w:after="50"/>
        <w:ind w:left="142"/>
        <w:jc w:val="left"/>
        <w:rPr>
          <w:rFonts w:ascii="宋体" w:hAnsi="宋体"/>
          <w:b/>
          <w:color w:val="auto"/>
          <w:sz w:val="28"/>
          <w:szCs w:val="28"/>
          <w:highlight w:val="none"/>
        </w:rPr>
      </w:pPr>
      <w:r>
        <w:rPr>
          <w:rFonts w:ascii="宋体" w:hAnsi="宋体"/>
          <w:b/>
          <w:color w:val="auto"/>
          <w:sz w:val="24"/>
          <w:highlight w:val="none"/>
        </w:rPr>
        <w:br w:type="page"/>
      </w:r>
      <w:r>
        <w:rPr>
          <w:rFonts w:hint="eastAsia" w:ascii="宋体" w:hAnsi="宋体"/>
          <w:b/>
          <w:color w:val="auto"/>
          <w:sz w:val="28"/>
          <w:szCs w:val="28"/>
          <w:highlight w:val="none"/>
        </w:rPr>
        <w:t>五、其他文书、文件格式</w:t>
      </w:r>
    </w:p>
    <w:p w14:paraId="4C63D905">
      <w:pPr>
        <w:snapToGrid w:val="0"/>
        <w:spacing w:beforeLines="50" w:after="50"/>
        <w:ind w:left="142"/>
        <w:jc w:val="left"/>
        <w:rPr>
          <w:rFonts w:ascii="宋体" w:hAnsi="宋体"/>
          <w:b/>
          <w:color w:val="auto"/>
          <w:spacing w:val="20"/>
          <w:sz w:val="24"/>
          <w:highlight w:val="none"/>
        </w:rPr>
      </w:pPr>
      <w:r>
        <w:rPr>
          <w:rFonts w:hint="eastAsia" w:ascii="宋体" w:hAnsi="宋体"/>
          <w:b/>
          <w:color w:val="auto"/>
          <w:spacing w:val="20"/>
          <w:sz w:val="24"/>
          <w:highlight w:val="none"/>
        </w:rPr>
        <w:t>1.联合投标协议书格式</w:t>
      </w:r>
    </w:p>
    <w:p w14:paraId="4A179A94">
      <w:pPr>
        <w:snapToGrid w:val="0"/>
        <w:spacing w:beforeLines="50" w:after="50"/>
        <w:ind w:left="142"/>
        <w:jc w:val="left"/>
        <w:rPr>
          <w:rFonts w:ascii="宋体" w:hAnsi="宋体"/>
          <w:b/>
          <w:color w:val="auto"/>
          <w:spacing w:val="20"/>
          <w:sz w:val="24"/>
          <w:highlight w:val="none"/>
        </w:rPr>
      </w:pPr>
    </w:p>
    <w:p w14:paraId="0C61B439">
      <w:pPr>
        <w:pStyle w:val="14"/>
        <w:overflowPunct w:val="0"/>
        <w:ind w:firstLine="0"/>
        <w:jc w:val="center"/>
        <w:rPr>
          <w:rFonts w:ascii="宋体" w:hAnsi="宋体" w:cs="方正小标宋简体"/>
          <w:color w:val="auto"/>
          <w:sz w:val="44"/>
          <w:szCs w:val="44"/>
          <w:highlight w:val="none"/>
        </w:rPr>
      </w:pPr>
      <w:r>
        <w:rPr>
          <w:rFonts w:hint="eastAsia" w:ascii="宋体" w:hAnsi="宋体" w:cs="方正小标宋简体"/>
          <w:color w:val="auto"/>
          <w:sz w:val="44"/>
          <w:szCs w:val="44"/>
          <w:highlight w:val="none"/>
        </w:rPr>
        <w:t>联合体协议书</w:t>
      </w:r>
    </w:p>
    <w:p w14:paraId="3783A96C">
      <w:pPr>
        <w:pStyle w:val="14"/>
        <w:overflowPunct w:val="0"/>
        <w:rPr>
          <w:rFonts w:ascii="宋体" w:hAnsi="宋体"/>
          <w:color w:val="auto"/>
          <w:sz w:val="24"/>
          <w:highlight w:val="none"/>
        </w:rPr>
      </w:pPr>
    </w:p>
    <w:p w14:paraId="7AE42CE3">
      <w:pPr>
        <w:pStyle w:val="14"/>
        <w:overflowPunct w:val="0"/>
        <w:spacing w:line="360" w:lineRule="auto"/>
        <w:contextualSpacing/>
        <w:rPr>
          <w:rFonts w:ascii="宋体" w:hAnsi="宋体"/>
          <w:color w:val="auto"/>
          <w:sz w:val="24"/>
          <w:highlight w:val="none"/>
        </w:rPr>
      </w:pPr>
      <w:r>
        <w:rPr>
          <w:rFonts w:ascii="宋体" w:hAnsi="宋体"/>
          <w:color w:val="auto"/>
          <w:sz w:val="24"/>
          <w:highlight w:val="none"/>
          <w:u w:val="single"/>
        </w:rPr>
        <w:tab/>
      </w:r>
      <w:r>
        <w:rPr>
          <w:rFonts w:hint="eastAsia" w:ascii="宋体" w:hAnsi="宋体"/>
          <w:color w:val="auto"/>
          <w:sz w:val="24"/>
          <w:highlight w:val="none"/>
        </w:rPr>
        <w:t>（所有成员单位名称）自愿组成</w:t>
      </w:r>
      <w:r>
        <w:rPr>
          <w:rFonts w:ascii="宋体" w:hAnsi="宋体"/>
          <w:color w:val="auto"/>
          <w:sz w:val="24"/>
          <w:highlight w:val="none"/>
          <w:u w:val="single"/>
        </w:rPr>
        <w:tab/>
      </w:r>
      <w:r>
        <w:rPr>
          <w:rFonts w:hint="eastAsia" w:ascii="宋体" w:hAnsi="宋体"/>
          <w:color w:val="auto"/>
          <w:sz w:val="24"/>
          <w:highlight w:val="none"/>
        </w:rPr>
        <w:t>（联合体名称）联合体，共同参加</w:t>
      </w:r>
      <w:r>
        <w:rPr>
          <w:rFonts w:ascii="宋体" w:hAnsi="宋体"/>
          <w:color w:val="auto"/>
          <w:sz w:val="24"/>
          <w:highlight w:val="none"/>
          <w:u w:val="single"/>
        </w:rPr>
        <w:tab/>
      </w:r>
      <w:r>
        <w:rPr>
          <w:rFonts w:hint="eastAsia" w:ascii="宋体" w:hAnsi="宋体"/>
          <w:color w:val="auto"/>
          <w:sz w:val="24"/>
          <w:highlight w:val="none"/>
          <w:u w:val="single"/>
        </w:rPr>
        <w:t>（项</w:t>
      </w:r>
      <w:r>
        <w:rPr>
          <w:rFonts w:hint="eastAsia" w:ascii="宋体" w:hAnsi="宋体"/>
          <w:color w:val="auto"/>
          <w:sz w:val="24"/>
          <w:highlight w:val="none"/>
        </w:rPr>
        <w:t>目名称）采购招标项目投标。现就联合体投标事宜订立如下协议。</w:t>
      </w:r>
    </w:p>
    <w:p w14:paraId="6689556B">
      <w:pPr>
        <w:pStyle w:val="14"/>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 xml:space="preserve">1.  </w:t>
      </w:r>
      <w:r>
        <w:rPr>
          <w:rFonts w:ascii="宋体" w:hAnsi="宋体"/>
          <w:color w:val="auto"/>
          <w:sz w:val="24"/>
          <w:highlight w:val="none"/>
          <w:u w:val="single"/>
        </w:rPr>
        <w:tab/>
      </w:r>
      <w:r>
        <w:rPr>
          <w:rFonts w:hint="eastAsia" w:ascii="宋体" w:hAnsi="宋体"/>
          <w:color w:val="auto"/>
          <w:sz w:val="24"/>
          <w:highlight w:val="none"/>
        </w:rPr>
        <w:t>（某成员单位名称）为</w:t>
      </w:r>
      <w:r>
        <w:rPr>
          <w:rFonts w:ascii="宋体" w:hAnsi="宋体"/>
          <w:color w:val="auto"/>
          <w:sz w:val="24"/>
          <w:highlight w:val="none"/>
          <w:u w:val="single"/>
        </w:rPr>
        <w:tab/>
      </w:r>
      <w:r>
        <w:rPr>
          <w:rFonts w:hint="eastAsia" w:ascii="宋体" w:hAnsi="宋体"/>
          <w:color w:val="auto"/>
          <w:sz w:val="24"/>
          <w:highlight w:val="none"/>
        </w:rPr>
        <w:t>（联合体名称）牵头人。</w:t>
      </w:r>
    </w:p>
    <w:p w14:paraId="1D69800B">
      <w:pPr>
        <w:pStyle w:val="14"/>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13E6EFE8">
      <w:pPr>
        <w:pStyle w:val="14"/>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联合体牵头人在本项目中签署和盖章的一切文件和处理的一切事宜，联合体各成员均予以承认。联合体各成员将严格按照招标文件、投标文件和合同的要求全面履行义务，并向招标人承担连带责任。</w:t>
      </w:r>
    </w:p>
    <w:p w14:paraId="084768B1">
      <w:pPr>
        <w:pStyle w:val="14"/>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联合体各成员单位内部的职责分工如下：</w:t>
      </w:r>
      <w:r>
        <w:rPr>
          <w:rFonts w:ascii="宋体" w:hAnsi="宋体"/>
          <w:color w:val="auto"/>
          <w:sz w:val="24"/>
          <w:highlight w:val="none"/>
          <w:u w:val="single"/>
        </w:rPr>
        <w:tab/>
      </w:r>
      <w:r>
        <w:rPr>
          <w:rFonts w:hint="eastAsia" w:ascii="宋体" w:hAnsi="宋体"/>
          <w:color w:val="auto"/>
          <w:sz w:val="24"/>
          <w:highlight w:val="none"/>
        </w:rPr>
        <w:t>。</w:t>
      </w:r>
    </w:p>
    <w:p w14:paraId="5A59C8EE">
      <w:pPr>
        <w:pStyle w:val="14"/>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本协议书自所有成员单位法定代表人或者其委托代理人签字或者盖公章之日起生效，合同履行完毕后自动失效。</w:t>
      </w:r>
    </w:p>
    <w:p w14:paraId="0420DBC2">
      <w:pPr>
        <w:pStyle w:val="14"/>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6.</w:t>
      </w:r>
      <w:r>
        <w:rPr>
          <w:rFonts w:hint="eastAsia" w:ascii="宋体" w:hAnsi="宋体"/>
          <w:color w:val="auto"/>
          <w:sz w:val="24"/>
          <w:highlight w:val="none"/>
        </w:rPr>
        <w:t>本协议书一式</w:t>
      </w:r>
      <w:r>
        <w:rPr>
          <w:rFonts w:ascii="宋体" w:hAnsi="宋体"/>
          <w:color w:val="auto"/>
          <w:sz w:val="24"/>
          <w:highlight w:val="none"/>
          <w:u w:val="single"/>
        </w:rPr>
        <w:tab/>
      </w:r>
      <w:r>
        <w:rPr>
          <w:rFonts w:hint="eastAsia" w:ascii="宋体" w:hAnsi="宋体"/>
          <w:color w:val="auto"/>
          <w:sz w:val="24"/>
          <w:highlight w:val="none"/>
        </w:rPr>
        <w:t>份，联合体成员和招标人各执一份。</w:t>
      </w:r>
    </w:p>
    <w:p w14:paraId="14620930">
      <w:pPr>
        <w:pStyle w:val="14"/>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注：本协议书由法定代表人签字的，应附法定代表人身份证明；由委托代理人签字的，应附授权委托书。</w:t>
      </w:r>
    </w:p>
    <w:p w14:paraId="0CFF0422">
      <w:pPr>
        <w:pStyle w:val="14"/>
        <w:overflowPunct w:val="0"/>
        <w:spacing w:line="360" w:lineRule="auto"/>
        <w:ind w:firstLineChars="175"/>
        <w:contextualSpacing/>
        <w:rPr>
          <w:rFonts w:ascii="宋体" w:hAnsi="宋体"/>
          <w:color w:val="auto"/>
          <w:sz w:val="24"/>
          <w:highlight w:val="none"/>
        </w:rPr>
      </w:pPr>
    </w:p>
    <w:p w14:paraId="3CAA2E50">
      <w:pPr>
        <w:pStyle w:val="14"/>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联合体牵头人名称（盖公章）：</w:t>
      </w:r>
    </w:p>
    <w:p w14:paraId="7E0AC939">
      <w:pPr>
        <w:pStyle w:val="14"/>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法定代表人或者其委托代理人：</w:t>
      </w:r>
      <w:r>
        <w:rPr>
          <w:rFonts w:ascii="宋体" w:hAnsi="宋体"/>
          <w:color w:val="auto"/>
          <w:sz w:val="24"/>
          <w:highlight w:val="none"/>
        </w:rPr>
        <w:tab/>
      </w:r>
      <w:r>
        <w:rPr>
          <w:rFonts w:hint="eastAsia" w:ascii="宋体" w:hAnsi="宋体"/>
          <w:color w:val="auto"/>
          <w:sz w:val="24"/>
          <w:highlight w:val="none"/>
        </w:rPr>
        <w:t>（签字）</w:t>
      </w:r>
    </w:p>
    <w:p w14:paraId="3E803371">
      <w:pPr>
        <w:pStyle w:val="14"/>
        <w:overflowPunct w:val="0"/>
        <w:spacing w:line="360" w:lineRule="auto"/>
        <w:ind w:firstLineChars="175"/>
        <w:contextualSpacing/>
        <w:rPr>
          <w:rFonts w:ascii="宋体" w:hAnsi="宋体"/>
          <w:color w:val="auto"/>
          <w:sz w:val="24"/>
          <w:highlight w:val="none"/>
        </w:rPr>
      </w:pPr>
    </w:p>
    <w:p w14:paraId="5A998358">
      <w:pPr>
        <w:pStyle w:val="14"/>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联合体成员名称（盖公章）：</w:t>
      </w:r>
    </w:p>
    <w:p w14:paraId="25533B7E">
      <w:pPr>
        <w:pStyle w:val="14"/>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法定代表人或者其委托代理人：</w:t>
      </w:r>
      <w:r>
        <w:rPr>
          <w:rFonts w:ascii="宋体" w:hAnsi="宋体"/>
          <w:color w:val="auto"/>
          <w:sz w:val="24"/>
          <w:highlight w:val="none"/>
        </w:rPr>
        <w:tab/>
      </w:r>
      <w:r>
        <w:rPr>
          <w:rFonts w:hint="eastAsia" w:ascii="宋体" w:hAnsi="宋体"/>
          <w:color w:val="auto"/>
          <w:sz w:val="24"/>
          <w:highlight w:val="none"/>
        </w:rPr>
        <w:t>（签字）</w:t>
      </w:r>
    </w:p>
    <w:p w14:paraId="162DB95F">
      <w:pPr>
        <w:pStyle w:val="14"/>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w:t>
      </w:r>
    </w:p>
    <w:p w14:paraId="2B9A1806">
      <w:pPr>
        <w:pStyle w:val="14"/>
        <w:overflowPunct w:val="0"/>
        <w:spacing w:line="360" w:lineRule="auto"/>
        <w:ind w:firstLineChars="175"/>
        <w:contextualSpacing/>
        <w:rPr>
          <w:rFonts w:ascii="宋体" w:hAnsi="宋体"/>
          <w:color w:val="auto"/>
          <w:sz w:val="24"/>
          <w:highlight w:val="none"/>
        </w:rPr>
      </w:pPr>
    </w:p>
    <w:p w14:paraId="1FD96922">
      <w:pPr>
        <w:pStyle w:val="14"/>
        <w:overflowPunct w:val="0"/>
        <w:spacing w:line="360" w:lineRule="auto"/>
        <w:ind w:firstLineChars="175"/>
        <w:contextualSpacing/>
        <w:jc w:val="right"/>
        <w:rPr>
          <w:rFonts w:ascii="宋体" w:hAnsi="宋体"/>
          <w:b/>
          <w:color w:val="auto"/>
          <w:sz w:val="24"/>
          <w:highlight w:val="none"/>
        </w:rPr>
      </w:pPr>
      <w:r>
        <w:rPr>
          <w:rFonts w:ascii="宋体" w:hAnsi="宋体"/>
          <w:color w:val="auto"/>
          <w:sz w:val="24"/>
          <w:highlight w:val="none"/>
        </w:rPr>
        <w:tab/>
      </w:r>
      <w:r>
        <w:rPr>
          <w:rFonts w:hint="eastAsia" w:ascii="宋体" w:hAnsi="宋体"/>
          <w:color w:val="auto"/>
          <w:sz w:val="24"/>
          <w:highlight w:val="none"/>
        </w:rPr>
        <w:t>年</w:t>
      </w:r>
      <w:r>
        <w:rPr>
          <w:rFonts w:ascii="宋体" w:hAnsi="宋体"/>
          <w:color w:val="auto"/>
          <w:sz w:val="24"/>
          <w:highlight w:val="none"/>
        </w:rPr>
        <w:tab/>
      </w:r>
      <w:r>
        <w:rPr>
          <w:rFonts w:hint="eastAsia" w:ascii="宋体" w:hAnsi="宋体"/>
          <w:color w:val="auto"/>
          <w:sz w:val="24"/>
          <w:highlight w:val="none"/>
        </w:rPr>
        <w:t>月</w:t>
      </w:r>
      <w:r>
        <w:rPr>
          <w:rFonts w:ascii="宋体" w:hAnsi="宋体"/>
          <w:color w:val="auto"/>
          <w:sz w:val="24"/>
          <w:highlight w:val="none"/>
        </w:rPr>
        <w:tab/>
      </w:r>
      <w:r>
        <w:rPr>
          <w:rFonts w:hint="eastAsia" w:ascii="宋体" w:hAnsi="宋体"/>
          <w:color w:val="auto"/>
          <w:sz w:val="24"/>
          <w:highlight w:val="none"/>
        </w:rPr>
        <w:t>日</w:t>
      </w:r>
    </w:p>
    <w:p w14:paraId="492CDEE0">
      <w:pPr>
        <w:snapToGrid w:val="0"/>
        <w:spacing w:beforeLines="50" w:after="50"/>
        <w:jc w:val="left"/>
        <w:rPr>
          <w:rFonts w:ascii="宋体" w:hAnsi="宋体"/>
          <w:color w:val="auto"/>
          <w:highlight w:val="none"/>
        </w:rPr>
      </w:pPr>
      <w:r>
        <w:rPr>
          <w:rFonts w:hint="eastAsia" w:ascii="宋体" w:hAnsi="宋体"/>
          <w:b/>
          <w:color w:val="auto"/>
          <w:sz w:val="24"/>
          <w:highlight w:val="none"/>
        </w:rPr>
        <w:t xml:space="preserve"> 2.中小企业声明函格式</w:t>
      </w:r>
    </w:p>
    <w:p w14:paraId="5E9AE170">
      <w:pPr>
        <w:rPr>
          <w:rFonts w:ascii="宋体" w:hAnsi="宋体"/>
          <w:color w:val="auto"/>
          <w:highlight w:val="none"/>
        </w:rPr>
      </w:pPr>
    </w:p>
    <w:p w14:paraId="41591AEA">
      <w:pPr>
        <w:jc w:val="center"/>
        <w:rPr>
          <w:rFonts w:ascii="宋体" w:hAnsi="宋体" w:cs="方正小标宋简体"/>
          <w:color w:val="auto"/>
          <w:sz w:val="44"/>
          <w:szCs w:val="44"/>
          <w:highlight w:val="none"/>
        </w:rPr>
      </w:pPr>
      <w:r>
        <w:rPr>
          <w:rFonts w:hint="eastAsia" w:ascii="宋体" w:hAnsi="宋体" w:cs="方正小标宋简体"/>
          <w:color w:val="auto"/>
          <w:sz w:val="44"/>
          <w:szCs w:val="44"/>
          <w:highlight w:val="none"/>
        </w:rPr>
        <w:t>中小企业声明函（服务）</w:t>
      </w:r>
    </w:p>
    <w:p w14:paraId="6B58CD5C">
      <w:pPr>
        <w:spacing w:before="2" w:line="500" w:lineRule="exact"/>
        <w:rPr>
          <w:rFonts w:ascii="宋体" w:hAnsi="宋体" w:cs="宋体"/>
          <w:b/>
          <w:bCs/>
          <w:color w:val="auto"/>
          <w:sz w:val="27"/>
          <w:szCs w:val="27"/>
          <w:highlight w:val="none"/>
        </w:rPr>
      </w:pPr>
    </w:p>
    <w:p w14:paraId="08C494F5">
      <w:pPr>
        <w:pStyle w:val="19"/>
        <w:spacing w:line="360" w:lineRule="auto"/>
        <w:ind w:left="-426" w:leftChars="-203" w:right="142" w:firstLine="420" w:firstLineChars="200"/>
        <w:contextualSpacing/>
        <w:rPr>
          <w:rFonts w:ascii="宋体" w:hAnsi="宋体"/>
          <w:color w:val="auto"/>
          <w:kern w:val="24"/>
          <w:highlight w:val="none"/>
        </w:rPr>
      </w:pPr>
      <w:r>
        <w:rPr>
          <w:rFonts w:ascii="宋体" w:hAnsi="宋体"/>
          <w:color w:val="auto"/>
          <w:highlight w:val="none"/>
        </w:rPr>
        <w:t>本公司（联合体）郑重声明，根据《政府采购促进中小企业发展管理办法》（财库﹝2020﹞46号）的规定，本公司（联合体）参加</w:t>
      </w:r>
      <w:r>
        <w:rPr>
          <w:rFonts w:ascii="宋体" w:hAnsi="宋体"/>
          <w:color w:val="auto"/>
          <w:highlight w:val="none"/>
          <w:u w:val="single"/>
        </w:rPr>
        <w:t>（单位名称）</w:t>
      </w:r>
      <w:r>
        <w:rPr>
          <w:rFonts w:ascii="宋体" w:hAnsi="宋体"/>
          <w:color w:val="auto"/>
          <w:highlight w:val="none"/>
        </w:rPr>
        <w:t>的</w:t>
      </w:r>
      <w:r>
        <w:rPr>
          <w:rFonts w:ascii="宋体" w:hAnsi="宋体"/>
          <w:color w:val="auto"/>
          <w:highlight w:val="none"/>
          <w:u w:val="single"/>
        </w:rPr>
        <w:t>（项目名称）</w:t>
      </w:r>
      <w:r>
        <w:rPr>
          <w:rFonts w:ascii="宋体" w:hAnsi="宋体"/>
          <w:color w:val="auto"/>
          <w:highlight w:val="none"/>
        </w:rPr>
        <w:t>采购活动，</w:t>
      </w:r>
      <w:r>
        <w:rPr>
          <w:rFonts w:hint="eastAsia" w:ascii="宋体" w:hAnsi="宋体"/>
          <w:color w:val="auto"/>
          <w:highlight w:val="none"/>
        </w:rPr>
        <w:t>服务全部由符合政策要求的中小企业承接。相关企业（含联合体中的中小企业、签订分包意向协议的中小企业）的具体情况如下：</w:t>
      </w:r>
    </w:p>
    <w:p w14:paraId="5882178F">
      <w:pPr>
        <w:tabs>
          <w:tab w:val="left" w:pos="1384"/>
          <w:tab w:val="left" w:pos="4562"/>
          <w:tab w:val="left" w:pos="6803"/>
        </w:tabs>
        <w:spacing w:line="360" w:lineRule="auto"/>
        <w:ind w:left="-426" w:right="-58" w:firstLine="655"/>
        <w:contextualSpacing/>
        <w:rPr>
          <w:rFonts w:ascii="宋体" w:hAnsi="宋体"/>
          <w:color w:val="auto"/>
          <w:kern w:val="24"/>
          <w:sz w:val="24"/>
          <w:highlight w:val="none"/>
        </w:rPr>
      </w:pPr>
      <w:r>
        <w:rPr>
          <w:rFonts w:ascii="宋体" w:hAnsi="宋体"/>
          <w:color w:val="auto"/>
          <w:kern w:val="24"/>
          <w:sz w:val="24"/>
          <w:highlight w:val="none"/>
        </w:rPr>
        <w:t>1.</w:t>
      </w:r>
      <w:r>
        <w:rPr>
          <w:rFonts w:ascii="宋体" w:hAnsi="宋体"/>
          <w:color w:val="auto"/>
          <w:kern w:val="24"/>
          <w:sz w:val="24"/>
          <w:highlight w:val="none"/>
          <w:u w:val="single"/>
        </w:rPr>
        <w:t>（标的名称）</w:t>
      </w:r>
      <w:r>
        <w:rPr>
          <w:rFonts w:ascii="宋体" w:hAnsi="宋体"/>
          <w:color w:val="auto"/>
          <w:kern w:val="24"/>
          <w:sz w:val="24"/>
          <w:highlight w:val="none"/>
        </w:rPr>
        <w:t>，属于</w:t>
      </w:r>
      <w:r>
        <w:rPr>
          <w:rFonts w:ascii="宋体" w:hAnsi="宋体"/>
          <w:color w:val="auto"/>
          <w:kern w:val="24"/>
          <w:sz w:val="24"/>
          <w:highlight w:val="none"/>
          <w:u w:val="single"/>
        </w:rPr>
        <w:t>（采购文件中明确的所属行业）</w:t>
      </w:r>
      <w:r>
        <w:rPr>
          <w:rFonts w:ascii="宋体" w:hAnsi="宋体"/>
          <w:color w:val="auto"/>
          <w:kern w:val="24"/>
          <w:sz w:val="24"/>
          <w:highlight w:val="none"/>
        </w:rPr>
        <w:t>行业；</w:t>
      </w:r>
      <w:r>
        <w:rPr>
          <w:rFonts w:hint="eastAsia" w:ascii="宋体" w:hAnsi="宋体"/>
          <w:color w:val="auto"/>
          <w:kern w:val="24"/>
          <w:sz w:val="24"/>
          <w:highlight w:val="none"/>
        </w:rPr>
        <w:t>承接企业</w:t>
      </w:r>
      <w:r>
        <w:rPr>
          <w:rFonts w:ascii="宋体" w:hAnsi="宋体"/>
          <w:color w:val="auto"/>
          <w:kern w:val="24"/>
          <w:sz w:val="24"/>
          <w:highlight w:val="none"/>
        </w:rPr>
        <w:t>为</w:t>
      </w:r>
      <w:r>
        <w:rPr>
          <w:rFonts w:ascii="宋体" w:hAnsi="宋体"/>
          <w:color w:val="auto"/>
          <w:kern w:val="24"/>
          <w:sz w:val="24"/>
          <w:highlight w:val="none"/>
          <w:u w:val="single"/>
        </w:rPr>
        <w:t>（企业名称）</w:t>
      </w:r>
      <w:r>
        <w:rPr>
          <w:rFonts w:ascii="宋体" w:hAnsi="宋体"/>
          <w:color w:val="auto"/>
          <w:kern w:val="24"/>
          <w:sz w:val="24"/>
          <w:highlight w:val="none"/>
        </w:rPr>
        <w:t>，从业人员人，营业收入为万元，资产总额为万元，属于</w:t>
      </w:r>
      <w:r>
        <w:rPr>
          <w:rFonts w:ascii="宋体" w:hAnsi="宋体"/>
          <w:color w:val="auto"/>
          <w:kern w:val="24"/>
          <w:sz w:val="24"/>
          <w:highlight w:val="none"/>
          <w:u w:val="single"/>
        </w:rPr>
        <w:t>（中型企业、小型企业、微型企业）</w:t>
      </w:r>
      <w:r>
        <w:rPr>
          <w:rFonts w:ascii="宋体" w:hAnsi="宋体"/>
          <w:color w:val="auto"/>
          <w:kern w:val="24"/>
          <w:sz w:val="24"/>
          <w:highlight w:val="none"/>
        </w:rPr>
        <w:t>；</w:t>
      </w:r>
    </w:p>
    <w:p w14:paraId="20B064E0">
      <w:pPr>
        <w:tabs>
          <w:tab w:val="left" w:pos="1065"/>
          <w:tab w:val="left" w:pos="6477"/>
        </w:tabs>
        <w:spacing w:line="360" w:lineRule="auto"/>
        <w:ind w:left="-426" w:right="-58" w:firstLine="655"/>
        <w:contextualSpacing/>
        <w:rPr>
          <w:rFonts w:ascii="宋体" w:hAnsi="宋体"/>
          <w:color w:val="auto"/>
          <w:kern w:val="24"/>
          <w:sz w:val="24"/>
          <w:highlight w:val="none"/>
        </w:rPr>
      </w:pPr>
      <w:r>
        <w:rPr>
          <w:rFonts w:ascii="宋体" w:hAnsi="宋体"/>
          <w:color w:val="auto"/>
          <w:kern w:val="24"/>
          <w:sz w:val="24"/>
          <w:highlight w:val="none"/>
        </w:rPr>
        <w:t>2.</w:t>
      </w:r>
      <w:r>
        <w:rPr>
          <w:rFonts w:ascii="宋体" w:hAnsi="宋体"/>
          <w:color w:val="auto"/>
          <w:kern w:val="24"/>
          <w:sz w:val="24"/>
          <w:highlight w:val="none"/>
          <w:u w:val="single"/>
        </w:rPr>
        <w:t>（标的名称）</w:t>
      </w:r>
      <w:r>
        <w:rPr>
          <w:rFonts w:ascii="宋体" w:hAnsi="宋体"/>
          <w:color w:val="auto"/>
          <w:kern w:val="24"/>
          <w:sz w:val="24"/>
          <w:highlight w:val="none"/>
        </w:rPr>
        <w:t>，属于</w:t>
      </w:r>
      <w:r>
        <w:rPr>
          <w:rFonts w:ascii="宋体" w:hAnsi="宋体"/>
          <w:color w:val="auto"/>
          <w:kern w:val="24"/>
          <w:sz w:val="24"/>
          <w:highlight w:val="none"/>
          <w:u w:val="single"/>
        </w:rPr>
        <w:t>（采购文件中明确的所属行业）</w:t>
      </w:r>
      <w:r>
        <w:rPr>
          <w:rFonts w:ascii="宋体" w:hAnsi="宋体"/>
          <w:color w:val="auto"/>
          <w:kern w:val="24"/>
          <w:sz w:val="24"/>
          <w:highlight w:val="none"/>
        </w:rPr>
        <w:t>行业；</w:t>
      </w:r>
      <w:r>
        <w:rPr>
          <w:rFonts w:hint="eastAsia" w:ascii="宋体" w:hAnsi="宋体"/>
          <w:color w:val="auto"/>
          <w:kern w:val="24"/>
          <w:sz w:val="24"/>
          <w:highlight w:val="none"/>
        </w:rPr>
        <w:t>承接企业</w:t>
      </w:r>
      <w:r>
        <w:rPr>
          <w:rFonts w:ascii="宋体" w:hAnsi="宋体"/>
          <w:color w:val="auto"/>
          <w:kern w:val="24"/>
          <w:sz w:val="24"/>
          <w:highlight w:val="none"/>
        </w:rPr>
        <w:t>为</w:t>
      </w:r>
      <w:r>
        <w:rPr>
          <w:rFonts w:ascii="宋体" w:hAnsi="宋体"/>
          <w:color w:val="auto"/>
          <w:kern w:val="24"/>
          <w:sz w:val="24"/>
          <w:highlight w:val="none"/>
          <w:u w:val="single"/>
        </w:rPr>
        <w:t>（企业名称）</w:t>
      </w:r>
      <w:r>
        <w:rPr>
          <w:rFonts w:ascii="宋体" w:hAnsi="宋体"/>
          <w:color w:val="auto"/>
          <w:kern w:val="24"/>
          <w:sz w:val="24"/>
          <w:highlight w:val="none"/>
        </w:rPr>
        <w:t>，从业人员人，营业收入为万元，资产总额为万元，属于</w:t>
      </w:r>
      <w:r>
        <w:rPr>
          <w:rFonts w:ascii="宋体" w:hAnsi="宋体"/>
          <w:color w:val="auto"/>
          <w:kern w:val="24"/>
          <w:sz w:val="24"/>
          <w:highlight w:val="none"/>
          <w:u w:val="single"/>
        </w:rPr>
        <w:t>（中型企业、小型企业、微型企业）</w:t>
      </w:r>
      <w:r>
        <w:rPr>
          <w:rFonts w:ascii="宋体" w:hAnsi="宋体"/>
          <w:color w:val="auto"/>
          <w:kern w:val="24"/>
          <w:sz w:val="24"/>
          <w:highlight w:val="none"/>
        </w:rPr>
        <w:t>；</w:t>
      </w:r>
    </w:p>
    <w:p w14:paraId="26B03028">
      <w:pPr>
        <w:pStyle w:val="19"/>
        <w:spacing w:line="360" w:lineRule="auto"/>
        <w:ind w:left="142" w:right="142"/>
        <w:contextualSpacing/>
        <w:rPr>
          <w:rFonts w:ascii="宋体" w:hAnsi="宋体"/>
          <w:color w:val="auto"/>
          <w:kern w:val="24"/>
          <w:highlight w:val="none"/>
        </w:rPr>
      </w:pPr>
      <w:r>
        <w:rPr>
          <w:rFonts w:ascii="宋体" w:hAnsi="宋体"/>
          <w:color w:val="auto"/>
          <w:kern w:val="24"/>
          <w:highlight w:val="none"/>
        </w:rPr>
        <w:t xml:space="preserve">…… </w:t>
      </w:r>
    </w:p>
    <w:p w14:paraId="288BB577">
      <w:pPr>
        <w:pStyle w:val="19"/>
        <w:spacing w:line="360" w:lineRule="auto"/>
        <w:ind w:left="-405" w:leftChars="-193" w:right="142" w:firstLine="396" w:firstLineChars="189"/>
        <w:contextualSpacing/>
        <w:rPr>
          <w:rFonts w:ascii="宋体" w:hAnsi="宋体"/>
          <w:color w:val="auto"/>
          <w:kern w:val="24"/>
          <w:highlight w:val="none"/>
        </w:rPr>
      </w:pPr>
      <w:r>
        <w:rPr>
          <w:rFonts w:ascii="宋体" w:hAnsi="宋体"/>
          <w:color w:val="auto"/>
          <w:kern w:val="24"/>
          <w:highlight w:val="none"/>
        </w:rPr>
        <w:t>以上企业，不属于大企业的分支机构，不存在控股股东为大企业的情形，也不存在与大企业的负责人为同一人的情形。</w:t>
      </w:r>
    </w:p>
    <w:p w14:paraId="00B42D3A">
      <w:pPr>
        <w:pStyle w:val="19"/>
        <w:spacing w:line="360" w:lineRule="auto"/>
        <w:ind w:left="-426" w:right="142" w:firstLine="567"/>
        <w:contextualSpacing/>
        <w:rPr>
          <w:rFonts w:ascii="宋体" w:hAnsi="宋体"/>
          <w:color w:val="auto"/>
          <w:kern w:val="24"/>
          <w:highlight w:val="none"/>
        </w:rPr>
      </w:pPr>
      <w:r>
        <w:rPr>
          <w:rFonts w:ascii="宋体" w:hAnsi="宋体"/>
          <w:color w:val="auto"/>
          <w:kern w:val="24"/>
          <w:highlight w:val="none"/>
        </w:rPr>
        <w:t>本企业对上述声明内容的真实性负责。如有虚假，将依法承担相应责任。</w:t>
      </w:r>
    </w:p>
    <w:p w14:paraId="48FF2AC7">
      <w:pPr>
        <w:pStyle w:val="19"/>
        <w:spacing w:line="360" w:lineRule="auto"/>
        <w:ind w:left="3960" w:right="1808"/>
        <w:contextualSpacing/>
        <w:rPr>
          <w:rFonts w:ascii="宋体" w:hAnsi="宋体"/>
          <w:color w:val="auto"/>
          <w:kern w:val="24"/>
          <w:highlight w:val="none"/>
        </w:rPr>
      </w:pPr>
    </w:p>
    <w:p w14:paraId="13606A74">
      <w:pPr>
        <w:pStyle w:val="19"/>
        <w:spacing w:line="360" w:lineRule="auto"/>
        <w:ind w:left="3960" w:right="1808"/>
        <w:contextualSpacing/>
        <w:rPr>
          <w:rFonts w:ascii="宋体" w:hAnsi="宋体"/>
          <w:color w:val="auto"/>
          <w:kern w:val="24"/>
          <w:highlight w:val="none"/>
        </w:rPr>
      </w:pPr>
      <w:r>
        <w:rPr>
          <w:rFonts w:ascii="宋体" w:hAnsi="宋体"/>
          <w:color w:val="auto"/>
          <w:kern w:val="24"/>
          <w:highlight w:val="none"/>
        </w:rPr>
        <w:t xml:space="preserve">企业名称（章）： </w:t>
      </w:r>
    </w:p>
    <w:p w14:paraId="633A5615">
      <w:pPr>
        <w:pStyle w:val="19"/>
        <w:spacing w:line="360" w:lineRule="auto"/>
        <w:ind w:left="3960" w:right="1808"/>
        <w:contextualSpacing/>
        <w:rPr>
          <w:rFonts w:ascii="宋体" w:hAnsi="宋体"/>
          <w:color w:val="auto"/>
          <w:kern w:val="24"/>
          <w:highlight w:val="none"/>
        </w:rPr>
      </w:pPr>
      <w:r>
        <w:rPr>
          <w:rFonts w:ascii="宋体" w:hAnsi="宋体"/>
          <w:color w:val="auto"/>
          <w:kern w:val="24"/>
          <w:highlight w:val="none"/>
        </w:rPr>
        <w:t>日期：</w:t>
      </w:r>
    </w:p>
    <w:p w14:paraId="21ACAB25">
      <w:pPr>
        <w:pStyle w:val="19"/>
        <w:spacing w:line="360" w:lineRule="auto"/>
        <w:ind w:left="3960" w:right="1808"/>
        <w:contextualSpacing/>
        <w:rPr>
          <w:rFonts w:ascii="宋体" w:hAnsi="宋体"/>
          <w:color w:val="auto"/>
          <w:kern w:val="24"/>
          <w:highlight w:val="none"/>
        </w:rPr>
      </w:pPr>
    </w:p>
    <w:p w14:paraId="374CF02D">
      <w:pPr>
        <w:pStyle w:val="19"/>
        <w:spacing w:line="360" w:lineRule="auto"/>
        <w:ind w:left="3960" w:right="1808"/>
        <w:contextualSpacing/>
        <w:rPr>
          <w:rFonts w:ascii="宋体" w:hAnsi="宋体"/>
          <w:color w:val="auto"/>
          <w:kern w:val="24"/>
          <w:highlight w:val="none"/>
        </w:rPr>
      </w:pPr>
    </w:p>
    <w:p w14:paraId="5A19F5AB">
      <w:pPr>
        <w:pStyle w:val="19"/>
        <w:spacing w:line="360" w:lineRule="auto"/>
        <w:ind w:left="-426" w:right="142" w:firstLine="567"/>
        <w:contextualSpacing/>
        <w:rPr>
          <w:rFonts w:ascii="宋体" w:hAnsi="宋体"/>
          <w:color w:val="auto"/>
          <w:kern w:val="24"/>
          <w:highlight w:val="none"/>
        </w:rPr>
      </w:pPr>
      <w:r>
        <w:rPr>
          <w:rFonts w:hint="eastAsia" w:ascii="宋体" w:hAnsi="宋体"/>
          <w:color w:val="auto"/>
          <w:kern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6574054F">
      <w:pPr>
        <w:snapToGrid w:val="0"/>
        <w:spacing w:beforeLines="50" w:after="50"/>
        <w:ind w:left="142"/>
        <w:jc w:val="left"/>
        <w:rPr>
          <w:rFonts w:ascii="宋体" w:hAnsi="宋体"/>
          <w:b/>
          <w:color w:val="auto"/>
          <w:sz w:val="24"/>
          <w:highlight w:val="none"/>
        </w:rPr>
      </w:pPr>
    </w:p>
    <w:p w14:paraId="3A4F79F3">
      <w:pPr>
        <w:pStyle w:val="25"/>
        <w:jc w:val="left"/>
        <w:rPr>
          <w:rFonts w:hAnsi="宋体" w:cs="Arial Unicode MS"/>
          <w:color w:val="auto"/>
          <w:sz w:val="28"/>
          <w:szCs w:val="28"/>
          <w:highlight w:val="none"/>
        </w:rPr>
      </w:pPr>
      <w:r>
        <w:rPr>
          <w:rFonts w:hAnsi="宋体" w:cs="Arial Unicode MS"/>
          <w:color w:val="auto"/>
          <w:sz w:val="32"/>
          <w:szCs w:val="32"/>
          <w:highlight w:val="none"/>
        </w:rPr>
        <w:br w:type="page"/>
      </w:r>
      <w:r>
        <w:rPr>
          <w:rFonts w:hint="eastAsia" w:hAnsi="宋体" w:cs="Arial Unicode MS"/>
          <w:color w:val="auto"/>
          <w:sz w:val="28"/>
          <w:szCs w:val="28"/>
          <w:highlight w:val="none"/>
        </w:rPr>
        <w:t>附：</w:t>
      </w:r>
    </w:p>
    <w:p w14:paraId="41502EF9">
      <w:pPr>
        <w:jc w:val="center"/>
        <w:rPr>
          <w:rFonts w:ascii="宋体" w:hAnsi="宋体" w:cs="Arial Unicode MS"/>
          <w:color w:val="auto"/>
          <w:szCs w:val="21"/>
          <w:highlight w:val="none"/>
        </w:rPr>
      </w:pPr>
      <w:r>
        <w:rPr>
          <w:rFonts w:hint="eastAsia" w:ascii="宋体" w:hAnsi="宋体" w:cs="Arial Unicode MS"/>
          <w:color w:val="auto"/>
          <w:sz w:val="32"/>
          <w:szCs w:val="32"/>
          <w:highlight w:val="none"/>
        </w:rPr>
        <w:t>中小微企业划型标准</w:t>
      </w:r>
    </w:p>
    <w:tbl>
      <w:tblPr>
        <w:tblStyle w:val="49"/>
        <w:tblW w:w="7983" w:type="dxa"/>
        <w:tblInd w:w="250" w:type="dxa"/>
        <w:tblLayout w:type="fixed"/>
        <w:tblCellMar>
          <w:top w:w="0" w:type="dxa"/>
          <w:left w:w="108" w:type="dxa"/>
          <w:bottom w:w="0" w:type="dxa"/>
          <w:right w:w="108" w:type="dxa"/>
        </w:tblCellMar>
      </w:tblPr>
      <w:tblGrid>
        <w:gridCol w:w="1701"/>
        <w:gridCol w:w="1384"/>
        <w:gridCol w:w="913"/>
        <w:gridCol w:w="1620"/>
        <w:gridCol w:w="1440"/>
        <w:gridCol w:w="925"/>
      </w:tblGrid>
      <w:tr w14:paraId="3382503D">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vAlign w:val="center"/>
          </w:tcPr>
          <w:p w14:paraId="12FFD98F">
            <w:pPr>
              <w:widowControl/>
              <w:jc w:val="left"/>
              <w:rPr>
                <w:rFonts w:ascii="宋体" w:hAnsi="宋体" w:cs="宋体"/>
                <w:b/>
                <w:color w:val="auto"/>
                <w:kern w:val="0"/>
                <w:szCs w:val="21"/>
                <w:highlight w:val="none"/>
              </w:rPr>
            </w:pPr>
            <w:r>
              <w:rPr>
                <w:rFonts w:hint="eastAsia" w:ascii="宋体" w:hAnsi="宋体" w:cs="宋体"/>
                <w:b/>
                <w:color w:val="auto"/>
                <w:kern w:val="0"/>
                <w:szCs w:val="21"/>
                <w:highlight w:val="none"/>
              </w:rPr>
              <w:t>行业名称</w:t>
            </w:r>
          </w:p>
        </w:tc>
        <w:tc>
          <w:tcPr>
            <w:tcW w:w="1384" w:type="dxa"/>
            <w:tcBorders>
              <w:top w:val="single" w:color="auto" w:sz="4" w:space="0"/>
              <w:left w:val="nil"/>
              <w:bottom w:val="single" w:color="auto" w:sz="4" w:space="0"/>
              <w:right w:val="single" w:color="auto" w:sz="4" w:space="0"/>
            </w:tcBorders>
            <w:vAlign w:val="center"/>
          </w:tcPr>
          <w:p w14:paraId="25FB6BCB">
            <w:pPr>
              <w:widowControl/>
              <w:jc w:val="left"/>
              <w:rPr>
                <w:rFonts w:ascii="宋体" w:hAnsi="宋体" w:cs="宋体"/>
                <w:b/>
                <w:color w:val="auto"/>
                <w:kern w:val="0"/>
                <w:szCs w:val="21"/>
                <w:highlight w:val="none"/>
              </w:rPr>
            </w:pPr>
            <w:r>
              <w:rPr>
                <w:rFonts w:hint="eastAsia" w:ascii="宋体" w:hAnsi="宋体" w:cs="宋体"/>
                <w:b/>
                <w:color w:val="auto"/>
                <w:kern w:val="0"/>
                <w:szCs w:val="21"/>
                <w:highlight w:val="none"/>
              </w:rPr>
              <w:t>指标名称</w:t>
            </w:r>
          </w:p>
        </w:tc>
        <w:tc>
          <w:tcPr>
            <w:tcW w:w="913" w:type="dxa"/>
            <w:tcBorders>
              <w:top w:val="single" w:color="auto" w:sz="4" w:space="0"/>
              <w:left w:val="nil"/>
              <w:bottom w:val="single" w:color="auto" w:sz="4" w:space="0"/>
              <w:right w:val="single" w:color="auto" w:sz="4" w:space="0"/>
            </w:tcBorders>
            <w:vAlign w:val="center"/>
          </w:tcPr>
          <w:p w14:paraId="19DD759A">
            <w:pPr>
              <w:widowControl/>
              <w:jc w:val="left"/>
              <w:rPr>
                <w:rFonts w:ascii="宋体" w:hAnsi="宋体" w:cs="宋体"/>
                <w:b/>
                <w:color w:val="auto"/>
                <w:kern w:val="0"/>
                <w:szCs w:val="21"/>
                <w:highlight w:val="none"/>
              </w:rPr>
            </w:pPr>
            <w:r>
              <w:rPr>
                <w:rFonts w:hint="eastAsia" w:ascii="宋体" w:hAnsi="宋体" w:cs="宋体"/>
                <w:b/>
                <w:color w:val="auto"/>
                <w:kern w:val="0"/>
                <w:szCs w:val="21"/>
                <w:highlight w:val="none"/>
              </w:rPr>
              <w:t>计量单位</w:t>
            </w:r>
          </w:p>
        </w:tc>
        <w:tc>
          <w:tcPr>
            <w:tcW w:w="1620" w:type="dxa"/>
            <w:tcBorders>
              <w:top w:val="single" w:color="auto" w:sz="4" w:space="0"/>
              <w:left w:val="nil"/>
              <w:bottom w:val="single" w:color="auto" w:sz="4" w:space="0"/>
              <w:right w:val="single" w:color="auto" w:sz="4" w:space="0"/>
            </w:tcBorders>
            <w:vAlign w:val="center"/>
          </w:tcPr>
          <w:p w14:paraId="7D91B7AA">
            <w:pPr>
              <w:widowControl/>
              <w:jc w:val="left"/>
              <w:rPr>
                <w:rFonts w:ascii="宋体" w:hAnsi="宋体" w:cs="宋体"/>
                <w:b/>
                <w:color w:val="auto"/>
                <w:kern w:val="0"/>
                <w:szCs w:val="21"/>
                <w:highlight w:val="none"/>
              </w:rPr>
            </w:pPr>
            <w:r>
              <w:rPr>
                <w:rFonts w:hint="eastAsia" w:ascii="宋体" w:hAnsi="宋体" w:cs="宋体"/>
                <w:b/>
                <w:color w:val="auto"/>
                <w:kern w:val="0"/>
                <w:szCs w:val="21"/>
                <w:highlight w:val="none"/>
              </w:rPr>
              <w:t>中型</w:t>
            </w:r>
          </w:p>
        </w:tc>
        <w:tc>
          <w:tcPr>
            <w:tcW w:w="1440" w:type="dxa"/>
            <w:tcBorders>
              <w:top w:val="single" w:color="auto" w:sz="4" w:space="0"/>
              <w:left w:val="nil"/>
              <w:bottom w:val="single" w:color="auto" w:sz="4" w:space="0"/>
              <w:right w:val="single" w:color="auto" w:sz="4" w:space="0"/>
            </w:tcBorders>
            <w:vAlign w:val="center"/>
          </w:tcPr>
          <w:p w14:paraId="04719577">
            <w:pPr>
              <w:widowControl/>
              <w:jc w:val="left"/>
              <w:rPr>
                <w:rFonts w:ascii="宋体" w:hAnsi="宋体" w:cs="宋体"/>
                <w:b/>
                <w:color w:val="auto"/>
                <w:kern w:val="0"/>
                <w:szCs w:val="21"/>
                <w:highlight w:val="none"/>
              </w:rPr>
            </w:pPr>
            <w:r>
              <w:rPr>
                <w:rFonts w:hint="eastAsia" w:ascii="宋体" w:hAnsi="宋体" w:cs="宋体"/>
                <w:b/>
                <w:color w:val="auto"/>
                <w:kern w:val="0"/>
                <w:szCs w:val="21"/>
                <w:highlight w:val="none"/>
              </w:rPr>
              <w:t>小型</w:t>
            </w:r>
          </w:p>
        </w:tc>
        <w:tc>
          <w:tcPr>
            <w:tcW w:w="925" w:type="dxa"/>
            <w:tcBorders>
              <w:top w:val="single" w:color="auto" w:sz="4" w:space="0"/>
              <w:left w:val="nil"/>
              <w:bottom w:val="single" w:color="auto" w:sz="4" w:space="0"/>
              <w:right w:val="single" w:color="auto" w:sz="4" w:space="0"/>
            </w:tcBorders>
            <w:vAlign w:val="center"/>
          </w:tcPr>
          <w:p w14:paraId="154DC590">
            <w:pPr>
              <w:widowControl/>
              <w:jc w:val="left"/>
              <w:rPr>
                <w:rFonts w:ascii="宋体" w:hAnsi="宋体" w:cs="宋体"/>
                <w:b/>
                <w:color w:val="auto"/>
                <w:kern w:val="0"/>
                <w:szCs w:val="21"/>
                <w:highlight w:val="none"/>
              </w:rPr>
            </w:pPr>
            <w:r>
              <w:rPr>
                <w:rFonts w:hint="eastAsia" w:ascii="宋体" w:hAnsi="宋体" w:cs="宋体"/>
                <w:b/>
                <w:color w:val="auto"/>
                <w:kern w:val="0"/>
                <w:szCs w:val="21"/>
                <w:highlight w:val="none"/>
              </w:rPr>
              <w:t>微型</w:t>
            </w:r>
          </w:p>
        </w:tc>
      </w:tr>
      <w:tr w14:paraId="5EDA327B">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256C410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vAlign w:val="center"/>
          </w:tcPr>
          <w:p w14:paraId="56965AD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0BBDC9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8C5AFD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50D997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25" w:type="dxa"/>
            <w:tcBorders>
              <w:top w:val="nil"/>
              <w:left w:val="nil"/>
              <w:bottom w:val="single" w:color="auto" w:sz="4" w:space="0"/>
              <w:right w:val="single" w:color="auto" w:sz="4" w:space="0"/>
            </w:tcBorders>
            <w:vAlign w:val="center"/>
          </w:tcPr>
          <w:p w14:paraId="1138F74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6972D04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E6995C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vAlign w:val="center"/>
          </w:tcPr>
          <w:p w14:paraId="74E21CC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72A65B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DC5566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0832587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461DC6D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671DB4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23F2B19">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D984A7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E15871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CE811C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40" w:type="dxa"/>
            <w:tcBorders>
              <w:top w:val="nil"/>
              <w:left w:val="nil"/>
              <w:bottom w:val="single" w:color="auto" w:sz="4" w:space="0"/>
              <w:right w:val="single" w:color="auto" w:sz="4" w:space="0"/>
            </w:tcBorders>
            <w:vAlign w:val="center"/>
          </w:tcPr>
          <w:p w14:paraId="3EF825D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25" w:type="dxa"/>
            <w:tcBorders>
              <w:top w:val="nil"/>
              <w:left w:val="nil"/>
              <w:bottom w:val="single" w:color="auto" w:sz="4" w:space="0"/>
              <w:right w:val="single" w:color="auto" w:sz="4" w:space="0"/>
            </w:tcBorders>
            <w:vAlign w:val="center"/>
          </w:tcPr>
          <w:p w14:paraId="13A4853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1B803A5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0CF2897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vAlign w:val="center"/>
          </w:tcPr>
          <w:p w14:paraId="238A838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771DDC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F37D88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40" w:type="dxa"/>
            <w:tcBorders>
              <w:top w:val="nil"/>
              <w:left w:val="nil"/>
              <w:bottom w:val="single" w:color="auto" w:sz="4" w:space="0"/>
              <w:right w:val="single" w:color="auto" w:sz="4" w:space="0"/>
            </w:tcBorders>
            <w:vAlign w:val="center"/>
          </w:tcPr>
          <w:p w14:paraId="1C1FA3B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25" w:type="dxa"/>
            <w:tcBorders>
              <w:top w:val="nil"/>
              <w:left w:val="nil"/>
              <w:bottom w:val="single" w:color="auto" w:sz="4" w:space="0"/>
              <w:right w:val="single" w:color="auto" w:sz="4" w:space="0"/>
            </w:tcBorders>
            <w:vAlign w:val="center"/>
          </w:tcPr>
          <w:p w14:paraId="7ED7DFA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4AFFB31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188FF1EB">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2AD9125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42A5A66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8213A1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40" w:type="dxa"/>
            <w:tcBorders>
              <w:top w:val="nil"/>
              <w:left w:val="nil"/>
              <w:bottom w:val="single" w:color="auto" w:sz="4" w:space="0"/>
              <w:right w:val="single" w:color="auto" w:sz="4" w:space="0"/>
            </w:tcBorders>
            <w:vAlign w:val="center"/>
          </w:tcPr>
          <w:p w14:paraId="02FBB7C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25" w:type="dxa"/>
            <w:tcBorders>
              <w:top w:val="nil"/>
              <w:left w:val="nil"/>
              <w:bottom w:val="single" w:color="auto" w:sz="4" w:space="0"/>
              <w:right w:val="single" w:color="auto" w:sz="4" w:space="0"/>
            </w:tcBorders>
            <w:vAlign w:val="center"/>
          </w:tcPr>
          <w:p w14:paraId="361B173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670BAC5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531BFDF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vAlign w:val="center"/>
          </w:tcPr>
          <w:p w14:paraId="193BB50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FDA68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556CE8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40" w:type="dxa"/>
            <w:tcBorders>
              <w:top w:val="nil"/>
              <w:left w:val="nil"/>
              <w:bottom w:val="single" w:color="auto" w:sz="4" w:space="0"/>
              <w:right w:val="single" w:color="auto" w:sz="4" w:space="0"/>
            </w:tcBorders>
            <w:vAlign w:val="center"/>
          </w:tcPr>
          <w:p w14:paraId="2A165DB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25" w:type="dxa"/>
            <w:tcBorders>
              <w:top w:val="nil"/>
              <w:left w:val="nil"/>
              <w:bottom w:val="single" w:color="auto" w:sz="4" w:space="0"/>
              <w:right w:val="single" w:color="auto" w:sz="4" w:space="0"/>
            </w:tcBorders>
            <w:vAlign w:val="center"/>
          </w:tcPr>
          <w:p w14:paraId="74163D0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63AE854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756FBBD">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27C3E5E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1AC036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CC5189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40" w:type="dxa"/>
            <w:tcBorders>
              <w:top w:val="nil"/>
              <w:left w:val="nil"/>
              <w:bottom w:val="single" w:color="auto" w:sz="4" w:space="0"/>
              <w:right w:val="single" w:color="auto" w:sz="4" w:space="0"/>
            </w:tcBorders>
            <w:vAlign w:val="center"/>
          </w:tcPr>
          <w:p w14:paraId="6DDD4CD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25" w:type="dxa"/>
            <w:tcBorders>
              <w:top w:val="nil"/>
              <w:left w:val="nil"/>
              <w:bottom w:val="single" w:color="auto" w:sz="4" w:space="0"/>
              <w:right w:val="single" w:color="auto" w:sz="4" w:space="0"/>
            </w:tcBorders>
            <w:vAlign w:val="center"/>
          </w:tcPr>
          <w:p w14:paraId="3053191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7CAE504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3BEDE2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vAlign w:val="center"/>
          </w:tcPr>
          <w:p w14:paraId="002A2C1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5CDBCD2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4689CF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40" w:type="dxa"/>
            <w:tcBorders>
              <w:top w:val="nil"/>
              <w:left w:val="nil"/>
              <w:bottom w:val="single" w:color="auto" w:sz="4" w:space="0"/>
              <w:right w:val="single" w:color="auto" w:sz="4" w:space="0"/>
            </w:tcBorders>
            <w:vAlign w:val="center"/>
          </w:tcPr>
          <w:p w14:paraId="17214D2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925" w:type="dxa"/>
            <w:tcBorders>
              <w:top w:val="nil"/>
              <w:left w:val="nil"/>
              <w:bottom w:val="single" w:color="auto" w:sz="4" w:space="0"/>
              <w:right w:val="single" w:color="auto" w:sz="4" w:space="0"/>
            </w:tcBorders>
            <w:vAlign w:val="center"/>
          </w:tcPr>
          <w:p w14:paraId="4F316C0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DB9BBF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114A6F37">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2AE6A3B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00322F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800C44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04CE9E4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25" w:type="dxa"/>
            <w:tcBorders>
              <w:top w:val="nil"/>
              <w:left w:val="nil"/>
              <w:bottom w:val="single" w:color="auto" w:sz="4" w:space="0"/>
              <w:right w:val="single" w:color="auto" w:sz="4" w:space="0"/>
            </w:tcBorders>
            <w:vAlign w:val="center"/>
          </w:tcPr>
          <w:p w14:paraId="1EB0CEE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04E3D9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5A18267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vAlign w:val="center"/>
          </w:tcPr>
          <w:p w14:paraId="64DA5B9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ED39C6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3D4C94E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5625AD3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1383197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5A778A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1A1AD217">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7B62B9C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F22983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365AE5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40" w:type="dxa"/>
            <w:tcBorders>
              <w:top w:val="nil"/>
              <w:left w:val="nil"/>
              <w:bottom w:val="single" w:color="auto" w:sz="4" w:space="0"/>
              <w:right w:val="single" w:color="auto" w:sz="4" w:space="0"/>
            </w:tcBorders>
            <w:vAlign w:val="center"/>
          </w:tcPr>
          <w:p w14:paraId="22EF8C6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25" w:type="dxa"/>
            <w:tcBorders>
              <w:top w:val="nil"/>
              <w:left w:val="nil"/>
              <w:bottom w:val="single" w:color="auto" w:sz="4" w:space="0"/>
              <w:right w:val="single" w:color="auto" w:sz="4" w:space="0"/>
            </w:tcBorders>
            <w:vAlign w:val="center"/>
          </w:tcPr>
          <w:p w14:paraId="69F0FB3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7D2B663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251F95D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vAlign w:val="center"/>
          </w:tcPr>
          <w:p w14:paraId="12A9624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B3F7B2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7A6DB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40" w:type="dxa"/>
            <w:tcBorders>
              <w:top w:val="nil"/>
              <w:left w:val="nil"/>
              <w:bottom w:val="single" w:color="auto" w:sz="4" w:space="0"/>
              <w:right w:val="single" w:color="auto" w:sz="4" w:space="0"/>
            </w:tcBorders>
            <w:vAlign w:val="center"/>
          </w:tcPr>
          <w:p w14:paraId="59467EF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25" w:type="dxa"/>
            <w:tcBorders>
              <w:top w:val="nil"/>
              <w:left w:val="nil"/>
              <w:bottom w:val="single" w:color="auto" w:sz="4" w:space="0"/>
              <w:right w:val="single" w:color="auto" w:sz="4" w:space="0"/>
            </w:tcBorders>
            <w:vAlign w:val="center"/>
          </w:tcPr>
          <w:p w14:paraId="2017DD5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C9F112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EBD794B">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25B3215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1E7DE6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BBCB9D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40" w:type="dxa"/>
            <w:tcBorders>
              <w:top w:val="nil"/>
              <w:left w:val="nil"/>
              <w:bottom w:val="single" w:color="auto" w:sz="4" w:space="0"/>
              <w:right w:val="single" w:color="auto" w:sz="4" w:space="0"/>
            </w:tcBorders>
            <w:vAlign w:val="center"/>
          </w:tcPr>
          <w:p w14:paraId="567F9B9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5BD1527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CAE904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A55CEE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vAlign w:val="center"/>
          </w:tcPr>
          <w:p w14:paraId="461A26E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082E5D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42DC83A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14F6946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2A5BC0F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4590DA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14F0ED5">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77E23B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4BC1C7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4EFF34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40" w:type="dxa"/>
            <w:tcBorders>
              <w:top w:val="nil"/>
              <w:left w:val="nil"/>
              <w:bottom w:val="single" w:color="auto" w:sz="4" w:space="0"/>
              <w:right w:val="single" w:color="auto" w:sz="4" w:space="0"/>
            </w:tcBorders>
            <w:vAlign w:val="center"/>
          </w:tcPr>
          <w:p w14:paraId="300EE25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29A382F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6B298D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5668111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vAlign w:val="center"/>
          </w:tcPr>
          <w:p w14:paraId="3112992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68CCE3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E58CD1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0F9D498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0031625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E51026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FD8EA38">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9BA909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B5BD9F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907F2C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1774FFE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211EC0A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3B4931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5453EEA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vAlign w:val="center"/>
          </w:tcPr>
          <w:p w14:paraId="02D96AF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4E2F271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595B45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36FFFFD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2EFAD60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1EE5BF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30F7421">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7B012E1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A71386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ED6F4F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4720BB5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135CA28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450FE8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9793B0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vAlign w:val="center"/>
          </w:tcPr>
          <w:p w14:paraId="0E77F2E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D50F2E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1A396F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40" w:type="dxa"/>
            <w:tcBorders>
              <w:top w:val="nil"/>
              <w:left w:val="nil"/>
              <w:bottom w:val="single" w:color="auto" w:sz="4" w:space="0"/>
              <w:right w:val="single" w:color="auto" w:sz="4" w:space="0"/>
            </w:tcBorders>
            <w:vAlign w:val="center"/>
          </w:tcPr>
          <w:p w14:paraId="73DF6DB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55B178E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AB45171">
        <w:tblPrEx>
          <w:tblCellMar>
            <w:top w:w="0" w:type="dxa"/>
            <w:left w:w="108" w:type="dxa"/>
            <w:bottom w:w="0" w:type="dxa"/>
            <w:right w:w="108" w:type="dxa"/>
          </w:tblCellMar>
        </w:tblPrEx>
        <w:trPr>
          <w:trHeight w:val="409" w:hRule="atLeast"/>
        </w:trPr>
        <w:tc>
          <w:tcPr>
            <w:tcW w:w="1701" w:type="dxa"/>
            <w:vMerge w:val="continue"/>
            <w:tcBorders>
              <w:top w:val="nil"/>
              <w:left w:val="single" w:color="auto" w:sz="4" w:space="0"/>
              <w:bottom w:val="single" w:color="auto" w:sz="4" w:space="0"/>
              <w:right w:val="single" w:color="auto" w:sz="4" w:space="0"/>
            </w:tcBorders>
            <w:vAlign w:val="center"/>
          </w:tcPr>
          <w:p w14:paraId="1BAD4C68">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2B93A0B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BB7983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4C5C24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40" w:type="dxa"/>
            <w:tcBorders>
              <w:top w:val="nil"/>
              <w:left w:val="nil"/>
              <w:bottom w:val="single" w:color="auto" w:sz="4" w:space="0"/>
              <w:right w:val="single" w:color="auto" w:sz="4" w:space="0"/>
            </w:tcBorders>
            <w:vAlign w:val="center"/>
          </w:tcPr>
          <w:p w14:paraId="55B27E5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7C3958F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D91A3C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E07115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vAlign w:val="center"/>
          </w:tcPr>
          <w:p w14:paraId="208C651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4AD649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90D56E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637CC4A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5E192D3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B74F15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FC93A04">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F8E265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9209C5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615742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40" w:type="dxa"/>
            <w:tcBorders>
              <w:top w:val="nil"/>
              <w:left w:val="nil"/>
              <w:bottom w:val="single" w:color="auto" w:sz="4" w:space="0"/>
              <w:right w:val="single" w:color="auto" w:sz="4" w:space="0"/>
            </w:tcBorders>
            <w:vAlign w:val="center"/>
          </w:tcPr>
          <w:p w14:paraId="6C7EAC8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25" w:type="dxa"/>
            <w:tcBorders>
              <w:top w:val="nil"/>
              <w:left w:val="nil"/>
              <w:bottom w:val="single" w:color="auto" w:sz="4" w:space="0"/>
              <w:right w:val="single" w:color="auto" w:sz="4" w:space="0"/>
            </w:tcBorders>
            <w:vAlign w:val="center"/>
          </w:tcPr>
          <w:p w14:paraId="766981F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7682313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1D89CDB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vAlign w:val="center"/>
          </w:tcPr>
          <w:p w14:paraId="078D32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510A73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962525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40" w:type="dxa"/>
            <w:tcBorders>
              <w:top w:val="nil"/>
              <w:left w:val="nil"/>
              <w:bottom w:val="single" w:color="auto" w:sz="4" w:space="0"/>
              <w:right w:val="single" w:color="auto" w:sz="4" w:space="0"/>
            </w:tcBorders>
            <w:vAlign w:val="center"/>
          </w:tcPr>
          <w:p w14:paraId="7CDBF08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925" w:type="dxa"/>
            <w:tcBorders>
              <w:top w:val="nil"/>
              <w:left w:val="nil"/>
              <w:bottom w:val="single" w:color="auto" w:sz="4" w:space="0"/>
              <w:right w:val="single" w:color="auto" w:sz="4" w:space="0"/>
            </w:tcBorders>
            <w:vAlign w:val="center"/>
          </w:tcPr>
          <w:p w14:paraId="506DD2E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7567057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0CFD156">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84C02A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71085F8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D83364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40" w:type="dxa"/>
            <w:tcBorders>
              <w:top w:val="nil"/>
              <w:left w:val="nil"/>
              <w:bottom w:val="single" w:color="auto" w:sz="4" w:space="0"/>
              <w:right w:val="single" w:color="auto" w:sz="4" w:space="0"/>
            </w:tcBorders>
            <w:vAlign w:val="center"/>
          </w:tcPr>
          <w:p w14:paraId="3F5DA71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925" w:type="dxa"/>
            <w:tcBorders>
              <w:top w:val="nil"/>
              <w:left w:val="nil"/>
              <w:bottom w:val="single" w:color="auto" w:sz="4" w:space="0"/>
              <w:right w:val="single" w:color="auto" w:sz="4" w:space="0"/>
            </w:tcBorders>
            <w:vAlign w:val="center"/>
          </w:tcPr>
          <w:p w14:paraId="0C9B10E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76A1A87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599B57D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vAlign w:val="center"/>
          </w:tcPr>
          <w:p w14:paraId="094B778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EDCEB9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3759BF4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1CB87C3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25" w:type="dxa"/>
            <w:tcBorders>
              <w:top w:val="nil"/>
              <w:left w:val="nil"/>
              <w:bottom w:val="single" w:color="auto" w:sz="4" w:space="0"/>
              <w:right w:val="single" w:color="auto" w:sz="4" w:space="0"/>
            </w:tcBorders>
            <w:vAlign w:val="center"/>
          </w:tcPr>
          <w:p w14:paraId="6B12672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2310575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114A7EE4">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21357F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1B1A50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FED60F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40" w:type="dxa"/>
            <w:tcBorders>
              <w:top w:val="nil"/>
              <w:left w:val="nil"/>
              <w:bottom w:val="single" w:color="auto" w:sz="4" w:space="0"/>
              <w:right w:val="single" w:color="auto" w:sz="4" w:space="0"/>
            </w:tcBorders>
            <w:vAlign w:val="center"/>
          </w:tcPr>
          <w:p w14:paraId="34B488F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25" w:type="dxa"/>
            <w:tcBorders>
              <w:top w:val="nil"/>
              <w:left w:val="nil"/>
              <w:bottom w:val="single" w:color="auto" w:sz="4" w:space="0"/>
              <w:right w:val="single" w:color="auto" w:sz="4" w:space="0"/>
            </w:tcBorders>
            <w:vAlign w:val="center"/>
          </w:tcPr>
          <w:p w14:paraId="56CCF1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2789FE6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3EF8C2E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vAlign w:val="center"/>
          </w:tcPr>
          <w:p w14:paraId="1DBFD23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ACD656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D2D4D9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50BC7EC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3CD2C9B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DA96CC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18B7162">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5CE789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28B1D0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17513A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40" w:type="dxa"/>
            <w:tcBorders>
              <w:top w:val="nil"/>
              <w:left w:val="nil"/>
              <w:bottom w:val="single" w:color="auto" w:sz="4" w:space="0"/>
              <w:right w:val="single" w:color="auto" w:sz="4" w:space="0"/>
            </w:tcBorders>
            <w:vAlign w:val="center"/>
          </w:tcPr>
          <w:p w14:paraId="172420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25" w:type="dxa"/>
            <w:tcBorders>
              <w:top w:val="nil"/>
              <w:left w:val="nil"/>
              <w:bottom w:val="single" w:color="auto" w:sz="4" w:space="0"/>
              <w:right w:val="single" w:color="auto" w:sz="4" w:space="0"/>
            </w:tcBorders>
            <w:vAlign w:val="center"/>
          </w:tcPr>
          <w:p w14:paraId="5BB609D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C10CAD3">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1A9FBDA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vAlign w:val="center"/>
          </w:tcPr>
          <w:p w14:paraId="6106F89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FE2420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828099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1BCF789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7E27102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41F0DDF8">
      <w:pPr>
        <w:ind w:firstLine="525" w:firstLineChars="250"/>
        <w:rPr>
          <w:rFonts w:ascii="宋体" w:hAnsi="宋体"/>
          <w:b/>
          <w:color w:val="auto"/>
          <w:sz w:val="24"/>
          <w:highlight w:val="none"/>
        </w:rPr>
      </w:pPr>
      <w:r>
        <w:rPr>
          <w:rFonts w:hint="eastAsia" w:ascii="宋体" w:hAnsi="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2AF4750A">
      <w:pPr>
        <w:snapToGrid w:val="0"/>
        <w:spacing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3.残疾人福利性单位声明函格式</w:t>
      </w:r>
    </w:p>
    <w:p w14:paraId="014CB397">
      <w:pPr>
        <w:spacing w:line="588" w:lineRule="exact"/>
        <w:jc w:val="center"/>
        <w:rPr>
          <w:rFonts w:ascii="宋体" w:hAnsi="宋体"/>
          <w:b/>
          <w:color w:val="auto"/>
          <w:spacing w:val="6"/>
          <w:sz w:val="32"/>
          <w:szCs w:val="32"/>
          <w:highlight w:val="none"/>
        </w:rPr>
      </w:pPr>
    </w:p>
    <w:p w14:paraId="7F9E6A89">
      <w:pPr>
        <w:spacing w:line="588" w:lineRule="exact"/>
        <w:jc w:val="center"/>
        <w:rPr>
          <w:rFonts w:ascii="宋体" w:hAnsi="宋体" w:cs="方正小标宋简体"/>
          <w:bCs/>
          <w:color w:val="auto"/>
          <w:spacing w:val="6"/>
          <w:sz w:val="44"/>
          <w:szCs w:val="44"/>
          <w:highlight w:val="none"/>
        </w:rPr>
      </w:pPr>
      <w:r>
        <w:rPr>
          <w:rFonts w:hint="eastAsia" w:ascii="宋体" w:hAnsi="宋体" w:cs="方正小标宋简体"/>
          <w:bCs/>
          <w:color w:val="auto"/>
          <w:spacing w:val="6"/>
          <w:sz w:val="44"/>
          <w:szCs w:val="44"/>
          <w:highlight w:val="none"/>
        </w:rPr>
        <w:t>残疾人福利性单位声明函</w:t>
      </w:r>
    </w:p>
    <w:p w14:paraId="33203232">
      <w:pPr>
        <w:spacing w:line="360" w:lineRule="auto"/>
        <w:contextualSpacing/>
        <w:rPr>
          <w:rFonts w:ascii="宋体" w:hAnsi="宋体"/>
          <w:bCs/>
          <w:color w:val="auto"/>
          <w:spacing w:val="6"/>
          <w:sz w:val="30"/>
          <w:szCs w:val="30"/>
          <w:highlight w:val="none"/>
        </w:rPr>
      </w:pPr>
    </w:p>
    <w:p w14:paraId="72D8077F">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2869E387">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3A04A74E">
      <w:pPr>
        <w:spacing w:line="360" w:lineRule="auto"/>
        <w:ind w:firstLine="504" w:firstLineChars="200"/>
        <w:contextualSpacing/>
        <w:rPr>
          <w:rFonts w:ascii="宋体" w:hAnsi="宋体"/>
          <w:color w:val="auto"/>
          <w:spacing w:val="6"/>
          <w:sz w:val="24"/>
          <w:highlight w:val="none"/>
        </w:rPr>
      </w:pPr>
    </w:p>
    <w:p w14:paraId="56345D9A">
      <w:pPr>
        <w:spacing w:line="360" w:lineRule="auto"/>
        <w:ind w:firstLine="504" w:firstLineChars="200"/>
        <w:contextualSpacing/>
        <w:rPr>
          <w:rFonts w:ascii="宋体" w:hAnsi="宋体"/>
          <w:color w:val="auto"/>
          <w:spacing w:val="6"/>
          <w:sz w:val="24"/>
          <w:highlight w:val="none"/>
        </w:rPr>
      </w:pPr>
    </w:p>
    <w:p w14:paraId="6CFB930D">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单位名称（盖公章）：</w:t>
      </w:r>
    </w:p>
    <w:p w14:paraId="63524E88">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日  期：</w:t>
      </w:r>
    </w:p>
    <w:p w14:paraId="1AAF807A">
      <w:pPr>
        <w:spacing w:line="360" w:lineRule="auto"/>
        <w:contextualSpacing/>
        <w:rPr>
          <w:rFonts w:ascii="宋体" w:hAnsi="宋体"/>
          <w:color w:val="auto"/>
          <w:sz w:val="24"/>
          <w:highlight w:val="none"/>
        </w:rPr>
      </w:pPr>
    </w:p>
    <w:p w14:paraId="5E4A8F9E">
      <w:pPr>
        <w:spacing w:line="360" w:lineRule="auto"/>
        <w:contextualSpacing/>
        <w:rPr>
          <w:rFonts w:ascii="宋体" w:hAnsi="宋体"/>
          <w:color w:val="auto"/>
          <w:sz w:val="24"/>
          <w:highlight w:val="none"/>
        </w:rPr>
      </w:pPr>
    </w:p>
    <w:p w14:paraId="09B66565">
      <w:pPr>
        <w:spacing w:line="360" w:lineRule="auto"/>
        <w:contextualSpacing/>
        <w:rPr>
          <w:rFonts w:ascii="宋体" w:hAnsi="宋体"/>
          <w:color w:val="auto"/>
          <w:sz w:val="24"/>
          <w:highlight w:val="none"/>
        </w:rPr>
      </w:pPr>
    </w:p>
    <w:p w14:paraId="116A8B60">
      <w:pPr>
        <w:spacing w:line="360" w:lineRule="auto"/>
        <w:contextualSpacing/>
        <w:rPr>
          <w:rFonts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263EFEBF">
      <w:pPr>
        <w:spacing w:line="360" w:lineRule="auto"/>
        <w:jc w:val="left"/>
        <w:rPr>
          <w:rFonts w:ascii="宋体" w:hAnsi="宋体"/>
          <w:color w:val="auto"/>
          <w:sz w:val="24"/>
          <w:highlight w:val="none"/>
        </w:rPr>
      </w:pPr>
      <w:r>
        <w:rPr>
          <w:rFonts w:ascii="宋体" w:hAnsi="宋体"/>
          <w:color w:val="auto"/>
          <w:sz w:val="24"/>
          <w:highlight w:val="none"/>
        </w:rPr>
        <w:br w:type="page"/>
      </w:r>
      <w:r>
        <w:rPr>
          <w:rFonts w:hint="eastAsia" w:ascii="宋体" w:hAnsi="宋体"/>
          <w:b/>
          <w:color w:val="auto"/>
          <w:sz w:val="24"/>
          <w:highlight w:val="none"/>
        </w:rPr>
        <w:t>4.质疑函格式</w:t>
      </w:r>
    </w:p>
    <w:p w14:paraId="2356953F">
      <w:pPr>
        <w:spacing w:line="360" w:lineRule="auto"/>
        <w:jc w:val="center"/>
        <w:rPr>
          <w:rFonts w:ascii="宋体" w:hAnsi="宋体" w:cs="方正小标宋简体"/>
          <w:color w:val="auto"/>
          <w:sz w:val="44"/>
          <w:szCs w:val="44"/>
          <w:highlight w:val="none"/>
        </w:rPr>
      </w:pPr>
      <w:r>
        <w:rPr>
          <w:rFonts w:hint="eastAsia" w:ascii="宋体" w:hAnsi="宋体" w:cs="方正小标宋简体"/>
          <w:color w:val="auto"/>
          <w:sz w:val="44"/>
          <w:szCs w:val="44"/>
          <w:highlight w:val="none"/>
        </w:rPr>
        <w:t>质疑函</w:t>
      </w:r>
    </w:p>
    <w:p w14:paraId="6FB24540">
      <w:pPr>
        <w:pStyle w:val="25"/>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一、质疑供应商基本信息：</w:t>
      </w:r>
    </w:p>
    <w:p w14:paraId="6960E197">
      <w:pPr>
        <w:pStyle w:val="25"/>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质疑供应商：</w:t>
      </w:r>
    </w:p>
    <w:p w14:paraId="301254D2">
      <w:pPr>
        <w:pStyle w:val="25"/>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4006C527">
      <w:pPr>
        <w:pStyle w:val="25"/>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Ansi="宋体"/>
          <w:bCs/>
          <w:color w:val="auto"/>
          <w:sz w:val="24"/>
          <w:szCs w:val="24"/>
          <w:highlight w:val="none"/>
        </w:rPr>
        <w:t>联系电话</w:t>
      </w:r>
      <w:r>
        <w:rPr>
          <w:rFonts w:hint="eastAsia" w:hAnsi="宋体"/>
          <w:bCs/>
          <w:color w:val="auto"/>
          <w:sz w:val="24"/>
          <w:szCs w:val="24"/>
          <w:highlight w:val="none"/>
        </w:rPr>
        <w:t>：</w:t>
      </w:r>
    </w:p>
    <w:p w14:paraId="4A0C33E0">
      <w:pPr>
        <w:pStyle w:val="25"/>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授权代表：</w:t>
      </w:r>
    </w:p>
    <w:p w14:paraId="598F0ED6">
      <w:pPr>
        <w:pStyle w:val="25"/>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p>
    <w:p w14:paraId="77E5F7A9">
      <w:pPr>
        <w:pStyle w:val="25"/>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457D02AF">
      <w:pPr>
        <w:pStyle w:val="25"/>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二、质疑项目基本情况：</w:t>
      </w:r>
    </w:p>
    <w:p w14:paraId="5EF64338">
      <w:pPr>
        <w:pStyle w:val="25"/>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p>
    <w:p w14:paraId="49FE5DFF">
      <w:pPr>
        <w:pStyle w:val="25"/>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p>
    <w:p w14:paraId="5E4264A9">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采购人名称：</w:t>
      </w:r>
    </w:p>
    <w:p w14:paraId="14978FE6">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质疑事项：</w:t>
      </w:r>
    </w:p>
    <w:p w14:paraId="1B585DE5">
      <w:pPr>
        <w:pStyle w:val="25"/>
        <w:spacing w:line="360" w:lineRule="auto"/>
        <w:ind w:left="25" w:leftChars="12" w:firstLine="352" w:firstLineChars="147"/>
        <w:rPr>
          <w:rFonts w:hAnsi="宋体"/>
          <w:color w:val="auto"/>
          <w:sz w:val="24"/>
          <w:szCs w:val="24"/>
          <w:highlight w:val="none"/>
        </w:rPr>
      </w:pPr>
      <w:r>
        <w:rPr>
          <w:rFonts w:hint="eastAsia" w:hAnsi="宋体"/>
          <w:color w:val="auto"/>
          <w:sz w:val="24"/>
          <w:szCs w:val="24"/>
          <w:highlight w:val="none"/>
        </w:rPr>
        <w:t>□招标文件   招标文件获取日期：</w:t>
      </w:r>
    </w:p>
    <w:p w14:paraId="1EDCE8F2">
      <w:pPr>
        <w:pStyle w:val="25"/>
        <w:spacing w:line="360" w:lineRule="auto"/>
        <w:ind w:left="25" w:leftChars="12" w:firstLine="352" w:firstLineChars="147"/>
        <w:rPr>
          <w:rFonts w:hAnsi="宋体"/>
          <w:color w:val="auto"/>
          <w:sz w:val="24"/>
          <w:szCs w:val="24"/>
          <w:highlight w:val="none"/>
        </w:rPr>
      </w:pPr>
      <w:r>
        <w:rPr>
          <w:rFonts w:hint="eastAsia" w:hAnsi="宋体"/>
          <w:color w:val="auto"/>
          <w:sz w:val="24"/>
          <w:szCs w:val="24"/>
          <w:highlight w:val="none"/>
        </w:rPr>
        <w:t xml:space="preserve">□采购过程   </w:t>
      </w:r>
    </w:p>
    <w:p w14:paraId="7C263DF1">
      <w:pPr>
        <w:pStyle w:val="25"/>
        <w:spacing w:line="360" w:lineRule="auto"/>
        <w:ind w:left="25" w:leftChars="12" w:firstLine="352" w:firstLineChars="147"/>
        <w:rPr>
          <w:rFonts w:hAnsi="宋体"/>
          <w:bCs/>
          <w:color w:val="auto"/>
          <w:sz w:val="24"/>
          <w:szCs w:val="24"/>
          <w:highlight w:val="none"/>
          <w:u w:val="single"/>
        </w:rPr>
      </w:pPr>
      <w:r>
        <w:rPr>
          <w:rFonts w:hint="eastAsia" w:hAnsi="宋体"/>
          <w:color w:val="auto"/>
          <w:sz w:val="24"/>
          <w:szCs w:val="24"/>
          <w:highlight w:val="none"/>
        </w:rPr>
        <w:t xml:space="preserve">□中标结果   </w:t>
      </w:r>
    </w:p>
    <w:p w14:paraId="1DE99FDB">
      <w:pPr>
        <w:pStyle w:val="25"/>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三、质疑事项具体内容</w:t>
      </w:r>
    </w:p>
    <w:p w14:paraId="3B28AF9F">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质疑事项1：</w:t>
      </w:r>
    </w:p>
    <w:p w14:paraId="40D33D76">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事实依据：</w:t>
      </w:r>
    </w:p>
    <w:p w14:paraId="7B79114F">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法律依据：</w:t>
      </w:r>
    </w:p>
    <w:p w14:paraId="05CDB05D">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质疑事项2</w:t>
      </w:r>
    </w:p>
    <w:p w14:paraId="0DB5D165">
      <w:pPr>
        <w:pStyle w:val="25"/>
        <w:spacing w:line="360" w:lineRule="auto"/>
        <w:ind w:left="25" w:leftChars="12" w:firstLine="472" w:firstLineChars="197"/>
        <w:rPr>
          <w:rFonts w:hAnsi="宋体"/>
          <w:color w:val="auto"/>
          <w:sz w:val="24"/>
          <w:szCs w:val="24"/>
          <w:highlight w:val="none"/>
        </w:rPr>
      </w:pPr>
      <w:r>
        <w:rPr>
          <w:rFonts w:hAnsi="宋体"/>
          <w:color w:val="auto"/>
          <w:sz w:val="24"/>
          <w:szCs w:val="24"/>
          <w:highlight w:val="none"/>
        </w:rPr>
        <w:t>……</w:t>
      </w:r>
    </w:p>
    <w:p w14:paraId="430C1BA3">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四、与质疑事项相关的质疑请求：</w:t>
      </w:r>
    </w:p>
    <w:p w14:paraId="688E2EDC">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p>
    <w:p w14:paraId="0A9CBCA6">
      <w:pPr>
        <w:pStyle w:val="25"/>
        <w:spacing w:line="360" w:lineRule="auto"/>
        <w:ind w:left="25" w:leftChars="12" w:firstLine="352" w:firstLineChars="147"/>
        <w:rPr>
          <w:rFonts w:hAnsi="宋体"/>
          <w:color w:val="auto"/>
          <w:sz w:val="24"/>
          <w:szCs w:val="24"/>
          <w:highlight w:val="none"/>
        </w:rPr>
      </w:pPr>
    </w:p>
    <w:p w14:paraId="7B2178E3">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490423CE">
      <w:pPr>
        <w:pStyle w:val="25"/>
        <w:spacing w:line="360" w:lineRule="auto"/>
        <w:ind w:left="25" w:leftChars="12" w:firstLine="352" w:firstLineChars="147"/>
        <w:rPr>
          <w:rFonts w:hAnsi="宋体"/>
          <w:color w:val="auto"/>
          <w:sz w:val="24"/>
          <w:szCs w:val="24"/>
          <w:highlight w:val="none"/>
        </w:rPr>
      </w:pPr>
    </w:p>
    <w:p w14:paraId="1A6707C8">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3E842CC5">
      <w:pPr>
        <w:pStyle w:val="25"/>
        <w:snapToGrid w:val="0"/>
        <w:spacing w:line="360" w:lineRule="auto"/>
        <w:rPr>
          <w:rFonts w:hAnsi="宋体"/>
          <w:b/>
          <w:color w:val="auto"/>
          <w:sz w:val="24"/>
          <w:szCs w:val="24"/>
          <w:highlight w:val="none"/>
        </w:rPr>
      </w:pPr>
    </w:p>
    <w:p w14:paraId="6D82AAE1">
      <w:pPr>
        <w:pStyle w:val="25"/>
        <w:snapToGrid w:val="0"/>
        <w:spacing w:line="360" w:lineRule="auto"/>
        <w:rPr>
          <w:rFonts w:hAnsi="宋体"/>
          <w:b/>
          <w:color w:val="auto"/>
          <w:sz w:val="24"/>
          <w:szCs w:val="24"/>
          <w:highlight w:val="none"/>
        </w:rPr>
      </w:pPr>
      <w:r>
        <w:rPr>
          <w:rFonts w:hint="eastAsia" w:hAnsi="宋体"/>
          <w:b/>
          <w:color w:val="auto"/>
          <w:sz w:val="24"/>
          <w:szCs w:val="24"/>
          <w:highlight w:val="none"/>
        </w:rPr>
        <w:t>说明：</w:t>
      </w:r>
    </w:p>
    <w:p w14:paraId="68723FD1">
      <w:pPr>
        <w:pStyle w:val="25"/>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545D4D9C">
      <w:pPr>
        <w:pStyle w:val="25"/>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0DFBABF">
      <w:pPr>
        <w:pStyle w:val="25"/>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708CEFB1">
      <w:pPr>
        <w:pStyle w:val="25"/>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4.质疑函的质疑请求应与质疑事项相关。</w:t>
      </w:r>
    </w:p>
    <w:p w14:paraId="19B72656">
      <w:pPr>
        <w:pStyle w:val="25"/>
        <w:spacing w:line="360" w:lineRule="auto"/>
        <w:ind w:left="25" w:leftChars="12" w:firstLine="354" w:firstLineChars="147"/>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22A7C6EF">
      <w:pPr>
        <w:pStyle w:val="25"/>
        <w:snapToGrid w:val="0"/>
        <w:rPr>
          <w:rFonts w:hAnsi="宋体"/>
          <w:b/>
          <w:color w:val="auto"/>
          <w:sz w:val="24"/>
          <w:szCs w:val="24"/>
          <w:highlight w:val="none"/>
        </w:rPr>
      </w:pPr>
    </w:p>
    <w:p w14:paraId="571A52C7">
      <w:pPr>
        <w:spacing w:line="360" w:lineRule="auto"/>
        <w:jc w:val="left"/>
        <w:rPr>
          <w:rFonts w:ascii="宋体" w:hAnsi="宋体"/>
          <w:b/>
          <w:bCs/>
          <w:color w:val="auto"/>
          <w:sz w:val="32"/>
          <w:szCs w:val="32"/>
          <w:highlight w:val="none"/>
        </w:rPr>
      </w:pPr>
      <w:r>
        <w:rPr>
          <w:rFonts w:ascii="宋体" w:hAnsi="宋体"/>
          <w:color w:val="auto"/>
          <w:sz w:val="44"/>
          <w:highlight w:val="none"/>
        </w:rPr>
        <w:br w:type="page"/>
      </w:r>
      <w:r>
        <w:rPr>
          <w:rFonts w:hint="eastAsia" w:ascii="宋体" w:hAnsi="宋体"/>
          <w:b/>
          <w:color w:val="auto"/>
          <w:sz w:val="24"/>
          <w:highlight w:val="none"/>
        </w:rPr>
        <w:t>5.投诉书格式</w:t>
      </w:r>
    </w:p>
    <w:p w14:paraId="6784A92E">
      <w:pPr>
        <w:jc w:val="center"/>
        <w:rPr>
          <w:rFonts w:ascii="宋体" w:hAnsi="宋体" w:cs="方正小标宋简体"/>
          <w:color w:val="auto"/>
          <w:sz w:val="44"/>
          <w:szCs w:val="44"/>
          <w:highlight w:val="none"/>
        </w:rPr>
      </w:pPr>
      <w:r>
        <w:rPr>
          <w:rFonts w:hint="eastAsia" w:ascii="宋体" w:hAnsi="宋体" w:cs="方正小标宋简体"/>
          <w:color w:val="auto"/>
          <w:sz w:val="44"/>
          <w:szCs w:val="44"/>
          <w:highlight w:val="none"/>
        </w:rPr>
        <w:t>投诉书</w:t>
      </w:r>
    </w:p>
    <w:p w14:paraId="6DEFD639">
      <w:pPr>
        <w:pStyle w:val="25"/>
        <w:snapToGrid w:val="0"/>
        <w:spacing w:line="440" w:lineRule="exact"/>
        <w:ind w:firstLine="482" w:firstLineChars="200"/>
        <w:rPr>
          <w:rFonts w:hAnsi="宋体"/>
          <w:b/>
          <w:bCs/>
          <w:color w:val="auto"/>
          <w:sz w:val="24"/>
          <w:szCs w:val="24"/>
          <w:highlight w:val="none"/>
        </w:rPr>
      </w:pPr>
    </w:p>
    <w:p w14:paraId="65DD9138">
      <w:pPr>
        <w:pStyle w:val="25"/>
        <w:snapToGrid w:val="0"/>
        <w:spacing w:line="440" w:lineRule="exact"/>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56F61B77">
      <w:pPr>
        <w:pStyle w:val="25"/>
        <w:snapToGrid w:val="0"/>
        <w:spacing w:line="440" w:lineRule="exact"/>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投标人：</w:t>
      </w:r>
    </w:p>
    <w:p w14:paraId="728E27A6">
      <w:pPr>
        <w:pStyle w:val="25"/>
        <w:snapToGrid w:val="0"/>
        <w:spacing w:line="440" w:lineRule="exact"/>
        <w:ind w:firstLine="480" w:firstLineChars="200"/>
        <w:jc w:val="left"/>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38A99206">
      <w:pPr>
        <w:pStyle w:val="25"/>
        <w:snapToGrid w:val="0"/>
        <w:spacing w:line="440" w:lineRule="exact"/>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法定代表人/主要负责人：</w:t>
      </w:r>
    </w:p>
    <w:p w14:paraId="731ACA71">
      <w:pPr>
        <w:pStyle w:val="25"/>
        <w:snapToGrid w:val="0"/>
        <w:spacing w:line="440" w:lineRule="exact"/>
        <w:ind w:firstLine="480" w:firstLineChars="200"/>
        <w:jc w:val="left"/>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p>
    <w:p w14:paraId="5CD260C5">
      <w:pPr>
        <w:pStyle w:val="25"/>
        <w:snapToGrid w:val="0"/>
        <w:spacing w:line="440" w:lineRule="exact"/>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授权代表：</w:t>
      </w:r>
      <w:r>
        <w:rPr>
          <w:rFonts w:hAnsi="宋体"/>
          <w:bCs/>
          <w:color w:val="auto"/>
          <w:sz w:val="24"/>
          <w:szCs w:val="24"/>
          <w:highlight w:val="none"/>
        </w:rPr>
        <w:t>联系</w:t>
      </w:r>
      <w:r>
        <w:rPr>
          <w:rFonts w:hint="eastAsia" w:hAnsi="宋体"/>
          <w:bCs/>
          <w:color w:val="auto"/>
          <w:sz w:val="24"/>
          <w:szCs w:val="24"/>
          <w:highlight w:val="none"/>
        </w:rPr>
        <w:t>电话：</w:t>
      </w:r>
    </w:p>
    <w:p w14:paraId="1D89E8D5">
      <w:pPr>
        <w:pStyle w:val="25"/>
        <w:snapToGrid w:val="0"/>
        <w:spacing w:line="440" w:lineRule="exact"/>
        <w:ind w:firstLine="480" w:firstLineChars="200"/>
        <w:jc w:val="left"/>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p>
    <w:p w14:paraId="328E65C6">
      <w:pPr>
        <w:pStyle w:val="25"/>
        <w:snapToGrid w:val="0"/>
        <w:spacing w:line="440" w:lineRule="exact"/>
        <w:ind w:firstLine="480" w:firstLineChars="200"/>
        <w:jc w:val="left"/>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p>
    <w:p w14:paraId="206198AA">
      <w:pPr>
        <w:pStyle w:val="25"/>
        <w:snapToGrid w:val="0"/>
        <w:spacing w:line="440" w:lineRule="exact"/>
        <w:ind w:firstLine="480" w:firstLineChars="200"/>
        <w:jc w:val="left"/>
        <w:rPr>
          <w:rFonts w:hAnsi="宋体"/>
          <w:bCs/>
          <w:color w:val="auto"/>
          <w:sz w:val="24"/>
          <w:szCs w:val="24"/>
          <w:highlight w:val="none"/>
        </w:rPr>
      </w:pPr>
      <w:r>
        <w:rPr>
          <w:rFonts w:hint="eastAsia" w:hAnsi="宋体"/>
          <w:bCs/>
          <w:color w:val="auto"/>
          <w:sz w:val="24"/>
          <w:szCs w:val="24"/>
          <w:highlight w:val="none"/>
        </w:rPr>
        <w:t>被投诉人1：</w:t>
      </w:r>
    </w:p>
    <w:p w14:paraId="39FAC74B">
      <w:pPr>
        <w:pStyle w:val="25"/>
        <w:snapToGrid w:val="0"/>
        <w:spacing w:line="440" w:lineRule="exact"/>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地址：</w:t>
      </w:r>
    </w:p>
    <w:p w14:paraId="1DB425F6">
      <w:pPr>
        <w:pStyle w:val="25"/>
        <w:snapToGrid w:val="0"/>
        <w:spacing w:line="440" w:lineRule="exact"/>
        <w:ind w:firstLine="480" w:firstLineChars="200"/>
        <w:jc w:val="left"/>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p>
    <w:p w14:paraId="0BA05651">
      <w:pPr>
        <w:pStyle w:val="25"/>
        <w:snapToGrid w:val="0"/>
        <w:spacing w:line="440" w:lineRule="exact"/>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14:paraId="60FFC57D">
      <w:pPr>
        <w:pStyle w:val="25"/>
        <w:snapToGrid w:val="0"/>
        <w:spacing w:line="440" w:lineRule="exact"/>
        <w:ind w:firstLine="480" w:firstLineChars="200"/>
        <w:jc w:val="left"/>
        <w:rPr>
          <w:rFonts w:hAnsi="宋体"/>
          <w:bCs/>
          <w:color w:val="auto"/>
          <w:sz w:val="24"/>
          <w:szCs w:val="24"/>
          <w:highlight w:val="none"/>
        </w:rPr>
      </w:pPr>
      <w:r>
        <w:rPr>
          <w:rFonts w:hint="eastAsia" w:hAnsi="宋体"/>
          <w:bCs/>
          <w:color w:val="auto"/>
          <w:sz w:val="24"/>
          <w:szCs w:val="24"/>
          <w:highlight w:val="none"/>
        </w:rPr>
        <w:t>被投诉人2：</w:t>
      </w:r>
    </w:p>
    <w:p w14:paraId="4F055678">
      <w:pPr>
        <w:pStyle w:val="25"/>
        <w:snapToGrid w:val="0"/>
        <w:spacing w:line="440" w:lineRule="exact"/>
        <w:ind w:firstLine="480" w:firstLineChars="200"/>
        <w:jc w:val="left"/>
        <w:rPr>
          <w:rFonts w:hAnsi="宋体"/>
          <w:bCs/>
          <w:color w:val="auto"/>
          <w:sz w:val="24"/>
          <w:szCs w:val="24"/>
          <w:highlight w:val="none"/>
        </w:rPr>
      </w:pPr>
      <w:r>
        <w:rPr>
          <w:rFonts w:hAnsi="宋体"/>
          <w:bCs/>
          <w:color w:val="auto"/>
          <w:sz w:val="24"/>
          <w:szCs w:val="24"/>
          <w:highlight w:val="none"/>
        </w:rPr>
        <w:t>……</w:t>
      </w:r>
    </w:p>
    <w:p w14:paraId="3389AB2D">
      <w:pPr>
        <w:pStyle w:val="25"/>
        <w:snapToGrid w:val="0"/>
        <w:spacing w:line="440" w:lineRule="exact"/>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相关供应商：</w:t>
      </w:r>
    </w:p>
    <w:p w14:paraId="31951548">
      <w:pPr>
        <w:pStyle w:val="25"/>
        <w:snapToGrid w:val="0"/>
        <w:spacing w:line="440" w:lineRule="exact"/>
        <w:ind w:firstLine="480" w:firstLineChars="200"/>
        <w:jc w:val="left"/>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150FF2FC">
      <w:pPr>
        <w:pStyle w:val="25"/>
        <w:snapToGrid w:val="0"/>
        <w:spacing w:line="440" w:lineRule="exact"/>
        <w:ind w:firstLine="480" w:firstLineChars="200"/>
        <w:jc w:val="left"/>
        <w:rPr>
          <w:rFonts w:hAnsi="宋体"/>
          <w:bCs/>
          <w:color w:val="auto"/>
          <w:sz w:val="24"/>
          <w:szCs w:val="24"/>
          <w:highlight w:val="none"/>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14:paraId="79ECB636">
      <w:pPr>
        <w:pStyle w:val="25"/>
        <w:snapToGrid w:val="0"/>
        <w:spacing w:line="440" w:lineRule="exact"/>
        <w:ind w:firstLine="482" w:firstLineChars="200"/>
        <w:rPr>
          <w:rFonts w:hAnsi="宋体"/>
          <w:b/>
          <w:bCs/>
          <w:color w:val="auto"/>
          <w:sz w:val="24"/>
          <w:szCs w:val="24"/>
          <w:highlight w:val="none"/>
        </w:rPr>
      </w:pPr>
      <w:r>
        <w:rPr>
          <w:rFonts w:hint="eastAsia" w:hAnsi="宋体"/>
          <w:b/>
          <w:bCs/>
          <w:color w:val="auto"/>
          <w:sz w:val="24"/>
          <w:szCs w:val="24"/>
          <w:highlight w:val="none"/>
        </w:rPr>
        <w:t>二、投诉项目基本情况：</w:t>
      </w:r>
    </w:p>
    <w:p w14:paraId="04D56923">
      <w:pPr>
        <w:pStyle w:val="25"/>
        <w:spacing w:line="440" w:lineRule="exact"/>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p>
    <w:p w14:paraId="2527378F">
      <w:pPr>
        <w:pStyle w:val="25"/>
        <w:spacing w:line="440" w:lineRule="exact"/>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p>
    <w:p w14:paraId="245050DF">
      <w:pPr>
        <w:pStyle w:val="25"/>
        <w:spacing w:line="440" w:lineRule="exact"/>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采购人名称：</w:t>
      </w:r>
    </w:p>
    <w:p w14:paraId="49F6D825">
      <w:pPr>
        <w:pStyle w:val="25"/>
        <w:spacing w:line="440" w:lineRule="exact"/>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代理机构名称：</w:t>
      </w:r>
    </w:p>
    <w:p w14:paraId="379421FE">
      <w:pPr>
        <w:pStyle w:val="25"/>
        <w:spacing w:line="440" w:lineRule="exact"/>
        <w:ind w:left="25" w:leftChars="12" w:firstLine="472" w:firstLineChars="197"/>
        <w:rPr>
          <w:rFonts w:hAnsi="宋体"/>
          <w:bCs/>
          <w:color w:val="auto"/>
          <w:sz w:val="24"/>
          <w:szCs w:val="24"/>
          <w:highlight w:val="none"/>
          <w:u w:val="single"/>
        </w:rPr>
      </w:pPr>
      <w:r>
        <w:rPr>
          <w:rFonts w:hint="eastAsia" w:hAnsi="宋体"/>
          <w:bCs/>
          <w:color w:val="auto"/>
          <w:sz w:val="24"/>
          <w:szCs w:val="24"/>
          <w:highlight w:val="none"/>
        </w:rPr>
        <w:t>招标文件公告：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14:paraId="6A6169BF">
      <w:pPr>
        <w:pStyle w:val="25"/>
        <w:spacing w:line="440" w:lineRule="exact"/>
        <w:ind w:left="25" w:leftChars="12" w:firstLine="472" w:firstLineChars="197"/>
        <w:rPr>
          <w:rFonts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14:paraId="6A601C63">
      <w:pPr>
        <w:pStyle w:val="25"/>
        <w:spacing w:line="440" w:lineRule="exact"/>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三、质疑基本情况</w:t>
      </w:r>
    </w:p>
    <w:p w14:paraId="4E1B151D">
      <w:pPr>
        <w:pStyle w:val="25"/>
        <w:spacing w:line="440" w:lineRule="exact"/>
        <w:ind w:left="25" w:leftChars="12" w:firstLine="480" w:firstLineChars="200"/>
        <w:rPr>
          <w:rFonts w:hAnsi="宋体"/>
          <w:color w:val="auto"/>
          <w:sz w:val="24"/>
          <w:szCs w:val="24"/>
          <w:highlight w:val="none"/>
        </w:rPr>
      </w:pPr>
      <w:r>
        <w:rPr>
          <w:rFonts w:hint="eastAsia" w:hAnsi="宋体"/>
          <w:color w:val="auto"/>
          <w:sz w:val="24"/>
          <w:szCs w:val="24"/>
          <w:highlight w:val="none"/>
        </w:rPr>
        <w:t>投诉人于年月日，向提出质疑，质疑事项为：</w:t>
      </w:r>
    </w:p>
    <w:p w14:paraId="4EAEF940">
      <w:pPr>
        <w:pStyle w:val="25"/>
        <w:spacing w:line="440" w:lineRule="exact"/>
        <w:ind w:firstLine="241"/>
        <w:rPr>
          <w:rFonts w:hAnsi="宋体"/>
          <w:bCs/>
          <w:color w:val="auto"/>
          <w:sz w:val="24"/>
          <w:szCs w:val="24"/>
          <w:highlight w:val="none"/>
          <w:u w:val="single"/>
        </w:rPr>
      </w:pPr>
    </w:p>
    <w:p w14:paraId="5CA6D148">
      <w:pPr>
        <w:pStyle w:val="25"/>
        <w:spacing w:line="440" w:lineRule="exact"/>
        <w:ind w:firstLine="241"/>
        <w:rPr>
          <w:rFonts w:hAnsi="宋体"/>
          <w:bCs/>
          <w:color w:val="auto"/>
          <w:sz w:val="24"/>
          <w:szCs w:val="24"/>
          <w:highlight w:val="none"/>
          <w:u w:val="single"/>
        </w:rPr>
      </w:pPr>
    </w:p>
    <w:p w14:paraId="26177501">
      <w:pPr>
        <w:pStyle w:val="25"/>
        <w:spacing w:line="440" w:lineRule="exact"/>
        <w:ind w:firstLine="480" w:firstLineChars="200"/>
        <w:rPr>
          <w:rFonts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rPr>
        <w:t>年月日，</w:t>
      </w:r>
      <w:r>
        <w:rPr>
          <w:rFonts w:hint="eastAsia" w:hAnsi="宋体"/>
          <w:bCs/>
          <w:color w:val="auto"/>
          <w:sz w:val="24"/>
          <w:szCs w:val="24"/>
          <w:highlight w:val="none"/>
        </w:rPr>
        <w:t xml:space="preserve">就质疑事项作出了答复/没有在法定期限内作出答复。                                                                                             </w:t>
      </w:r>
    </w:p>
    <w:p w14:paraId="6DE9D6DA">
      <w:pPr>
        <w:pStyle w:val="25"/>
        <w:spacing w:line="440" w:lineRule="exact"/>
        <w:ind w:left="25" w:leftChars="12" w:firstLine="472" w:firstLineChars="196"/>
        <w:rPr>
          <w:rFonts w:hAnsi="宋体"/>
          <w:b/>
          <w:color w:val="auto"/>
          <w:sz w:val="24"/>
          <w:szCs w:val="24"/>
          <w:highlight w:val="none"/>
        </w:rPr>
      </w:pPr>
      <w:r>
        <w:rPr>
          <w:rFonts w:hint="eastAsia" w:hAnsi="宋体"/>
          <w:b/>
          <w:color w:val="auto"/>
          <w:sz w:val="24"/>
          <w:szCs w:val="24"/>
          <w:highlight w:val="none"/>
        </w:rPr>
        <w:t>四、投诉事项具体内容</w:t>
      </w:r>
    </w:p>
    <w:p w14:paraId="211E4F13">
      <w:pPr>
        <w:pStyle w:val="25"/>
        <w:spacing w:line="440" w:lineRule="exact"/>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投诉事项1：</w:t>
      </w:r>
    </w:p>
    <w:p w14:paraId="5D4F6235">
      <w:pPr>
        <w:pStyle w:val="25"/>
        <w:spacing w:line="440" w:lineRule="exact"/>
        <w:ind w:firstLine="480" w:firstLineChars="200"/>
        <w:rPr>
          <w:rFonts w:hAnsi="宋体"/>
          <w:bCs/>
          <w:color w:val="auto"/>
          <w:sz w:val="24"/>
          <w:szCs w:val="24"/>
          <w:highlight w:val="none"/>
          <w:u w:val="single"/>
        </w:rPr>
      </w:pPr>
      <w:r>
        <w:rPr>
          <w:rFonts w:hint="eastAsia" w:hAnsi="宋体"/>
          <w:bCs/>
          <w:color w:val="auto"/>
          <w:sz w:val="24"/>
          <w:szCs w:val="24"/>
          <w:highlight w:val="none"/>
        </w:rPr>
        <w:t>事实依据：</w:t>
      </w:r>
    </w:p>
    <w:p w14:paraId="3C02A46E">
      <w:pPr>
        <w:pStyle w:val="25"/>
        <w:spacing w:line="440" w:lineRule="exact"/>
        <w:ind w:left="25" w:leftChars="12" w:firstLine="472" w:firstLineChars="197"/>
        <w:rPr>
          <w:rFonts w:hAnsi="宋体"/>
          <w:color w:val="auto"/>
          <w:sz w:val="24"/>
          <w:szCs w:val="24"/>
          <w:highlight w:val="none"/>
        </w:rPr>
      </w:pPr>
    </w:p>
    <w:p w14:paraId="0390CFC9">
      <w:pPr>
        <w:pStyle w:val="25"/>
        <w:spacing w:line="440" w:lineRule="exact"/>
        <w:ind w:firstLine="480" w:firstLineChars="200"/>
        <w:rPr>
          <w:rFonts w:hAnsi="宋体"/>
          <w:bCs/>
          <w:color w:val="auto"/>
          <w:sz w:val="24"/>
          <w:szCs w:val="24"/>
          <w:highlight w:val="none"/>
          <w:u w:val="single"/>
        </w:rPr>
      </w:pPr>
      <w:r>
        <w:rPr>
          <w:rFonts w:hint="eastAsia" w:hAnsi="宋体"/>
          <w:bCs/>
          <w:color w:val="auto"/>
          <w:sz w:val="24"/>
          <w:szCs w:val="24"/>
          <w:highlight w:val="none"/>
        </w:rPr>
        <w:t>法律依据：</w:t>
      </w:r>
    </w:p>
    <w:p w14:paraId="0A975702">
      <w:pPr>
        <w:pStyle w:val="25"/>
        <w:spacing w:line="440" w:lineRule="exact"/>
        <w:ind w:left="25" w:leftChars="12" w:firstLine="352" w:firstLineChars="147"/>
        <w:rPr>
          <w:rFonts w:hAnsi="宋体"/>
          <w:bCs/>
          <w:color w:val="auto"/>
          <w:sz w:val="24"/>
          <w:szCs w:val="24"/>
          <w:highlight w:val="none"/>
          <w:u w:val="single"/>
        </w:rPr>
      </w:pPr>
    </w:p>
    <w:p w14:paraId="53CEF040">
      <w:pPr>
        <w:pStyle w:val="25"/>
        <w:spacing w:line="440" w:lineRule="exact"/>
        <w:ind w:left="25" w:leftChars="12" w:firstLine="472" w:firstLineChars="197"/>
        <w:rPr>
          <w:rFonts w:hAnsi="宋体"/>
          <w:bCs/>
          <w:color w:val="auto"/>
          <w:sz w:val="24"/>
          <w:szCs w:val="24"/>
          <w:highlight w:val="none"/>
        </w:rPr>
      </w:pPr>
      <w:r>
        <w:rPr>
          <w:rFonts w:hint="eastAsia" w:hAnsi="宋体"/>
          <w:color w:val="auto"/>
          <w:sz w:val="24"/>
          <w:szCs w:val="24"/>
          <w:highlight w:val="none"/>
        </w:rPr>
        <w:t xml:space="preserve">投诉事项2  </w:t>
      </w:r>
    </w:p>
    <w:p w14:paraId="03BBED65">
      <w:pPr>
        <w:pStyle w:val="25"/>
        <w:spacing w:line="440" w:lineRule="exact"/>
        <w:ind w:left="25" w:leftChars="12" w:firstLine="472" w:firstLineChars="197"/>
        <w:rPr>
          <w:rFonts w:hAnsi="宋体"/>
          <w:bCs/>
          <w:color w:val="auto"/>
          <w:sz w:val="24"/>
          <w:szCs w:val="24"/>
          <w:highlight w:val="none"/>
        </w:rPr>
      </w:pPr>
      <w:r>
        <w:rPr>
          <w:rFonts w:hAnsi="宋体"/>
          <w:bCs/>
          <w:color w:val="auto"/>
          <w:sz w:val="24"/>
          <w:szCs w:val="24"/>
          <w:highlight w:val="none"/>
        </w:rPr>
        <w:t>……</w:t>
      </w:r>
    </w:p>
    <w:p w14:paraId="0062EE33">
      <w:pPr>
        <w:pStyle w:val="25"/>
        <w:spacing w:line="440" w:lineRule="exact"/>
        <w:ind w:left="25" w:leftChars="12" w:firstLine="472" w:firstLineChars="196"/>
        <w:rPr>
          <w:rFonts w:hAnsi="宋体"/>
          <w:b/>
          <w:color w:val="auto"/>
          <w:sz w:val="24"/>
          <w:szCs w:val="24"/>
          <w:highlight w:val="none"/>
        </w:rPr>
      </w:pPr>
      <w:r>
        <w:rPr>
          <w:rFonts w:hint="eastAsia" w:hAnsi="宋体"/>
          <w:b/>
          <w:color w:val="auto"/>
          <w:sz w:val="24"/>
          <w:szCs w:val="24"/>
          <w:highlight w:val="none"/>
        </w:rPr>
        <w:t>五、与投诉事项相关的投诉请求：</w:t>
      </w:r>
    </w:p>
    <w:p w14:paraId="38646D25">
      <w:pPr>
        <w:pStyle w:val="25"/>
        <w:spacing w:line="440" w:lineRule="exact"/>
        <w:ind w:left="25" w:leftChars="12" w:firstLine="472" w:firstLineChars="197"/>
        <w:rPr>
          <w:rFonts w:hAnsi="宋体"/>
          <w:color w:val="auto"/>
          <w:sz w:val="24"/>
          <w:szCs w:val="24"/>
          <w:highlight w:val="none"/>
        </w:rPr>
      </w:pPr>
      <w:r>
        <w:rPr>
          <w:rFonts w:hint="eastAsia" w:hAnsi="宋体"/>
          <w:color w:val="auto"/>
          <w:sz w:val="24"/>
          <w:szCs w:val="24"/>
          <w:highlight w:val="none"/>
        </w:rPr>
        <w:t>请求：</w:t>
      </w:r>
    </w:p>
    <w:p w14:paraId="14EFD3CF">
      <w:pPr>
        <w:pStyle w:val="25"/>
        <w:spacing w:line="440" w:lineRule="exact"/>
        <w:ind w:left="25" w:leftChars="12" w:firstLine="352" w:firstLineChars="147"/>
        <w:rPr>
          <w:rFonts w:hAnsi="宋体"/>
          <w:color w:val="auto"/>
          <w:sz w:val="24"/>
          <w:szCs w:val="24"/>
          <w:highlight w:val="none"/>
        </w:rPr>
      </w:pPr>
    </w:p>
    <w:p w14:paraId="2503E2E2">
      <w:pPr>
        <w:pStyle w:val="25"/>
        <w:spacing w:line="440" w:lineRule="exact"/>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4900204F">
      <w:pPr>
        <w:pStyle w:val="25"/>
        <w:spacing w:line="440" w:lineRule="exact"/>
        <w:ind w:left="25" w:leftChars="12" w:firstLine="352" w:firstLineChars="147"/>
        <w:rPr>
          <w:rFonts w:hAnsi="宋体"/>
          <w:color w:val="auto"/>
          <w:sz w:val="24"/>
          <w:szCs w:val="24"/>
          <w:highlight w:val="none"/>
        </w:rPr>
      </w:pPr>
    </w:p>
    <w:p w14:paraId="72FE0B83">
      <w:pPr>
        <w:pStyle w:val="25"/>
        <w:spacing w:line="440" w:lineRule="exact"/>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0EF4821E">
      <w:pPr>
        <w:pStyle w:val="25"/>
        <w:spacing w:line="440" w:lineRule="exact"/>
        <w:ind w:left="25" w:leftChars="12" w:firstLine="472" w:firstLineChars="197"/>
        <w:rPr>
          <w:rFonts w:hAnsi="宋体"/>
          <w:color w:val="auto"/>
          <w:sz w:val="24"/>
          <w:szCs w:val="24"/>
          <w:highlight w:val="none"/>
        </w:rPr>
      </w:pPr>
    </w:p>
    <w:p w14:paraId="0B818A1F">
      <w:pPr>
        <w:pStyle w:val="25"/>
        <w:snapToGrid w:val="0"/>
        <w:spacing w:line="440" w:lineRule="exact"/>
        <w:rPr>
          <w:rFonts w:hAnsi="宋体"/>
          <w:b/>
          <w:color w:val="auto"/>
          <w:sz w:val="24"/>
          <w:szCs w:val="24"/>
          <w:highlight w:val="none"/>
        </w:rPr>
      </w:pPr>
      <w:r>
        <w:rPr>
          <w:rFonts w:hint="eastAsia" w:hAnsi="宋体"/>
          <w:b/>
          <w:color w:val="auto"/>
          <w:sz w:val="24"/>
          <w:szCs w:val="24"/>
          <w:highlight w:val="none"/>
        </w:rPr>
        <w:t>说明：</w:t>
      </w:r>
    </w:p>
    <w:p w14:paraId="7AF8B425">
      <w:pPr>
        <w:pStyle w:val="25"/>
        <w:spacing w:line="440" w:lineRule="exact"/>
        <w:ind w:left="25" w:leftChars="12" w:firstLine="354" w:firstLineChars="147"/>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5BED66A3">
      <w:pPr>
        <w:pStyle w:val="25"/>
        <w:spacing w:line="440" w:lineRule="exact"/>
        <w:ind w:left="25" w:leftChars="12" w:firstLine="354" w:firstLineChars="147"/>
        <w:rPr>
          <w:rFonts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07FF8A8">
      <w:pPr>
        <w:pStyle w:val="25"/>
        <w:spacing w:line="440" w:lineRule="exact"/>
        <w:ind w:left="25" w:leftChars="12" w:firstLine="354" w:firstLineChars="147"/>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2A5E2C32">
      <w:pPr>
        <w:pStyle w:val="25"/>
        <w:spacing w:line="440" w:lineRule="exact"/>
        <w:ind w:left="25" w:leftChars="12" w:firstLine="354" w:firstLineChars="147"/>
        <w:rPr>
          <w:rFonts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61B197E4">
      <w:pPr>
        <w:pStyle w:val="25"/>
        <w:spacing w:line="440" w:lineRule="exact"/>
        <w:ind w:left="25" w:leftChars="12" w:firstLine="354" w:firstLineChars="147"/>
        <w:rPr>
          <w:rFonts w:hAnsi="宋体"/>
          <w:b/>
          <w:color w:val="auto"/>
          <w:sz w:val="24"/>
          <w:szCs w:val="24"/>
          <w:highlight w:val="none"/>
        </w:rPr>
      </w:pPr>
      <w:r>
        <w:rPr>
          <w:rFonts w:hint="eastAsia" w:hAnsi="宋体"/>
          <w:b/>
          <w:color w:val="auto"/>
          <w:sz w:val="24"/>
          <w:szCs w:val="24"/>
          <w:highlight w:val="none"/>
        </w:rPr>
        <w:t>5.投诉书的投诉请求应与投诉事项相关。</w:t>
      </w:r>
    </w:p>
    <w:p w14:paraId="456AD801">
      <w:pPr>
        <w:pStyle w:val="25"/>
        <w:spacing w:line="440" w:lineRule="exact"/>
        <w:ind w:left="25" w:leftChars="12" w:firstLine="354" w:firstLineChars="147"/>
        <w:rPr>
          <w:rFonts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79784AB6">
      <w:pPr>
        <w:rPr>
          <w:rFonts w:ascii="宋体" w:hAnsi="宋体"/>
          <w:color w:val="auto"/>
          <w:highlight w:val="none"/>
        </w:rPr>
      </w:pPr>
    </w:p>
    <w:sectPr>
      <w:footerReference r:id="rId13" w:type="first"/>
      <w:headerReference r:id="rId10" w:type="default"/>
      <w:footerReference r:id="rId11" w:type="default"/>
      <w:footerReference r:id="rId12" w:type="even"/>
      <w:pgSz w:w="11906" w:h="16838"/>
      <w:pgMar w:top="1440" w:right="1797" w:bottom="1440" w:left="1797"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2F852F7-CC36-4BF0-B128-F1448C606D7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9E82ED1A-2605-4F9E-8F43-4CABF6A7ED9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32CC9182-A89C-4B24-96D6-53E0A923078E}"/>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4" w:fontKey="{A5DE7C5B-8623-49C6-9B6F-9245BF0D01C8}"/>
  </w:font>
  <w:font w:name="等线">
    <w:panose1 w:val="02010600030101010101"/>
    <w:charset w:val="86"/>
    <w:family w:val="auto"/>
    <w:pitch w:val="default"/>
    <w:sig w:usb0="A00002BF" w:usb1="38CF7CFA" w:usb2="00000016" w:usb3="00000000" w:csb0="0004000F" w:csb1="00000000"/>
  </w:font>
  <w:font w:name="_x000B__x000C_">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embedRegular r:id="rId5" w:fontKey="{323FCC91-32A7-4F7A-B5C9-B900195447A9}"/>
  </w:font>
  <w:font w:name="Century">
    <w:altName w:val="Times New Roman"/>
    <w:panose1 w:val="02040604050505020304"/>
    <w:charset w:val="00"/>
    <w:family w:val="roman"/>
    <w:pitch w:val="default"/>
    <w:sig w:usb0="00000000" w:usb1="00000000" w:usb2="00000000" w:usb3="00000000" w:csb0="2000009F" w:csb1="DFD70000"/>
  </w:font>
  <w:font w:name="Arial Unicode MS">
    <w:altName w:val="宋体"/>
    <w:panose1 w:val="020B0604020202020204"/>
    <w:charset w:val="86"/>
    <w:family w:val="swiss"/>
    <w:pitch w:val="default"/>
    <w:sig w:usb0="00000000" w:usb1="00000000" w:usb2="0000003F" w:usb3="00000000" w:csb0="603F01FF" w:csb1="FFFF0000"/>
    <w:embedRegular r:id="rId6" w:fontKey="{E09012E2-6575-4F3C-A7EE-3E86050BFB02}"/>
  </w:font>
  <w:font w:name="仿宋">
    <w:panose1 w:val="02010609060101010101"/>
    <w:charset w:val="86"/>
    <w:family w:val="auto"/>
    <w:pitch w:val="default"/>
    <w:sig w:usb0="800002BF" w:usb1="38CF7CFA" w:usb2="00000016" w:usb3="00000000" w:csb0="00040001" w:csb1="00000000"/>
    <w:embedRegular r:id="rId7" w:fontKey="{1911BF10-1C63-486F-A8D0-0E9A336AF1E6}"/>
  </w:font>
  <w:font w:name="MS Mincho">
    <w:altName w:val="Yu Gothic UI"/>
    <w:panose1 w:val="02020609040205080304"/>
    <w:charset w:val="80"/>
    <w:family w:val="modern"/>
    <w:pitch w:val="default"/>
    <w:sig w:usb0="00000000" w:usb1="00000000" w:usb2="00000010" w:usb3="00000000" w:csb0="4002009F" w:csb1="DFD70000"/>
    <w:embedRegular r:id="rId8" w:fontKey="{E967145D-FCE7-41AA-8B7F-51087B07A8EE}"/>
  </w:font>
  <w:font w:name="Yu Gothic UI">
    <w:panose1 w:val="020B0500000000000000"/>
    <w:charset w:val="80"/>
    <w:family w:val="auto"/>
    <w:pitch w:val="default"/>
    <w:sig w:usb0="E00002FF" w:usb1="2AC7FDFF" w:usb2="00000016" w:usb3="00000000" w:csb0="2002009F" w:csb1="00000000"/>
  </w:font>
  <w:font w:name="Helvetica">
    <w:panose1 w:val="020B0604020202020204"/>
    <w:charset w:val="00"/>
    <w:family w:val="swiss"/>
    <w:pitch w:val="default"/>
    <w:sig w:usb0="00000000" w:usb1="00000000" w:usb2="00000000" w:usb3="00000000" w:csb0="00000000" w:csb1="00000000"/>
    <w:embedRegular r:id="rId9" w:fontKey="{D8F583F5-B46F-4B0C-A67E-8981CC189DC7}"/>
  </w:font>
  <w:font w:name="方正小标宋简体">
    <w:panose1 w:val="03000509000000000000"/>
    <w:charset w:val="86"/>
    <w:family w:val="script"/>
    <w:pitch w:val="default"/>
    <w:sig w:usb0="00000001" w:usb1="080E0000" w:usb2="00000000" w:usb3="00000000" w:csb0="00040000" w:csb1="00000000"/>
    <w:embedRegular r:id="rId10" w:fontKey="{633ED330-03EB-4E2E-AE8A-0F3C734643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685422"/>
    </w:sdtPr>
    <w:sdtContent>
      <w:p w14:paraId="0C2A2607">
        <w:pPr>
          <w:pStyle w:val="31"/>
          <w:spacing w:after="120"/>
          <w:ind w:firstLine="480"/>
          <w:jc w:val="center"/>
        </w:pPr>
        <w:r>
          <w:fldChar w:fldCharType="begin"/>
        </w:r>
        <w:r>
          <w:instrText xml:space="preserve"> PAGE   \* MERGEFORMAT </w:instrText>
        </w:r>
        <w:r>
          <w:fldChar w:fldCharType="separate"/>
        </w:r>
        <w:r>
          <w:rPr>
            <w:lang w:val="zh-CN"/>
          </w:rPr>
          <w:t>3</w:t>
        </w:r>
        <w:r>
          <w:rPr>
            <w:lang w:val="zh-CN"/>
          </w:rPr>
          <w:fldChar w:fldCharType="end"/>
        </w:r>
      </w:p>
    </w:sdtContent>
  </w:sdt>
  <w:p w14:paraId="39A7F741">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F40FF">
    <w:pPr>
      <w:pStyle w:val="31"/>
      <w:jc w:val="center"/>
    </w:pPr>
    <w:r>
      <w:fldChar w:fldCharType="begin"/>
    </w:r>
    <w:r>
      <w:instrText xml:space="preserve"> PAGE   \* MERGEFORMAT </w:instrText>
    </w:r>
    <w:r>
      <w:fldChar w:fldCharType="separate"/>
    </w:r>
    <w:r>
      <w:rPr>
        <w:lang w:val="zh-CN"/>
      </w:rPr>
      <w:t>20</w:t>
    </w:r>
    <w:r>
      <w:rPr>
        <w:lang w:val="zh-CN"/>
      </w:rPr>
      <w:fldChar w:fldCharType="end"/>
    </w:r>
  </w:p>
  <w:p w14:paraId="2D9ECA9A">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09862">
    <w:pPr>
      <w:pStyle w:val="31"/>
      <w:framePr w:wrap="around" w:vAnchor="text" w:hAnchor="margin" w:xAlign="center" w:y="1"/>
      <w:rPr>
        <w:rStyle w:val="53"/>
      </w:rPr>
    </w:pPr>
    <w:r>
      <w:fldChar w:fldCharType="begin"/>
    </w:r>
    <w:r>
      <w:rPr>
        <w:rStyle w:val="53"/>
      </w:rPr>
      <w:instrText xml:space="preserve">PAGE  </w:instrText>
    </w:r>
    <w:r>
      <w:fldChar w:fldCharType="end"/>
    </w:r>
  </w:p>
  <w:p w14:paraId="5B471151">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685423"/>
    </w:sdtPr>
    <w:sdtContent>
      <w:p w14:paraId="402E3855">
        <w:pPr>
          <w:pStyle w:val="31"/>
          <w:spacing w:after="120"/>
          <w:ind w:firstLine="480"/>
          <w:jc w:val="center"/>
        </w:pPr>
        <w:r>
          <w:fldChar w:fldCharType="begin"/>
        </w:r>
        <w:r>
          <w:instrText xml:space="preserve"> PAGE   \* MERGEFORMAT </w:instrText>
        </w:r>
        <w:r>
          <w:fldChar w:fldCharType="separate"/>
        </w:r>
        <w:r>
          <w:rPr>
            <w:lang w:val="zh-CN"/>
          </w:rPr>
          <w:t>15</w:t>
        </w:r>
        <w:r>
          <w:rPr>
            <w:lang w:val="zh-CN"/>
          </w:rPr>
          <w:fldChar w:fldCharType="end"/>
        </w:r>
      </w:p>
    </w:sdtContent>
  </w:sdt>
  <w:p w14:paraId="6D4B1D32">
    <w:pPr>
      <w:pStyle w:val="31"/>
      <w:ind w:right="360"/>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9EC18">
    <w:pPr>
      <w:pStyle w:val="31"/>
      <w:jc w:val="center"/>
    </w:pPr>
    <w:r>
      <w:fldChar w:fldCharType="begin"/>
    </w:r>
    <w:r>
      <w:instrText xml:space="preserve"> PAGE   \* MERGEFORMAT </w:instrText>
    </w:r>
    <w:r>
      <w:fldChar w:fldCharType="separate"/>
    </w:r>
    <w:r>
      <w:rPr>
        <w:lang w:val="zh-CN"/>
      </w:rPr>
      <w:t>103</w:t>
    </w:r>
    <w:r>
      <w:rPr>
        <w:lang w:val="zh-CN"/>
      </w:rPr>
      <w:fldChar w:fldCharType="end"/>
    </w:r>
  </w:p>
  <w:p w14:paraId="03981B8F">
    <w:pPr>
      <w:pStyle w:val="3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42047">
    <w:pPr>
      <w:pStyle w:val="31"/>
      <w:framePr w:wrap="around" w:vAnchor="text" w:hAnchor="margin" w:xAlign="center" w:y="1"/>
      <w:rPr>
        <w:rStyle w:val="53"/>
      </w:rPr>
    </w:pPr>
    <w:r>
      <w:fldChar w:fldCharType="begin"/>
    </w:r>
    <w:r>
      <w:rPr>
        <w:rStyle w:val="53"/>
      </w:rPr>
      <w:instrText xml:space="preserve">PAGE  </w:instrText>
    </w:r>
    <w:r>
      <w:fldChar w:fldCharType="end"/>
    </w:r>
  </w:p>
  <w:p w14:paraId="4BDBDF2D">
    <w:pPr>
      <w:pStyle w:val="3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D7E1C">
    <w:pPr>
      <w:pStyle w:val="31"/>
      <w:ind w:right="36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A81A7">
    <w:pPr>
      <w:pStyle w:val="32"/>
      <w:pBdr>
        <w:bottom w:val="none" w:color="auto" w:sz="0" w:space="0"/>
      </w:pBdr>
      <w:jc w:val="both"/>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2B5AE">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1"/>
      <w:lvlText w:val="%1."/>
      <w:lvlJc w:val="left"/>
      <w:pPr>
        <w:tabs>
          <w:tab w:val="left" w:pos="1200"/>
        </w:tabs>
        <w:ind w:left="1200" w:hanging="360"/>
      </w:pPr>
    </w:lvl>
  </w:abstractNum>
  <w:abstractNum w:abstractNumId="1">
    <w:nsid w:val="4C601917"/>
    <w:multiLevelType w:val="singleLevel"/>
    <w:tmpl w:val="4C601917"/>
    <w:lvl w:ilvl="0" w:tentative="0">
      <w:start w:val="1"/>
      <w:numFmt w:val="decimal"/>
      <w:suff w:val="nothing"/>
      <w:lvlText w:val="（%1）"/>
      <w:lvlJc w:val="left"/>
      <w:pPr>
        <w:ind w:left="-2"/>
      </w:pPr>
    </w:lvl>
  </w:abstractNum>
  <w:abstractNum w:abstractNumId="2">
    <w:nsid w:val="5FABD14B"/>
    <w:multiLevelType w:val="singleLevel"/>
    <w:tmpl w:val="5FABD14B"/>
    <w:lvl w:ilvl="0" w:tentative="0">
      <w:start w:val="1"/>
      <w:numFmt w:val="decimal"/>
      <w:suff w:val="nothing"/>
      <w:lvlText w:val="（%1）"/>
      <w:lvlJc w:val="left"/>
    </w:lvl>
  </w:abstractNum>
  <w:abstractNum w:abstractNumId="3">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U3ZjM1YTEwOGQ3MmQ1ZjEzODM2Y2YwNmU5YTA4M2EifQ=="/>
    <w:docVar w:name="KSO_WPS_MARK_KEY" w:val="063e8331-248f-40d5-abc2-b319a7cebc0e"/>
  </w:docVars>
  <w:rsids>
    <w:rsidRoot w:val="00BF17A9"/>
    <w:rsid w:val="00051FD1"/>
    <w:rsid w:val="0006522D"/>
    <w:rsid w:val="000F73E0"/>
    <w:rsid w:val="0014745A"/>
    <w:rsid w:val="0017010C"/>
    <w:rsid w:val="001F7147"/>
    <w:rsid w:val="0022681E"/>
    <w:rsid w:val="00250608"/>
    <w:rsid w:val="002610B9"/>
    <w:rsid w:val="00296EA3"/>
    <w:rsid w:val="003151B7"/>
    <w:rsid w:val="00354C0F"/>
    <w:rsid w:val="00395720"/>
    <w:rsid w:val="003A22F5"/>
    <w:rsid w:val="003A47CE"/>
    <w:rsid w:val="00404B95"/>
    <w:rsid w:val="004357DC"/>
    <w:rsid w:val="00437EB1"/>
    <w:rsid w:val="004609F3"/>
    <w:rsid w:val="004631C9"/>
    <w:rsid w:val="00484C53"/>
    <w:rsid w:val="004A0D65"/>
    <w:rsid w:val="004D64AC"/>
    <w:rsid w:val="004D7B8C"/>
    <w:rsid w:val="005D4C54"/>
    <w:rsid w:val="00610F81"/>
    <w:rsid w:val="0061131E"/>
    <w:rsid w:val="0067007B"/>
    <w:rsid w:val="00682D35"/>
    <w:rsid w:val="006B627A"/>
    <w:rsid w:val="006C172D"/>
    <w:rsid w:val="0073177E"/>
    <w:rsid w:val="00732FA0"/>
    <w:rsid w:val="007627F8"/>
    <w:rsid w:val="00815C59"/>
    <w:rsid w:val="008526E3"/>
    <w:rsid w:val="00855ABA"/>
    <w:rsid w:val="00880305"/>
    <w:rsid w:val="008C0727"/>
    <w:rsid w:val="008C1986"/>
    <w:rsid w:val="008C6A4A"/>
    <w:rsid w:val="008D2E64"/>
    <w:rsid w:val="00905CFD"/>
    <w:rsid w:val="009B1965"/>
    <w:rsid w:val="009F222D"/>
    <w:rsid w:val="009F628A"/>
    <w:rsid w:val="00A704ED"/>
    <w:rsid w:val="00AD1FB6"/>
    <w:rsid w:val="00AF7E27"/>
    <w:rsid w:val="00B042B1"/>
    <w:rsid w:val="00B26CFB"/>
    <w:rsid w:val="00B3468A"/>
    <w:rsid w:val="00BF17A9"/>
    <w:rsid w:val="00C27831"/>
    <w:rsid w:val="00C435CD"/>
    <w:rsid w:val="00CD51B7"/>
    <w:rsid w:val="00CD6C03"/>
    <w:rsid w:val="00D84AF2"/>
    <w:rsid w:val="00DA6ED6"/>
    <w:rsid w:val="00DB52D4"/>
    <w:rsid w:val="00DC0344"/>
    <w:rsid w:val="00E17AA9"/>
    <w:rsid w:val="00E337B7"/>
    <w:rsid w:val="00E51C22"/>
    <w:rsid w:val="00E664EA"/>
    <w:rsid w:val="00E85055"/>
    <w:rsid w:val="00EB5EB0"/>
    <w:rsid w:val="00F20162"/>
    <w:rsid w:val="00F23A70"/>
    <w:rsid w:val="00F819F6"/>
    <w:rsid w:val="00FA7258"/>
    <w:rsid w:val="02004737"/>
    <w:rsid w:val="03352C15"/>
    <w:rsid w:val="05C17368"/>
    <w:rsid w:val="05DC0B78"/>
    <w:rsid w:val="067C1385"/>
    <w:rsid w:val="07515272"/>
    <w:rsid w:val="0775210D"/>
    <w:rsid w:val="0781571A"/>
    <w:rsid w:val="082C1588"/>
    <w:rsid w:val="085F1B57"/>
    <w:rsid w:val="09CF031F"/>
    <w:rsid w:val="0A402FCB"/>
    <w:rsid w:val="0B154457"/>
    <w:rsid w:val="0BDA1226"/>
    <w:rsid w:val="0C85560D"/>
    <w:rsid w:val="0D627CCD"/>
    <w:rsid w:val="0DE158EE"/>
    <w:rsid w:val="0DFA535A"/>
    <w:rsid w:val="0E204E7C"/>
    <w:rsid w:val="0EE818D0"/>
    <w:rsid w:val="0F164219"/>
    <w:rsid w:val="0F3D6004"/>
    <w:rsid w:val="0FF07749"/>
    <w:rsid w:val="10DE6156"/>
    <w:rsid w:val="118C50B2"/>
    <w:rsid w:val="11D31677"/>
    <w:rsid w:val="131F372F"/>
    <w:rsid w:val="14C50E0E"/>
    <w:rsid w:val="1517701E"/>
    <w:rsid w:val="163610C1"/>
    <w:rsid w:val="163C2BDD"/>
    <w:rsid w:val="18137F71"/>
    <w:rsid w:val="18E13CC5"/>
    <w:rsid w:val="1A7C5AEA"/>
    <w:rsid w:val="1A8A26A2"/>
    <w:rsid w:val="1AE11857"/>
    <w:rsid w:val="1B3A48F6"/>
    <w:rsid w:val="1DDD7480"/>
    <w:rsid w:val="1E601A36"/>
    <w:rsid w:val="1EBB253D"/>
    <w:rsid w:val="1F436E48"/>
    <w:rsid w:val="2073523A"/>
    <w:rsid w:val="22AA14D2"/>
    <w:rsid w:val="2334182E"/>
    <w:rsid w:val="255B4D05"/>
    <w:rsid w:val="269B2CE1"/>
    <w:rsid w:val="27D9000A"/>
    <w:rsid w:val="28C80903"/>
    <w:rsid w:val="29127AAE"/>
    <w:rsid w:val="2B267E7B"/>
    <w:rsid w:val="2DB17BB8"/>
    <w:rsid w:val="30964C78"/>
    <w:rsid w:val="30F57DBC"/>
    <w:rsid w:val="31552F50"/>
    <w:rsid w:val="31B55220"/>
    <w:rsid w:val="322C5078"/>
    <w:rsid w:val="34B83278"/>
    <w:rsid w:val="35131158"/>
    <w:rsid w:val="37056C19"/>
    <w:rsid w:val="371350FE"/>
    <w:rsid w:val="37792256"/>
    <w:rsid w:val="39A20CFD"/>
    <w:rsid w:val="3A26548A"/>
    <w:rsid w:val="3A9D5D1F"/>
    <w:rsid w:val="3C905F92"/>
    <w:rsid w:val="3CBA549F"/>
    <w:rsid w:val="3D3E0322"/>
    <w:rsid w:val="3D4F470C"/>
    <w:rsid w:val="3DA9265A"/>
    <w:rsid w:val="3DCE0312"/>
    <w:rsid w:val="3DEA662F"/>
    <w:rsid w:val="3DFF77E7"/>
    <w:rsid w:val="3F36616F"/>
    <w:rsid w:val="3F451057"/>
    <w:rsid w:val="3FC512A1"/>
    <w:rsid w:val="3FD634AE"/>
    <w:rsid w:val="3FF72FC6"/>
    <w:rsid w:val="43FF1225"/>
    <w:rsid w:val="44161A4C"/>
    <w:rsid w:val="44F52628"/>
    <w:rsid w:val="45463A4F"/>
    <w:rsid w:val="47566AAD"/>
    <w:rsid w:val="496369C1"/>
    <w:rsid w:val="498F4DFA"/>
    <w:rsid w:val="4AB12EA2"/>
    <w:rsid w:val="4B2B231D"/>
    <w:rsid w:val="4C030A03"/>
    <w:rsid w:val="4C1E25CA"/>
    <w:rsid w:val="4C43486D"/>
    <w:rsid w:val="4C55732C"/>
    <w:rsid w:val="4E180D60"/>
    <w:rsid w:val="4E4B1EE0"/>
    <w:rsid w:val="4E8C1827"/>
    <w:rsid w:val="4E933436"/>
    <w:rsid w:val="4F2770E7"/>
    <w:rsid w:val="4F73245D"/>
    <w:rsid w:val="4F8942AD"/>
    <w:rsid w:val="4FCE7CFE"/>
    <w:rsid w:val="505B3C87"/>
    <w:rsid w:val="509A5EB4"/>
    <w:rsid w:val="539E27E1"/>
    <w:rsid w:val="53C66AC7"/>
    <w:rsid w:val="5435659E"/>
    <w:rsid w:val="56301712"/>
    <w:rsid w:val="56A91B17"/>
    <w:rsid w:val="57376248"/>
    <w:rsid w:val="579E429B"/>
    <w:rsid w:val="583A1FD3"/>
    <w:rsid w:val="587F6039"/>
    <w:rsid w:val="599C5665"/>
    <w:rsid w:val="5A056A12"/>
    <w:rsid w:val="5A6E4BE7"/>
    <w:rsid w:val="5BFC41DC"/>
    <w:rsid w:val="5D107BA8"/>
    <w:rsid w:val="64A81129"/>
    <w:rsid w:val="64B42712"/>
    <w:rsid w:val="64FB790B"/>
    <w:rsid w:val="662054E0"/>
    <w:rsid w:val="6672300E"/>
    <w:rsid w:val="671069CF"/>
    <w:rsid w:val="672B05FF"/>
    <w:rsid w:val="67B5722E"/>
    <w:rsid w:val="683E1A6D"/>
    <w:rsid w:val="68AF0A9E"/>
    <w:rsid w:val="68DC4DE2"/>
    <w:rsid w:val="69764398"/>
    <w:rsid w:val="69970B86"/>
    <w:rsid w:val="6A03038A"/>
    <w:rsid w:val="6A1F67F5"/>
    <w:rsid w:val="6A475160"/>
    <w:rsid w:val="6AA35FBD"/>
    <w:rsid w:val="6AD06BC8"/>
    <w:rsid w:val="6BD07172"/>
    <w:rsid w:val="6C054771"/>
    <w:rsid w:val="6C362F8C"/>
    <w:rsid w:val="6C9344C4"/>
    <w:rsid w:val="6CD05EF8"/>
    <w:rsid w:val="6D693CF3"/>
    <w:rsid w:val="6EF70BC7"/>
    <w:rsid w:val="6F676627"/>
    <w:rsid w:val="70141082"/>
    <w:rsid w:val="706E3AC2"/>
    <w:rsid w:val="70781894"/>
    <w:rsid w:val="70E637CC"/>
    <w:rsid w:val="726431BE"/>
    <w:rsid w:val="72766AE8"/>
    <w:rsid w:val="729D3834"/>
    <w:rsid w:val="72D27981"/>
    <w:rsid w:val="731C0414"/>
    <w:rsid w:val="736B3133"/>
    <w:rsid w:val="748C1DB2"/>
    <w:rsid w:val="751678CE"/>
    <w:rsid w:val="754C71ED"/>
    <w:rsid w:val="75672711"/>
    <w:rsid w:val="76397E80"/>
    <w:rsid w:val="765733BE"/>
    <w:rsid w:val="771F332E"/>
    <w:rsid w:val="77725D3F"/>
    <w:rsid w:val="779A47E6"/>
    <w:rsid w:val="78B615C3"/>
    <w:rsid w:val="79DA2940"/>
    <w:rsid w:val="79FD44BD"/>
    <w:rsid w:val="7A042AE0"/>
    <w:rsid w:val="7BBC3AB6"/>
    <w:rsid w:val="7E1617C1"/>
    <w:rsid w:val="7E6F0F3C"/>
    <w:rsid w:val="7F972973"/>
    <w:rsid w:val="FD3D97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0"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keepLines/>
      <w:spacing w:before="480" w:after="80"/>
      <w:outlineLvl w:val="0"/>
    </w:pPr>
    <w:rPr>
      <w:rFonts w:asciiTheme="majorHAnsi" w:hAnsiTheme="majorHAnsi" w:eastAsiaTheme="majorEastAsia" w:cstheme="majorBidi"/>
      <w:color w:val="0F4761" w:themeColor="accent1" w:themeShade="BF"/>
      <w:sz w:val="48"/>
      <w:szCs w:val="48"/>
    </w:rPr>
  </w:style>
  <w:style w:type="paragraph" w:styleId="3">
    <w:name w:val="heading 2"/>
    <w:basedOn w:val="1"/>
    <w:next w:val="1"/>
    <w:link w:val="59"/>
    <w:unhideWhenUsed/>
    <w:qFormat/>
    <w:uiPriority w:val="0"/>
    <w:pPr>
      <w:keepNext/>
      <w:keepLines/>
      <w:spacing w:before="160" w:after="80"/>
      <w:outlineLvl w:val="1"/>
    </w:pPr>
    <w:rPr>
      <w:rFonts w:asciiTheme="majorHAnsi" w:hAnsiTheme="majorHAnsi" w:eastAsiaTheme="majorEastAsia" w:cstheme="majorBidi"/>
      <w:color w:val="0F4761" w:themeColor="accent1" w:themeShade="BF"/>
      <w:sz w:val="40"/>
      <w:szCs w:val="40"/>
    </w:rPr>
  </w:style>
  <w:style w:type="paragraph" w:styleId="4">
    <w:name w:val="heading 3"/>
    <w:basedOn w:val="1"/>
    <w:next w:val="1"/>
    <w:link w:val="60"/>
    <w:unhideWhenUsed/>
    <w:qFormat/>
    <w:uiPriority w:val="0"/>
    <w:pPr>
      <w:keepNext/>
      <w:keepLines/>
      <w:spacing w:before="160" w:after="80"/>
      <w:outlineLvl w:val="2"/>
    </w:pPr>
    <w:rPr>
      <w:rFonts w:asciiTheme="majorHAnsi" w:hAnsiTheme="majorHAnsi" w:eastAsiaTheme="majorEastAsia" w:cstheme="majorBidi"/>
      <w:color w:val="0F4761" w:themeColor="accent1" w:themeShade="BF"/>
      <w:sz w:val="32"/>
      <w:szCs w:val="32"/>
    </w:rPr>
  </w:style>
  <w:style w:type="paragraph" w:styleId="5">
    <w:name w:val="heading 4"/>
    <w:basedOn w:val="1"/>
    <w:next w:val="1"/>
    <w:link w:val="61"/>
    <w:semiHidden/>
    <w:unhideWhenUsed/>
    <w:qFormat/>
    <w:uiPriority w:val="9"/>
    <w:pPr>
      <w:keepNext/>
      <w:keepLines/>
      <w:spacing w:before="80" w:after="40"/>
      <w:outlineLvl w:val="3"/>
    </w:pPr>
    <w:rPr>
      <w:rFonts w:cstheme="majorBidi"/>
      <w:color w:val="0F4761" w:themeColor="accent1" w:themeShade="BF"/>
      <w:sz w:val="28"/>
      <w:szCs w:val="28"/>
    </w:rPr>
  </w:style>
  <w:style w:type="paragraph" w:styleId="6">
    <w:name w:val="heading 5"/>
    <w:basedOn w:val="1"/>
    <w:next w:val="1"/>
    <w:link w:val="62"/>
    <w:unhideWhenUsed/>
    <w:qFormat/>
    <w:uiPriority w:val="0"/>
    <w:pPr>
      <w:keepNext/>
      <w:keepLines/>
      <w:spacing w:before="80" w:after="40"/>
      <w:outlineLvl w:val="4"/>
    </w:pPr>
    <w:rPr>
      <w:rFonts w:cstheme="majorBidi"/>
      <w:color w:val="0F4761" w:themeColor="accent1" w:themeShade="BF"/>
      <w:sz w:val="24"/>
    </w:rPr>
  </w:style>
  <w:style w:type="paragraph" w:styleId="7">
    <w:name w:val="heading 6"/>
    <w:basedOn w:val="1"/>
    <w:next w:val="1"/>
    <w:link w:val="63"/>
    <w:unhideWhenUsed/>
    <w:qFormat/>
    <w:uiPriority w:val="0"/>
    <w:pPr>
      <w:keepNext/>
      <w:keepLines/>
      <w:spacing w:before="40"/>
      <w:outlineLvl w:val="5"/>
    </w:pPr>
    <w:rPr>
      <w:rFonts w:cstheme="majorBidi"/>
      <w:b/>
      <w:bCs/>
      <w:color w:val="0F4761" w:themeColor="accent1" w:themeShade="BF"/>
    </w:rPr>
  </w:style>
  <w:style w:type="paragraph" w:styleId="8">
    <w:name w:val="heading 7"/>
    <w:basedOn w:val="1"/>
    <w:next w:val="1"/>
    <w:link w:val="64"/>
    <w:unhideWhenUsed/>
    <w:qFormat/>
    <w:uiPriority w:val="0"/>
    <w:pPr>
      <w:keepNext/>
      <w:keepLines/>
      <w:spacing w:before="40"/>
      <w:outlineLvl w:val="6"/>
    </w:pPr>
    <w:rPr>
      <w:rFonts w:cstheme="majorBidi"/>
      <w:b/>
      <w:bCs/>
      <w:color w:val="585858" w:themeColor="text1" w:themeTint="A6"/>
    </w:rPr>
  </w:style>
  <w:style w:type="paragraph" w:styleId="9">
    <w:name w:val="heading 8"/>
    <w:basedOn w:val="1"/>
    <w:next w:val="1"/>
    <w:link w:val="65"/>
    <w:unhideWhenUsed/>
    <w:qFormat/>
    <w:uiPriority w:val="0"/>
    <w:pPr>
      <w:keepNext/>
      <w:keepLines/>
      <w:outlineLvl w:val="7"/>
    </w:pPr>
    <w:rPr>
      <w:rFonts w:cstheme="majorBidi"/>
      <w:color w:val="585858" w:themeColor="text1" w:themeTint="A6"/>
    </w:rPr>
  </w:style>
  <w:style w:type="paragraph" w:styleId="10">
    <w:name w:val="heading 9"/>
    <w:basedOn w:val="1"/>
    <w:next w:val="1"/>
    <w:link w:val="66"/>
    <w:unhideWhenUsed/>
    <w:qFormat/>
    <w:uiPriority w:val="0"/>
    <w:pPr>
      <w:keepNext/>
      <w:keepLines/>
      <w:outlineLvl w:val="8"/>
    </w:pPr>
    <w:rPr>
      <w:rFonts w:eastAsiaTheme="majorEastAsia" w:cstheme="majorBidi"/>
      <w:color w:val="585858" w:themeColor="text1" w:themeTint="A6"/>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Calibri" w:hAnsi="Calibri"/>
      <w:szCs w:val="22"/>
    </w:rPr>
  </w:style>
  <w:style w:type="paragraph" w:styleId="12">
    <w:name w:val="index 8"/>
    <w:basedOn w:val="1"/>
    <w:next w:val="1"/>
    <w:unhideWhenUsed/>
    <w:qFormat/>
    <w:uiPriority w:val="0"/>
    <w:pPr>
      <w:spacing w:line="360" w:lineRule="auto"/>
      <w:ind w:left="1400" w:leftChars="1400"/>
    </w:pPr>
  </w:style>
  <w:style w:type="paragraph" w:styleId="13">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4">
    <w:name w:val="Normal Indent"/>
    <w:basedOn w:val="1"/>
    <w:qFormat/>
    <w:uiPriority w:val="0"/>
    <w:pPr>
      <w:ind w:firstLine="420"/>
    </w:pPr>
    <w:rPr>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80"/>
    <w:unhideWhenUsed/>
    <w:qFormat/>
    <w:uiPriority w:val="0"/>
    <w:pPr>
      <w:shd w:val="clear" w:color="auto" w:fill="000080"/>
    </w:pPr>
    <w:rPr>
      <w:rFonts w:hint="eastAsia" w:ascii="宋体" w:hAnsi="宋体"/>
      <w:kern w:val="0"/>
      <w:sz w:val="20"/>
      <w:szCs w:val="20"/>
    </w:rPr>
  </w:style>
  <w:style w:type="paragraph" w:styleId="17">
    <w:name w:val="annotation text"/>
    <w:basedOn w:val="1"/>
    <w:link w:val="95"/>
    <w:unhideWhenUsed/>
    <w:qFormat/>
    <w:uiPriority w:val="0"/>
    <w:pPr>
      <w:jc w:val="left"/>
    </w:pPr>
  </w:style>
  <w:style w:type="paragraph" w:styleId="18">
    <w:name w:val="Body Text 3"/>
    <w:basedOn w:val="1"/>
    <w:link w:val="82"/>
    <w:qFormat/>
    <w:uiPriority w:val="0"/>
    <w:pPr>
      <w:spacing w:line="500" w:lineRule="exact"/>
    </w:pPr>
    <w:rPr>
      <w:b/>
      <w:bCs/>
      <w:kern w:val="0"/>
      <w:sz w:val="24"/>
    </w:rPr>
  </w:style>
  <w:style w:type="paragraph" w:styleId="19">
    <w:name w:val="Body Text"/>
    <w:basedOn w:val="1"/>
    <w:link w:val="76"/>
    <w:unhideWhenUsed/>
    <w:qFormat/>
    <w:uiPriority w:val="99"/>
    <w:pPr>
      <w:spacing w:after="120"/>
    </w:pPr>
  </w:style>
  <w:style w:type="paragraph" w:styleId="20">
    <w:name w:val="Body Text Indent"/>
    <w:basedOn w:val="1"/>
    <w:link w:val="78"/>
    <w:unhideWhenUsed/>
    <w:qFormat/>
    <w:uiPriority w:val="0"/>
    <w:pPr>
      <w:spacing w:after="120"/>
      <w:ind w:left="420" w:leftChars="200"/>
    </w:pPr>
  </w:style>
  <w:style w:type="paragraph" w:styleId="21">
    <w:name w:val="List Number 3"/>
    <w:basedOn w:val="1"/>
    <w:qFormat/>
    <w:uiPriority w:val="0"/>
    <w:pPr>
      <w:numPr>
        <w:ilvl w:val="0"/>
        <w:numId w:val="1"/>
      </w:numPr>
    </w:pPr>
  </w:style>
  <w:style w:type="paragraph" w:styleId="22">
    <w:name w:val="List 2"/>
    <w:basedOn w:val="1"/>
    <w:qFormat/>
    <w:uiPriority w:val="0"/>
    <w:pPr>
      <w:ind w:left="100" w:leftChars="200" w:hanging="200" w:hangingChars="200"/>
    </w:pPr>
    <w:rPr>
      <w:sz w:val="28"/>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unhideWhenUsed/>
    <w:qFormat/>
    <w:uiPriority w:val="39"/>
    <w:pPr>
      <w:ind w:left="840" w:leftChars="400"/>
    </w:pPr>
    <w:rPr>
      <w:rFonts w:ascii="Calibri" w:hAnsi="Calibri"/>
      <w:szCs w:val="22"/>
    </w:rPr>
  </w:style>
  <w:style w:type="paragraph" w:styleId="25">
    <w:name w:val="Plain Text"/>
    <w:basedOn w:val="1"/>
    <w:link w:val="97"/>
    <w:qFormat/>
    <w:uiPriority w:val="0"/>
    <w:rPr>
      <w:rFonts w:ascii="宋体" w:hAnsi="Courier New"/>
      <w:kern w:val="0"/>
      <w:sz w:val="20"/>
      <w:szCs w:val="21"/>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84"/>
    <w:qFormat/>
    <w:uiPriority w:val="0"/>
    <w:pPr>
      <w:ind w:left="100" w:leftChars="2500"/>
    </w:pPr>
    <w:rPr>
      <w:rFonts w:ascii="宋体" w:hAnsi="Courier New"/>
      <w:kern w:val="0"/>
      <w:sz w:val="20"/>
      <w:szCs w:val="21"/>
    </w:rPr>
  </w:style>
  <w:style w:type="paragraph" w:styleId="28">
    <w:name w:val="Body Text Indent 2"/>
    <w:basedOn w:val="1"/>
    <w:link w:val="85"/>
    <w:qFormat/>
    <w:uiPriority w:val="0"/>
    <w:pPr>
      <w:ind w:firstLine="630"/>
    </w:pPr>
    <w:rPr>
      <w:kern w:val="0"/>
      <w:sz w:val="32"/>
      <w:szCs w:val="20"/>
    </w:rPr>
  </w:style>
  <w:style w:type="paragraph" w:styleId="29">
    <w:name w:val="endnote text"/>
    <w:basedOn w:val="1"/>
    <w:link w:val="86"/>
    <w:unhideWhenUsed/>
    <w:qFormat/>
    <w:uiPriority w:val="99"/>
    <w:pPr>
      <w:snapToGrid w:val="0"/>
      <w:jc w:val="left"/>
    </w:pPr>
  </w:style>
  <w:style w:type="paragraph" w:styleId="30">
    <w:name w:val="Balloon Text"/>
    <w:basedOn w:val="1"/>
    <w:link w:val="87"/>
    <w:semiHidden/>
    <w:qFormat/>
    <w:uiPriority w:val="0"/>
    <w:rPr>
      <w:kern w:val="0"/>
      <w:sz w:val="18"/>
      <w:szCs w:val="18"/>
    </w:rPr>
  </w:style>
  <w:style w:type="paragraph" w:styleId="31">
    <w:name w:val="footer"/>
    <w:basedOn w:val="1"/>
    <w:link w:val="98"/>
    <w:unhideWhenUsed/>
    <w:qFormat/>
    <w:uiPriority w:val="99"/>
    <w:pPr>
      <w:tabs>
        <w:tab w:val="center" w:pos="4153"/>
        <w:tab w:val="right" w:pos="8306"/>
      </w:tabs>
      <w:snapToGrid w:val="0"/>
      <w:jc w:val="left"/>
    </w:pPr>
    <w:rPr>
      <w:kern w:val="0"/>
      <w:sz w:val="18"/>
      <w:szCs w:val="18"/>
    </w:rPr>
  </w:style>
  <w:style w:type="paragraph" w:styleId="32">
    <w:name w:val="header"/>
    <w:basedOn w:val="1"/>
    <w:link w:val="89"/>
    <w:unhideWhenUsed/>
    <w:qFormat/>
    <w:uiPriority w:val="0"/>
    <w:pPr>
      <w:pBdr>
        <w:bottom w:val="single" w:color="auto" w:sz="6" w:space="1"/>
      </w:pBdr>
      <w:tabs>
        <w:tab w:val="center" w:pos="0"/>
        <w:tab w:val="lef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unhideWhenUsed/>
    <w:qFormat/>
    <w:uiPriority w:val="39"/>
    <w:pPr>
      <w:ind w:left="1260" w:leftChars="600"/>
    </w:pPr>
    <w:rPr>
      <w:rFonts w:ascii="Calibri" w:hAnsi="Calibri"/>
      <w:szCs w:val="22"/>
    </w:rPr>
  </w:style>
  <w:style w:type="paragraph" w:styleId="35">
    <w:name w:val="Subtitle"/>
    <w:basedOn w:val="1"/>
    <w:next w:val="1"/>
    <w:link w:val="68"/>
    <w:qFormat/>
    <w:uiPriority w:val="0"/>
    <w:pPr>
      <w:jc w:val="center"/>
    </w:pPr>
    <w:rPr>
      <w:rFonts w:asciiTheme="majorHAnsi" w:hAnsiTheme="majorHAnsi" w:eastAsiaTheme="majorEastAsia" w:cstheme="majorBidi"/>
      <w:color w:val="585858" w:themeColor="text1" w:themeTint="A6"/>
      <w:spacing w:val="15"/>
      <w:sz w:val="28"/>
      <w:szCs w:val="28"/>
    </w:rPr>
  </w:style>
  <w:style w:type="paragraph" w:styleId="36">
    <w:name w:val="List"/>
    <w:basedOn w:val="1"/>
    <w:qFormat/>
    <w:uiPriority w:val="0"/>
    <w:pPr>
      <w:ind w:left="200" w:hanging="200" w:hangingChars="200"/>
    </w:pPr>
    <w:rPr>
      <w:sz w:val="28"/>
    </w:rPr>
  </w:style>
  <w:style w:type="paragraph" w:styleId="37">
    <w:name w:val="footnote text"/>
    <w:basedOn w:val="1"/>
    <w:link w:val="90"/>
    <w:unhideWhenUsed/>
    <w:qFormat/>
    <w:uiPriority w:val="99"/>
    <w:pPr>
      <w:snapToGrid w:val="0"/>
      <w:jc w:val="left"/>
    </w:pPr>
    <w:rPr>
      <w:sz w:val="18"/>
      <w:szCs w:val="18"/>
    </w:rPr>
  </w:style>
  <w:style w:type="paragraph" w:styleId="38">
    <w:name w:val="toc 6"/>
    <w:basedOn w:val="1"/>
    <w:next w:val="1"/>
    <w:unhideWhenUsed/>
    <w:qFormat/>
    <w:uiPriority w:val="39"/>
    <w:pPr>
      <w:ind w:left="2100" w:leftChars="1000"/>
    </w:pPr>
    <w:rPr>
      <w:rFonts w:ascii="Calibri" w:hAnsi="Calibri"/>
      <w:szCs w:val="22"/>
    </w:rPr>
  </w:style>
  <w:style w:type="paragraph" w:styleId="39">
    <w:name w:val="Body Text Indent 3"/>
    <w:basedOn w:val="1"/>
    <w:link w:val="91"/>
    <w:qFormat/>
    <w:uiPriority w:val="0"/>
    <w:pPr>
      <w:spacing w:after="120"/>
      <w:ind w:left="420" w:leftChars="200"/>
    </w:pPr>
    <w:rPr>
      <w:kern w:val="0"/>
      <w:sz w:val="16"/>
      <w:szCs w:val="16"/>
    </w:rPr>
  </w:style>
  <w:style w:type="paragraph" w:styleId="40">
    <w:name w:val="toc 2"/>
    <w:basedOn w:val="1"/>
    <w:next w:val="1"/>
    <w:unhideWhenUsed/>
    <w:qFormat/>
    <w:uiPriority w:val="39"/>
    <w:pPr>
      <w:ind w:left="420" w:leftChars="200"/>
    </w:pPr>
  </w:style>
  <w:style w:type="paragraph" w:styleId="41">
    <w:name w:val="toc 9"/>
    <w:basedOn w:val="1"/>
    <w:next w:val="1"/>
    <w:unhideWhenUsed/>
    <w:qFormat/>
    <w:uiPriority w:val="39"/>
    <w:pPr>
      <w:ind w:left="3360" w:leftChars="1600"/>
    </w:pPr>
    <w:rPr>
      <w:rFonts w:ascii="Calibri" w:hAnsi="Calibri"/>
      <w:szCs w:val="22"/>
    </w:rPr>
  </w:style>
  <w:style w:type="paragraph" w:styleId="42">
    <w:name w:val="Body Text 2"/>
    <w:basedOn w:val="1"/>
    <w:link w:val="92"/>
    <w:qFormat/>
    <w:uiPriority w:val="0"/>
    <w:pPr>
      <w:spacing w:after="120" w:line="480" w:lineRule="auto"/>
    </w:pPr>
    <w:rPr>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index 1"/>
    <w:basedOn w:val="1"/>
    <w:next w:val="1"/>
    <w:semiHidden/>
    <w:qFormat/>
    <w:uiPriority w:val="0"/>
    <w:pPr>
      <w:spacing w:line="400" w:lineRule="exact"/>
      <w:ind w:firstLine="420" w:firstLineChars="200"/>
    </w:pPr>
    <w:rPr>
      <w:rFonts w:ascii="宋体" w:hAnsi="Courier New"/>
      <w:b/>
      <w:szCs w:val="20"/>
    </w:rPr>
  </w:style>
  <w:style w:type="paragraph" w:styleId="45">
    <w:name w:val="Title"/>
    <w:basedOn w:val="1"/>
    <w:next w:val="1"/>
    <w:link w:val="67"/>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46">
    <w:name w:val="annotation subject"/>
    <w:basedOn w:val="17"/>
    <w:next w:val="17"/>
    <w:link w:val="93"/>
    <w:unhideWhenUsed/>
    <w:qFormat/>
    <w:uiPriority w:val="99"/>
    <w:rPr>
      <w:b/>
      <w:bCs/>
    </w:rPr>
  </w:style>
  <w:style w:type="paragraph" w:styleId="47">
    <w:name w:val="Body Text First Indent"/>
    <w:basedOn w:val="19"/>
    <w:next w:val="48"/>
    <w:link w:val="77"/>
    <w:qFormat/>
    <w:uiPriority w:val="0"/>
    <w:pPr>
      <w:spacing w:after="0" w:line="380" w:lineRule="exact"/>
      <w:ind w:firstLine="420" w:firstLineChars="100"/>
    </w:pPr>
    <w:rPr>
      <w:kern w:val="0"/>
      <w:sz w:val="24"/>
    </w:rPr>
  </w:style>
  <w:style w:type="paragraph" w:styleId="48">
    <w:name w:val="Body Text First Indent 2"/>
    <w:basedOn w:val="20"/>
    <w:next w:val="1"/>
    <w:link w:val="79"/>
    <w:unhideWhenUsed/>
    <w:qFormat/>
    <w:uiPriority w:val="99"/>
    <w:pPr>
      <w:spacing w:after="0" w:line="360" w:lineRule="auto"/>
      <w:ind w:left="435" w:leftChars="0" w:firstLine="420" w:firstLineChars="200"/>
    </w:pPr>
    <w:rPr>
      <w:rFonts w:ascii="仿宋_GB2312" w:eastAsia="仿宋_GB2312"/>
      <w:color w:val="FF0000"/>
      <w:sz w:val="24"/>
    </w:rPr>
  </w:style>
  <w:style w:type="table" w:styleId="50">
    <w:name w:val="Table Grid"/>
    <w:basedOn w:val="49"/>
    <w:qFormat/>
    <w:uiPriority w:val="0"/>
    <w:pPr>
      <w:widowControl w:val="0"/>
      <w:spacing w:after="0" w:line="240" w:lineRule="auto"/>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2">
    <w:name w:val="endnote reference"/>
    <w:unhideWhenUsed/>
    <w:qFormat/>
    <w:uiPriority w:val="99"/>
    <w:rPr>
      <w:vertAlign w:val="superscript"/>
    </w:rPr>
  </w:style>
  <w:style w:type="character" w:styleId="53">
    <w:name w:val="page number"/>
    <w:qFormat/>
    <w:uiPriority w:val="0"/>
  </w:style>
  <w:style w:type="character" w:styleId="54">
    <w:name w:val="FollowedHyperlink"/>
    <w:qFormat/>
    <w:uiPriority w:val="99"/>
    <w:rPr>
      <w:color w:val="000000"/>
      <w:u w:val="none"/>
    </w:rPr>
  </w:style>
  <w:style w:type="character" w:styleId="55">
    <w:name w:val="Hyperlink"/>
    <w:qFormat/>
    <w:uiPriority w:val="99"/>
    <w:rPr>
      <w:color w:val="000000"/>
      <w:u w:val="none"/>
    </w:rPr>
  </w:style>
  <w:style w:type="character" w:styleId="56">
    <w:name w:val="annotation reference"/>
    <w:unhideWhenUsed/>
    <w:qFormat/>
    <w:uiPriority w:val="0"/>
    <w:rPr>
      <w:sz w:val="21"/>
      <w:szCs w:val="21"/>
    </w:rPr>
  </w:style>
  <w:style w:type="character" w:styleId="57">
    <w:name w:val="footnote reference"/>
    <w:unhideWhenUsed/>
    <w:qFormat/>
    <w:uiPriority w:val="99"/>
    <w:rPr>
      <w:vertAlign w:val="superscript"/>
    </w:rPr>
  </w:style>
  <w:style w:type="character" w:customStyle="1" w:styleId="58">
    <w:name w:val="标题 1 Char"/>
    <w:basedOn w:val="51"/>
    <w:link w:val="2"/>
    <w:qFormat/>
    <w:uiPriority w:val="9"/>
    <w:rPr>
      <w:rFonts w:asciiTheme="majorHAnsi" w:hAnsiTheme="majorHAnsi" w:eastAsiaTheme="majorEastAsia" w:cstheme="majorBidi"/>
      <w:color w:val="0F4761" w:themeColor="accent1" w:themeShade="BF"/>
      <w:sz w:val="48"/>
      <w:szCs w:val="48"/>
    </w:rPr>
  </w:style>
  <w:style w:type="character" w:customStyle="1" w:styleId="59">
    <w:name w:val="标题 2 Char"/>
    <w:basedOn w:val="51"/>
    <w:link w:val="3"/>
    <w:qFormat/>
    <w:uiPriority w:val="0"/>
    <w:rPr>
      <w:rFonts w:asciiTheme="majorHAnsi" w:hAnsiTheme="majorHAnsi" w:eastAsiaTheme="majorEastAsia" w:cstheme="majorBidi"/>
      <w:color w:val="0F4761" w:themeColor="accent1" w:themeShade="BF"/>
      <w:sz w:val="40"/>
      <w:szCs w:val="40"/>
    </w:rPr>
  </w:style>
  <w:style w:type="character" w:customStyle="1" w:styleId="60">
    <w:name w:val="标题 3 Char"/>
    <w:basedOn w:val="51"/>
    <w:link w:val="4"/>
    <w:qFormat/>
    <w:uiPriority w:val="0"/>
    <w:rPr>
      <w:rFonts w:asciiTheme="majorHAnsi" w:hAnsiTheme="majorHAnsi" w:eastAsiaTheme="majorEastAsia" w:cstheme="majorBidi"/>
      <w:color w:val="0F4761" w:themeColor="accent1" w:themeShade="BF"/>
      <w:sz w:val="32"/>
      <w:szCs w:val="32"/>
    </w:rPr>
  </w:style>
  <w:style w:type="character" w:customStyle="1" w:styleId="61">
    <w:name w:val="标题 4 Char"/>
    <w:basedOn w:val="51"/>
    <w:link w:val="5"/>
    <w:qFormat/>
    <w:uiPriority w:val="0"/>
    <w:rPr>
      <w:rFonts w:cstheme="majorBidi"/>
      <w:color w:val="0F4761" w:themeColor="accent1" w:themeShade="BF"/>
      <w:sz w:val="28"/>
      <w:szCs w:val="28"/>
    </w:rPr>
  </w:style>
  <w:style w:type="character" w:customStyle="1" w:styleId="62">
    <w:name w:val="标题 5 Char1"/>
    <w:basedOn w:val="51"/>
    <w:link w:val="6"/>
    <w:qFormat/>
    <w:uiPriority w:val="0"/>
    <w:rPr>
      <w:rFonts w:cstheme="majorBidi"/>
      <w:color w:val="0F4761" w:themeColor="accent1" w:themeShade="BF"/>
      <w:sz w:val="24"/>
    </w:rPr>
  </w:style>
  <w:style w:type="character" w:customStyle="1" w:styleId="63">
    <w:name w:val="标题 6 Char"/>
    <w:basedOn w:val="51"/>
    <w:link w:val="7"/>
    <w:qFormat/>
    <w:uiPriority w:val="0"/>
    <w:rPr>
      <w:rFonts w:cstheme="majorBidi"/>
      <w:b/>
      <w:bCs/>
      <w:color w:val="0F4761" w:themeColor="accent1" w:themeShade="BF"/>
    </w:rPr>
  </w:style>
  <w:style w:type="character" w:customStyle="1" w:styleId="64">
    <w:name w:val="标题 7 Char"/>
    <w:basedOn w:val="51"/>
    <w:link w:val="8"/>
    <w:qFormat/>
    <w:uiPriority w:val="0"/>
    <w:rPr>
      <w:rFonts w:cstheme="majorBidi"/>
      <w:b/>
      <w:bCs/>
      <w:color w:val="585858" w:themeColor="text1" w:themeTint="A6"/>
    </w:rPr>
  </w:style>
  <w:style w:type="character" w:customStyle="1" w:styleId="65">
    <w:name w:val="标题 8 Char"/>
    <w:basedOn w:val="51"/>
    <w:link w:val="9"/>
    <w:qFormat/>
    <w:uiPriority w:val="0"/>
    <w:rPr>
      <w:rFonts w:cstheme="majorBidi"/>
      <w:color w:val="585858" w:themeColor="text1" w:themeTint="A6"/>
    </w:rPr>
  </w:style>
  <w:style w:type="character" w:customStyle="1" w:styleId="66">
    <w:name w:val="标题 9 Char"/>
    <w:basedOn w:val="51"/>
    <w:link w:val="10"/>
    <w:qFormat/>
    <w:uiPriority w:val="0"/>
    <w:rPr>
      <w:rFonts w:eastAsiaTheme="majorEastAsia" w:cstheme="majorBidi"/>
      <w:color w:val="585858" w:themeColor="text1" w:themeTint="A6"/>
    </w:rPr>
  </w:style>
  <w:style w:type="character" w:customStyle="1" w:styleId="67">
    <w:name w:val="标题 Char"/>
    <w:basedOn w:val="51"/>
    <w:link w:val="45"/>
    <w:qFormat/>
    <w:uiPriority w:val="10"/>
    <w:rPr>
      <w:rFonts w:asciiTheme="majorHAnsi" w:hAnsiTheme="majorHAnsi" w:eastAsiaTheme="majorEastAsia" w:cstheme="majorBidi"/>
      <w:spacing w:val="-10"/>
      <w:kern w:val="28"/>
      <w:sz w:val="56"/>
      <w:szCs w:val="56"/>
    </w:rPr>
  </w:style>
  <w:style w:type="character" w:customStyle="1" w:styleId="68">
    <w:name w:val="副标题 Char"/>
    <w:basedOn w:val="51"/>
    <w:link w:val="35"/>
    <w:qFormat/>
    <w:uiPriority w:val="0"/>
    <w:rPr>
      <w:rFonts w:asciiTheme="majorHAnsi" w:hAnsiTheme="majorHAnsi" w:eastAsiaTheme="majorEastAsia" w:cstheme="majorBidi"/>
      <w:color w:val="585858" w:themeColor="text1" w:themeTint="A6"/>
      <w:spacing w:val="15"/>
      <w:sz w:val="28"/>
      <w:szCs w:val="28"/>
    </w:rPr>
  </w:style>
  <w:style w:type="paragraph" w:styleId="69">
    <w:name w:val="Quote"/>
    <w:basedOn w:val="1"/>
    <w:next w:val="1"/>
    <w:link w:val="70"/>
    <w:qFormat/>
    <w:uiPriority w:val="29"/>
    <w:pPr>
      <w:spacing w:before="160"/>
      <w:jc w:val="center"/>
    </w:pPr>
    <w:rPr>
      <w:i/>
      <w:iCs/>
      <w:color w:val="3F3F3F" w:themeColor="text1" w:themeTint="BF"/>
    </w:rPr>
  </w:style>
  <w:style w:type="character" w:customStyle="1" w:styleId="70">
    <w:name w:val="引用 Char"/>
    <w:basedOn w:val="51"/>
    <w:link w:val="69"/>
    <w:qFormat/>
    <w:uiPriority w:val="29"/>
    <w:rPr>
      <w:i/>
      <w:iCs/>
      <w:color w:val="3F3F3F" w:themeColor="text1" w:themeTint="BF"/>
    </w:rPr>
  </w:style>
  <w:style w:type="paragraph" w:styleId="71">
    <w:name w:val="List Paragraph"/>
    <w:basedOn w:val="1"/>
    <w:qFormat/>
    <w:uiPriority w:val="0"/>
    <w:pPr>
      <w:ind w:left="720"/>
      <w:contextualSpacing/>
    </w:pPr>
  </w:style>
  <w:style w:type="character" w:customStyle="1" w:styleId="72">
    <w:name w:val="Intense Emphasis"/>
    <w:basedOn w:val="51"/>
    <w:qFormat/>
    <w:uiPriority w:val="21"/>
    <w:rPr>
      <w:i/>
      <w:iCs/>
      <w:color w:val="0F4761" w:themeColor="accent1" w:themeShade="BF"/>
    </w:rPr>
  </w:style>
  <w:style w:type="paragraph" w:styleId="73">
    <w:name w:val="Intense Quote"/>
    <w:basedOn w:val="1"/>
    <w:next w:val="1"/>
    <w:link w:val="7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customStyle="1" w:styleId="74">
    <w:name w:val="明显引用 Char"/>
    <w:basedOn w:val="51"/>
    <w:link w:val="73"/>
    <w:qFormat/>
    <w:uiPriority w:val="30"/>
    <w:rPr>
      <w:i/>
      <w:iCs/>
      <w:color w:val="0F4761" w:themeColor="accent1" w:themeShade="BF"/>
    </w:rPr>
  </w:style>
  <w:style w:type="character" w:customStyle="1" w:styleId="75">
    <w:name w:val="Intense Reference"/>
    <w:basedOn w:val="51"/>
    <w:qFormat/>
    <w:uiPriority w:val="32"/>
    <w:rPr>
      <w:b/>
      <w:bCs/>
      <w:smallCaps/>
      <w:color w:val="0F4761" w:themeColor="accent1" w:themeShade="BF"/>
      <w:spacing w:val="5"/>
    </w:rPr>
  </w:style>
  <w:style w:type="character" w:customStyle="1" w:styleId="76">
    <w:name w:val="正文文本 Char"/>
    <w:basedOn w:val="51"/>
    <w:link w:val="19"/>
    <w:qFormat/>
    <w:uiPriority w:val="99"/>
    <w:rPr>
      <w:rFonts w:ascii="Times New Roman" w:hAnsi="Times New Roman" w:eastAsia="宋体" w:cs="Times New Roman"/>
      <w:sz w:val="21"/>
    </w:rPr>
  </w:style>
  <w:style w:type="character" w:customStyle="1" w:styleId="77">
    <w:name w:val="正文首行缩进 Char"/>
    <w:basedOn w:val="76"/>
    <w:link w:val="47"/>
    <w:qFormat/>
    <w:uiPriority w:val="0"/>
    <w:rPr>
      <w:rFonts w:ascii="Times New Roman" w:hAnsi="Times New Roman" w:eastAsia="宋体" w:cs="Times New Roman"/>
      <w:kern w:val="0"/>
      <w:sz w:val="24"/>
    </w:rPr>
  </w:style>
  <w:style w:type="character" w:customStyle="1" w:styleId="78">
    <w:name w:val="正文文本缩进 Char"/>
    <w:basedOn w:val="51"/>
    <w:link w:val="20"/>
    <w:qFormat/>
    <w:uiPriority w:val="0"/>
    <w:rPr>
      <w:rFonts w:ascii="Times New Roman" w:hAnsi="Times New Roman" w:eastAsia="宋体" w:cs="Times New Roman"/>
      <w:sz w:val="21"/>
    </w:rPr>
  </w:style>
  <w:style w:type="character" w:customStyle="1" w:styleId="79">
    <w:name w:val="正文首行缩进 2 Char"/>
    <w:basedOn w:val="78"/>
    <w:link w:val="48"/>
    <w:qFormat/>
    <w:uiPriority w:val="99"/>
    <w:rPr>
      <w:rFonts w:ascii="仿宋_GB2312" w:hAnsi="Times New Roman" w:eastAsia="仿宋_GB2312" w:cs="Times New Roman"/>
      <w:color w:val="FF0000"/>
      <w:sz w:val="24"/>
    </w:rPr>
  </w:style>
  <w:style w:type="character" w:customStyle="1" w:styleId="80">
    <w:name w:val="文档结构图 Char"/>
    <w:basedOn w:val="51"/>
    <w:link w:val="16"/>
    <w:qFormat/>
    <w:uiPriority w:val="0"/>
    <w:rPr>
      <w:rFonts w:ascii="宋体" w:hAnsi="宋体" w:eastAsia="宋体" w:cs="Times New Roman"/>
      <w:kern w:val="0"/>
      <w:sz w:val="20"/>
      <w:szCs w:val="20"/>
      <w:shd w:val="clear" w:color="auto" w:fill="000080"/>
    </w:rPr>
  </w:style>
  <w:style w:type="character" w:customStyle="1" w:styleId="81">
    <w:name w:val="批注文字 字符"/>
    <w:basedOn w:val="51"/>
    <w:qFormat/>
    <w:uiPriority w:val="0"/>
    <w:rPr>
      <w:rFonts w:ascii="Times New Roman" w:hAnsi="Times New Roman" w:eastAsia="宋体" w:cs="Times New Roman"/>
      <w:sz w:val="21"/>
    </w:rPr>
  </w:style>
  <w:style w:type="character" w:customStyle="1" w:styleId="82">
    <w:name w:val="正文文本 3 Char"/>
    <w:basedOn w:val="51"/>
    <w:link w:val="18"/>
    <w:qFormat/>
    <w:uiPriority w:val="0"/>
    <w:rPr>
      <w:rFonts w:ascii="Times New Roman" w:hAnsi="Times New Roman" w:eastAsia="宋体" w:cs="Times New Roman"/>
      <w:b/>
      <w:bCs/>
      <w:kern w:val="0"/>
      <w:sz w:val="24"/>
    </w:rPr>
  </w:style>
  <w:style w:type="character" w:customStyle="1" w:styleId="83">
    <w:name w:val="纯文本 字符"/>
    <w:basedOn w:val="51"/>
    <w:qFormat/>
    <w:uiPriority w:val="0"/>
    <w:rPr>
      <w:rFonts w:hAnsi="Courier New" w:cs="Courier New" w:asciiTheme="minorEastAsia"/>
      <w:sz w:val="21"/>
    </w:rPr>
  </w:style>
  <w:style w:type="character" w:customStyle="1" w:styleId="84">
    <w:name w:val="日期 Char"/>
    <w:basedOn w:val="51"/>
    <w:link w:val="27"/>
    <w:qFormat/>
    <w:uiPriority w:val="0"/>
    <w:rPr>
      <w:rFonts w:ascii="宋体" w:hAnsi="Courier New" w:eastAsia="宋体" w:cs="Times New Roman"/>
      <w:kern w:val="0"/>
      <w:sz w:val="20"/>
      <w:szCs w:val="21"/>
    </w:rPr>
  </w:style>
  <w:style w:type="character" w:customStyle="1" w:styleId="85">
    <w:name w:val="正文文本缩进 2 Char"/>
    <w:basedOn w:val="51"/>
    <w:link w:val="28"/>
    <w:qFormat/>
    <w:uiPriority w:val="0"/>
    <w:rPr>
      <w:rFonts w:ascii="Times New Roman" w:hAnsi="Times New Roman" w:eastAsia="宋体" w:cs="Times New Roman"/>
      <w:kern w:val="0"/>
      <w:sz w:val="32"/>
      <w:szCs w:val="20"/>
    </w:rPr>
  </w:style>
  <w:style w:type="character" w:customStyle="1" w:styleId="86">
    <w:name w:val="尾注文本 Char"/>
    <w:basedOn w:val="51"/>
    <w:link w:val="29"/>
    <w:qFormat/>
    <w:uiPriority w:val="99"/>
    <w:rPr>
      <w:rFonts w:ascii="Times New Roman" w:hAnsi="Times New Roman" w:eastAsia="宋体" w:cs="Times New Roman"/>
      <w:sz w:val="21"/>
    </w:rPr>
  </w:style>
  <w:style w:type="character" w:customStyle="1" w:styleId="87">
    <w:name w:val="批注框文本 Char"/>
    <w:basedOn w:val="51"/>
    <w:link w:val="30"/>
    <w:semiHidden/>
    <w:qFormat/>
    <w:uiPriority w:val="0"/>
    <w:rPr>
      <w:rFonts w:ascii="Times New Roman" w:hAnsi="Times New Roman" w:eastAsia="宋体" w:cs="Times New Roman"/>
      <w:kern w:val="0"/>
      <w:sz w:val="18"/>
      <w:szCs w:val="18"/>
    </w:rPr>
  </w:style>
  <w:style w:type="character" w:customStyle="1" w:styleId="88">
    <w:name w:val="页脚 字符"/>
    <w:basedOn w:val="51"/>
    <w:qFormat/>
    <w:uiPriority w:val="99"/>
    <w:rPr>
      <w:rFonts w:ascii="Times New Roman" w:hAnsi="Times New Roman" w:eastAsia="宋体" w:cs="Times New Roman"/>
      <w:sz w:val="18"/>
      <w:szCs w:val="18"/>
    </w:rPr>
  </w:style>
  <w:style w:type="character" w:customStyle="1" w:styleId="89">
    <w:name w:val="页眉 Char"/>
    <w:basedOn w:val="51"/>
    <w:link w:val="32"/>
    <w:qFormat/>
    <w:uiPriority w:val="0"/>
    <w:rPr>
      <w:rFonts w:ascii="Times New Roman" w:hAnsi="Times New Roman" w:eastAsia="宋体" w:cs="Times New Roman"/>
      <w:sz w:val="18"/>
      <w:szCs w:val="18"/>
    </w:rPr>
  </w:style>
  <w:style w:type="character" w:customStyle="1" w:styleId="90">
    <w:name w:val="脚注文本 Char"/>
    <w:basedOn w:val="51"/>
    <w:link w:val="37"/>
    <w:qFormat/>
    <w:uiPriority w:val="99"/>
    <w:rPr>
      <w:rFonts w:ascii="Times New Roman" w:hAnsi="Times New Roman" w:eastAsia="宋体" w:cs="Times New Roman"/>
      <w:sz w:val="18"/>
      <w:szCs w:val="18"/>
    </w:rPr>
  </w:style>
  <w:style w:type="character" w:customStyle="1" w:styleId="91">
    <w:name w:val="正文文本缩进 3 Char"/>
    <w:basedOn w:val="51"/>
    <w:link w:val="39"/>
    <w:qFormat/>
    <w:uiPriority w:val="0"/>
    <w:rPr>
      <w:rFonts w:ascii="Times New Roman" w:hAnsi="Times New Roman" w:eastAsia="宋体" w:cs="Times New Roman"/>
      <w:kern w:val="0"/>
      <w:sz w:val="16"/>
      <w:szCs w:val="16"/>
    </w:rPr>
  </w:style>
  <w:style w:type="character" w:customStyle="1" w:styleId="92">
    <w:name w:val="正文文本 2 Char"/>
    <w:basedOn w:val="51"/>
    <w:link w:val="42"/>
    <w:qFormat/>
    <w:uiPriority w:val="0"/>
    <w:rPr>
      <w:rFonts w:ascii="Times New Roman" w:hAnsi="Times New Roman" w:eastAsia="宋体" w:cs="Times New Roman"/>
      <w:kern w:val="0"/>
      <w:sz w:val="20"/>
    </w:rPr>
  </w:style>
  <w:style w:type="character" w:customStyle="1" w:styleId="93">
    <w:name w:val="批注主题 Char"/>
    <w:basedOn w:val="81"/>
    <w:link w:val="46"/>
    <w:qFormat/>
    <w:uiPriority w:val="99"/>
    <w:rPr>
      <w:rFonts w:ascii="Times New Roman" w:hAnsi="Times New Roman" w:eastAsia="宋体" w:cs="Times New Roman"/>
      <w:b/>
      <w:bCs/>
      <w:sz w:val="21"/>
    </w:rPr>
  </w:style>
  <w:style w:type="character" w:customStyle="1" w:styleId="94">
    <w:name w:val="标题 1 字符1"/>
    <w:qFormat/>
    <w:uiPriority w:val="0"/>
    <w:rPr>
      <w:rFonts w:ascii="Times New Roman" w:hAnsi="Times New Roman" w:eastAsia="宋体" w:cs="Times New Roman"/>
      <w:b/>
      <w:bCs/>
      <w:kern w:val="44"/>
      <w:sz w:val="44"/>
      <w:szCs w:val="44"/>
    </w:rPr>
  </w:style>
  <w:style w:type="character" w:customStyle="1" w:styleId="95">
    <w:name w:val="批注文字 Char2"/>
    <w:link w:val="17"/>
    <w:qFormat/>
    <w:uiPriority w:val="0"/>
    <w:rPr>
      <w:rFonts w:ascii="Times New Roman" w:hAnsi="Times New Roman" w:eastAsia="宋体" w:cs="Times New Roman"/>
      <w:sz w:val="21"/>
    </w:rPr>
  </w:style>
  <w:style w:type="character" w:customStyle="1" w:styleId="96">
    <w:name w:val="正文文本缩进 字符1"/>
    <w:qFormat/>
    <w:uiPriority w:val="0"/>
    <w:rPr>
      <w:rFonts w:ascii="仿宋_GB2312" w:hAnsi="Times New Roman" w:eastAsia="仿宋_GB2312" w:cs="Times New Roman"/>
      <w:sz w:val="32"/>
      <w:szCs w:val="20"/>
    </w:rPr>
  </w:style>
  <w:style w:type="character" w:customStyle="1" w:styleId="97">
    <w:name w:val="纯文本 Char1"/>
    <w:link w:val="25"/>
    <w:qFormat/>
    <w:uiPriority w:val="0"/>
    <w:rPr>
      <w:rFonts w:ascii="宋体" w:hAnsi="Courier New" w:eastAsia="宋体" w:cs="Times New Roman"/>
      <w:kern w:val="0"/>
      <w:sz w:val="20"/>
      <w:szCs w:val="21"/>
    </w:rPr>
  </w:style>
  <w:style w:type="character" w:customStyle="1" w:styleId="98">
    <w:name w:val="页脚 Char"/>
    <w:link w:val="31"/>
    <w:qFormat/>
    <w:uiPriority w:val="99"/>
    <w:rPr>
      <w:rFonts w:ascii="Times New Roman" w:hAnsi="Times New Roman" w:eastAsia="宋体" w:cs="Times New Roman"/>
      <w:kern w:val="0"/>
      <w:sz w:val="18"/>
      <w:szCs w:val="18"/>
    </w:rPr>
  </w:style>
  <w:style w:type="character" w:customStyle="1" w:styleId="99">
    <w:name w:val="批注文字 Char1"/>
    <w:qFormat/>
    <w:locked/>
    <w:uiPriority w:val="0"/>
    <w:rPr>
      <w:rFonts w:ascii="Times New Roman" w:hAnsi="Times New Roman"/>
      <w:kern w:val="2"/>
      <w:sz w:val="21"/>
      <w:szCs w:val="24"/>
    </w:rPr>
  </w:style>
  <w:style w:type="character" w:customStyle="1" w:styleId="100">
    <w:name w:val="case31"/>
    <w:qFormat/>
    <w:uiPriority w:val="0"/>
    <w:rPr>
      <w:rFonts w:hint="default" w:ascii="_x000B__x000C_" w:hAnsi="_x000B__x000C_"/>
      <w:sz w:val="21"/>
      <w:szCs w:val="21"/>
    </w:rPr>
  </w:style>
  <w:style w:type="character" w:customStyle="1" w:styleId="101">
    <w:name w:val="批注文字 Char"/>
    <w:qFormat/>
    <w:uiPriority w:val="0"/>
    <w:rPr>
      <w:rFonts w:ascii="Times New Roman" w:hAnsi="Times New Roman"/>
      <w:kern w:val="2"/>
      <w:sz w:val="21"/>
      <w:szCs w:val="24"/>
    </w:rPr>
  </w:style>
  <w:style w:type="character" w:customStyle="1" w:styleId="102">
    <w:name w:val="纯文本 Char"/>
    <w:qFormat/>
    <w:uiPriority w:val="0"/>
    <w:rPr>
      <w:rFonts w:ascii="宋体" w:hAnsi="Courier New" w:eastAsia="宋体"/>
      <w:kern w:val="2"/>
      <w:sz w:val="21"/>
      <w:lang w:val="en-US" w:eastAsia="zh-CN" w:bidi="ar-SA"/>
    </w:rPr>
  </w:style>
  <w:style w:type="character" w:customStyle="1" w:styleId="103">
    <w:name w:val="纯文本 字符1"/>
    <w:qFormat/>
    <w:uiPriority w:val="0"/>
    <w:rPr>
      <w:rFonts w:ascii="宋体" w:hAnsi="Courier New"/>
    </w:rPr>
  </w:style>
  <w:style w:type="character" w:customStyle="1" w:styleId="104">
    <w:name w:val="批注文字 字符1"/>
    <w:qFormat/>
    <w:uiPriority w:val="0"/>
    <w:rPr>
      <w:rFonts w:ascii="Times New Roman" w:hAnsi="Times New Roman"/>
      <w:kern w:val="2"/>
      <w:sz w:val="21"/>
      <w:szCs w:val="24"/>
    </w:rPr>
  </w:style>
  <w:style w:type="character" w:customStyle="1" w:styleId="105">
    <w:name w:val="正文文本 Char1"/>
    <w:semiHidden/>
    <w:qFormat/>
    <w:locked/>
    <w:uiPriority w:val="99"/>
    <w:rPr>
      <w:sz w:val="24"/>
      <w:szCs w:val="24"/>
    </w:rPr>
  </w:style>
  <w:style w:type="character" w:customStyle="1" w:styleId="106">
    <w:name w:val="apple-style-span"/>
    <w:qFormat/>
    <w:uiPriority w:val="0"/>
  </w:style>
  <w:style w:type="character" w:customStyle="1" w:styleId="107">
    <w:name w:val="textcontents"/>
    <w:qFormat/>
    <w:uiPriority w:val="0"/>
  </w:style>
  <w:style w:type="character" w:customStyle="1" w:styleId="108">
    <w:name w:val="普通文字 Char Char2"/>
    <w:qFormat/>
    <w:uiPriority w:val="0"/>
    <w:rPr>
      <w:rFonts w:ascii="宋体" w:hAnsi="Courier New" w:eastAsia="宋体"/>
      <w:kern w:val="2"/>
      <w:sz w:val="21"/>
      <w:lang w:val="en-US" w:eastAsia="zh-CN" w:bidi="ar-SA"/>
    </w:rPr>
  </w:style>
  <w:style w:type="character" w:customStyle="1" w:styleId="109">
    <w:name w:val="标题 5 Char"/>
    <w:qFormat/>
    <w:uiPriority w:val="9"/>
    <w:rPr>
      <w:b/>
      <w:kern w:val="2"/>
      <w:sz w:val="28"/>
      <w:szCs w:val="24"/>
    </w:rPr>
  </w:style>
  <w:style w:type="character" w:customStyle="1" w:styleId="110">
    <w:name w:val="headline-content4"/>
    <w:qFormat/>
    <w:uiPriority w:val="0"/>
  </w:style>
  <w:style w:type="character" w:customStyle="1" w:styleId="111">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112">
    <w:name w:val="Char1"/>
    <w:basedOn w:val="1"/>
    <w:qFormat/>
    <w:uiPriority w:val="0"/>
    <w:rPr>
      <w:szCs w:val="21"/>
    </w:rPr>
  </w:style>
  <w:style w:type="paragraph" w:customStyle="1" w:styleId="113">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color w:val="auto"/>
      <w:kern w:val="0"/>
      <w:sz w:val="28"/>
      <w:szCs w:val="20"/>
    </w:rPr>
  </w:style>
  <w:style w:type="paragraph" w:customStyle="1" w:styleId="114">
    <w:name w:val="默认段落字体 Para Char Char Char Char Char Char Char Char Char1 Char Char Char Char"/>
    <w:basedOn w:val="1"/>
    <w:qFormat/>
    <w:uiPriority w:val="0"/>
    <w:rPr>
      <w:rFonts w:ascii="Tahoma" w:hAnsi="Tahoma"/>
      <w:sz w:val="24"/>
      <w:szCs w:val="20"/>
    </w:rPr>
  </w:style>
  <w:style w:type="paragraph" w:customStyle="1" w:styleId="115">
    <w:name w:val="样式"/>
    <w:qFormat/>
    <w:uiPriority w:val="0"/>
    <w:pPr>
      <w:widowControl w:val="0"/>
      <w:autoSpaceDE w:val="0"/>
      <w:autoSpaceDN w:val="0"/>
      <w:adjustRightInd w:val="0"/>
      <w:spacing w:after="0" w:line="240" w:lineRule="auto"/>
      <w:jc w:val="center"/>
    </w:pPr>
    <w:rPr>
      <w:rFonts w:ascii="宋体" w:hAnsi="宋体" w:eastAsia="宋体" w:cs="宋体"/>
      <w:kern w:val="0"/>
      <w:sz w:val="24"/>
      <w:szCs w:val="24"/>
      <w:lang w:val="en-US" w:eastAsia="zh-CN" w:bidi="ar-SA"/>
    </w:rPr>
  </w:style>
  <w:style w:type="paragraph" w:customStyle="1" w:styleId="116">
    <w:name w:val="纯文本1"/>
    <w:basedOn w:val="1"/>
    <w:qFormat/>
    <w:uiPriority w:val="0"/>
    <w:rPr>
      <w:rFonts w:ascii="宋体" w:hAnsi="Courier New" w:cs="Century"/>
      <w:szCs w:val="21"/>
    </w:rPr>
  </w:style>
  <w:style w:type="paragraph" w:customStyle="1" w:styleId="117">
    <w:name w:val="Table Paragraph"/>
    <w:basedOn w:val="1"/>
    <w:qFormat/>
    <w:uiPriority w:val="1"/>
    <w:pPr>
      <w:jc w:val="left"/>
    </w:pPr>
    <w:rPr>
      <w:rFonts w:ascii="Calibri" w:hAnsi="Calibri"/>
      <w:kern w:val="0"/>
      <w:sz w:val="22"/>
      <w:szCs w:val="22"/>
      <w:lang w:eastAsia="en-US"/>
    </w:rPr>
  </w:style>
  <w:style w:type="paragraph" w:customStyle="1" w:styleId="11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9">
    <w:name w:val="表格"/>
    <w:basedOn w:val="1"/>
    <w:qFormat/>
    <w:uiPriority w:val="0"/>
    <w:pPr>
      <w:spacing w:line="400" w:lineRule="exact"/>
    </w:pPr>
    <w:rPr>
      <w:sz w:val="24"/>
    </w:rPr>
  </w:style>
  <w:style w:type="paragraph" w:customStyle="1" w:styleId="120">
    <w:name w:val="样式 首行缩进:  2 字符"/>
    <w:basedOn w:val="1"/>
    <w:qFormat/>
    <w:uiPriority w:val="0"/>
    <w:pPr>
      <w:spacing w:line="400" w:lineRule="exact"/>
      <w:ind w:firstLine="200" w:firstLineChars="200"/>
    </w:pPr>
    <w:rPr>
      <w:rFonts w:cs="宋体"/>
      <w:sz w:val="24"/>
    </w:rPr>
  </w:style>
  <w:style w:type="paragraph" w:customStyle="1" w:styleId="121">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22">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color w:val="auto"/>
      <w:kern w:val="0"/>
      <w:sz w:val="24"/>
      <w:szCs w:val="20"/>
    </w:rPr>
  </w:style>
  <w:style w:type="paragraph" w:customStyle="1" w:styleId="123">
    <w:name w:val="正文首行缩进两字符"/>
    <w:basedOn w:val="1"/>
    <w:qFormat/>
    <w:uiPriority w:val="0"/>
    <w:pPr>
      <w:spacing w:line="360" w:lineRule="auto"/>
      <w:ind w:firstLine="200" w:firstLineChars="200"/>
    </w:pPr>
  </w:style>
  <w:style w:type="paragraph" w:customStyle="1" w:styleId="124">
    <w:name w:val="正文段"/>
    <w:basedOn w:val="1"/>
    <w:qFormat/>
    <w:uiPriority w:val="0"/>
    <w:pPr>
      <w:widowControl/>
      <w:snapToGrid w:val="0"/>
      <w:spacing w:afterLines="50"/>
      <w:ind w:firstLine="200" w:firstLineChars="200"/>
    </w:pPr>
    <w:rPr>
      <w:kern w:val="0"/>
      <w:sz w:val="24"/>
      <w:szCs w:val="20"/>
    </w:rPr>
  </w:style>
  <w:style w:type="table" w:customStyle="1" w:styleId="125">
    <w:name w:val="Table Normal"/>
    <w:semiHidden/>
    <w:qFormat/>
    <w:uiPriority w:val="2"/>
    <w:pPr>
      <w:widowControl w:val="0"/>
      <w:spacing w:after="0" w:line="240" w:lineRule="auto"/>
    </w:pPr>
    <w:rPr>
      <w:rFonts w:ascii="Calibri" w:hAnsi="Calibri" w:eastAsia="Times New Roman" w:cs="Times New Roman"/>
      <w:kern w:val="0"/>
      <w:szCs w:val="22"/>
      <w:lang w:eastAsia="en-US"/>
    </w:rPr>
    <w:tblPr>
      <w:tblCellMar>
        <w:top w:w="0" w:type="dxa"/>
        <w:left w:w="0" w:type="dxa"/>
        <w:bottom w:w="0" w:type="dxa"/>
        <w:right w:w="0" w:type="dxa"/>
      </w:tblCellMar>
    </w:tblPr>
  </w:style>
  <w:style w:type="character" w:customStyle="1" w:styleId="126">
    <w:name w:val="标题 1 Char1"/>
    <w:qFormat/>
    <w:uiPriority w:val="0"/>
    <w:rPr>
      <w:rFonts w:eastAsia="宋体"/>
      <w:b/>
      <w:bCs/>
      <w:kern w:val="44"/>
      <w:sz w:val="44"/>
      <w:szCs w:val="44"/>
      <w:lang w:val="en-US" w:eastAsia="zh-CN" w:bidi="ar-SA"/>
    </w:rPr>
  </w:style>
  <w:style w:type="character" w:customStyle="1" w:styleId="127">
    <w:name w:val="纯文本 Char2"/>
    <w:qFormat/>
    <w:uiPriority w:val="0"/>
    <w:rPr>
      <w:rFonts w:ascii="宋体" w:hAnsi="Courier New" w:eastAsia="宋体" w:cs="Courier New"/>
      <w:szCs w:val="21"/>
    </w:rPr>
  </w:style>
  <w:style w:type="paragraph" w:customStyle="1" w:styleId="128">
    <w:name w:val="_Style 112"/>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 w:type="table" w:customStyle="1" w:styleId="129">
    <w:name w:val="网格型1"/>
    <w:basedOn w:val="49"/>
    <w:qFormat/>
    <w:uiPriority w:val="99"/>
    <w:pPr>
      <w:spacing w:after="0" w:line="240" w:lineRule="auto"/>
    </w:pPr>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30">
    <w:name w:val="xl65"/>
    <w:basedOn w:val="1"/>
    <w:qFormat/>
    <w:uiPriority w:val="0"/>
    <w:pPr>
      <w:widowControl/>
      <w:spacing w:before="100" w:beforeAutospacing="1" w:after="100" w:afterAutospacing="1"/>
      <w:jc w:val="left"/>
    </w:pPr>
    <w:rPr>
      <w:rFonts w:ascii="宋体" w:hAnsi="宋体" w:cs="宋体"/>
      <w:kern w:val="0"/>
      <w:sz w:val="24"/>
    </w:rPr>
  </w:style>
  <w:style w:type="paragraph" w:customStyle="1" w:styleId="131">
    <w:name w:val="xl66"/>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32">
    <w:name w:val="xl67"/>
    <w:basedOn w:val="1"/>
    <w:qFormat/>
    <w:uiPriority w:val="0"/>
    <w:pPr>
      <w:widowControl/>
      <w:spacing w:before="100" w:beforeAutospacing="1" w:after="100" w:afterAutospacing="1"/>
      <w:jc w:val="left"/>
    </w:pPr>
    <w:rPr>
      <w:rFonts w:ascii="宋体" w:hAnsi="宋体" w:cs="宋体"/>
      <w:kern w:val="0"/>
      <w:sz w:val="24"/>
    </w:rPr>
  </w:style>
  <w:style w:type="paragraph" w:customStyle="1" w:styleId="133">
    <w:name w:val="xl68"/>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3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3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3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3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3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3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4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4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43">
    <w:name w:val="Other|1"/>
    <w:basedOn w:val="1"/>
    <w:qFormat/>
    <w:uiPriority w:val="0"/>
    <w:pPr>
      <w:spacing w:line="394" w:lineRule="auto"/>
      <w:ind w:firstLine="400"/>
      <w:jc w:val="left"/>
    </w:pPr>
    <w:rPr>
      <w:rFonts w:ascii="宋体" w:hAnsi="宋体" w:cs="宋体"/>
      <w:color w:val="000000"/>
      <w:kern w:val="0"/>
      <w:sz w:val="30"/>
      <w:szCs w:val="30"/>
      <w:lang w:val="zh-TW" w:eastAsia="zh-TW" w:bidi="zh-TW"/>
    </w:rPr>
  </w:style>
  <w:style w:type="paragraph" w:customStyle="1" w:styleId="144">
    <w:name w:val="修订1"/>
    <w:hidden/>
    <w:semiHidden/>
    <w:qFormat/>
    <w:uiPriority w:val="99"/>
    <w:pPr>
      <w:spacing w:after="0" w:line="240" w:lineRule="auto"/>
    </w:pPr>
    <w:rPr>
      <w:rFonts w:ascii="Times New Roman" w:hAnsi="Times New Roman" w:eastAsia="宋体" w:cs="Times New Roman"/>
      <w:kern w:val="2"/>
      <w:sz w:val="21"/>
      <w:szCs w:val="24"/>
      <w:lang w:val="en-US" w:eastAsia="zh-CN" w:bidi="ar-SA"/>
    </w:rPr>
  </w:style>
  <w:style w:type="paragraph" w:customStyle="1" w:styleId="145">
    <w:name w:val="Table Text"/>
    <w:basedOn w:val="1"/>
    <w:hidden/>
    <w:qFormat/>
    <w:uiPriority w:val="0"/>
    <w:pPr>
      <w:widowControl/>
      <w:kinsoku w:val="0"/>
      <w:autoSpaceDE w:val="0"/>
      <w:autoSpaceDN w:val="0"/>
      <w:adjustRightInd w:val="0"/>
      <w:snapToGrid w:val="0"/>
      <w:jc w:val="left"/>
    </w:pPr>
    <w:rPr>
      <w:rFonts w:hint="eastAsia" w:ascii="宋体" w:hAnsi="宋体"/>
      <w:color w:val="000000"/>
      <w:kern w:val="0"/>
      <w:sz w:val="22"/>
      <w:szCs w:val="22"/>
    </w:rPr>
  </w:style>
  <w:style w:type="character" w:customStyle="1" w:styleId="146">
    <w:name w:val="15"/>
    <w:basedOn w:val="51"/>
    <w:qFormat/>
    <w:uiPriority w:val="0"/>
    <w:rPr>
      <w:rFonts w:hint="default" w:ascii="Times New Roman" w:hAnsi="Times New Roman" w:cs="Times New Roman"/>
    </w:rPr>
  </w:style>
  <w:style w:type="character" w:customStyle="1" w:styleId="147">
    <w:name w:val="16"/>
    <w:basedOn w:val="51"/>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79</Pages>
  <Words>2936</Words>
  <Characters>3499</Characters>
  <Lines>548</Lines>
  <Paragraphs>154</Paragraphs>
  <TotalTime>32</TotalTime>
  <ScaleCrop>false</ScaleCrop>
  <LinksUpToDate>false</LinksUpToDate>
  <CharactersWithSpaces>3535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2024-12-04T08:36:00Z</dcterms:created>
  <dc:creator>HP</dc:creator>
  <cp:lastModifiedBy>钟</cp:lastModifiedBy>
  <cp:lastPrinted>2025-07-29T10:29:00Z</cp:lastPrinted>
  <dcterms:modified xsi:type="dcterms:W3CDTF">2026-05-18T11:15:43Z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eyJoZGlkIjoiYTc3ZjdiNWZlMjM5OGVhNTg2NjRhZjg3NGRiNTg4NTMiLCJ1c2VySWQiOiIzMDgzNDkxMjAifQ==</vt:lpwstr>
  </property>
  <property fmtid="{D5CDD505-2E9C-101B-9397-08002B2CF9AE}" pid="3" name="KSOProductBuildVer">
    <vt:lpwstr>2052-12.1.0.26375</vt:lpwstr>
  </property>
  <property fmtid="{D5CDD505-2E9C-101B-9397-08002B2CF9AE}" pid="4" name="ICV">
    <vt:lpwstr>46C57E9C1ACF448183DFB62C057009D5_12</vt:lpwstr>
  </property>
</Properties>
</file>