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5D5B2">
      <w:pPr>
        <w:spacing w:line="360" w:lineRule="auto"/>
        <w:jc w:val="center"/>
        <w:rPr>
          <w:rFonts w:ascii="宋体" w:hAnsi="宋体" w:cs="仿宋"/>
          <w:color w:val="auto"/>
          <w:highlight w:val="none"/>
        </w:rPr>
      </w:pPr>
    </w:p>
    <w:p w14:paraId="4D972E72">
      <w:pPr>
        <w:spacing w:line="360" w:lineRule="auto"/>
        <w:jc w:val="center"/>
        <w:rPr>
          <w:rFonts w:ascii="宋体" w:hAnsi="宋体" w:cs="仿宋"/>
          <w:color w:val="auto"/>
          <w:highlight w:val="none"/>
        </w:rPr>
      </w:pPr>
    </w:p>
    <w:p w14:paraId="0E177AD3">
      <w:pPr>
        <w:spacing w:line="360" w:lineRule="auto"/>
        <w:jc w:val="center"/>
        <w:rPr>
          <w:rFonts w:ascii="宋体" w:hAnsi="宋体"/>
          <w:color w:val="auto"/>
          <w:sz w:val="52"/>
          <w:szCs w:val="52"/>
          <w:highlight w:val="none"/>
        </w:rPr>
      </w:pPr>
      <w:r>
        <w:rPr>
          <w:rFonts w:hint="eastAsia" w:ascii="宋体" w:hAnsi="宋体" w:cs="仿宋"/>
          <w:color w:val="auto"/>
          <w:highlight w:val="none"/>
        </w:rPr>
        <w:drawing>
          <wp:inline distT="0" distB="0" distL="114300" distR="114300">
            <wp:extent cx="885825" cy="934720"/>
            <wp:effectExtent l="0" t="0" r="9525" b="17780"/>
            <wp:docPr id="2" name="图片 3"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科文名片"/>
                    <pic:cNvPicPr>
                      <a:picLocks noChangeAspect="1"/>
                    </pic:cNvPicPr>
                  </pic:nvPicPr>
                  <pic:blipFill>
                    <a:blip r:embed="rId15" cstate="print"/>
                    <a:stretch>
                      <a:fillRect/>
                    </a:stretch>
                  </pic:blipFill>
                  <pic:spPr>
                    <a:xfrm>
                      <a:off x="0" y="0"/>
                      <a:ext cx="885825" cy="934720"/>
                    </a:xfrm>
                    <a:prstGeom prst="rect">
                      <a:avLst/>
                    </a:prstGeom>
                    <a:noFill/>
                    <a:ln>
                      <a:noFill/>
                    </a:ln>
                  </pic:spPr>
                </pic:pic>
              </a:graphicData>
            </a:graphic>
          </wp:inline>
        </w:drawing>
      </w:r>
    </w:p>
    <w:p w14:paraId="6F6C8172">
      <w:pPr>
        <w:pStyle w:val="25"/>
        <w:jc w:val="center"/>
        <w:rPr>
          <w:rFonts w:hAnsi="宋体"/>
          <w:color w:val="auto"/>
          <w:spacing w:val="30"/>
          <w:kern w:val="52"/>
          <w:sz w:val="64"/>
          <w:szCs w:val="64"/>
          <w:highlight w:val="none"/>
        </w:rPr>
      </w:pPr>
      <w:r>
        <w:rPr>
          <w:rFonts w:hAnsi="宋体"/>
          <w:color w:val="auto"/>
          <w:spacing w:val="30"/>
          <w:kern w:val="52"/>
          <w:sz w:val="64"/>
          <w:szCs w:val="64"/>
          <w:highlight w:val="none"/>
        </w:rPr>
        <w:t>广西科文招标有限公司</w:t>
      </w:r>
    </w:p>
    <w:p w14:paraId="3401DA32">
      <w:pPr>
        <w:pStyle w:val="25"/>
        <w:jc w:val="center"/>
        <w:rPr>
          <w:rFonts w:hAnsi="宋体"/>
          <w:color w:val="auto"/>
          <w:spacing w:val="28"/>
          <w:sz w:val="64"/>
          <w:szCs w:val="64"/>
          <w:highlight w:val="none"/>
        </w:rPr>
      </w:pPr>
      <w:r>
        <w:rPr>
          <w:rFonts w:hAnsi="宋体"/>
          <w:b/>
          <w:color w:val="auto"/>
          <w:spacing w:val="-18"/>
          <w:sz w:val="64"/>
          <w:szCs w:val="64"/>
          <w:highlight w:val="none"/>
        </w:rPr>
        <w:pict>
          <v:line id="Line 2" o:spid="_x0000_s1026" o:spt="20" style="position:absolute;left:0pt;margin-left:27pt;margin-top:7.75pt;height:0pt;width:43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">
            <v:path arrowok="t"/>
            <v:fill focussize="0,0"/>
            <v:stroke weight="1pt"/>
            <v:imagedata o:title=""/>
            <o:lock v:ext="edit"/>
          </v:line>
        </w:pict>
      </w:r>
    </w:p>
    <w:p w14:paraId="28301134">
      <w:pPr>
        <w:snapToGrid w:val="0"/>
        <w:spacing w:beforeLines="50" w:line="360" w:lineRule="auto"/>
        <w:jc w:val="center"/>
        <w:rPr>
          <w:rFonts w:ascii="宋体" w:hAnsi="宋体"/>
          <w:color w:val="auto"/>
          <w:sz w:val="96"/>
          <w:szCs w:val="96"/>
          <w:highlight w:val="none"/>
        </w:rPr>
      </w:pPr>
      <w:r>
        <w:rPr>
          <w:rFonts w:hint="eastAsia" w:ascii="宋体" w:hAnsi="宋体"/>
          <w:color w:val="auto"/>
          <w:sz w:val="96"/>
          <w:szCs w:val="96"/>
          <w:highlight w:val="none"/>
        </w:rPr>
        <w:t>公开招标文件</w:t>
      </w:r>
    </w:p>
    <w:p w14:paraId="65EF548F">
      <w:pPr>
        <w:pStyle w:val="25"/>
        <w:snapToGrid w:val="0"/>
        <w:spacing w:line="360" w:lineRule="auto"/>
        <w:ind w:left="2262" w:leftChars="941" w:hanging="286" w:hangingChars="100"/>
        <w:rPr>
          <w:rFonts w:hAnsi="宋体"/>
          <w:b/>
          <w:bCs/>
          <w:color w:val="auto"/>
          <w:w w:val="95"/>
          <w:sz w:val="30"/>
          <w:szCs w:val="30"/>
          <w:highlight w:val="none"/>
        </w:rPr>
      </w:pPr>
    </w:p>
    <w:p w14:paraId="4DDC45D5">
      <w:pPr>
        <w:pStyle w:val="25"/>
        <w:snapToGrid w:val="0"/>
        <w:spacing w:line="360" w:lineRule="auto"/>
        <w:ind w:left="2262" w:leftChars="941" w:hanging="286" w:hangingChars="100"/>
        <w:rPr>
          <w:rFonts w:hAnsi="宋体"/>
          <w:b/>
          <w:bCs/>
          <w:color w:val="auto"/>
          <w:w w:val="95"/>
          <w:sz w:val="30"/>
          <w:szCs w:val="30"/>
          <w:highlight w:val="none"/>
        </w:rPr>
      </w:pPr>
    </w:p>
    <w:p w14:paraId="17A22C18">
      <w:pPr>
        <w:pStyle w:val="25"/>
        <w:snapToGrid w:val="0"/>
        <w:spacing w:line="360" w:lineRule="auto"/>
        <w:ind w:left="3407" w:leftChars="941" w:hanging="1431" w:hangingChars="500"/>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项目名称：</w:t>
      </w:r>
      <w:r>
        <w:rPr>
          <w:rFonts w:hint="eastAsia" w:hAnsi="宋体"/>
          <w:b/>
          <w:bCs/>
          <w:color w:val="auto"/>
          <w:w w:val="95"/>
          <w:sz w:val="30"/>
          <w:szCs w:val="30"/>
          <w:highlight w:val="none"/>
          <w:lang w:eastAsia="zh-CN"/>
        </w:rPr>
        <w:t>ETC门架系统运维服务</w:t>
      </w:r>
    </w:p>
    <w:p w14:paraId="53A06D50">
      <w:pPr>
        <w:pStyle w:val="25"/>
        <w:snapToGrid w:val="0"/>
        <w:spacing w:line="360" w:lineRule="auto"/>
        <w:ind w:firstLine="1977" w:firstLineChars="691"/>
        <w:rPr>
          <w:rFonts w:hint="eastAsia" w:hAnsi="宋体" w:eastAsia="宋体"/>
          <w:b/>
          <w:bCs/>
          <w:color w:val="auto"/>
          <w:w w:val="95"/>
          <w:sz w:val="30"/>
          <w:szCs w:val="30"/>
          <w:highlight w:val="none"/>
          <w:lang w:eastAsia="zh-CN"/>
        </w:rPr>
      </w:pPr>
      <w:r>
        <w:rPr>
          <w:rFonts w:hint="eastAsia" w:hAnsi="宋体"/>
          <w:b/>
          <w:bCs/>
          <w:color w:val="auto"/>
          <w:w w:val="95"/>
          <w:sz w:val="30"/>
          <w:szCs w:val="30"/>
          <w:highlight w:val="none"/>
        </w:rPr>
        <w:t>项目编号：</w:t>
      </w:r>
      <w:r>
        <w:rPr>
          <w:rFonts w:hint="eastAsia" w:hAnsi="宋体"/>
          <w:b/>
          <w:bCs/>
          <w:color w:val="auto"/>
          <w:w w:val="95"/>
          <w:sz w:val="30"/>
          <w:szCs w:val="30"/>
          <w:highlight w:val="none"/>
          <w:lang w:eastAsia="zh-CN"/>
        </w:rPr>
        <w:t>GXZC2026-G3-001315-KWZB</w:t>
      </w:r>
    </w:p>
    <w:p w14:paraId="4D4CB7DE">
      <w:pPr>
        <w:pStyle w:val="25"/>
        <w:snapToGrid w:val="0"/>
        <w:spacing w:line="360" w:lineRule="auto"/>
        <w:ind w:firstLine="1977" w:firstLineChars="691"/>
        <w:rPr>
          <w:rFonts w:hAnsi="宋体"/>
          <w:b/>
          <w:bCs/>
          <w:color w:val="auto"/>
          <w:w w:val="95"/>
          <w:sz w:val="30"/>
          <w:szCs w:val="30"/>
          <w:highlight w:val="none"/>
        </w:rPr>
      </w:pPr>
    </w:p>
    <w:p w14:paraId="24D97EC2">
      <w:pPr>
        <w:pStyle w:val="25"/>
        <w:snapToGrid w:val="0"/>
        <w:spacing w:line="360" w:lineRule="auto"/>
        <w:ind w:firstLine="1977" w:firstLineChars="691"/>
        <w:rPr>
          <w:rFonts w:hAnsi="宋体"/>
          <w:b/>
          <w:bCs/>
          <w:color w:val="auto"/>
          <w:w w:val="95"/>
          <w:sz w:val="30"/>
          <w:szCs w:val="30"/>
          <w:highlight w:val="none"/>
        </w:rPr>
      </w:pPr>
    </w:p>
    <w:p w14:paraId="5F4D5AAE">
      <w:pPr>
        <w:pStyle w:val="25"/>
        <w:snapToGrid w:val="0"/>
        <w:spacing w:line="360" w:lineRule="auto"/>
        <w:ind w:firstLine="1977" w:firstLineChars="691"/>
        <w:rPr>
          <w:rFonts w:hAnsi="宋体"/>
          <w:b/>
          <w:bCs/>
          <w:color w:val="auto"/>
          <w:w w:val="95"/>
          <w:sz w:val="30"/>
          <w:szCs w:val="30"/>
          <w:highlight w:val="none"/>
        </w:rPr>
      </w:pPr>
    </w:p>
    <w:p w14:paraId="7C86CC14">
      <w:pPr>
        <w:pStyle w:val="25"/>
        <w:snapToGrid w:val="0"/>
        <w:spacing w:line="360" w:lineRule="auto"/>
        <w:ind w:firstLine="1977" w:firstLineChars="691"/>
        <w:rPr>
          <w:rFonts w:hAnsi="宋体"/>
          <w:b/>
          <w:bCs/>
          <w:color w:val="auto"/>
          <w:w w:val="95"/>
          <w:sz w:val="30"/>
          <w:szCs w:val="30"/>
          <w:highlight w:val="none"/>
        </w:rPr>
      </w:pPr>
    </w:p>
    <w:p w14:paraId="77BC1907">
      <w:pPr>
        <w:pStyle w:val="25"/>
        <w:snapToGrid w:val="0"/>
        <w:spacing w:line="360" w:lineRule="auto"/>
        <w:jc w:val="center"/>
        <w:rPr>
          <w:rFonts w:hAnsi="宋体"/>
          <w:b/>
          <w:bCs/>
          <w:color w:val="auto"/>
          <w:w w:val="95"/>
          <w:sz w:val="30"/>
          <w:szCs w:val="30"/>
          <w:highlight w:val="none"/>
        </w:rPr>
      </w:pPr>
      <w:r>
        <w:rPr>
          <w:rFonts w:hint="eastAsia" w:hAnsi="宋体"/>
          <w:b/>
          <w:bCs/>
          <w:color w:val="auto"/>
          <w:w w:val="95"/>
          <w:sz w:val="30"/>
          <w:szCs w:val="30"/>
          <w:highlight w:val="none"/>
        </w:rPr>
        <w:t>采 购 人：广西壮族自治区收费公路联网收费清分结算中心</w:t>
      </w:r>
    </w:p>
    <w:p w14:paraId="26883A8F">
      <w:pPr>
        <w:pStyle w:val="25"/>
        <w:snapToGrid w:val="0"/>
        <w:spacing w:line="360" w:lineRule="auto"/>
        <w:ind w:firstLine="1977" w:firstLineChars="691"/>
        <w:rPr>
          <w:rFonts w:hAnsi="宋体"/>
          <w:b/>
          <w:bCs/>
          <w:color w:val="auto"/>
          <w:w w:val="95"/>
          <w:sz w:val="30"/>
          <w:szCs w:val="30"/>
          <w:highlight w:val="none"/>
        </w:rPr>
      </w:pPr>
      <w:r>
        <w:rPr>
          <w:rFonts w:hint="eastAsia" w:hAnsi="宋体"/>
          <w:b/>
          <w:bCs/>
          <w:color w:val="auto"/>
          <w:w w:val="95"/>
          <w:sz w:val="30"/>
          <w:szCs w:val="30"/>
          <w:highlight w:val="none"/>
        </w:rPr>
        <w:t>采购代理机构：广西科文招标有限公司</w:t>
      </w:r>
    </w:p>
    <w:p w14:paraId="5B269414">
      <w:pPr>
        <w:pStyle w:val="25"/>
        <w:snapToGrid w:val="0"/>
        <w:spacing w:line="360" w:lineRule="auto"/>
        <w:ind w:firstLine="1125" w:firstLineChars="393"/>
        <w:rPr>
          <w:rFonts w:hAnsi="宋体"/>
          <w:b/>
          <w:bCs/>
          <w:color w:val="auto"/>
          <w:w w:val="95"/>
          <w:sz w:val="30"/>
          <w:szCs w:val="30"/>
          <w:highlight w:val="none"/>
        </w:rPr>
      </w:pPr>
    </w:p>
    <w:p w14:paraId="6A5405BB">
      <w:pPr>
        <w:pStyle w:val="25"/>
        <w:snapToGrid w:val="0"/>
        <w:spacing w:line="360" w:lineRule="auto"/>
        <w:jc w:val="center"/>
        <w:rPr>
          <w:rFonts w:hAnsi="宋体"/>
          <w:color w:val="auto"/>
          <w:szCs w:val="20"/>
          <w:highlight w:val="none"/>
        </w:rPr>
      </w:pPr>
      <w:r>
        <w:rPr>
          <w:rFonts w:hint="eastAsia" w:hAnsi="宋体"/>
          <w:b/>
          <w:bCs/>
          <w:color w:val="auto"/>
          <w:w w:val="95"/>
          <w:sz w:val="30"/>
          <w:szCs w:val="30"/>
          <w:highlight w:val="none"/>
        </w:rPr>
        <w:t>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rPr>
        <w:t>年</w:t>
      </w:r>
      <w:r>
        <w:rPr>
          <w:rFonts w:hint="eastAsia" w:hAnsi="宋体"/>
          <w:b/>
          <w:bCs/>
          <w:color w:val="auto"/>
          <w:w w:val="95"/>
          <w:sz w:val="30"/>
          <w:szCs w:val="30"/>
          <w:highlight w:val="none"/>
          <w:lang w:val="en-US" w:eastAsia="zh-CN"/>
        </w:rPr>
        <w:t>5</w:t>
      </w:r>
      <w:r>
        <w:rPr>
          <w:rFonts w:hint="eastAsia" w:hAnsi="宋体"/>
          <w:b/>
          <w:bCs/>
          <w:color w:val="auto"/>
          <w:w w:val="95"/>
          <w:sz w:val="30"/>
          <w:szCs w:val="30"/>
          <w:highlight w:val="none"/>
        </w:rPr>
        <w:t>月</w:t>
      </w:r>
      <w:r>
        <w:rPr>
          <w:rFonts w:hint="eastAsia" w:hAnsi="宋体"/>
          <w:b/>
          <w:bCs/>
          <w:color w:val="auto"/>
          <w:w w:val="95"/>
          <w:sz w:val="30"/>
          <w:szCs w:val="30"/>
          <w:highlight w:val="none"/>
          <w:lang w:val="en-US" w:eastAsia="zh-CN"/>
        </w:rPr>
        <w:t>19</w:t>
      </w:r>
      <w:r>
        <w:rPr>
          <w:rFonts w:hint="eastAsia" w:hAnsi="宋体"/>
          <w:b/>
          <w:bCs/>
          <w:color w:val="auto"/>
          <w:w w:val="95"/>
          <w:sz w:val="30"/>
          <w:szCs w:val="30"/>
          <w:highlight w:val="none"/>
        </w:rPr>
        <w:t>日</w:t>
      </w:r>
    </w:p>
    <w:p w14:paraId="74BC11E4">
      <w:pPr>
        <w:pStyle w:val="19"/>
        <w:kinsoku w:val="0"/>
        <w:overflowPunct w:val="0"/>
        <w:rPr>
          <w:rFonts w:ascii="宋体" w:hAnsi="宋体"/>
          <w:color w:val="auto"/>
          <w:sz w:val="40"/>
          <w:highlight w:val="none"/>
        </w:rPr>
      </w:pPr>
    </w:p>
    <w:p w14:paraId="5A7B36EB">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05FCD9CD">
      <w:pPr>
        <w:pStyle w:val="33"/>
        <w:tabs>
          <w:tab w:val="right" w:leader="dot" w:pos="8306"/>
          <w:tab w:val="clear" w:pos="8398"/>
        </w:tabs>
        <w:rPr>
          <w:color w:val="auto"/>
          <w:highlight w:val="none"/>
        </w:rPr>
      </w:pPr>
      <w:r>
        <w:rPr>
          <w:b w:val="0"/>
          <w:color w:val="auto"/>
          <w:highlight w:val="none"/>
        </w:rPr>
        <w:fldChar w:fldCharType="begin"/>
      </w:r>
      <w:r>
        <w:rPr>
          <w:rFonts w:hint="eastAsia"/>
          <w:b w:val="0"/>
          <w:color w:val="auto"/>
          <w:highlight w:val="none"/>
        </w:rPr>
        <w:instrText xml:space="preserve">TOC \o "1-2" \h \z \u</w:instrText>
      </w:r>
      <w:r>
        <w:rPr>
          <w:b w:val="0"/>
          <w:color w:val="auto"/>
          <w:highlight w:val="none"/>
        </w:rPr>
        <w:fldChar w:fldCharType="separate"/>
      </w:r>
      <w:r>
        <w:rPr>
          <w:color w:val="auto"/>
          <w:highlight w:val="none"/>
        </w:rPr>
        <w:fldChar w:fldCharType="begin"/>
      </w:r>
      <w:r>
        <w:rPr>
          <w:color w:val="auto"/>
          <w:highlight w:val="none"/>
        </w:rPr>
        <w:instrText xml:space="preserve"> HYPERLINK \l _Toc22822 </w:instrText>
      </w:r>
      <w:r>
        <w:rPr>
          <w:color w:val="auto"/>
          <w:highlight w:val="none"/>
        </w:rPr>
        <w:fldChar w:fldCharType="separate"/>
      </w:r>
      <w:r>
        <w:rPr>
          <w:rFonts w:hint="eastAsia" w:ascii="宋体" w:hAnsi="宋体" w:eastAsia="宋体"/>
          <w:color w:val="auto"/>
          <w:szCs w:val="32"/>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_Toc22822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3776FEAA">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_Toc21822 </w:instrText>
      </w:r>
      <w:r>
        <w:rPr>
          <w:rFonts w:ascii="宋体" w:hAnsi="宋体"/>
          <w:color w:val="auto"/>
          <w:highlight w:val="none"/>
        </w:rPr>
        <w:fldChar w:fldCharType="separate"/>
      </w:r>
      <w:r>
        <w:rPr>
          <w:rFonts w:hint="eastAsia" w:ascii="宋体" w:hAnsi="宋体" w:eastAsia="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_Toc21822 \h </w:instrText>
      </w:r>
      <w:r>
        <w:rPr>
          <w:color w:val="auto"/>
          <w:highlight w:val="none"/>
        </w:rPr>
        <w:fldChar w:fldCharType="separate"/>
      </w:r>
      <w:r>
        <w:rPr>
          <w:color w:val="auto"/>
          <w:highlight w:val="none"/>
        </w:rPr>
        <w:t>6</w:t>
      </w:r>
      <w:r>
        <w:rPr>
          <w:color w:val="auto"/>
          <w:highlight w:val="none"/>
        </w:rPr>
        <w:fldChar w:fldCharType="end"/>
      </w:r>
      <w:r>
        <w:rPr>
          <w:rFonts w:ascii="宋体" w:hAnsi="宋体"/>
          <w:color w:val="auto"/>
          <w:highlight w:val="none"/>
        </w:rPr>
        <w:fldChar w:fldCharType="end"/>
      </w:r>
    </w:p>
    <w:p w14:paraId="6C494A6C">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_Toc3534 </w:instrText>
      </w:r>
      <w:r>
        <w:rPr>
          <w:rFonts w:ascii="宋体" w:hAnsi="宋体"/>
          <w:color w:val="auto"/>
          <w:highlight w:val="none"/>
        </w:rPr>
        <w:fldChar w:fldCharType="separate"/>
      </w:r>
      <w:r>
        <w:rPr>
          <w:rFonts w:hint="eastAsia" w:ascii="宋体" w:hAnsi="宋体" w:eastAsia="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_Toc3534 \h </w:instrText>
      </w:r>
      <w:r>
        <w:rPr>
          <w:color w:val="auto"/>
          <w:highlight w:val="none"/>
        </w:rPr>
        <w:fldChar w:fldCharType="separate"/>
      </w:r>
      <w:r>
        <w:rPr>
          <w:color w:val="auto"/>
          <w:highlight w:val="none"/>
        </w:rPr>
        <w:t>17</w:t>
      </w:r>
      <w:r>
        <w:rPr>
          <w:color w:val="auto"/>
          <w:highlight w:val="none"/>
        </w:rPr>
        <w:fldChar w:fldCharType="end"/>
      </w:r>
      <w:r>
        <w:rPr>
          <w:rFonts w:ascii="宋体" w:hAnsi="宋体"/>
          <w:color w:val="auto"/>
          <w:highlight w:val="none"/>
        </w:rPr>
        <w:fldChar w:fldCharType="end"/>
      </w:r>
    </w:p>
    <w:p w14:paraId="463E0E48">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_Toc17795 </w:instrText>
      </w:r>
      <w:r>
        <w:rPr>
          <w:rFonts w:ascii="宋体" w:hAnsi="宋体"/>
          <w:color w:val="auto"/>
          <w:highlight w:val="none"/>
        </w:rPr>
        <w:fldChar w:fldCharType="separate"/>
      </w:r>
      <w:r>
        <w:rPr>
          <w:rFonts w:hint="eastAsia" w:ascii="宋体" w:hAnsi="宋体" w:eastAsia="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_Toc17795 \h </w:instrText>
      </w:r>
      <w:r>
        <w:rPr>
          <w:color w:val="auto"/>
          <w:highlight w:val="none"/>
        </w:rPr>
        <w:fldChar w:fldCharType="separate"/>
      </w:r>
      <w:r>
        <w:rPr>
          <w:color w:val="auto"/>
          <w:highlight w:val="none"/>
        </w:rPr>
        <w:t>35</w:t>
      </w:r>
      <w:r>
        <w:rPr>
          <w:color w:val="auto"/>
          <w:highlight w:val="none"/>
        </w:rPr>
        <w:fldChar w:fldCharType="end"/>
      </w:r>
      <w:r>
        <w:rPr>
          <w:rFonts w:ascii="宋体" w:hAnsi="宋体"/>
          <w:color w:val="auto"/>
          <w:highlight w:val="none"/>
        </w:rPr>
        <w:fldChar w:fldCharType="end"/>
      </w:r>
    </w:p>
    <w:p w14:paraId="0D62995D">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_Toc614 </w:instrText>
      </w:r>
      <w:r>
        <w:rPr>
          <w:rFonts w:ascii="宋体" w:hAnsi="宋体"/>
          <w:color w:val="auto"/>
          <w:highlight w:val="none"/>
        </w:rPr>
        <w:fldChar w:fldCharType="separate"/>
      </w:r>
      <w:r>
        <w:rPr>
          <w:rFonts w:hint="eastAsia" w:ascii="宋体" w:hAnsi="宋体" w:eastAsia="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_Toc614 \h </w:instrText>
      </w:r>
      <w:r>
        <w:rPr>
          <w:color w:val="auto"/>
          <w:highlight w:val="none"/>
        </w:rPr>
        <w:fldChar w:fldCharType="separate"/>
      </w:r>
      <w:r>
        <w:rPr>
          <w:color w:val="auto"/>
          <w:highlight w:val="none"/>
        </w:rPr>
        <w:t>43</w:t>
      </w:r>
      <w:r>
        <w:rPr>
          <w:color w:val="auto"/>
          <w:highlight w:val="none"/>
        </w:rPr>
        <w:fldChar w:fldCharType="end"/>
      </w:r>
      <w:r>
        <w:rPr>
          <w:rFonts w:ascii="宋体" w:hAnsi="宋体"/>
          <w:color w:val="auto"/>
          <w:highlight w:val="none"/>
        </w:rPr>
        <w:fldChar w:fldCharType="end"/>
      </w:r>
    </w:p>
    <w:p w14:paraId="6DACC8DC">
      <w:pPr>
        <w:pStyle w:val="33"/>
        <w:tabs>
          <w:tab w:val="right" w:leader="dot" w:pos="8306"/>
          <w:tab w:val="clear" w:pos="8398"/>
        </w:tabs>
        <w:rPr>
          <w:color w:val="auto"/>
          <w:highlight w:val="none"/>
        </w:rPr>
      </w:pPr>
      <w:r>
        <w:rPr>
          <w:rFonts w:ascii="宋体" w:hAnsi="宋体"/>
          <w:color w:val="auto"/>
          <w:highlight w:val="none"/>
        </w:rPr>
        <w:fldChar w:fldCharType="begin"/>
      </w:r>
      <w:r>
        <w:rPr>
          <w:rFonts w:ascii="宋体" w:hAnsi="宋体"/>
          <w:color w:val="auto"/>
          <w:highlight w:val="none"/>
        </w:rPr>
        <w:instrText xml:space="preserve"> HYPERLINK \l _Toc18213 </w:instrText>
      </w:r>
      <w:r>
        <w:rPr>
          <w:rFonts w:ascii="宋体" w:hAnsi="宋体"/>
          <w:color w:val="auto"/>
          <w:highlight w:val="none"/>
        </w:rPr>
        <w:fldChar w:fldCharType="separate"/>
      </w:r>
      <w:r>
        <w:rPr>
          <w:rFonts w:hint="eastAsia" w:ascii="宋体" w:hAnsi="宋体" w:eastAsia="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_Toc18213 \h </w:instrText>
      </w:r>
      <w:r>
        <w:rPr>
          <w:color w:val="auto"/>
          <w:highlight w:val="none"/>
        </w:rPr>
        <w:fldChar w:fldCharType="separate"/>
      </w:r>
      <w:r>
        <w:rPr>
          <w:color w:val="auto"/>
          <w:highlight w:val="none"/>
        </w:rPr>
        <w:t>46</w:t>
      </w:r>
      <w:r>
        <w:rPr>
          <w:color w:val="auto"/>
          <w:highlight w:val="none"/>
        </w:rPr>
        <w:fldChar w:fldCharType="end"/>
      </w:r>
      <w:r>
        <w:rPr>
          <w:rFonts w:ascii="宋体" w:hAnsi="宋体"/>
          <w:color w:val="auto"/>
          <w:highlight w:val="none"/>
        </w:rPr>
        <w:fldChar w:fldCharType="end"/>
      </w:r>
    </w:p>
    <w:p w14:paraId="425383AC">
      <w:pPr>
        <w:spacing w:beforeLines="50" w:line="480" w:lineRule="exact"/>
        <w:rPr>
          <w:rFonts w:ascii="宋体" w:hAnsi="宋体"/>
          <w:color w:val="auto"/>
          <w:sz w:val="24"/>
          <w:highlight w:val="none"/>
        </w:rPr>
      </w:pPr>
      <w:r>
        <w:rPr>
          <w:rFonts w:ascii="宋体" w:hAnsi="宋体"/>
          <w:color w:val="auto"/>
          <w:highlight w:val="none"/>
        </w:rPr>
        <w:fldChar w:fldCharType="end"/>
      </w:r>
    </w:p>
    <w:p w14:paraId="0B640A72">
      <w:pPr>
        <w:spacing w:beforeLines="50" w:line="480" w:lineRule="exact"/>
        <w:rPr>
          <w:rFonts w:ascii="宋体" w:hAnsi="宋体"/>
          <w:color w:val="auto"/>
          <w:sz w:val="30"/>
          <w:highlight w:val="none"/>
        </w:rPr>
      </w:pPr>
    </w:p>
    <w:p w14:paraId="6FEF0139">
      <w:pPr>
        <w:rPr>
          <w:rFonts w:ascii="宋体" w:hAnsi="宋体"/>
          <w:color w:val="auto"/>
          <w:highlight w:val="none"/>
        </w:rPr>
      </w:pPr>
    </w:p>
    <w:p w14:paraId="624E3F48">
      <w:pPr>
        <w:spacing w:beforeLines="50" w:line="480" w:lineRule="exact"/>
        <w:rPr>
          <w:rFonts w:ascii="宋体" w:hAnsi="宋体"/>
          <w:color w:val="auto"/>
          <w:sz w:val="30"/>
          <w:highlight w:val="none"/>
        </w:rPr>
      </w:pPr>
    </w:p>
    <w:p w14:paraId="27B0B66D">
      <w:pPr>
        <w:spacing w:beforeLines="50" w:line="480" w:lineRule="exact"/>
        <w:rPr>
          <w:rFonts w:ascii="宋体" w:hAnsi="宋体"/>
          <w:color w:val="auto"/>
          <w:sz w:val="30"/>
          <w:highlight w:val="none"/>
        </w:rPr>
      </w:pPr>
    </w:p>
    <w:p w14:paraId="3E1E4E48">
      <w:pPr>
        <w:pStyle w:val="17"/>
        <w:rPr>
          <w:rFonts w:ascii="宋体" w:hAnsi="宋体" w:cs="宋体"/>
          <w:b/>
          <w:bCs/>
          <w:color w:val="auto"/>
          <w:highlight w:val="none"/>
        </w:rPr>
      </w:pPr>
      <w:bookmarkStart w:id="0" w:name="_Toc254970489"/>
      <w:bookmarkStart w:id="1" w:name="_Toc254970630"/>
    </w:p>
    <w:p w14:paraId="75003317">
      <w:pPr>
        <w:pStyle w:val="2"/>
        <w:keepNext w:val="0"/>
        <w:keepLines w:val="0"/>
        <w:tabs>
          <w:tab w:val="left" w:pos="0"/>
          <w:tab w:val="left" w:pos="3165"/>
          <w:tab w:val="center" w:pos="4153"/>
        </w:tabs>
        <w:autoSpaceDE w:val="0"/>
        <w:autoSpaceDN w:val="0"/>
        <w:adjustRightInd w:val="0"/>
        <w:spacing w:before="0" w:after="0"/>
        <w:jc w:val="center"/>
        <w:rPr>
          <w:rFonts w:ascii="宋体" w:hAnsi="宋体" w:eastAsia="宋体"/>
          <w:color w:val="auto"/>
          <w:sz w:val="32"/>
          <w:szCs w:val="32"/>
          <w:highlight w:val="none"/>
        </w:rPr>
      </w:pPr>
      <w:r>
        <w:rPr>
          <w:rFonts w:ascii="宋体" w:hAnsi="宋体" w:eastAsia="宋体" w:cs="宋体"/>
          <w:color w:val="auto"/>
          <w:highlight w:val="none"/>
        </w:rPr>
        <w:br w:type="page"/>
      </w:r>
      <w:bookmarkStart w:id="2" w:name="_Toc22822"/>
      <w:r>
        <w:rPr>
          <w:rFonts w:hint="eastAsia" w:ascii="宋体" w:hAnsi="宋体" w:eastAsia="宋体"/>
          <w:color w:val="auto"/>
          <w:sz w:val="32"/>
          <w:szCs w:val="32"/>
          <w:highlight w:val="none"/>
        </w:rPr>
        <w:t>第一章</w:t>
      </w:r>
      <w:bookmarkEnd w:id="0"/>
      <w:bookmarkEnd w:id="1"/>
      <w:bookmarkStart w:id="3" w:name="_Toc28359001"/>
      <w:bookmarkStart w:id="4" w:name="_Toc35393789"/>
      <w:r>
        <w:rPr>
          <w:rFonts w:hint="eastAsia" w:ascii="宋体" w:hAnsi="宋体" w:eastAsia="宋体"/>
          <w:color w:val="auto"/>
          <w:sz w:val="32"/>
          <w:szCs w:val="32"/>
          <w:highlight w:val="none"/>
        </w:rPr>
        <w:t xml:space="preserve"> 招标公告</w:t>
      </w:r>
      <w:bookmarkEnd w:id="2"/>
      <w:bookmarkEnd w:id="3"/>
      <w:bookmarkEnd w:id="4"/>
    </w:p>
    <w:p w14:paraId="734CEC55">
      <w:pPr>
        <w:pStyle w:val="25"/>
        <w:spacing w:line="500" w:lineRule="exact"/>
        <w:jc w:val="center"/>
        <w:rPr>
          <w:rFonts w:hAnsi="宋体"/>
          <w:b/>
          <w:color w:val="auto"/>
          <w:sz w:val="30"/>
          <w:szCs w:val="30"/>
          <w:highlight w:val="none"/>
        </w:rPr>
      </w:pPr>
      <w:r>
        <w:rPr>
          <w:rFonts w:hint="eastAsia" w:hAnsi="宋体"/>
          <w:b/>
          <w:color w:val="auto"/>
          <w:sz w:val="30"/>
          <w:szCs w:val="30"/>
          <w:highlight w:val="none"/>
        </w:rPr>
        <w:t>广西科文招标有限公司</w:t>
      </w:r>
    </w:p>
    <w:p w14:paraId="35E999A0">
      <w:pPr>
        <w:pStyle w:val="25"/>
        <w:spacing w:line="500" w:lineRule="exact"/>
        <w:jc w:val="center"/>
        <w:rPr>
          <w:rFonts w:hAnsi="宋体"/>
          <w:b/>
          <w:color w:val="auto"/>
          <w:sz w:val="30"/>
          <w:szCs w:val="30"/>
          <w:highlight w:val="none"/>
        </w:rPr>
      </w:pPr>
      <w:r>
        <w:rPr>
          <w:rFonts w:hint="eastAsia" w:hAnsi="宋体"/>
          <w:b/>
          <w:color w:val="auto"/>
          <w:sz w:val="30"/>
          <w:szCs w:val="30"/>
          <w:highlight w:val="none"/>
          <w:lang w:eastAsia="zh-CN"/>
        </w:rPr>
        <w:t>ETC门架系统运维服务</w:t>
      </w:r>
      <w:r>
        <w:rPr>
          <w:rFonts w:hint="eastAsia" w:hAnsi="宋体"/>
          <w:b/>
          <w:color w:val="auto"/>
          <w:sz w:val="30"/>
          <w:szCs w:val="30"/>
          <w:highlight w:val="none"/>
        </w:rPr>
        <w:t>（</w:t>
      </w:r>
      <w:r>
        <w:rPr>
          <w:rFonts w:hint="eastAsia" w:hAnsi="宋体"/>
          <w:b/>
          <w:color w:val="auto"/>
          <w:sz w:val="30"/>
          <w:szCs w:val="30"/>
          <w:highlight w:val="none"/>
          <w:lang w:eastAsia="zh-CN"/>
        </w:rPr>
        <w:t>GXZC2026-G3-001315-KWZB</w:t>
      </w:r>
      <w:r>
        <w:rPr>
          <w:rFonts w:hint="eastAsia" w:hAnsi="宋体"/>
          <w:b/>
          <w:color w:val="auto"/>
          <w:sz w:val="30"/>
          <w:szCs w:val="30"/>
          <w:highlight w:val="none"/>
        </w:rPr>
        <w:t>）招标公告</w:t>
      </w:r>
      <w:bookmarkStart w:id="5" w:name="OLE_LINK2"/>
    </w:p>
    <w:p w14:paraId="2EA09ED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16A8991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s="Arial"/>
          <w:bCs/>
          <w:color w:val="auto"/>
          <w:szCs w:val="21"/>
          <w:highlight w:val="none"/>
          <w:lang w:eastAsia="zh-CN"/>
        </w:rPr>
        <w:t>ETC门架系统运维服务</w:t>
      </w:r>
      <w:r>
        <w:rPr>
          <w:rFonts w:hint="eastAsia" w:ascii="宋体" w:hAnsi="宋体"/>
          <w:color w:val="auto"/>
          <w:szCs w:val="21"/>
          <w:highlight w:val="none"/>
        </w:rPr>
        <w:t>的潜在投标人应在</w:t>
      </w:r>
      <w:r>
        <w:rPr>
          <w:rFonts w:hint="eastAsia" w:ascii="宋体" w:hAnsi="宋体" w:cs="宋体"/>
          <w:color w:val="auto"/>
          <w:szCs w:val="21"/>
          <w:highlight w:val="none"/>
          <w:u w:val="none"/>
        </w:rPr>
        <w:t>广西政府采购云平台（</w:t>
      </w:r>
      <w:r>
        <w:rPr>
          <w:rFonts w:ascii="宋体" w:hAnsi="宋体" w:cs="宋体"/>
          <w:color w:val="auto"/>
          <w:szCs w:val="21"/>
          <w:highlight w:val="none"/>
          <w:u w:val="none"/>
        </w:rPr>
        <w:t>https://www.gcy.zfcg.gxzf.gov.cn</w:t>
      </w:r>
      <w:r>
        <w:rPr>
          <w:rFonts w:hint="eastAsia" w:ascii="宋体" w:hAnsi="宋体" w:cs="宋体"/>
          <w:color w:val="auto"/>
          <w:szCs w:val="21"/>
          <w:highlight w:val="none"/>
          <w:u w:val="none"/>
        </w:rPr>
        <w:t>）</w:t>
      </w:r>
      <w:r>
        <w:rPr>
          <w:rFonts w:hint="eastAsia" w:ascii="宋体" w:hAnsi="宋体"/>
          <w:color w:val="auto"/>
          <w:szCs w:val="21"/>
          <w:highlight w:val="none"/>
          <w:u w:val="none"/>
        </w:rPr>
        <w:t>获取（下载）招标文件，并于</w:t>
      </w:r>
      <w:r>
        <w:rPr>
          <w:rFonts w:hint="eastAsia" w:ascii="宋体" w:hAnsi="宋体" w:cs="Arial"/>
          <w:bCs/>
          <w:color w:val="auto"/>
          <w:szCs w:val="21"/>
          <w:highlight w:val="none"/>
          <w:u w:val="none"/>
          <w:lang w:eastAsia="zh-CN"/>
        </w:rPr>
        <w:t>2026年</w:t>
      </w:r>
      <w:r>
        <w:rPr>
          <w:rFonts w:hint="eastAsia" w:ascii="宋体" w:hAnsi="宋体" w:cs="Arial"/>
          <w:bCs/>
          <w:color w:val="auto"/>
          <w:szCs w:val="21"/>
          <w:highlight w:val="none"/>
          <w:u w:val="none"/>
          <w:lang w:val="en-US" w:eastAsia="zh-CN"/>
        </w:rPr>
        <w:t>6</w:t>
      </w:r>
      <w:r>
        <w:rPr>
          <w:rFonts w:hint="eastAsia" w:ascii="宋体" w:hAnsi="宋体" w:cs="Arial"/>
          <w:bCs/>
          <w:color w:val="auto"/>
          <w:szCs w:val="21"/>
          <w:highlight w:val="none"/>
          <w:u w:val="none"/>
          <w:lang w:eastAsia="zh-CN"/>
        </w:rPr>
        <w:t>月</w:t>
      </w:r>
      <w:r>
        <w:rPr>
          <w:rFonts w:hint="eastAsia" w:ascii="宋体" w:hAnsi="宋体" w:cs="Arial"/>
          <w:bCs/>
          <w:color w:val="auto"/>
          <w:szCs w:val="21"/>
          <w:highlight w:val="none"/>
          <w:u w:val="none"/>
          <w:lang w:val="en-US" w:eastAsia="zh-CN"/>
        </w:rPr>
        <w:t>9</w:t>
      </w:r>
      <w:r>
        <w:rPr>
          <w:rFonts w:hint="eastAsia" w:ascii="宋体" w:hAnsi="宋体" w:cs="Arial"/>
          <w:bCs/>
          <w:color w:val="auto"/>
          <w:szCs w:val="21"/>
          <w:highlight w:val="none"/>
          <w:u w:val="none"/>
          <w:lang w:eastAsia="zh-CN"/>
        </w:rPr>
        <w:t>日</w:t>
      </w:r>
      <w:r>
        <w:rPr>
          <w:rFonts w:hint="eastAsia" w:ascii="宋体" w:hAnsi="宋体" w:cs="Arial"/>
          <w:bCs/>
          <w:color w:val="auto"/>
          <w:szCs w:val="21"/>
          <w:highlight w:val="none"/>
        </w:rPr>
        <w:t>9时30分（北京时间）</w:t>
      </w:r>
      <w:r>
        <w:rPr>
          <w:rFonts w:hint="eastAsia" w:ascii="宋体" w:hAnsi="宋体"/>
          <w:bCs/>
          <w:color w:val="auto"/>
          <w:szCs w:val="21"/>
          <w:highlight w:val="none"/>
        </w:rPr>
        <w:t>前递交投标</w:t>
      </w:r>
      <w:r>
        <w:rPr>
          <w:rFonts w:ascii="宋体" w:hAnsi="宋体"/>
          <w:bCs/>
          <w:color w:val="auto"/>
          <w:szCs w:val="21"/>
          <w:highlight w:val="none"/>
        </w:rPr>
        <w:t>文件</w:t>
      </w:r>
      <w:r>
        <w:rPr>
          <w:rFonts w:hint="eastAsia" w:ascii="宋体" w:hAnsi="宋体"/>
          <w:color w:val="auto"/>
          <w:szCs w:val="21"/>
          <w:highlight w:val="none"/>
        </w:rPr>
        <w:t>。</w:t>
      </w:r>
    </w:p>
    <w:p w14:paraId="64EBF522">
      <w:pPr>
        <w:spacing w:line="400" w:lineRule="exact"/>
        <w:rPr>
          <w:rFonts w:ascii="宋体" w:hAnsi="宋体"/>
          <w:b/>
          <w:bCs/>
          <w:color w:val="auto"/>
          <w:sz w:val="24"/>
          <w:highlight w:val="none"/>
        </w:rPr>
      </w:pPr>
      <w:bookmarkStart w:id="6" w:name="_Toc35393790"/>
      <w:bookmarkStart w:id="7" w:name="_Toc28359079"/>
      <w:bookmarkStart w:id="8" w:name="_Toc28359002"/>
      <w:bookmarkStart w:id="9" w:name="_Toc35393621"/>
      <w:bookmarkStart w:id="10" w:name="_Hlk24379207"/>
      <w:r>
        <w:rPr>
          <w:rFonts w:hint="eastAsia" w:ascii="宋体" w:hAnsi="宋体"/>
          <w:b/>
          <w:bCs/>
          <w:color w:val="auto"/>
          <w:sz w:val="24"/>
          <w:highlight w:val="none"/>
        </w:rPr>
        <w:t>一、项目基本情况</w:t>
      </w:r>
      <w:bookmarkEnd w:id="6"/>
      <w:bookmarkEnd w:id="7"/>
      <w:bookmarkEnd w:id="8"/>
      <w:bookmarkEnd w:id="9"/>
    </w:p>
    <w:p w14:paraId="6380163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GXZC2026-G3-001315-KWZB</w:t>
      </w:r>
      <w:r>
        <w:rPr>
          <w:rFonts w:hint="eastAsia" w:ascii="宋体" w:hAnsi="宋体"/>
          <w:color w:val="auto"/>
          <w:szCs w:val="21"/>
          <w:highlight w:val="none"/>
        </w:rPr>
        <w:t xml:space="preserve">  采购计划文号：</w:t>
      </w:r>
      <w:r>
        <w:rPr>
          <w:rFonts w:hint="eastAsia" w:ascii="宋体" w:hAnsi="宋体"/>
          <w:color w:val="auto"/>
          <w:szCs w:val="21"/>
          <w:highlight w:val="none"/>
          <w:lang w:val="en-US" w:eastAsia="zh-CN"/>
        </w:rPr>
        <w:t>广西政采[2026]5143号</w:t>
      </w:r>
      <w:r>
        <w:rPr>
          <w:rFonts w:hint="eastAsia" w:ascii="宋体" w:hAnsi="宋体"/>
          <w:color w:val="auto"/>
          <w:szCs w:val="21"/>
          <w:highlight w:val="none"/>
        </w:rPr>
        <w:t>。</w:t>
      </w:r>
    </w:p>
    <w:p w14:paraId="1413CB1A">
      <w:pPr>
        <w:spacing w:line="40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s="Arial"/>
          <w:bCs/>
          <w:color w:val="auto"/>
          <w:szCs w:val="21"/>
          <w:highlight w:val="none"/>
          <w:lang w:eastAsia="zh-CN"/>
        </w:rPr>
        <w:t>ETC门架系统运维服务</w:t>
      </w:r>
    </w:p>
    <w:bookmarkEnd w:id="10"/>
    <w:p w14:paraId="6E1234B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991.60</w:t>
      </w:r>
      <w:r>
        <w:rPr>
          <w:rFonts w:hint="eastAsia" w:ascii="宋体" w:hAnsi="宋体"/>
          <w:color w:val="auto"/>
          <w:szCs w:val="21"/>
          <w:highlight w:val="none"/>
        </w:rPr>
        <w:t>万元。</w:t>
      </w:r>
    </w:p>
    <w:p w14:paraId="21BF828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最高限价（如有）：</w:t>
      </w:r>
      <w:r>
        <w:rPr>
          <w:rFonts w:hint="eastAsia" w:ascii="宋体" w:hAnsi="宋体"/>
          <w:color w:val="auto"/>
          <w:szCs w:val="21"/>
          <w:highlight w:val="none"/>
          <w:lang w:eastAsia="zh-CN"/>
        </w:rPr>
        <w:t>991.60</w:t>
      </w:r>
      <w:r>
        <w:rPr>
          <w:rFonts w:hint="eastAsia" w:ascii="宋体" w:hAnsi="宋体"/>
          <w:color w:val="auto"/>
          <w:szCs w:val="21"/>
          <w:highlight w:val="none"/>
        </w:rPr>
        <w:t>万元。</w:t>
      </w:r>
    </w:p>
    <w:p w14:paraId="0A64BB0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49"/>
        <w:tblW w:w="97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4"/>
        <w:gridCol w:w="1962"/>
        <w:gridCol w:w="1377"/>
        <w:gridCol w:w="5644"/>
      </w:tblGrid>
      <w:tr w14:paraId="05568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vAlign w:val="center"/>
          </w:tcPr>
          <w:p w14:paraId="49595F5A">
            <w:pPr>
              <w:snapToGrid w:val="0"/>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序号</w:t>
            </w:r>
          </w:p>
        </w:tc>
        <w:tc>
          <w:tcPr>
            <w:tcW w:w="1962" w:type="dxa"/>
            <w:tcBorders>
              <w:top w:val="single" w:color="auto" w:sz="4" w:space="0"/>
              <w:left w:val="single" w:color="auto" w:sz="4" w:space="0"/>
              <w:bottom w:val="single" w:color="auto" w:sz="4" w:space="0"/>
              <w:right w:val="single" w:color="auto" w:sz="4" w:space="0"/>
            </w:tcBorders>
            <w:vAlign w:val="center"/>
          </w:tcPr>
          <w:p w14:paraId="40768E0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1377" w:type="dxa"/>
            <w:tcBorders>
              <w:top w:val="single" w:color="auto" w:sz="4" w:space="0"/>
              <w:left w:val="single" w:color="auto" w:sz="4" w:space="0"/>
              <w:bottom w:val="single" w:color="auto" w:sz="4" w:space="0"/>
              <w:right w:val="single" w:color="auto" w:sz="4" w:space="0"/>
            </w:tcBorders>
            <w:vAlign w:val="center"/>
          </w:tcPr>
          <w:p w14:paraId="4EFEB5DF">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5644" w:type="dxa"/>
            <w:tcBorders>
              <w:top w:val="single" w:color="auto" w:sz="4" w:space="0"/>
              <w:left w:val="single" w:color="auto" w:sz="4" w:space="0"/>
              <w:bottom w:val="single" w:color="auto" w:sz="4" w:space="0"/>
              <w:right w:val="single" w:color="auto" w:sz="4" w:space="0"/>
            </w:tcBorders>
            <w:vAlign w:val="center"/>
          </w:tcPr>
          <w:p w14:paraId="334A6963">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r>
      <w:tr w14:paraId="1E0E3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64" w:type="dxa"/>
            <w:tcBorders>
              <w:top w:val="single" w:color="auto" w:sz="4" w:space="0"/>
              <w:left w:val="single" w:color="auto" w:sz="4" w:space="0"/>
              <w:bottom w:val="single" w:color="auto" w:sz="4" w:space="0"/>
              <w:right w:val="single" w:color="auto" w:sz="4" w:space="0"/>
            </w:tcBorders>
            <w:vAlign w:val="center"/>
          </w:tcPr>
          <w:p w14:paraId="69B6533F">
            <w:pPr>
              <w:snapToGrid w:val="0"/>
              <w:spacing w:line="400" w:lineRule="exact"/>
              <w:jc w:val="center"/>
              <w:rPr>
                <w:rFonts w:ascii="宋体" w:hAnsi="宋体"/>
                <w:bCs/>
                <w:color w:val="auto"/>
                <w:szCs w:val="21"/>
                <w:highlight w:val="none"/>
              </w:rPr>
            </w:pPr>
            <w:r>
              <w:rPr>
                <w:rFonts w:hint="eastAsia" w:ascii="宋体" w:hAnsi="宋体"/>
                <w:bCs/>
                <w:color w:val="auto"/>
                <w:szCs w:val="21"/>
                <w:highlight w:val="none"/>
              </w:rPr>
              <w:t>01</w:t>
            </w:r>
          </w:p>
        </w:tc>
        <w:tc>
          <w:tcPr>
            <w:tcW w:w="1962" w:type="dxa"/>
            <w:tcBorders>
              <w:top w:val="single" w:color="auto" w:sz="4" w:space="0"/>
              <w:left w:val="single" w:color="auto" w:sz="4" w:space="0"/>
              <w:bottom w:val="single" w:color="auto" w:sz="4" w:space="0"/>
              <w:right w:val="single" w:color="auto" w:sz="4" w:space="0"/>
            </w:tcBorders>
            <w:vAlign w:val="center"/>
          </w:tcPr>
          <w:p w14:paraId="56CAB129">
            <w:pPr>
              <w:snapToGrid w:val="0"/>
              <w:spacing w:line="400" w:lineRule="exact"/>
              <w:jc w:val="center"/>
              <w:rPr>
                <w:rFonts w:hint="eastAsia" w:ascii="宋体" w:hAnsi="宋体" w:eastAsia="宋体"/>
                <w:bCs/>
                <w:color w:val="auto"/>
                <w:szCs w:val="21"/>
                <w:highlight w:val="none"/>
                <w:lang w:eastAsia="zh-CN"/>
              </w:rPr>
            </w:pPr>
            <w:r>
              <w:rPr>
                <w:rFonts w:hint="eastAsia" w:ascii="宋体" w:hAnsi="宋体" w:cs="宋体"/>
                <w:color w:val="auto"/>
                <w:szCs w:val="21"/>
                <w:highlight w:val="none"/>
                <w:lang w:eastAsia="zh-CN"/>
              </w:rPr>
              <w:t>ETC门架系统运维服务</w:t>
            </w:r>
          </w:p>
        </w:tc>
        <w:tc>
          <w:tcPr>
            <w:tcW w:w="1377" w:type="dxa"/>
            <w:tcBorders>
              <w:top w:val="single" w:color="auto" w:sz="4" w:space="0"/>
              <w:left w:val="single" w:color="auto" w:sz="4" w:space="0"/>
              <w:bottom w:val="single" w:color="auto" w:sz="4" w:space="0"/>
              <w:right w:val="single" w:color="auto" w:sz="4" w:space="0"/>
            </w:tcBorders>
            <w:vAlign w:val="center"/>
          </w:tcPr>
          <w:p w14:paraId="1D25D757">
            <w:pPr>
              <w:snapToGrid w:val="0"/>
              <w:spacing w:line="400" w:lineRule="exact"/>
              <w:jc w:val="center"/>
              <w:rPr>
                <w:rFonts w:ascii="宋体" w:hAnsi="宋体"/>
                <w:bCs/>
                <w:color w:val="auto"/>
                <w:szCs w:val="21"/>
                <w:highlight w:val="none"/>
              </w:rPr>
            </w:pPr>
            <w:r>
              <w:rPr>
                <w:rFonts w:hint="eastAsia" w:ascii="宋体" w:hAnsi="宋体"/>
                <w:bCs/>
                <w:color w:val="auto"/>
                <w:szCs w:val="21"/>
                <w:highlight w:val="none"/>
              </w:rPr>
              <w:t>1项</w:t>
            </w:r>
          </w:p>
        </w:tc>
        <w:tc>
          <w:tcPr>
            <w:tcW w:w="5644" w:type="dxa"/>
            <w:tcBorders>
              <w:top w:val="single" w:color="auto" w:sz="4" w:space="0"/>
              <w:left w:val="single" w:color="auto" w:sz="4" w:space="0"/>
              <w:bottom w:val="single" w:color="auto" w:sz="4" w:space="0"/>
              <w:right w:val="single" w:color="auto" w:sz="4" w:space="0"/>
            </w:tcBorders>
            <w:vAlign w:val="center"/>
          </w:tcPr>
          <w:p w14:paraId="72F7037D">
            <w:pPr>
              <w:pStyle w:val="20"/>
              <w:spacing w:line="400" w:lineRule="exact"/>
              <w:ind w:left="0" w:leftChars="0" w:firstLine="420" w:firstLineChars="200"/>
              <w:rPr>
                <w:rFonts w:ascii="宋体" w:hAnsi="宋体"/>
                <w:color w:val="auto"/>
                <w:highlight w:val="none"/>
              </w:rPr>
            </w:pPr>
            <w:r>
              <w:rPr>
                <w:rFonts w:hint="eastAsia" w:ascii="宋体" w:hAnsi="宋体"/>
                <w:color w:val="auto"/>
                <w:highlight w:val="none"/>
                <w:lang w:val="en-US" w:eastAsia="zh-CN"/>
              </w:rPr>
              <w:t>对广西高速公路ETC门架系统进行日常维护与升级和专业的维保，确保系统正常运行</w:t>
            </w:r>
            <w:r>
              <w:rPr>
                <w:rFonts w:hint="eastAsia" w:ascii="宋体" w:hAnsi="宋体"/>
                <w:color w:val="auto"/>
                <w:highlight w:val="none"/>
              </w:rPr>
              <w:t>。</w:t>
            </w:r>
          </w:p>
          <w:p w14:paraId="65A275A5">
            <w:pPr>
              <w:pStyle w:val="20"/>
              <w:spacing w:line="400" w:lineRule="exact"/>
              <w:ind w:left="0" w:leftChars="0" w:firstLine="420" w:firstLineChars="200"/>
              <w:rPr>
                <w:rFonts w:ascii="宋体" w:hAnsi="宋体"/>
                <w:color w:val="auto"/>
                <w:highlight w:val="none"/>
              </w:rPr>
            </w:pPr>
            <w:r>
              <w:rPr>
                <w:rFonts w:hint="eastAsia" w:ascii="宋体" w:hAnsi="宋体"/>
                <w:color w:val="auto"/>
                <w:highlight w:val="none"/>
              </w:rPr>
              <w:t>具体内容详见“第二章采购需求”。</w:t>
            </w:r>
          </w:p>
        </w:tc>
      </w:tr>
    </w:tbl>
    <w:p w14:paraId="3BC3EFD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合同履行期限：一年，即2026年10月28日-2027年10月27日。</w:t>
      </w:r>
    </w:p>
    <w:p w14:paraId="7D0C5344">
      <w:pPr>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本项目（</w:t>
      </w:r>
      <w:r>
        <w:rPr>
          <w:rFonts w:hint="eastAsia" w:ascii="宋体" w:hAnsi="宋体"/>
          <w:b/>
          <w:color w:val="auto"/>
          <w:szCs w:val="21"/>
          <w:highlight w:val="none"/>
          <w:lang w:val="en-US" w:eastAsia="zh-CN"/>
        </w:rPr>
        <w:t>是</w:t>
      </w:r>
      <w:r>
        <w:rPr>
          <w:rFonts w:hint="eastAsia" w:ascii="宋体" w:hAnsi="宋体"/>
          <w:b/>
          <w:color w:val="auto"/>
          <w:szCs w:val="21"/>
          <w:highlight w:val="none"/>
        </w:rPr>
        <w:t>）接受联合体投标。</w:t>
      </w:r>
    </w:p>
    <w:p w14:paraId="26E62EDD">
      <w:pPr>
        <w:spacing w:line="400" w:lineRule="exact"/>
        <w:rPr>
          <w:rFonts w:ascii="宋体" w:hAnsi="宋体"/>
          <w:b/>
          <w:bCs/>
          <w:color w:val="auto"/>
          <w:sz w:val="24"/>
          <w:highlight w:val="none"/>
        </w:rPr>
      </w:pPr>
      <w:bookmarkStart w:id="11" w:name="_Toc28359003"/>
      <w:bookmarkStart w:id="12" w:name="_Toc35393622"/>
      <w:bookmarkStart w:id="13" w:name="_Toc35393791"/>
      <w:bookmarkStart w:id="14" w:name="_Toc28359080"/>
      <w:r>
        <w:rPr>
          <w:rFonts w:hint="eastAsia" w:ascii="宋体" w:hAnsi="宋体"/>
          <w:b/>
          <w:bCs/>
          <w:color w:val="auto"/>
          <w:sz w:val="24"/>
          <w:highlight w:val="none"/>
        </w:rPr>
        <w:t>二、申请人的资格要求：</w:t>
      </w:r>
      <w:bookmarkEnd w:id="11"/>
      <w:bookmarkEnd w:id="12"/>
      <w:bookmarkEnd w:id="13"/>
      <w:bookmarkEnd w:id="14"/>
    </w:p>
    <w:p w14:paraId="7B785F9C">
      <w:pPr>
        <w:spacing w:line="400" w:lineRule="exact"/>
        <w:ind w:firstLine="420" w:firstLineChars="200"/>
        <w:rPr>
          <w:rFonts w:hint="eastAsia" w:ascii="宋体" w:hAnsi="宋体"/>
          <w:color w:val="auto"/>
          <w:szCs w:val="21"/>
          <w:highlight w:val="none"/>
        </w:rPr>
      </w:pPr>
      <w:bookmarkStart w:id="15" w:name="_Hlk51746371"/>
      <w:bookmarkStart w:id="16" w:name="_Toc28359004"/>
      <w:bookmarkStart w:id="17" w:name="_Toc28359081"/>
      <w:r>
        <w:rPr>
          <w:rFonts w:hint="eastAsia" w:ascii="宋体" w:hAnsi="宋体"/>
          <w:color w:val="auto"/>
          <w:szCs w:val="21"/>
          <w:highlight w:val="none"/>
        </w:rPr>
        <w:t>（一）满足《中华人民共和国政府采购法》第二十二条规定，具有本项目供应和服务能力，符合履行本文件各项规定的国内法人和其他组织；</w:t>
      </w:r>
    </w:p>
    <w:p w14:paraId="4E20C8B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（二）落实政府采购政策需满足的资格要求：本项目非专门面向中小企业采购；</w:t>
      </w:r>
    </w:p>
    <w:p w14:paraId="45460310">
      <w:pPr>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（三）本项目的特定资格要求：</w:t>
      </w:r>
      <w:r>
        <w:rPr>
          <w:rFonts w:hint="eastAsia" w:ascii="宋体" w:hAnsi="宋体"/>
          <w:color w:val="auto"/>
          <w:szCs w:val="21"/>
          <w:highlight w:val="none"/>
          <w:lang w:val="en-US" w:eastAsia="zh-CN"/>
        </w:rPr>
        <w:t>无</w:t>
      </w:r>
      <w:r>
        <w:rPr>
          <w:rFonts w:hint="eastAsia" w:ascii="宋体" w:hAnsi="宋体"/>
          <w:color w:val="auto"/>
          <w:szCs w:val="21"/>
          <w:highlight w:val="none"/>
        </w:rPr>
        <w:t>。</w:t>
      </w:r>
    </w:p>
    <w:bookmarkEnd w:id="15"/>
    <w:p w14:paraId="129BE51E">
      <w:pPr>
        <w:spacing w:line="400" w:lineRule="exact"/>
        <w:rPr>
          <w:rFonts w:ascii="宋体" w:hAnsi="宋体"/>
          <w:b/>
          <w:bCs/>
          <w:color w:val="auto"/>
          <w:sz w:val="24"/>
          <w:highlight w:val="none"/>
        </w:rPr>
      </w:pPr>
      <w:bookmarkStart w:id="18" w:name="_Toc35393792"/>
      <w:bookmarkStart w:id="19" w:name="_Toc35393623"/>
      <w:r>
        <w:rPr>
          <w:rFonts w:hint="eastAsia" w:ascii="宋体" w:hAnsi="宋体"/>
          <w:b/>
          <w:bCs/>
          <w:color w:val="auto"/>
          <w:sz w:val="24"/>
          <w:highlight w:val="none"/>
        </w:rPr>
        <w:t>三、获取招标文件</w:t>
      </w:r>
      <w:bookmarkEnd w:id="16"/>
      <w:bookmarkEnd w:id="17"/>
      <w:bookmarkEnd w:id="18"/>
      <w:bookmarkEnd w:id="19"/>
    </w:p>
    <w:p w14:paraId="4BF5F8CD">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Arial"/>
          <w:color w:val="auto"/>
          <w:highlight w:val="none"/>
        </w:rPr>
        <w:t>202</w:t>
      </w:r>
      <w:r>
        <w:rPr>
          <w:rFonts w:hint="eastAsia" w:ascii="宋体" w:hAnsi="宋体" w:cs="Arial"/>
          <w:color w:val="auto"/>
          <w:highlight w:val="none"/>
          <w:lang w:val="en-US" w:eastAsia="zh-CN"/>
        </w:rPr>
        <w:t>6</w:t>
      </w:r>
      <w:r>
        <w:rPr>
          <w:rFonts w:hint="eastAsia" w:ascii="宋体" w:hAnsi="宋体" w:cs="Arial"/>
          <w:color w:val="auto"/>
          <w:highlight w:val="none"/>
        </w:rPr>
        <w:t>年</w:t>
      </w:r>
      <w:r>
        <w:rPr>
          <w:rFonts w:hint="eastAsia" w:ascii="宋体" w:hAnsi="宋体" w:cs="Arial"/>
          <w:color w:val="auto"/>
          <w:highlight w:val="none"/>
          <w:lang w:val="en-US" w:eastAsia="zh-CN"/>
        </w:rPr>
        <w:t>5</w:t>
      </w:r>
      <w:r>
        <w:rPr>
          <w:rFonts w:hint="eastAsia" w:ascii="宋体" w:hAnsi="宋体" w:cs="Arial"/>
          <w:color w:val="auto"/>
          <w:highlight w:val="none"/>
        </w:rPr>
        <w:t>月</w:t>
      </w:r>
      <w:r>
        <w:rPr>
          <w:rFonts w:hint="eastAsia" w:ascii="宋体" w:hAnsi="宋体" w:cs="Arial"/>
          <w:color w:val="auto"/>
          <w:highlight w:val="none"/>
          <w:lang w:val="en-US" w:eastAsia="zh-CN"/>
        </w:rPr>
        <w:t>19</w:t>
      </w:r>
      <w:r>
        <w:rPr>
          <w:rFonts w:hint="eastAsia" w:ascii="宋体" w:hAnsi="宋体" w:cs="Arial"/>
          <w:color w:val="auto"/>
          <w:highlight w:val="none"/>
        </w:rPr>
        <w:t>日</w:t>
      </w:r>
      <w:r>
        <w:rPr>
          <w:rFonts w:hint="eastAsia" w:ascii="宋体" w:hAnsi="宋体" w:cs="Arial"/>
          <w:color w:val="auto"/>
          <w:szCs w:val="21"/>
          <w:highlight w:val="none"/>
        </w:rPr>
        <w:t>至</w:t>
      </w:r>
      <w:r>
        <w:rPr>
          <w:rFonts w:hint="eastAsia" w:ascii="宋体" w:hAnsi="宋体" w:cs="Arial"/>
          <w:color w:val="auto"/>
          <w:highlight w:val="none"/>
        </w:rPr>
        <w:t>202</w:t>
      </w:r>
      <w:r>
        <w:rPr>
          <w:rFonts w:hint="eastAsia" w:ascii="宋体" w:hAnsi="宋体" w:cs="Arial"/>
          <w:color w:val="auto"/>
          <w:highlight w:val="none"/>
          <w:lang w:val="en-US" w:eastAsia="zh-CN"/>
        </w:rPr>
        <w:t>6</w:t>
      </w:r>
      <w:r>
        <w:rPr>
          <w:rFonts w:hint="eastAsia" w:ascii="宋体" w:hAnsi="宋体" w:cs="Arial"/>
          <w:color w:val="auto"/>
          <w:highlight w:val="none"/>
        </w:rPr>
        <w:t>年</w:t>
      </w:r>
      <w:r>
        <w:rPr>
          <w:rFonts w:hint="eastAsia" w:ascii="宋体" w:hAnsi="宋体" w:cs="Arial"/>
          <w:color w:val="auto"/>
          <w:highlight w:val="none"/>
          <w:lang w:val="en-US" w:eastAsia="zh-CN"/>
        </w:rPr>
        <w:t>5</w:t>
      </w:r>
      <w:r>
        <w:rPr>
          <w:rFonts w:hint="eastAsia" w:ascii="宋体" w:hAnsi="宋体" w:cs="Arial"/>
          <w:color w:val="auto"/>
          <w:highlight w:val="none"/>
        </w:rPr>
        <w:t>月</w:t>
      </w:r>
      <w:r>
        <w:rPr>
          <w:rFonts w:hint="eastAsia" w:ascii="宋体" w:hAnsi="宋体" w:cs="Arial"/>
          <w:color w:val="auto"/>
          <w:highlight w:val="none"/>
          <w:lang w:val="en-US" w:eastAsia="zh-CN"/>
        </w:rPr>
        <w:t>27</w:t>
      </w:r>
      <w:r>
        <w:rPr>
          <w:rFonts w:hint="eastAsia" w:ascii="宋体" w:hAnsi="宋体" w:cs="Arial"/>
          <w:color w:val="auto"/>
          <w:highlight w:val="none"/>
        </w:rPr>
        <w:t>日</w:t>
      </w:r>
      <w:r>
        <w:rPr>
          <w:rFonts w:hint="eastAsia" w:ascii="宋体" w:hAnsi="宋体" w:cs="Arial"/>
          <w:color w:val="auto"/>
          <w:szCs w:val="21"/>
          <w:highlight w:val="none"/>
        </w:rPr>
        <w:t>，每天上午00:00-12:00；下午1</w:t>
      </w:r>
      <w:r>
        <w:rPr>
          <w:rFonts w:hint="eastAsia" w:ascii="宋体" w:hAnsi="宋体" w:cs="Arial"/>
          <w:color w:val="auto"/>
          <w:highlight w:val="none"/>
        </w:rPr>
        <w:t>2</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-23:</w:t>
      </w:r>
      <w:r>
        <w:rPr>
          <w:rFonts w:hint="eastAsia" w:ascii="宋体" w:hAnsi="宋体" w:cs="Arial"/>
          <w:color w:val="auto"/>
          <w:highlight w:val="none"/>
        </w:rPr>
        <w:t>59</w:t>
      </w:r>
      <w:r>
        <w:rPr>
          <w:rFonts w:hint="eastAsia" w:ascii="宋体" w:hAnsi="宋体" w:cs="Arial"/>
          <w:color w:val="auto"/>
          <w:szCs w:val="21"/>
          <w:highlight w:val="none"/>
        </w:rPr>
        <w:t>（北京时间，</w:t>
      </w:r>
      <w:r>
        <w:rPr>
          <w:rFonts w:ascii="宋体" w:hAnsi="宋体" w:cs="Arial"/>
          <w:color w:val="auto"/>
          <w:szCs w:val="21"/>
          <w:highlight w:val="none"/>
        </w:rPr>
        <w:t>法定节假日</w:t>
      </w:r>
      <w:r>
        <w:rPr>
          <w:rFonts w:hint="eastAsia" w:ascii="宋体" w:hAnsi="宋体" w:cs="Arial"/>
          <w:color w:val="auto"/>
          <w:szCs w:val="21"/>
          <w:highlight w:val="none"/>
        </w:rPr>
        <w:t>除外）。</w:t>
      </w:r>
    </w:p>
    <w:p w14:paraId="760BA306">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广西政府采购云平台（https://www.gcy.zfcg.gxzf.gov.cn）</w:t>
      </w:r>
    </w:p>
    <w:p w14:paraId="7371F5A1">
      <w:pPr>
        <w:spacing w:line="40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olor w:val="auto"/>
          <w:szCs w:val="21"/>
          <w:highlight w:val="none"/>
        </w:rPr>
        <w:t>广西政府采购云平台（https://www.gcy.zfcg.gxzf.gov.cn）</w:t>
      </w:r>
      <w:r>
        <w:rPr>
          <w:rFonts w:hint="eastAsia" w:ascii="宋体" w:hAnsi="宋体" w:cs="宋体"/>
          <w:bCs/>
          <w:color w:val="auto"/>
          <w:kern w:val="0"/>
          <w:szCs w:val="21"/>
          <w:highlight w:val="none"/>
        </w:rPr>
        <w:t>下载招标文件（登录广西政府采购云平台-项目采购-获取采购文件-找到本项目-点击“申请获取采购</w:t>
      </w:r>
      <w:bookmarkStart w:id="158" w:name="_GoBack"/>
      <w:bookmarkEnd w:id="158"/>
      <w:r>
        <w:rPr>
          <w:rFonts w:hint="eastAsia" w:ascii="宋体" w:hAnsi="宋体" w:cs="宋体"/>
          <w:bCs/>
          <w:color w:val="auto"/>
          <w:kern w:val="0"/>
          <w:szCs w:val="21"/>
          <w:highlight w:val="none"/>
        </w:rPr>
        <w:t>文件”），电子投标文件制作需要基于</w:t>
      </w:r>
      <w:r>
        <w:rPr>
          <w:rFonts w:hint="eastAsia" w:ascii="宋体" w:hAnsi="宋体"/>
          <w:color w:val="auto"/>
          <w:szCs w:val="21"/>
          <w:highlight w:val="none"/>
        </w:rPr>
        <w:t>广西政府采购云平台（https://www.gcy.zfcg.gxzf.gov.cn）</w:t>
      </w:r>
      <w:r>
        <w:rPr>
          <w:rFonts w:hint="eastAsia" w:ascii="宋体" w:hAnsi="宋体" w:cs="宋体"/>
          <w:bCs/>
          <w:color w:val="auto"/>
          <w:kern w:val="0"/>
          <w:szCs w:val="21"/>
          <w:highlight w:val="none"/>
        </w:rPr>
        <w:t>获取的招标文件编制。</w:t>
      </w:r>
    </w:p>
    <w:p w14:paraId="3A2E76E3">
      <w:pPr>
        <w:spacing w:line="40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售价：0元。</w:t>
      </w:r>
    </w:p>
    <w:p w14:paraId="62774418">
      <w:pPr>
        <w:spacing w:line="400" w:lineRule="exact"/>
        <w:rPr>
          <w:rFonts w:ascii="宋体" w:hAnsi="宋体"/>
          <w:b/>
          <w:bCs/>
          <w:color w:val="auto"/>
          <w:sz w:val="24"/>
          <w:highlight w:val="none"/>
        </w:rPr>
      </w:pPr>
      <w:bookmarkStart w:id="20" w:name="_Toc28359082"/>
      <w:bookmarkStart w:id="21" w:name="_Toc28359005"/>
      <w:bookmarkStart w:id="22" w:name="_Toc35393793"/>
      <w:bookmarkStart w:id="23" w:name="_Toc35393624"/>
      <w:r>
        <w:rPr>
          <w:rFonts w:hint="eastAsia" w:ascii="宋体" w:hAnsi="宋体"/>
          <w:b/>
          <w:bCs/>
          <w:color w:val="auto"/>
          <w:sz w:val="24"/>
          <w:highlight w:val="none"/>
        </w:rPr>
        <w:t>四、提交投标文件</w:t>
      </w:r>
      <w:bookmarkEnd w:id="20"/>
      <w:bookmarkEnd w:id="21"/>
      <w:r>
        <w:rPr>
          <w:rFonts w:hint="eastAsia" w:ascii="宋体" w:hAnsi="宋体"/>
          <w:b/>
          <w:bCs/>
          <w:color w:val="auto"/>
          <w:sz w:val="24"/>
          <w:highlight w:val="none"/>
        </w:rPr>
        <w:t>截止时间、开标时间和地点</w:t>
      </w:r>
      <w:bookmarkEnd w:id="22"/>
      <w:bookmarkEnd w:id="23"/>
    </w:p>
    <w:p w14:paraId="74FB060E">
      <w:pPr>
        <w:spacing w:line="380" w:lineRule="exact"/>
        <w:ind w:firstLine="420" w:firstLineChars="200"/>
        <w:rPr>
          <w:rFonts w:ascii="宋体" w:hAnsi="宋体"/>
          <w:color w:val="auto"/>
          <w:szCs w:val="21"/>
          <w:highlight w:val="none"/>
        </w:rPr>
      </w:pPr>
      <w:bookmarkStart w:id="24" w:name="_Toc35393794"/>
      <w:bookmarkStart w:id="25" w:name="_Toc35393625"/>
      <w:bookmarkStart w:id="26" w:name="_Toc28359084"/>
      <w:bookmarkStart w:id="27" w:name="_Toc28359007"/>
      <w:r>
        <w:rPr>
          <w:rFonts w:hint="eastAsia" w:ascii="宋体" w:hAnsi="宋体"/>
          <w:color w:val="auto"/>
          <w:szCs w:val="21"/>
          <w:highlight w:val="none"/>
        </w:rPr>
        <w:t>1、</w:t>
      </w:r>
      <w:r>
        <w:rPr>
          <w:rFonts w:hint="eastAsia" w:ascii="宋体" w:hAnsi="宋体" w:cs="宋体"/>
          <w:color w:val="auto"/>
          <w:szCs w:val="21"/>
          <w:highlight w:val="none"/>
        </w:rPr>
        <w:t>截止时间</w:t>
      </w:r>
      <w:r>
        <w:rPr>
          <w:rFonts w:hint="eastAsia" w:ascii="宋体" w:hAnsi="宋体"/>
          <w:color w:val="auto"/>
          <w:szCs w:val="21"/>
          <w:highlight w:val="none"/>
        </w:rPr>
        <w:t>：</w:t>
      </w:r>
      <w:r>
        <w:rPr>
          <w:rFonts w:hint="eastAsia" w:ascii="宋体" w:hAnsi="宋体"/>
          <w:color w:val="auto"/>
          <w:szCs w:val="21"/>
          <w:highlight w:val="none"/>
          <w:lang w:eastAsia="zh-CN"/>
        </w:rPr>
        <w:t>2026年</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日</w:t>
      </w:r>
      <w:r>
        <w:rPr>
          <w:rFonts w:hint="eastAsia" w:ascii="宋体" w:hAnsi="宋体"/>
          <w:color w:val="auto"/>
          <w:szCs w:val="21"/>
          <w:highlight w:val="none"/>
        </w:rPr>
        <w:t>9时30分（北京时间）</w:t>
      </w:r>
    </w:p>
    <w:p w14:paraId="16C813D9">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2、地点：</w:t>
      </w:r>
      <w:r>
        <w:rPr>
          <w:rFonts w:hint="eastAsia" w:ascii="宋体" w:hAnsi="宋体" w:cs="宋体"/>
          <w:color w:val="auto"/>
          <w:szCs w:val="21"/>
          <w:highlight w:val="none"/>
        </w:rPr>
        <w:t>本项目将在</w:t>
      </w:r>
      <w:r>
        <w:rPr>
          <w:rFonts w:hint="eastAsia" w:ascii="宋体" w:hAnsi="宋体"/>
          <w:color w:val="auto"/>
          <w:szCs w:val="21"/>
          <w:highlight w:val="none"/>
        </w:rPr>
        <w:t>广西政府采购云平台</w:t>
      </w:r>
      <w:r>
        <w:rPr>
          <w:rFonts w:hint="eastAsia" w:ascii="宋体" w:hAnsi="宋体" w:cs="宋体"/>
          <w:color w:val="auto"/>
          <w:szCs w:val="21"/>
          <w:highlight w:val="none"/>
        </w:rPr>
        <w:t>电子开标大厅解密、开标。</w:t>
      </w:r>
    </w:p>
    <w:p w14:paraId="5F694C28">
      <w:pPr>
        <w:spacing w:line="380" w:lineRule="exact"/>
        <w:rPr>
          <w:rFonts w:ascii="宋体" w:hAnsi="宋体"/>
          <w:b/>
          <w:bCs/>
          <w:color w:val="auto"/>
          <w:sz w:val="24"/>
          <w:highlight w:val="none"/>
        </w:rPr>
      </w:pPr>
      <w:r>
        <w:rPr>
          <w:rFonts w:hint="eastAsia" w:ascii="宋体" w:hAnsi="宋体"/>
          <w:b/>
          <w:bCs/>
          <w:color w:val="auto"/>
          <w:sz w:val="24"/>
          <w:highlight w:val="none"/>
        </w:rPr>
        <w:t>五、公告期限</w:t>
      </w:r>
      <w:bookmarkEnd w:id="24"/>
      <w:bookmarkEnd w:id="25"/>
      <w:bookmarkEnd w:id="26"/>
      <w:bookmarkEnd w:id="27"/>
    </w:p>
    <w:p w14:paraId="31297AE4">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ABC088D">
      <w:pPr>
        <w:spacing w:line="380" w:lineRule="exact"/>
        <w:rPr>
          <w:rFonts w:ascii="宋体" w:hAnsi="宋体"/>
          <w:b/>
          <w:bCs/>
          <w:color w:val="auto"/>
          <w:sz w:val="24"/>
          <w:highlight w:val="none"/>
        </w:rPr>
      </w:pPr>
      <w:bookmarkStart w:id="28" w:name="_Toc35393626"/>
      <w:bookmarkStart w:id="29" w:name="_Toc35393795"/>
      <w:r>
        <w:rPr>
          <w:rFonts w:hint="eastAsia" w:ascii="宋体" w:hAnsi="宋体"/>
          <w:b/>
          <w:bCs/>
          <w:color w:val="auto"/>
          <w:sz w:val="24"/>
          <w:highlight w:val="none"/>
        </w:rPr>
        <w:t>六、其他补充事宜</w:t>
      </w:r>
      <w:bookmarkEnd w:id="28"/>
      <w:bookmarkEnd w:id="29"/>
    </w:p>
    <w:p w14:paraId="1830724A">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bookmarkStart w:id="30" w:name="_Hlk37429674"/>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壹拾万元整</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100000</w:t>
      </w:r>
      <w:r>
        <w:rPr>
          <w:rFonts w:hint="eastAsia" w:ascii="宋体" w:hAnsi="宋体" w:cs="宋体"/>
          <w:color w:val="auto"/>
          <w:kern w:val="0"/>
          <w:szCs w:val="21"/>
          <w:highlight w:val="none"/>
        </w:rPr>
        <w:t>.00）。</w:t>
      </w:r>
    </w:p>
    <w:p w14:paraId="1A095243">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B3B4383">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B39154E">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4、网上查询地址：中国政府采购网（www.ccgp.gov.cn）、广西政府采购网（zfcg.gxzf.gov.cn）、广西公共资源交易中心网站（gxggzy.gxzf.gov.cn）。</w:t>
      </w:r>
    </w:p>
    <w:p w14:paraId="129A7086">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5、本项目需要落实的政府采购政策：</w:t>
      </w:r>
    </w:p>
    <w:p w14:paraId="60642794">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2B791999">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4FD6BF7">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635CDD1">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4C84B4EA">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538A176D">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（6）扶持不发达地区和少数民族地区政策</w:t>
      </w:r>
    </w:p>
    <w:p w14:paraId="66749CDC">
      <w:pPr>
        <w:keepNext w:val="0"/>
        <w:keepLines w:val="0"/>
        <w:pageBreakBefore w:val="0"/>
        <w:widowControl/>
        <w:kinsoku/>
        <w:wordWrap/>
        <w:overflowPunct/>
        <w:topLinePunct w:val="0"/>
        <w:autoSpaceDE/>
        <w:autoSpaceDN/>
        <w:bidi w:val="0"/>
        <w:adjustRightInd/>
        <w:snapToGrid/>
        <w:spacing w:line="3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6、投标注意事项：</w:t>
      </w:r>
    </w:p>
    <w:p w14:paraId="3111152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14:paraId="371687A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供应商应及时熟悉掌握电子标系统操作指南（见广西政府采购云平台电子卖场首页右上角—服务中心—帮助文档—项目采购）：https://service.zcygov.cn/#/knowledges/tree?tag=AG1DtGwBFdiHxlNdhY0r；及时完成CA申领和绑定（见广西壮族自治区政府采购网—办事服务—下载专区-政采云CA证书办理操作指南）。</w:t>
      </w:r>
    </w:p>
    <w:p w14:paraId="3781C56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5C8DCE6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（4）为确保网上操作合法、有效和安全，请投标人确保在电子投标过程中能够对相关数据电文进行加密和使用电子签章，妥善保管CA数字证书并使用有效的CA数字证书参与整个采购活动。</w:t>
      </w:r>
    </w:p>
    <w:p w14:paraId="2015857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8F5392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7、CA证书在线解密：供应商投标时，需携带制作投标文件时用来加密的有效数字证书（CA认证）登录广西政府采购云平台电子开标大厅现场按规定时间对加密的投标文件进行解密，否则后果自负。</w:t>
      </w:r>
    </w:p>
    <w:p w14:paraId="686A907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szCs w:val="21"/>
          <w:highlight w:val="none"/>
        </w:rPr>
        <w:t>8、若对项目采购电子交易系统操作有疑问，可登录广西政府采购云平台（https://www.gcy.zfcg.gxzf.gov.cn/），点击右侧咨询小采，获取采小蜜智能服务管家帮助，或拨打广西政府采购云平台服务热线95763获取热线服务帮助。</w:t>
      </w:r>
    </w:p>
    <w:bookmarkEnd w:id="30"/>
    <w:p w14:paraId="287CAF09">
      <w:pPr>
        <w:spacing w:line="400" w:lineRule="exact"/>
        <w:rPr>
          <w:rFonts w:ascii="宋体" w:hAnsi="宋体"/>
          <w:b/>
          <w:bCs/>
          <w:color w:val="auto"/>
          <w:sz w:val="24"/>
          <w:highlight w:val="none"/>
        </w:rPr>
      </w:pPr>
      <w:bookmarkStart w:id="31" w:name="_Toc28359008"/>
      <w:bookmarkStart w:id="32" w:name="_Toc28359085"/>
      <w:bookmarkStart w:id="33" w:name="_Toc35393796"/>
      <w:bookmarkStart w:id="34" w:name="_Toc35393627"/>
      <w:r>
        <w:rPr>
          <w:rFonts w:hint="eastAsia" w:ascii="宋体" w:hAnsi="宋体"/>
          <w:b/>
          <w:bCs/>
          <w:color w:val="auto"/>
          <w:sz w:val="24"/>
          <w:highlight w:val="none"/>
        </w:rPr>
        <w:t>七、对本次招标提出询问，请按</w:t>
      </w:r>
      <w:r>
        <w:rPr>
          <w:rFonts w:ascii="宋体" w:hAnsi="宋体"/>
          <w:b/>
          <w:bCs/>
          <w:color w:val="auto"/>
          <w:sz w:val="24"/>
          <w:highlight w:val="none"/>
        </w:rPr>
        <w:t>以下方式</w:t>
      </w:r>
      <w:r>
        <w:rPr>
          <w:rFonts w:hint="eastAsia" w:ascii="宋体" w:hAnsi="宋体"/>
          <w:b/>
          <w:bCs/>
          <w:color w:val="auto"/>
          <w:sz w:val="24"/>
          <w:highlight w:val="none"/>
        </w:rPr>
        <w:t>联系。</w:t>
      </w:r>
      <w:bookmarkEnd w:id="31"/>
      <w:bookmarkEnd w:id="32"/>
      <w:bookmarkEnd w:id="33"/>
      <w:bookmarkEnd w:id="34"/>
    </w:p>
    <w:p w14:paraId="5301787A">
      <w:pPr>
        <w:spacing w:line="400" w:lineRule="exact"/>
        <w:ind w:firstLine="567" w:firstLineChars="270"/>
        <w:jc w:val="left"/>
        <w:rPr>
          <w:rFonts w:ascii="宋体" w:hAnsi="宋体" w:cs="宋体"/>
          <w:color w:val="auto"/>
          <w:szCs w:val="21"/>
          <w:highlight w:val="none"/>
        </w:rPr>
      </w:pPr>
      <w:r>
        <w:rPr>
          <w:rFonts w:hint="eastAsia" w:ascii="宋体" w:hAnsi="宋体" w:cs="宋体"/>
          <w:color w:val="auto"/>
          <w:szCs w:val="21"/>
          <w:highlight w:val="none"/>
        </w:rPr>
        <w:t>1.采购人信息</w:t>
      </w:r>
    </w:p>
    <w:p w14:paraId="384D5C23">
      <w:pPr>
        <w:spacing w:line="400" w:lineRule="exact"/>
        <w:ind w:firstLine="567" w:firstLineChars="27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highlight w:val="none"/>
          <w:u w:val="single"/>
        </w:rPr>
        <w:t>广西壮族自治区收费公路联网收费清分结算中心</w:t>
      </w:r>
    </w:p>
    <w:p w14:paraId="2D455A5D">
      <w:pPr>
        <w:spacing w:line="400" w:lineRule="exact"/>
        <w:ind w:firstLine="567" w:firstLineChars="270"/>
        <w:jc w:val="left"/>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南宁市滨湖路66号公路大厦</w:t>
      </w:r>
    </w:p>
    <w:p w14:paraId="71B5184D">
      <w:pPr>
        <w:spacing w:line="400" w:lineRule="exact"/>
        <w:ind w:firstLine="567" w:firstLineChars="270"/>
        <w:jc w:val="left"/>
        <w:rPr>
          <w:rFonts w:ascii="宋体" w:hAnsi="宋体"/>
          <w:color w:val="auto"/>
          <w:szCs w:val="21"/>
          <w:highlight w:val="none"/>
        </w:rPr>
      </w:pPr>
      <w:bookmarkStart w:id="35" w:name="_Toc28359086"/>
      <w:bookmarkStart w:id="36" w:name="_Toc28359009"/>
      <w:r>
        <w:rPr>
          <w:rFonts w:hint="eastAsia" w:ascii="宋体" w:hAnsi="宋体"/>
          <w:color w:val="auto"/>
          <w:szCs w:val="21"/>
          <w:highlight w:val="none"/>
        </w:rPr>
        <w:t>联系人：梁宇</w:t>
      </w:r>
    </w:p>
    <w:p w14:paraId="554FE367">
      <w:pPr>
        <w:spacing w:line="400" w:lineRule="exact"/>
        <w:ind w:firstLine="567" w:firstLineChars="270"/>
        <w:jc w:val="left"/>
        <w:rPr>
          <w:rFonts w:ascii="宋体" w:hAnsi="宋体"/>
          <w:color w:val="auto"/>
          <w:szCs w:val="21"/>
          <w:highlight w:val="none"/>
          <w:u w:val="single"/>
        </w:rPr>
      </w:pPr>
      <w:r>
        <w:rPr>
          <w:rFonts w:hint="eastAsia" w:ascii="宋体" w:hAnsi="宋体"/>
          <w:color w:val="auto"/>
          <w:szCs w:val="21"/>
          <w:highlight w:val="none"/>
        </w:rPr>
        <w:t>联系方式：0771-2115953</w:t>
      </w:r>
    </w:p>
    <w:p w14:paraId="08691C12">
      <w:pPr>
        <w:spacing w:line="400" w:lineRule="exact"/>
        <w:ind w:firstLine="567" w:firstLineChars="27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5"/>
      <w:bookmarkEnd w:id="36"/>
    </w:p>
    <w:p w14:paraId="3162C28F">
      <w:pPr>
        <w:spacing w:line="400" w:lineRule="exact"/>
        <w:ind w:firstLine="567" w:firstLineChars="27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s="Arial"/>
          <w:color w:val="auto"/>
          <w:szCs w:val="21"/>
          <w:highlight w:val="none"/>
        </w:rPr>
        <w:t>广西科文招标有限公司</w:t>
      </w:r>
    </w:p>
    <w:p w14:paraId="03EDDB32">
      <w:pPr>
        <w:spacing w:line="400" w:lineRule="exact"/>
        <w:ind w:firstLine="567" w:firstLineChars="270"/>
        <w:rPr>
          <w:rFonts w:ascii="宋体" w:hAnsi="宋体" w:cs="Arial"/>
          <w:color w:val="auto"/>
          <w:szCs w:val="21"/>
          <w:highlight w:val="none"/>
        </w:rPr>
      </w:pPr>
      <w:r>
        <w:rPr>
          <w:rFonts w:hint="eastAsia" w:ascii="宋体" w:hAnsi="宋体"/>
          <w:color w:val="auto"/>
          <w:szCs w:val="21"/>
          <w:highlight w:val="none"/>
        </w:rPr>
        <w:t>地　址：</w:t>
      </w:r>
      <w:r>
        <w:rPr>
          <w:rFonts w:hint="eastAsia" w:ascii="宋体" w:hAnsi="宋体" w:cs="Arial"/>
          <w:color w:val="auto"/>
          <w:szCs w:val="21"/>
          <w:highlight w:val="none"/>
        </w:rPr>
        <w:t>广西南宁市民族大道141号中鼎万象东方D区</w:t>
      </w:r>
      <w:r>
        <w:rPr>
          <w:rFonts w:hint="eastAsia" w:ascii="宋体" w:hAnsi="宋体" w:cs="Arial"/>
          <w:color w:val="auto"/>
          <w:highlight w:val="none"/>
        </w:rPr>
        <w:t>五</w:t>
      </w:r>
      <w:r>
        <w:rPr>
          <w:rFonts w:hint="eastAsia" w:ascii="宋体" w:hAnsi="宋体" w:cs="Arial"/>
          <w:color w:val="auto"/>
          <w:szCs w:val="21"/>
          <w:highlight w:val="none"/>
        </w:rPr>
        <w:t>层</w:t>
      </w:r>
    </w:p>
    <w:p w14:paraId="00A0D073">
      <w:pPr>
        <w:spacing w:line="400" w:lineRule="exact"/>
        <w:ind w:firstLine="567" w:firstLineChars="270"/>
        <w:rPr>
          <w:rFonts w:ascii="宋体" w:hAnsi="宋体"/>
          <w:color w:val="auto"/>
          <w:szCs w:val="21"/>
          <w:highlight w:val="none"/>
        </w:rPr>
      </w:pPr>
      <w:r>
        <w:rPr>
          <w:rFonts w:hint="eastAsia" w:ascii="宋体" w:hAnsi="宋体"/>
          <w:color w:val="auto"/>
          <w:szCs w:val="21"/>
          <w:highlight w:val="none"/>
        </w:rPr>
        <w:t>联系方式：</w:t>
      </w:r>
      <w:bookmarkStart w:id="37" w:name="_Toc28359087"/>
      <w:bookmarkStart w:id="38" w:name="_Toc28359010"/>
      <w:r>
        <w:rPr>
          <w:rFonts w:hint="eastAsia" w:ascii="宋体" w:hAnsi="宋体"/>
          <w:color w:val="auto"/>
          <w:szCs w:val="21"/>
          <w:highlight w:val="none"/>
          <w:u w:val="single"/>
        </w:rPr>
        <w:t>0771-2023805</w:t>
      </w:r>
    </w:p>
    <w:p w14:paraId="2DD7495F">
      <w:pPr>
        <w:spacing w:line="400" w:lineRule="exact"/>
        <w:ind w:firstLine="567" w:firstLineChars="270"/>
        <w:rPr>
          <w:rFonts w:ascii="宋体" w:hAnsi="宋体"/>
          <w:color w:val="auto"/>
          <w:szCs w:val="21"/>
          <w:highlight w:val="none"/>
          <w:u w:val="singl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7"/>
      <w:bookmarkEnd w:id="38"/>
    </w:p>
    <w:p w14:paraId="2E345E50">
      <w:pPr>
        <w:pStyle w:val="25"/>
        <w:spacing w:line="400" w:lineRule="exact"/>
        <w:ind w:firstLine="567" w:firstLineChars="27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u w:val="single"/>
        </w:rPr>
        <w:t>雷</w:t>
      </w:r>
      <w:r>
        <w:rPr>
          <w:rFonts w:hint="eastAsia" w:hAnsi="宋体"/>
          <w:color w:val="auto"/>
          <w:sz w:val="21"/>
          <w:highlight w:val="none"/>
          <w:u w:val="single"/>
          <w:lang w:val="en-US" w:eastAsia="zh-CN"/>
        </w:rPr>
        <w:t>工</w:t>
      </w:r>
    </w:p>
    <w:p w14:paraId="0CAB131E">
      <w:pPr>
        <w:spacing w:line="400" w:lineRule="exact"/>
        <w:ind w:firstLine="567" w:firstLineChars="27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0771-</w:t>
      </w:r>
      <w:r>
        <w:rPr>
          <w:rFonts w:ascii="宋体" w:hAnsi="宋体"/>
          <w:color w:val="auto"/>
          <w:szCs w:val="21"/>
          <w:highlight w:val="none"/>
          <w:u w:val="single"/>
        </w:rPr>
        <w:t>2023805</w:t>
      </w:r>
    </w:p>
    <w:p w14:paraId="77AB3650">
      <w:pPr>
        <w:spacing w:line="400" w:lineRule="exact"/>
        <w:jc w:val="right"/>
        <w:rPr>
          <w:rFonts w:ascii="宋体" w:hAnsi="宋体"/>
          <w:color w:val="auto"/>
          <w:szCs w:val="21"/>
          <w:highlight w:val="none"/>
        </w:rPr>
      </w:pPr>
      <w:r>
        <w:rPr>
          <w:rFonts w:hint="eastAsia" w:ascii="宋体" w:hAnsi="宋体" w:cs="Arial"/>
          <w:color w:val="auto"/>
          <w:szCs w:val="21"/>
          <w:highlight w:val="none"/>
        </w:rPr>
        <w:t>广西科文招标有限公司</w:t>
      </w:r>
    </w:p>
    <w:p w14:paraId="74E8FBEC">
      <w:pPr>
        <w:snapToGrid w:val="0"/>
        <w:spacing w:line="400" w:lineRule="exact"/>
        <w:ind w:left="238"/>
        <w:jc w:val="right"/>
        <w:rPr>
          <w:rFonts w:ascii="宋体" w:hAnsi="宋体" w:cs="Arial"/>
          <w:color w:val="auto"/>
          <w:highlight w:val="none"/>
        </w:rPr>
      </w:pPr>
      <w:r>
        <w:rPr>
          <w:rFonts w:hint="eastAsia" w:ascii="宋体" w:hAnsi="宋体"/>
          <w:color w:val="auto"/>
          <w:highlight w:val="none"/>
        </w:rPr>
        <w:t xml:space="preserve">   202</w:t>
      </w:r>
      <w:r>
        <w:rPr>
          <w:rFonts w:hint="eastAsia" w:ascii="宋体" w:hAnsi="宋体"/>
          <w:color w:val="auto"/>
          <w:highlight w:val="none"/>
          <w:lang w:val="en-US" w:eastAsia="zh-CN"/>
        </w:rPr>
        <w:t>6</w:t>
      </w:r>
      <w:r>
        <w:rPr>
          <w:rFonts w:hint="eastAsia" w:ascii="宋体" w:hAnsi="宋体"/>
          <w:color w:val="auto"/>
          <w:highlight w:val="none"/>
        </w:rPr>
        <w:t>年</w:t>
      </w:r>
      <w:r>
        <w:rPr>
          <w:rFonts w:hint="eastAsia" w:ascii="宋体" w:hAnsi="宋体"/>
          <w:color w:val="auto"/>
          <w:highlight w:val="none"/>
          <w:lang w:val="en-US" w:eastAsia="zh-CN"/>
        </w:rPr>
        <w:t>5</w:t>
      </w:r>
      <w:r>
        <w:rPr>
          <w:rFonts w:hint="eastAsia" w:ascii="宋体" w:hAnsi="宋体"/>
          <w:color w:val="auto"/>
          <w:highlight w:val="none"/>
        </w:rPr>
        <w:t>月</w:t>
      </w:r>
      <w:r>
        <w:rPr>
          <w:rFonts w:hint="eastAsia" w:ascii="宋体" w:hAnsi="宋体"/>
          <w:color w:val="auto"/>
          <w:highlight w:val="none"/>
          <w:lang w:val="en-US" w:eastAsia="zh-CN"/>
        </w:rPr>
        <w:t>19</w:t>
      </w:r>
      <w:r>
        <w:rPr>
          <w:rFonts w:hint="eastAsia" w:ascii="宋体" w:hAnsi="宋体"/>
          <w:color w:val="auto"/>
          <w:highlight w:val="none"/>
        </w:rPr>
        <w:t>日</w:t>
      </w:r>
      <w:bookmarkEnd w:id="5"/>
    </w:p>
    <w:p w14:paraId="250FEB51">
      <w:pPr>
        <w:snapToGrid w:val="0"/>
        <w:rPr>
          <w:rFonts w:ascii="宋体" w:hAnsi="宋体"/>
          <w:color w:val="auto"/>
          <w:sz w:val="10"/>
          <w:szCs w:val="10"/>
          <w:highlight w:val="none"/>
        </w:rPr>
      </w:pPr>
      <w:r>
        <w:rPr>
          <w:rFonts w:ascii="宋体" w:hAnsi="宋体"/>
          <w:color w:val="auto"/>
          <w:sz w:val="24"/>
          <w:szCs w:val="20"/>
          <w:highlight w:val="none"/>
        </w:rPr>
        <w:br w:type="page"/>
      </w:r>
    </w:p>
    <w:p w14:paraId="47225B2E">
      <w:pPr>
        <w:pStyle w:val="2"/>
        <w:spacing w:before="0" w:after="0"/>
        <w:jc w:val="center"/>
        <w:rPr>
          <w:rFonts w:ascii="宋体" w:hAnsi="宋体" w:eastAsia="宋体"/>
          <w:color w:val="auto"/>
          <w:highlight w:val="none"/>
        </w:rPr>
      </w:pPr>
      <w:bookmarkStart w:id="39" w:name="_Toc21822"/>
      <w:r>
        <w:rPr>
          <w:rFonts w:hint="eastAsia" w:ascii="宋体" w:hAnsi="宋体" w:eastAsia="宋体"/>
          <w:color w:val="auto"/>
          <w:highlight w:val="none"/>
        </w:rPr>
        <w:t>第二章  采购需求</w:t>
      </w:r>
      <w:bookmarkEnd w:id="39"/>
    </w:p>
    <w:p w14:paraId="74D44252">
      <w:pPr>
        <w:spacing w:line="360" w:lineRule="auto"/>
        <w:rPr>
          <w:rFonts w:ascii="宋体" w:hAnsi="宋体" w:cs="宋体"/>
          <w:b/>
          <w:color w:val="auto"/>
          <w:szCs w:val="21"/>
          <w:highlight w:val="none"/>
        </w:rPr>
      </w:pPr>
      <w:bookmarkStart w:id="40" w:name="_Toc254970631"/>
      <w:bookmarkStart w:id="41" w:name="_Toc254970490"/>
      <w:r>
        <w:rPr>
          <w:rFonts w:hint="eastAsia" w:ascii="宋体" w:hAnsi="宋体" w:cs="宋体"/>
          <w:b/>
          <w:color w:val="auto"/>
          <w:szCs w:val="21"/>
          <w:highlight w:val="none"/>
        </w:rPr>
        <w:t>说明：</w:t>
      </w:r>
    </w:p>
    <w:p w14:paraId="22087F4A">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ascii="宋体" w:hAnsi="宋体"/>
          <w:b/>
          <w:bCs/>
          <w:color w:val="auto"/>
          <w:highlight w:val="none"/>
        </w:rPr>
        <w:t>中</w:t>
      </w:r>
      <w:r>
        <w:rPr>
          <w:rFonts w:hint="eastAsia" w:ascii="宋体" w:hAnsi="宋体"/>
          <w:b/>
          <w:bCs/>
          <w:color w:val="auto"/>
          <w:highlight w:val="none"/>
        </w:rPr>
        <w:t>的技术要求。</w:t>
      </w:r>
    </w:p>
    <w:p w14:paraId="47248B44">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2、</w:t>
      </w:r>
      <w:r>
        <w:rPr>
          <w:rFonts w:ascii="宋体" w:hAnsi="宋体"/>
          <w:b/>
          <w:bCs/>
          <w:color w:val="auto"/>
          <w:highlight w:val="none"/>
        </w:rPr>
        <w:t>根据《财政部发展改革委生态环境部市场监管总局关于调整优化节能产品、环境标志产品政府采购执行机制的通知》（财库〔2019〕9 号）和《关于印发节能产品政府采购品目清单的通知》（财库〔2019〕19 号）的规定，采购需求</w:t>
      </w:r>
      <w:r>
        <w:rPr>
          <w:rFonts w:hint="eastAsia" w:ascii="宋体" w:hAnsi="宋体"/>
          <w:b/>
          <w:bCs/>
          <w:color w:val="auto"/>
          <w:highlight w:val="none"/>
        </w:rPr>
        <w:t>中如有货物产品，且货物</w:t>
      </w:r>
      <w:r>
        <w:rPr>
          <w:rFonts w:ascii="宋体" w:hAnsi="宋体"/>
          <w:b/>
          <w:bCs/>
          <w:color w:val="auto"/>
          <w:highlight w:val="none"/>
        </w:rPr>
        <w:t>产品属于节能产品政府采购品目清单内标注“★”的（详见本章后附的节能产品政府采购品目清单），投标人的投标货物必须使用政府强制采购的节能产品，否则投标文件作无效处理。</w:t>
      </w:r>
    </w:p>
    <w:p w14:paraId="4A67EF1F">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3、如投标人投标产品存在侵犯他人的知识产权或者专利成果行为的，由投标人自行承担相应法律责任。</w:t>
      </w:r>
    </w:p>
    <w:p w14:paraId="430E626D">
      <w:pPr>
        <w:spacing w:line="360" w:lineRule="exact"/>
        <w:ind w:left="-10" w:leftChars="-5" w:right="2" w:rightChars="1" w:firstLine="422" w:firstLineChars="200"/>
        <w:rPr>
          <w:rFonts w:ascii="宋体" w:hAnsi="宋体"/>
          <w:b/>
          <w:bCs/>
          <w:color w:val="auto"/>
          <w:highlight w:val="none"/>
        </w:rPr>
      </w:pPr>
      <w:r>
        <w:rPr>
          <w:rFonts w:hint="eastAsia" w:ascii="宋体" w:hAnsi="宋体"/>
          <w:b/>
          <w:bCs/>
          <w:color w:val="auto"/>
          <w:highlight w:val="none"/>
        </w:rPr>
        <w:t>4、“实质性要求”是指招标文件中已经指明不满足则投标无效的条款，或者不能负偏离的条款，或者采购需求中带“▲”的条款。</w:t>
      </w:r>
    </w:p>
    <w:p w14:paraId="11453F38">
      <w:pPr>
        <w:spacing w:line="360" w:lineRule="exact"/>
        <w:ind w:left="-10" w:leftChars="-5" w:right="2" w:rightChars="1" w:firstLine="422" w:firstLineChars="200"/>
        <w:rPr>
          <w:rFonts w:hint="eastAsia" w:ascii="宋体" w:hAnsi="宋体"/>
          <w:b/>
          <w:bCs/>
          <w:color w:val="auto"/>
          <w:highlight w:val="none"/>
        </w:rPr>
      </w:pPr>
      <w:bookmarkStart w:id="42" w:name="_Hlk65055179"/>
      <w:r>
        <w:rPr>
          <w:rFonts w:hint="eastAsia" w:ascii="宋体" w:hAnsi="宋体"/>
          <w:b/>
          <w:bCs/>
          <w:color w:val="auto"/>
          <w:highlight w:val="none"/>
        </w:rPr>
        <w:t>5、投标人应根据自身实际情况如实响应招标文件，不得仅将招标文件内容简单复制粘贴作为投标响应，</w:t>
      </w:r>
      <w:r>
        <w:rPr>
          <w:rFonts w:ascii="宋体" w:hAnsi="宋体"/>
          <w:b/>
          <w:bCs/>
          <w:color w:val="auto"/>
          <w:highlight w:val="none"/>
        </w:rPr>
        <w:t>否则投标文件作无效处理</w:t>
      </w:r>
      <w:r>
        <w:rPr>
          <w:rFonts w:hint="eastAsia" w:ascii="宋体" w:hAnsi="宋体"/>
          <w:b/>
          <w:bCs/>
          <w:color w:val="auto"/>
          <w:highlight w:val="none"/>
        </w:rPr>
        <w:t>（定制采购不适用本条款）。</w:t>
      </w:r>
      <w:bookmarkEnd w:id="40"/>
      <w:bookmarkEnd w:id="41"/>
      <w:bookmarkEnd w:id="42"/>
    </w:p>
    <w:p w14:paraId="73FD3BA0">
      <w:pPr>
        <w:spacing w:line="360" w:lineRule="exact"/>
        <w:ind w:left="-10" w:leftChars="-5" w:right="2" w:rightChars="1" w:firstLine="422" w:firstLineChars="200"/>
        <w:rPr>
          <w:rFonts w:hint="eastAsia" w:ascii="宋体" w:hAnsi="宋体"/>
          <w:b/>
          <w:bCs/>
          <w:color w:val="auto"/>
          <w:highlight w:val="none"/>
        </w:rPr>
      </w:pPr>
      <w:r>
        <w:rPr>
          <w:rFonts w:hint="eastAsia" w:ascii="宋体" w:hAnsi="宋体"/>
          <w:b/>
          <w:bCs/>
          <w:color w:val="auto"/>
          <w:highlight w:val="none"/>
        </w:rPr>
        <w:t>采购预算：</w:t>
      </w:r>
      <w:r>
        <w:rPr>
          <w:rFonts w:hint="eastAsia" w:ascii="宋体" w:hAnsi="宋体"/>
          <w:b/>
          <w:bCs/>
          <w:color w:val="auto"/>
          <w:highlight w:val="none"/>
          <w:lang w:eastAsia="zh-CN"/>
        </w:rPr>
        <w:t>991.60</w:t>
      </w:r>
      <w:r>
        <w:rPr>
          <w:rFonts w:hint="eastAsia" w:ascii="宋体" w:hAnsi="宋体"/>
          <w:b/>
          <w:bCs/>
          <w:color w:val="auto"/>
          <w:highlight w:val="none"/>
        </w:rPr>
        <w:t>万元</w:t>
      </w:r>
    </w:p>
    <w:tbl>
      <w:tblPr>
        <w:tblStyle w:val="4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4"/>
        <w:gridCol w:w="1023"/>
        <w:gridCol w:w="116"/>
        <w:gridCol w:w="675"/>
        <w:gridCol w:w="677"/>
        <w:gridCol w:w="5447"/>
      </w:tblGrid>
      <w:tr w14:paraId="78938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43" w:type="pct"/>
            <w:noWrap w:val="0"/>
            <w:vAlign w:val="center"/>
          </w:tcPr>
          <w:p w14:paraId="0087A5D5">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668" w:type="pct"/>
            <w:gridSpan w:val="2"/>
            <w:noWrap w:val="0"/>
            <w:vAlign w:val="center"/>
          </w:tcPr>
          <w:p w14:paraId="61755B0A">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标的名称</w:t>
            </w:r>
          </w:p>
        </w:tc>
        <w:tc>
          <w:tcPr>
            <w:tcW w:w="396" w:type="pct"/>
            <w:noWrap w:val="0"/>
            <w:vAlign w:val="center"/>
          </w:tcPr>
          <w:p w14:paraId="322D4B21">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数量及单位</w:t>
            </w:r>
          </w:p>
        </w:tc>
        <w:tc>
          <w:tcPr>
            <w:tcW w:w="397" w:type="pct"/>
            <w:noWrap w:val="0"/>
            <w:vAlign w:val="center"/>
          </w:tcPr>
          <w:p w14:paraId="410829D3">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所属行业</w:t>
            </w:r>
          </w:p>
        </w:tc>
        <w:tc>
          <w:tcPr>
            <w:tcW w:w="3196" w:type="pct"/>
            <w:noWrap w:val="0"/>
            <w:vAlign w:val="center"/>
          </w:tcPr>
          <w:p w14:paraId="6D5CE6C7">
            <w:pPr>
              <w:spacing w:after="0" w:line="360" w:lineRule="exact"/>
              <w:jc w:val="center"/>
              <w:rPr>
                <w:rFonts w:ascii="宋体" w:hAnsi="宋体"/>
                <w:color w:val="auto"/>
                <w:szCs w:val="21"/>
                <w:highlight w:val="none"/>
              </w:rPr>
            </w:pPr>
            <w:r>
              <w:rPr>
                <w:rFonts w:hint="eastAsia" w:ascii="宋体" w:hAnsi="宋体"/>
                <w:color w:val="auto"/>
                <w:szCs w:val="21"/>
                <w:highlight w:val="none"/>
              </w:rPr>
              <w:t>技术要求及需求</w:t>
            </w:r>
          </w:p>
        </w:tc>
      </w:tr>
      <w:tr w14:paraId="1217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43" w:type="pct"/>
            <w:noWrap w:val="0"/>
            <w:vAlign w:val="center"/>
          </w:tcPr>
          <w:p w14:paraId="48E585B4">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668" w:type="pct"/>
            <w:gridSpan w:val="2"/>
            <w:noWrap w:val="0"/>
            <w:vAlign w:val="center"/>
          </w:tcPr>
          <w:p w14:paraId="42E0F465">
            <w:pPr>
              <w:widowControl/>
              <w:spacing w:after="0" w:line="360" w:lineRule="exact"/>
              <w:jc w:val="center"/>
              <w:rPr>
                <w:rFonts w:hint="eastAsia" w:ascii="宋体" w:hAnsi="宋体" w:cs="宋体"/>
                <w:color w:val="auto"/>
                <w:kern w:val="0"/>
                <w:szCs w:val="21"/>
                <w:highlight w:val="none"/>
              </w:rPr>
            </w:pPr>
            <w:r>
              <w:rPr>
                <w:rFonts w:hint="eastAsia" w:ascii="宋体" w:hAnsi="宋体" w:cs="宋体"/>
                <w:color w:val="auto"/>
                <w:highlight w:val="none"/>
              </w:rPr>
              <w:t>ETC门架系统运维服务</w:t>
            </w:r>
          </w:p>
        </w:tc>
        <w:tc>
          <w:tcPr>
            <w:tcW w:w="396" w:type="pct"/>
            <w:noWrap w:val="0"/>
            <w:vAlign w:val="center"/>
          </w:tcPr>
          <w:p w14:paraId="3D9059C1">
            <w:pPr>
              <w:spacing w:after="0" w:line="360" w:lineRule="exact"/>
              <w:jc w:val="center"/>
              <w:rPr>
                <w:rFonts w:hint="eastAsia" w:ascii="宋体" w:hAnsi="宋体"/>
                <w:color w:val="auto"/>
                <w:szCs w:val="21"/>
                <w:highlight w:val="none"/>
              </w:rPr>
            </w:pPr>
            <w:r>
              <w:rPr>
                <w:rFonts w:hint="eastAsia" w:ascii="宋体" w:hAnsi="宋体"/>
                <w:color w:val="auto"/>
                <w:szCs w:val="21"/>
                <w:highlight w:val="none"/>
              </w:rPr>
              <w:t>1项</w:t>
            </w:r>
          </w:p>
        </w:tc>
        <w:tc>
          <w:tcPr>
            <w:tcW w:w="397" w:type="pct"/>
            <w:noWrap w:val="0"/>
            <w:vAlign w:val="center"/>
          </w:tcPr>
          <w:p w14:paraId="0C13C8ED">
            <w:pPr>
              <w:spacing w:after="0" w:line="360" w:lineRule="exact"/>
              <w:jc w:val="center"/>
              <w:rPr>
                <w:rFonts w:hint="eastAsia" w:ascii="宋体" w:hAnsi="宋体"/>
                <w:color w:val="auto"/>
                <w:szCs w:val="21"/>
                <w:highlight w:val="none"/>
              </w:rPr>
            </w:pPr>
            <w:r>
              <w:rPr>
                <w:rFonts w:hint="eastAsia" w:ascii="宋体" w:hAnsi="宋体" w:cs="宋体"/>
                <w:color w:val="auto"/>
                <w:szCs w:val="21"/>
                <w:highlight w:val="none"/>
              </w:rPr>
              <w:t>软件和信息技术服务业</w:t>
            </w:r>
          </w:p>
        </w:tc>
        <w:tc>
          <w:tcPr>
            <w:tcW w:w="3196" w:type="pct"/>
            <w:noWrap w:val="0"/>
            <w:vAlign w:val="center"/>
          </w:tcPr>
          <w:p w14:paraId="0534A047">
            <w:pPr>
              <w:spacing w:after="0" w:line="360" w:lineRule="exact"/>
              <w:ind w:firstLine="310" w:firstLineChars="147"/>
              <w:jc w:val="left"/>
              <w:rPr>
                <w:rFonts w:ascii="宋体" w:hAnsi="宋体" w:cs="Arial"/>
                <w:b/>
                <w:bCs/>
                <w:color w:val="auto"/>
                <w:szCs w:val="21"/>
                <w:highlight w:val="none"/>
              </w:rPr>
            </w:pPr>
            <w:r>
              <w:rPr>
                <w:rFonts w:hint="eastAsia" w:ascii="宋体" w:hAnsi="宋体" w:cs="宋体"/>
                <w:b/>
                <w:bCs/>
                <w:color w:val="auto"/>
                <w:szCs w:val="21"/>
                <w:highlight w:val="none"/>
                <w:lang w:bidi="ar"/>
              </w:rPr>
              <w:t>一、广西ETC门架系统运维服务维护背景</w:t>
            </w:r>
          </w:p>
          <w:p w14:paraId="7585BDCD">
            <w:pPr>
              <w:spacing w:after="0" w:line="360" w:lineRule="exact"/>
              <w:ind w:firstLine="308" w:firstLineChars="147"/>
              <w:jc w:val="left"/>
              <w:rPr>
                <w:rFonts w:ascii="宋体" w:hAnsi="宋体" w:cs="Arial"/>
                <w:bCs/>
                <w:color w:val="auto"/>
                <w:szCs w:val="21"/>
                <w:highlight w:val="none"/>
              </w:rPr>
            </w:pPr>
            <w:r>
              <w:rPr>
                <w:rFonts w:hint="eastAsia" w:ascii="宋体" w:hAnsi="宋体" w:cs="宋体"/>
                <w:bCs/>
                <w:color w:val="auto"/>
                <w:szCs w:val="21"/>
                <w:highlight w:val="none"/>
                <w:lang w:bidi="ar"/>
              </w:rPr>
              <w:t>广西高速公路ETC门架系统作为高速公路现代化管理的一个手段，在保障高速公路正常运营中发挥着重要作用。它既是保证高速公路实现高速、安全、舒适功能的必要组成部分，也是保障高速公路正常运营的必要系统。</w:t>
            </w:r>
          </w:p>
          <w:p w14:paraId="06E1A0DD">
            <w:pPr>
              <w:spacing w:after="0" w:line="360" w:lineRule="exact"/>
              <w:ind w:firstLine="308" w:firstLineChars="147"/>
              <w:jc w:val="left"/>
              <w:rPr>
                <w:rFonts w:ascii="宋体" w:hAnsi="宋体" w:cs="Arial"/>
                <w:bCs/>
                <w:color w:val="auto"/>
                <w:szCs w:val="21"/>
                <w:highlight w:val="none"/>
              </w:rPr>
            </w:pPr>
            <w:r>
              <w:rPr>
                <w:rFonts w:hint="eastAsia" w:ascii="宋体" w:hAnsi="宋体" w:cs="Arial"/>
                <w:bCs/>
                <w:color w:val="auto"/>
                <w:szCs w:val="21"/>
                <w:highlight w:val="none"/>
              </w:rPr>
              <w:t>截至2025年1</w:t>
            </w:r>
            <w:r>
              <w:rPr>
                <w:rFonts w:hint="eastAsia" w:ascii="宋体" w:hAnsi="宋体" w:cs="Arial"/>
                <w:bCs/>
                <w:color w:val="auto"/>
                <w:szCs w:val="21"/>
                <w:highlight w:val="none"/>
                <w:lang w:val="en-US" w:eastAsia="zh-CN"/>
              </w:rPr>
              <w:t>2</w:t>
            </w:r>
            <w:r>
              <w:rPr>
                <w:rFonts w:hint="eastAsia" w:ascii="宋体" w:hAnsi="宋体" w:cs="Arial"/>
                <w:bCs/>
                <w:color w:val="auto"/>
                <w:szCs w:val="21"/>
                <w:highlight w:val="none"/>
              </w:rPr>
              <w:t>月，广西高速公路实体ETC门架已经超过1</w:t>
            </w:r>
            <w:r>
              <w:rPr>
                <w:rFonts w:hint="eastAsia" w:ascii="宋体" w:hAnsi="宋体" w:cs="Arial"/>
                <w:bCs/>
                <w:color w:val="auto"/>
                <w:szCs w:val="21"/>
                <w:highlight w:val="none"/>
                <w:lang w:val="en-US" w:eastAsia="zh-CN"/>
              </w:rPr>
              <w:t>60</w:t>
            </w:r>
            <w:r>
              <w:rPr>
                <w:rFonts w:hint="eastAsia" w:ascii="宋体" w:hAnsi="宋体" w:cs="Arial"/>
                <w:bCs/>
                <w:color w:val="auto"/>
                <w:szCs w:val="21"/>
                <w:highlight w:val="none"/>
              </w:rPr>
              <w:t>0个，每个ETC门架均部署有独立运行的ETC门架系统。ETC门架系统是高速公路的重要组成部分，是保障高速公路联网收费工作顺利开展的必要系统，承担着精准计算高速公路车辆通行费的工作，同时它也在高速公路运营管理工作中发挥着其他作用。因此ETC门架系统的稳定运行是全区联网收费系统运维保障中的重中之重。</w:t>
            </w:r>
          </w:p>
          <w:p w14:paraId="449BB00D">
            <w:pPr>
              <w:spacing w:after="0" w:line="360" w:lineRule="exact"/>
              <w:ind w:firstLine="310" w:firstLineChars="147"/>
              <w:jc w:val="left"/>
              <w:rPr>
                <w:rFonts w:ascii="宋体" w:hAnsi="宋体" w:cs="Arial"/>
                <w:b/>
                <w:bCs/>
                <w:color w:val="auto"/>
                <w:szCs w:val="21"/>
                <w:highlight w:val="none"/>
              </w:rPr>
            </w:pPr>
            <w:r>
              <w:rPr>
                <w:rFonts w:hint="eastAsia" w:ascii="宋体" w:hAnsi="宋体" w:cs="宋体"/>
                <w:b/>
                <w:bCs/>
                <w:color w:val="auto"/>
                <w:szCs w:val="21"/>
                <w:highlight w:val="none"/>
                <w:lang w:bidi="ar"/>
              </w:rPr>
              <w:t>二、广西ETC门架系统运维服务目的</w:t>
            </w:r>
          </w:p>
          <w:p w14:paraId="2AA49E36">
            <w:pPr>
              <w:spacing w:after="0" w:line="360" w:lineRule="exact"/>
              <w:ind w:firstLine="308" w:firstLineChars="147"/>
              <w:jc w:val="left"/>
              <w:rPr>
                <w:rFonts w:ascii="宋体" w:hAnsi="宋体" w:cs="Arial"/>
                <w:bCs/>
                <w:color w:val="auto"/>
                <w:szCs w:val="21"/>
                <w:highlight w:val="none"/>
              </w:rPr>
            </w:pPr>
            <w:r>
              <w:rPr>
                <w:rFonts w:hint="eastAsia" w:ascii="宋体" w:hAnsi="宋体" w:cs="宋体"/>
                <w:bCs/>
                <w:color w:val="auto"/>
                <w:szCs w:val="21"/>
                <w:highlight w:val="none"/>
                <w:lang w:bidi="ar"/>
              </w:rPr>
              <w:t xml:space="preserve">对广西高速公路ETC门架系统进行日常维护与升级和专业的维保，确保系统正常运行。 </w:t>
            </w:r>
          </w:p>
          <w:p w14:paraId="2EC8127E">
            <w:pPr>
              <w:spacing w:after="0" w:line="360" w:lineRule="exact"/>
              <w:ind w:firstLine="310" w:firstLineChars="147"/>
              <w:jc w:val="left"/>
              <w:rPr>
                <w:rFonts w:ascii="宋体" w:hAnsi="宋体" w:cs="Arial"/>
                <w:b/>
                <w:bCs/>
                <w:color w:val="auto"/>
                <w:szCs w:val="21"/>
                <w:highlight w:val="none"/>
              </w:rPr>
            </w:pPr>
            <w:r>
              <w:rPr>
                <w:rFonts w:hint="eastAsia" w:ascii="宋体" w:hAnsi="宋体" w:cs="宋体"/>
                <w:b/>
                <w:bCs/>
                <w:color w:val="auto"/>
                <w:szCs w:val="21"/>
                <w:highlight w:val="none"/>
                <w:lang w:bidi="ar"/>
              </w:rPr>
              <w:t>三、广西ETC门架系统运维服务具体内容</w:t>
            </w:r>
          </w:p>
          <w:p w14:paraId="3B00E5CB">
            <w:pPr>
              <w:spacing w:after="0" w:line="360" w:lineRule="exact"/>
              <w:ind w:firstLine="308" w:firstLineChars="147"/>
              <w:jc w:val="left"/>
              <w:rPr>
                <w:rFonts w:ascii="宋体" w:hAnsi="宋体" w:cs="Arial"/>
                <w:bCs/>
                <w:color w:val="auto"/>
                <w:szCs w:val="21"/>
                <w:highlight w:val="none"/>
              </w:rPr>
            </w:pPr>
            <w:r>
              <w:rPr>
                <w:rFonts w:hint="eastAsia" w:ascii="宋体" w:hAnsi="宋体" w:cs="宋体"/>
                <w:bCs/>
                <w:color w:val="auto"/>
                <w:szCs w:val="21"/>
                <w:highlight w:val="none"/>
                <w:lang w:bidi="ar"/>
              </w:rPr>
              <w:t>1</w:t>
            </w:r>
            <w:r>
              <w:rPr>
                <w:rFonts w:ascii="宋体" w:hAnsi="宋体" w:cs="宋体"/>
                <w:bCs/>
                <w:color w:val="auto"/>
                <w:szCs w:val="21"/>
                <w:highlight w:val="none"/>
                <w:lang w:bidi="ar"/>
              </w:rPr>
              <w:t>.</w:t>
            </w:r>
            <w:r>
              <w:rPr>
                <w:rFonts w:hint="eastAsia" w:ascii="宋体" w:hAnsi="宋体" w:cs="宋体"/>
                <w:bCs/>
                <w:color w:val="auto"/>
                <w:szCs w:val="21"/>
                <w:highlight w:val="none"/>
                <w:lang w:bidi="ar"/>
              </w:rPr>
              <w:t>维护范围：广西联网运营高速公路所有ETC实体门架（至少2</w:t>
            </w:r>
            <w:r>
              <w:rPr>
                <w:rFonts w:hint="eastAsia" w:ascii="宋体" w:hAnsi="宋体" w:cs="宋体"/>
                <w:bCs/>
                <w:color w:val="auto"/>
                <w:szCs w:val="21"/>
                <w:highlight w:val="none"/>
                <w:lang w:val="en-US" w:eastAsia="zh-CN" w:bidi="ar"/>
              </w:rPr>
              <w:t>156</w:t>
            </w:r>
            <w:r>
              <w:rPr>
                <w:rFonts w:hint="eastAsia" w:ascii="宋体" w:hAnsi="宋体" w:cs="宋体"/>
                <w:bCs/>
                <w:color w:val="auto"/>
                <w:szCs w:val="21"/>
                <w:highlight w:val="none"/>
                <w:lang w:bidi="ar"/>
              </w:rPr>
              <w:t>个节点，包含1</w:t>
            </w:r>
            <w:r>
              <w:rPr>
                <w:rFonts w:hint="eastAsia" w:ascii="宋体" w:hAnsi="宋体" w:cs="宋体"/>
                <w:bCs/>
                <w:color w:val="auto"/>
                <w:szCs w:val="21"/>
                <w:highlight w:val="none"/>
                <w:lang w:val="en-US" w:eastAsia="zh-CN" w:bidi="ar"/>
              </w:rPr>
              <w:t>627</w:t>
            </w:r>
            <w:r>
              <w:rPr>
                <w:rFonts w:hint="eastAsia" w:ascii="宋体" w:hAnsi="宋体" w:cs="宋体"/>
                <w:bCs/>
                <w:color w:val="auto"/>
                <w:szCs w:val="21"/>
                <w:highlight w:val="none"/>
                <w:lang w:bidi="ar"/>
              </w:rPr>
              <w:t>个</w:t>
            </w:r>
            <w:r>
              <w:rPr>
                <w:rFonts w:hint="eastAsia" w:ascii="宋体" w:hAnsi="宋体" w:cs="宋体"/>
                <w:bCs/>
                <w:color w:val="auto"/>
                <w:szCs w:val="21"/>
                <w:highlight w:val="none"/>
                <w:lang w:val="en-US" w:eastAsia="zh-CN" w:bidi="ar"/>
              </w:rPr>
              <w:t>前端节点</w:t>
            </w:r>
            <w:r>
              <w:rPr>
                <w:rFonts w:hint="eastAsia" w:ascii="宋体" w:hAnsi="宋体" w:cs="宋体"/>
                <w:bCs/>
                <w:color w:val="auto"/>
                <w:szCs w:val="21"/>
                <w:highlight w:val="none"/>
                <w:lang w:bidi="ar"/>
              </w:rPr>
              <w:t>及5</w:t>
            </w:r>
            <w:r>
              <w:rPr>
                <w:rFonts w:hint="eastAsia" w:ascii="宋体" w:hAnsi="宋体" w:cs="宋体"/>
                <w:bCs/>
                <w:color w:val="auto"/>
                <w:szCs w:val="21"/>
                <w:highlight w:val="none"/>
                <w:lang w:val="en-US" w:eastAsia="zh-CN" w:bidi="ar"/>
              </w:rPr>
              <w:t>29</w:t>
            </w:r>
            <w:r>
              <w:rPr>
                <w:rFonts w:hint="eastAsia" w:ascii="宋体" w:hAnsi="宋体" w:cs="宋体"/>
                <w:bCs/>
                <w:color w:val="auto"/>
                <w:szCs w:val="21"/>
                <w:highlight w:val="none"/>
                <w:lang w:bidi="ar"/>
              </w:rPr>
              <w:t>个</w:t>
            </w:r>
            <w:r>
              <w:rPr>
                <w:rFonts w:hint="eastAsia" w:ascii="宋体" w:hAnsi="宋体" w:cs="宋体"/>
                <w:bCs/>
                <w:color w:val="auto"/>
                <w:szCs w:val="21"/>
                <w:highlight w:val="none"/>
                <w:lang w:val="en-US" w:eastAsia="zh-CN" w:bidi="ar"/>
              </w:rPr>
              <w:t>后端节点</w:t>
            </w:r>
            <w:r>
              <w:rPr>
                <w:rFonts w:hint="eastAsia" w:ascii="宋体" w:hAnsi="宋体" w:cs="宋体"/>
                <w:bCs/>
                <w:color w:val="auto"/>
                <w:szCs w:val="21"/>
                <w:highlight w:val="none"/>
                <w:lang w:bidi="ar"/>
              </w:rPr>
              <w:t>）。</w:t>
            </w:r>
          </w:p>
          <w:p w14:paraId="7B28DB49">
            <w:pPr>
              <w:spacing w:after="0" w:line="360" w:lineRule="exact"/>
              <w:ind w:firstLine="308" w:firstLineChars="147"/>
              <w:jc w:val="left"/>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2.运维工作包括平台化运维能力支撑服务和系统一线运维工作两部分，具体工作内容如下：</w:t>
            </w:r>
          </w:p>
          <w:p w14:paraId="401815E3">
            <w:pPr>
              <w:spacing w:after="0" w:line="360" w:lineRule="exact"/>
              <w:ind w:firstLine="308" w:firstLineChars="147"/>
              <w:jc w:val="left"/>
              <w:rPr>
                <w:rFonts w:ascii="宋体" w:hAnsi="宋体" w:cs="Arial"/>
                <w:bCs/>
                <w:color w:val="auto"/>
                <w:szCs w:val="21"/>
                <w:highlight w:val="none"/>
              </w:rPr>
            </w:pPr>
            <w:r>
              <w:rPr>
                <w:rFonts w:hint="eastAsia" w:ascii="宋体" w:hAnsi="宋体" w:cs="宋体"/>
                <w:bCs/>
                <w:color w:val="auto"/>
                <w:szCs w:val="21"/>
                <w:highlight w:val="none"/>
                <w:lang w:bidi="ar"/>
              </w:rPr>
              <w:t>（1）平台化运维能力支撑服务包括：ETC门架系统软件部署能力支撑服务，提供ETC门架系统软件（门架软件/计费模块/天线固件）不低于2400个节点的镜像管理及批量快速部署更新的支撑能力；ETC门架系统参数配置能力支撑服务，提供系统参数在线配置、自动下发以及运行监测等功能支撑。</w:t>
            </w:r>
          </w:p>
          <w:p w14:paraId="05C4B2A4">
            <w:pPr>
              <w:spacing w:after="0" w:line="360" w:lineRule="exact"/>
              <w:ind w:firstLine="420"/>
              <w:rPr>
                <w:rFonts w:ascii="宋体" w:hAnsi="宋体" w:cs="宋体"/>
                <w:bCs/>
                <w:color w:val="auto"/>
                <w:szCs w:val="21"/>
                <w:highlight w:val="none"/>
                <w:lang w:bidi="ar"/>
              </w:rPr>
            </w:pPr>
            <w:r>
              <w:rPr>
                <w:rFonts w:hint="eastAsia" w:ascii="宋体" w:hAnsi="宋体" w:cs="宋体"/>
                <w:bCs/>
                <w:color w:val="auto"/>
                <w:szCs w:val="21"/>
                <w:highlight w:val="none"/>
                <w:lang w:bidi="ar"/>
              </w:rPr>
              <w:t>具体服务内容如下：</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104"/>
            </w:tblGrid>
            <w:tr w14:paraId="1A6E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noWrap w:val="0"/>
                  <w:vAlign w:val="center"/>
                </w:tcPr>
                <w:p w14:paraId="01262DBA">
                  <w:pPr>
                    <w:spacing w:after="0" w:line="360" w:lineRule="exact"/>
                    <w:jc w:val="center"/>
                    <w:rPr>
                      <w:rFonts w:ascii="宋体" w:hAnsi="宋体"/>
                      <w:color w:val="auto"/>
                      <w:szCs w:val="21"/>
                      <w:highlight w:val="none"/>
                    </w:rPr>
                  </w:pPr>
                  <w:r>
                    <w:rPr>
                      <w:rFonts w:hint="eastAsia" w:ascii="宋体" w:hAnsi="宋体" w:cs="宋体"/>
                      <w:color w:val="auto"/>
                      <w:szCs w:val="21"/>
                      <w:highlight w:val="none"/>
                      <w:lang w:bidi="ar"/>
                    </w:rPr>
                    <w:t>系统</w:t>
                  </w:r>
                </w:p>
              </w:tc>
              <w:tc>
                <w:tcPr>
                  <w:tcW w:w="4330" w:type="dxa"/>
                  <w:noWrap w:val="0"/>
                  <w:vAlign w:val="center"/>
                </w:tcPr>
                <w:p w14:paraId="306278D3">
                  <w:pPr>
                    <w:spacing w:after="0" w:line="360" w:lineRule="exact"/>
                    <w:jc w:val="center"/>
                    <w:rPr>
                      <w:rFonts w:ascii="宋体" w:hAnsi="宋体"/>
                      <w:color w:val="auto"/>
                      <w:szCs w:val="21"/>
                      <w:highlight w:val="none"/>
                    </w:rPr>
                  </w:pPr>
                  <w:r>
                    <w:rPr>
                      <w:rFonts w:hint="eastAsia" w:ascii="宋体" w:hAnsi="宋体" w:cs="宋体"/>
                      <w:color w:val="auto"/>
                      <w:szCs w:val="21"/>
                      <w:highlight w:val="none"/>
                      <w:lang w:bidi="ar"/>
                    </w:rPr>
                    <w:t>保障范围</w:t>
                  </w:r>
                </w:p>
              </w:tc>
            </w:tr>
            <w:tr w14:paraId="44CC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restart"/>
                  <w:noWrap w:val="0"/>
                  <w:vAlign w:val="center"/>
                </w:tcPr>
                <w:p w14:paraId="24206330">
                  <w:pPr>
                    <w:spacing w:after="0" w:line="360" w:lineRule="exact"/>
                    <w:rPr>
                      <w:rFonts w:hint="eastAsia" w:ascii="宋体" w:hAnsi="宋体" w:cs="宋体"/>
                      <w:bCs/>
                      <w:color w:val="auto"/>
                      <w:szCs w:val="21"/>
                      <w:highlight w:val="none"/>
                      <w:lang w:bidi="ar"/>
                    </w:rPr>
                  </w:pPr>
                  <w:r>
                    <w:rPr>
                      <w:rFonts w:hint="eastAsia" w:ascii="宋体" w:hAnsi="宋体" w:cs="宋体"/>
                      <w:color w:val="auto"/>
                      <w:szCs w:val="21"/>
                      <w:highlight w:val="none"/>
                      <w:lang w:bidi="ar"/>
                    </w:rPr>
                    <w:t>ETC门架系统</w:t>
                  </w:r>
                </w:p>
              </w:tc>
              <w:tc>
                <w:tcPr>
                  <w:tcW w:w="4330" w:type="dxa"/>
                  <w:noWrap w:val="0"/>
                  <w:vAlign w:val="center"/>
                </w:tcPr>
                <w:p w14:paraId="6EBD6606">
                  <w:pPr>
                    <w:spacing w:after="0" w:line="360" w:lineRule="exact"/>
                    <w:rPr>
                      <w:rFonts w:hint="eastAsia" w:ascii="宋体" w:hAnsi="宋体" w:cs="宋体"/>
                      <w:bCs/>
                      <w:color w:val="auto"/>
                      <w:szCs w:val="21"/>
                      <w:highlight w:val="none"/>
                      <w:lang w:bidi="ar"/>
                    </w:rPr>
                  </w:pPr>
                  <w:r>
                    <w:rPr>
                      <w:rFonts w:hint="eastAsia" w:ascii="宋体" w:hAnsi="宋体" w:cs="宋体"/>
                      <w:color w:val="auto"/>
                      <w:szCs w:val="21"/>
                      <w:highlight w:val="none"/>
                      <w:lang w:bidi="ar"/>
                    </w:rPr>
                    <w:t>ETC门架系统软件部署能力</w:t>
                  </w:r>
                  <w:r>
                    <w:rPr>
                      <w:rFonts w:hint="eastAsia" w:ascii="宋体" w:hAnsi="宋体" w:cs="宋体"/>
                      <w:bCs/>
                      <w:color w:val="auto"/>
                      <w:szCs w:val="21"/>
                      <w:highlight w:val="none"/>
                      <w:lang w:bidi="ar"/>
                    </w:rPr>
                    <w:t>支撑服务，包括：</w:t>
                  </w:r>
                </w:p>
                <w:p w14:paraId="174104BC">
                  <w:pPr>
                    <w:spacing w:after="0" w:line="360" w:lineRule="exact"/>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（1）提供ETC门架系统前端和后台节点注册、边缘容器应用部署和升级环境。</w:t>
                  </w:r>
                </w:p>
                <w:p w14:paraId="0EBADA9C">
                  <w:pPr>
                    <w:spacing w:after="0" w:line="360" w:lineRule="exact"/>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（2）提供边缘容器运行状态监测服务，支持边缘容器的运维、升级等。</w:t>
                  </w:r>
                </w:p>
                <w:p w14:paraId="2037AF16">
                  <w:pPr>
                    <w:spacing w:after="0" w:line="360" w:lineRule="exact"/>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（3）为门架边缘容器应用提供资源调度服务，支持对容器使用资源分配进行设置。</w:t>
                  </w:r>
                </w:p>
                <w:p w14:paraId="54092461">
                  <w:pPr>
                    <w:spacing w:after="0" w:line="360" w:lineRule="exact"/>
                    <w:rPr>
                      <w:rFonts w:hint="eastAsia" w:ascii="宋体" w:hAnsi="宋体" w:cs="宋体"/>
                      <w:bCs/>
                      <w:color w:val="auto"/>
                      <w:szCs w:val="21"/>
                      <w:highlight w:val="none"/>
                      <w:lang w:bidi="ar"/>
                    </w:rPr>
                  </w:pPr>
                  <w:r>
                    <w:rPr>
                      <w:rFonts w:hint="eastAsia" w:ascii="宋体" w:hAnsi="宋体" w:cs="宋体"/>
                      <w:bCs/>
                      <w:color w:val="auto"/>
                      <w:szCs w:val="21"/>
                      <w:highlight w:val="none"/>
                      <w:lang w:bidi="ar"/>
                    </w:rPr>
                    <w:t>（4）支持边缘容器的镜像管理，提供应用软件以及门架上运行的通用系统软件（组件）提供版本管理服务。</w:t>
                  </w:r>
                </w:p>
                <w:p w14:paraId="3F309412">
                  <w:pPr>
                    <w:spacing w:after="0" w:line="360" w:lineRule="exact"/>
                    <w:rPr>
                      <w:rFonts w:ascii="宋体" w:hAnsi="宋体"/>
                      <w:color w:val="auto"/>
                      <w:szCs w:val="21"/>
                      <w:highlight w:val="none"/>
                    </w:rPr>
                  </w:pPr>
                  <w:r>
                    <w:rPr>
                      <w:rFonts w:hint="eastAsia" w:ascii="宋体" w:hAnsi="宋体" w:cs="宋体"/>
                      <w:bCs/>
                      <w:color w:val="auto"/>
                      <w:szCs w:val="21"/>
                      <w:highlight w:val="none"/>
                      <w:lang w:bidi="ar"/>
                    </w:rPr>
                    <w:t>（5）分权分域管理服务，支持对全区门架边缘节点以及边缘容器应用进行分权分域管理。</w:t>
                  </w:r>
                </w:p>
              </w:tc>
            </w:tr>
            <w:tr w14:paraId="07D6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noWrap w:val="0"/>
                  <w:vAlign w:val="center"/>
                </w:tcPr>
                <w:p w14:paraId="1C166023">
                  <w:pPr>
                    <w:spacing w:after="0" w:line="360" w:lineRule="exact"/>
                    <w:rPr>
                      <w:rFonts w:hint="eastAsia" w:ascii="宋体" w:hAnsi="宋体" w:cs="宋体"/>
                      <w:color w:val="auto"/>
                      <w:szCs w:val="21"/>
                      <w:highlight w:val="none"/>
                      <w:lang w:bidi="ar"/>
                    </w:rPr>
                  </w:pPr>
                </w:p>
              </w:tc>
              <w:tc>
                <w:tcPr>
                  <w:tcW w:w="4330" w:type="dxa"/>
                  <w:noWrap w:val="0"/>
                  <w:vAlign w:val="center"/>
                </w:tcPr>
                <w:p w14:paraId="4CA2B7B3">
                  <w:pPr>
                    <w:spacing w:after="0" w:line="36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ETC门架系统参数配置能力支撑服务，包括：</w:t>
                  </w:r>
                </w:p>
                <w:p w14:paraId="0B7FE71A">
                  <w:pPr>
                    <w:spacing w:after="0" w:line="36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（1）提供运行参数在线管理环境，支持对全区ETC门架系统运行参数远程配置及管理。</w:t>
                  </w:r>
                </w:p>
                <w:p w14:paraId="0A1BA02F">
                  <w:pPr>
                    <w:spacing w:after="0" w:line="36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（2）提供收费单元、ETC门架关系属性配置环境，支持对全区ETC门架系统进行收费单元、ETC门架相关归属关系远程在线配置管理。</w:t>
                  </w:r>
                </w:p>
                <w:p w14:paraId="0C7E2E09">
                  <w:pPr>
                    <w:spacing w:after="0" w:line="36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（3）版本管理服务，对ETC门架系统运行参数、配置基础信息进行统一版本管理。</w:t>
                  </w:r>
                </w:p>
                <w:p w14:paraId="45081716">
                  <w:pPr>
                    <w:spacing w:after="0" w:line="36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（4）支持对全区ETC门架系统配置权限进行分权分域管理。</w:t>
                  </w:r>
                </w:p>
              </w:tc>
            </w:tr>
            <w:tr w14:paraId="5C88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7" w:type="dxa"/>
                  <w:vMerge w:val="continue"/>
                  <w:noWrap w:val="0"/>
                  <w:vAlign w:val="center"/>
                </w:tcPr>
                <w:p w14:paraId="583784B9">
                  <w:pPr>
                    <w:spacing w:after="0" w:line="360" w:lineRule="exact"/>
                    <w:rPr>
                      <w:rFonts w:hint="eastAsia" w:ascii="宋体" w:hAnsi="宋体" w:cs="宋体"/>
                      <w:color w:val="auto"/>
                      <w:szCs w:val="21"/>
                      <w:highlight w:val="none"/>
                      <w:lang w:bidi="ar"/>
                    </w:rPr>
                  </w:pPr>
                </w:p>
              </w:tc>
              <w:tc>
                <w:tcPr>
                  <w:tcW w:w="4330" w:type="dxa"/>
                  <w:noWrap w:val="0"/>
                  <w:vAlign w:val="center"/>
                </w:tcPr>
                <w:p w14:paraId="4493DD16">
                  <w:pPr>
                    <w:spacing w:after="0" w:line="360" w:lineRule="exact"/>
                    <w:rPr>
                      <w:rFonts w:hint="eastAsia" w:ascii="宋体" w:hAnsi="宋体" w:cs="宋体"/>
                      <w:color w:val="auto"/>
                      <w:szCs w:val="21"/>
                      <w:highlight w:val="none"/>
                      <w:lang w:bidi="ar"/>
                    </w:rPr>
                  </w:pPr>
                  <w:r>
                    <w:rPr>
                      <w:rFonts w:hint="eastAsia" w:ascii="宋体" w:hAnsi="宋体" w:cs="宋体"/>
                      <w:color w:val="auto"/>
                      <w:szCs w:val="21"/>
                      <w:highlight w:val="none"/>
                      <w:lang w:bidi="ar"/>
                    </w:rPr>
                    <w:t>ETC门架前端关键设备技术服务，主要包括：配合对全区ETC门架系统进行ETC门架天线设备固件测试、定版、版本管理等工作，提供批量部署环境和部署支撑服务。</w:t>
                  </w:r>
                </w:p>
              </w:tc>
            </w:tr>
          </w:tbl>
          <w:p w14:paraId="1B10AC28">
            <w:pPr>
              <w:spacing w:after="0" w:line="360" w:lineRule="exact"/>
              <w:rPr>
                <w:rFonts w:hint="eastAsia" w:ascii="宋体" w:hAnsi="宋体" w:cs="宋体"/>
                <w:bCs/>
                <w:color w:val="auto"/>
                <w:szCs w:val="21"/>
                <w:highlight w:val="none"/>
                <w:lang w:bidi="ar"/>
              </w:rPr>
            </w:pPr>
          </w:p>
          <w:p w14:paraId="2B6585BC">
            <w:pPr>
              <w:spacing w:after="0" w:line="360" w:lineRule="exact"/>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（2）运维工作（软件部分）</w:t>
            </w:r>
          </w:p>
          <w:p w14:paraId="4E7B0B29">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负责ETC门架系统软件、计费模块及ETC门架运行参数的日常维护，以及满足省内ETC门架相关的特殊运维要求等。</w:t>
            </w:r>
          </w:p>
          <w:p w14:paraId="715A9FCC">
            <w:pPr>
              <w:spacing w:after="0" w:line="360" w:lineRule="exact"/>
              <w:ind w:firstLine="420"/>
              <w:rPr>
                <w:rFonts w:ascii="宋体" w:hAnsi="宋体" w:cs="宋体"/>
                <w:bCs/>
                <w:color w:val="auto"/>
                <w:szCs w:val="21"/>
                <w:highlight w:val="none"/>
                <w:lang w:bidi="ar"/>
              </w:rPr>
            </w:pPr>
            <w:r>
              <w:rPr>
                <w:rFonts w:hint="eastAsia" w:ascii="宋体" w:hAnsi="宋体" w:cs="宋体"/>
                <w:color w:val="auto"/>
                <w:szCs w:val="21"/>
                <w:highlight w:val="none"/>
                <w:lang w:bidi="ar"/>
              </w:rPr>
              <w:t>具体服务内容包括但不限于以下范围：</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363"/>
              <w:gridCol w:w="3155"/>
            </w:tblGrid>
            <w:tr w14:paraId="11049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noWrap w:val="0"/>
                  <w:vAlign w:val="center"/>
                </w:tcPr>
                <w:p w14:paraId="301A50DE">
                  <w:pPr>
                    <w:spacing w:after="0" w:line="360" w:lineRule="exact"/>
                    <w:jc w:val="center"/>
                    <w:rPr>
                      <w:rFonts w:ascii="宋体" w:hAnsi="宋体"/>
                      <w:color w:val="auto"/>
                      <w:szCs w:val="21"/>
                      <w:highlight w:val="none"/>
                    </w:rPr>
                  </w:pPr>
                  <w:r>
                    <w:rPr>
                      <w:rFonts w:hint="eastAsia" w:ascii="宋体" w:hAnsi="宋体" w:cs="宋体"/>
                      <w:color w:val="auto"/>
                      <w:szCs w:val="21"/>
                      <w:highlight w:val="none"/>
                      <w:lang w:bidi="ar"/>
                    </w:rPr>
                    <w:t>系统</w:t>
                  </w:r>
                </w:p>
              </w:tc>
              <w:tc>
                <w:tcPr>
                  <w:tcW w:w="1433" w:type="dxa"/>
                  <w:noWrap w:val="0"/>
                  <w:vAlign w:val="center"/>
                </w:tcPr>
                <w:p w14:paraId="58FA918E">
                  <w:pPr>
                    <w:spacing w:after="0" w:line="360" w:lineRule="exact"/>
                    <w:jc w:val="center"/>
                    <w:rPr>
                      <w:rFonts w:ascii="宋体" w:hAnsi="宋体"/>
                      <w:color w:val="auto"/>
                      <w:szCs w:val="21"/>
                      <w:highlight w:val="none"/>
                    </w:rPr>
                  </w:pPr>
                  <w:r>
                    <w:rPr>
                      <w:rFonts w:hint="eastAsia" w:ascii="宋体" w:hAnsi="宋体" w:cs="宋体"/>
                      <w:color w:val="auto"/>
                      <w:szCs w:val="21"/>
                      <w:highlight w:val="none"/>
                      <w:lang w:bidi="ar"/>
                    </w:rPr>
                    <w:t>模块</w:t>
                  </w:r>
                </w:p>
              </w:tc>
              <w:tc>
                <w:tcPr>
                  <w:tcW w:w="3343" w:type="dxa"/>
                  <w:noWrap w:val="0"/>
                  <w:vAlign w:val="center"/>
                </w:tcPr>
                <w:p w14:paraId="0CCBABDF">
                  <w:pPr>
                    <w:spacing w:after="0" w:line="360" w:lineRule="exact"/>
                    <w:jc w:val="center"/>
                    <w:rPr>
                      <w:rFonts w:ascii="宋体" w:hAnsi="宋体"/>
                      <w:color w:val="auto"/>
                      <w:szCs w:val="21"/>
                      <w:highlight w:val="none"/>
                    </w:rPr>
                  </w:pPr>
                  <w:r>
                    <w:rPr>
                      <w:rFonts w:hint="eastAsia" w:ascii="宋体" w:hAnsi="宋体" w:cs="宋体"/>
                      <w:color w:val="auto"/>
                      <w:szCs w:val="21"/>
                      <w:highlight w:val="none"/>
                      <w:lang w:bidi="ar"/>
                    </w:rPr>
                    <w:t>保障范围</w:t>
                  </w:r>
                </w:p>
              </w:tc>
            </w:tr>
            <w:tr w14:paraId="44BB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restart"/>
                  <w:noWrap w:val="0"/>
                  <w:vAlign w:val="center"/>
                </w:tcPr>
                <w:p w14:paraId="5771C315">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ETC门架软件</w:t>
                  </w:r>
                </w:p>
              </w:tc>
              <w:tc>
                <w:tcPr>
                  <w:tcW w:w="1433" w:type="dxa"/>
                  <w:noWrap w:val="0"/>
                  <w:vAlign w:val="center"/>
                </w:tcPr>
                <w:p w14:paraId="178A42B8">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门架收费单元维护</w:t>
                  </w:r>
                </w:p>
              </w:tc>
              <w:tc>
                <w:tcPr>
                  <w:tcW w:w="3343" w:type="dxa"/>
                  <w:noWrap w:val="0"/>
                  <w:vAlign w:val="center"/>
                </w:tcPr>
                <w:p w14:paraId="67882D20">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对全区门架的收费单元进行定义、录入和维护。</w:t>
                  </w:r>
                </w:p>
              </w:tc>
            </w:tr>
            <w:tr w14:paraId="64A2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0204BB7A">
                  <w:pPr>
                    <w:spacing w:after="0" w:line="360" w:lineRule="exact"/>
                    <w:rPr>
                      <w:rFonts w:hint="eastAsia" w:ascii="宋体" w:hAnsi="宋体" w:cs="宋体"/>
                      <w:bCs/>
                      <w:color w:val="auto"/>
                      <w:szCs w:val="21"/>
                      <w:highlight w:val="none"/>
                      <w:lang w:bidi="ar"/>
                    </w:rPr>
                  </w:pPr>
                </w:p>
              </w:tc>
              <w:tc>
                <w:tcPr>
                  <w:tcW w:w="1433" w:type="dxa"/>
                  <w:noWrap w:val="0"/>
                  <w:vAlign w:val="center"/>
                </w:tcPr>
                <w:p w14:paraId="1F253813">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门架编号维护</w:t>
                  </w:r>
                </w:p>
              </w:tc>
              <w:tc>
                <w:tcPr>
                  <w:tcW w:w="3343" w:type="dxa"/>
                  <w:noWrap w:val="0"/>
                  <w:vAlign w:val="center"/>
                </w:tcPr>
                <w:p w14:paraId="11D8C6B8">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对全区门架编号进行定义、录入和维护。</w:t>
                  </w:r>
                </w:p>
              </w:tc>
            </w:tr>
            <w:tr w14:paraId="5B11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243746FA">
                  <w:pPr>
                    <w:spacing w:after="0" w:line="360" w:lineRule="exact"/>
                    <w:rPr>
                      <w:rFonts w:hint="eastAsia" w:ascii="宋体" w:hAnsi="宋体" w:cs="宋体"/>
                      <w:bCs/>
                      <w:color w:val="auto"/>
                      <w:szCs w:val="21"/>
                      <w:highlight w:val="none"/>
                      <w:lang w:bidi="ar"/>
                    </w:rPr>
                  </w:pPr>
                </w:p>
              </w:tc>
              <w:tc>
                <w:tcPr>
                  <w:tcW w:w="1433" w:type="dxa"/>
                  <w:noWrap w:val="0"/>
                  <w:vAlign w:val="center"/>
                </w:tcPr>
                <w:p w14:paraId="2DFE17A9">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门架运行参数</w:t>
                  </w:r>
                </w:p>
              </w:tc>
              <w:tc>
                <w:tcPr>
                  <w:tcW w:w="3343" w:type="dxa"/>
                  <w:noWrap w:val="0"/>
                  <w:vAlign w:val="center"/>
                </w:tcPr>
                <w:p w14:paraId="313F0F0A">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对门架系统配置平台中的网络配置、基础参数、授权文件、门架关系属性、天线和牌识等设备运行参数进行配置和维护。</w:t>
                  </w:r>
                </w:p>
              </w:tc>
            </w:tr>
            <w:tr w14:paraId="70FD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1C3E2856">
                  <w:pPr>
                    <w:spacing w:after="0" w:line="360" w:lineRule="exact"/>
                    <w:rPr>
                      <w:rFonts w:hint="eastAsia" w:ascii="宋体" w:hAnsi="宋体" w:cs="宋体"/>
                      <w:bCs/>
                      <w:color w:val="auto"/>
                      <w:szCs w:val="21"/>
                      <w:highlight w:val="none"/>
                      <w:lang w:bidi="ar"/>
                    </w:rPr>
                  </w:pPr>
                </w:p>
              </w:tc>
              <w:tc>
                <w:tcPr>
                  <w:tcW w:w="1433" w:type="dxa"/>
                  <w:noWrap w:val="0"/>
                  <w:vAlign w:val="center"/>
                </w:tcPr>
                <w:p w14:paraId="309F0D8F">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门架节点运维</w:t>
                  </w:r>
                </w:p>
              </w:tc>
              <w:tc>
                <w:tcPr>
                  <w:tcW w:w="3343" w:type="dxa"/>
                  <w:noWrap w:val="0"/>
                  <w:vAlign w:val="center"/>
                </w:tcPr>
                <w:p w14:paraId="6A91FC8C">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保证各路段门架节点在线，对故障节点及时进行处理。</w:t>
                  </w:r>
                </w:p>
              </w:tc>
            </w:tr>
            <w:tr w14:paraId="3AE6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1F345B89">
                  <w:pPr>
                    <w:spacing w:after="0" w:line="360" w:lineRule="exact"/>
                    <w:rPr>
                      <w:rFonts w:hint="eastAsia" w:ascii="宋体" w:hAnsi="宋体" w:cs="宋体"/>
                      <w:bCs/>
                      <w:color w:val="auto"/>
                      <w:szCs w:val="21"/>
                      <w:highlight w:val="none"/>
                      <w:lang w:bidi="ar"/>
                    </w:rPr>
                  </w:pPr>
                </w:p>
              </w:tc>
              <w:tc>
                <w:tcPr>
                  <w:tcW w:w="1433" w:type="dxa"/>
                  <w:noWrap w:val="0"/>
                  <w:vAlign w:val="center"/>
                </w:tcPr>
                <w:p w14:paraId="1B9EB39D">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门架数据存储运维</w:t>
                  </w:r>
                </w:p>
              </w:tc>
              <w:tc>
                <w:tcPr>
                  <w:tcW w:w="3343" w:type="dxa"/>
                  <w:noWrap w:val="0"/>
                  <w:vAlign w:val="center"/>
                </w:tcPr>
                <w:p w14:paraId="5048AE3B">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保证各路段门架服务器数据正常存储，主备切换正常。</w:t>
                  </w:r>
                </w:p>
              </w:tc>
            </w:tr>
            <w:tr w14:paraId="1716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7A0D1D93">
                  <w:pPr>
                    <w:spacing w:after="0" w:line="360" w:lineRule="exact"/>
                    <w:rPr>
                      <w:rFonts w:hint="eastAsia" w:ascii="宋体" w:hAnsi="宋体" w:cs="宋体"/>
                      <w:bCs/>
                      <w:color w:val="auto"/>
                      <w:szCs w:val="21"/>
                      <w:highlight w:val="none"/>
                      <w:lang w:bidi="ar"/>
                    </w:rPr>
                  </w:pPr>
                </w:p>
              </w:tc>
              <w:tc>
                <w:tcPr>
                  <w:tcW w:w="1433" w:type="dxa"/>
                  <w:noWrap w:val="0"/>
                  <w:vAlign w:val="center"/>
                </w:tcPr>
                <w:p w14:paraId="2CC92D3A">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门架应用运维</w:t>
                  </w:r>
                </w:p>
              </w:tc>
              <w:tc>
                <w:tcPr>
                  <w:tcW w:w="3343" w:type="dxa"/>
                  <w:noWrap w:val="0"/>
                  <w:vAlign w:val="center"/>
                </w:tcPr>
                <w:p w14:paraId="25C455B4">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保证各路段门架前端和后台的各类应用正常运行。</w:t>
                  </w:r>
                </w:p>
              </w:tc>
            </w:tr>
            <w:tr w14:paraId="3687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3137D9A1">
                  <w:pPr>
                    <w:spacing w:after="0" w:line="360" w:lineRule="exact"/>
                    <w:rPr>
                      <w:rFonts w:hint="eastAsia" w:ascii="宋体" w:hAnsi="宋体" w:cs="宋体"/>
                      <w:bCs/>
                      <w:color w:val="auto"/>
                      <w:szCs w:val="21"/>
                      <w:highlight w:val="none"/>
                      <w:lang w:bidi="ar"/>
                    </w:rPr>
                  </w:pPr>
                </w:p>
              </w:tc>
              <w:tc>
                <w:tcPr>
                  <w:tcW w:w="1433" w:type="dxa"/>
                  <w:noWrap w:val="0"/>
                  <w:vAlign w:val="center"/>
                </w:tcPr>
                <w:p w14:paraId="7A6A70ED">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门架状态远程巡检</w:t>
                  </w:r>
                </w:p>
              </w:tc>
              <w:tc>
                <w:tcPr>
                  <w:tcW w:w="3343" w:type="dxa"/>
                  <w:noWrap w:val="0"/>
                  <w:vAlign w:val="center"/>
                </w:tcPr>
                <w:p w14:paraId="3838109F">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定期对门架状态进行远程巡检，包括门架运行状态、天线状态、牌识状态、数据传输状态、时钟同步状态、秘钥授权状态、硬盘及内存状态，巡检后形成故障分析反馈说明报送采购人。</w:t>
                  </w:r>
                </w:p>
              </w:tc>
            </w:tr>
            <w:tr w14:paraId="6570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0FFCDFBC">
                  <w:pPr>
                    <w:spacing w:after="0" w:line="360" w:lineRule="exact"/>
                    <w:rPr>
                      <w:rFonts w:hint="eastAsia" w:ascii="宋体" w:hAnsi="宋体" w:cs="宋体"/>
                      <w:bCs/>
                      <w:color w:val="auto"/>
                      <w:szCs w:val="21"/>
                      <w:highlight w:val="none"/>
                      <w:lang w:bidi="ar"/>
                    </w:rPr>
                  </w:pPr>
                </w:p>
              </w:tc>
              <w:tc>
                <w:tcPr>
                  <w:tcW w:w="1433" w:type="dxa"/>
                  <w:noWrap w:val="0"/>
                  <w:vAlign w:val="center"/>
                </w:tcPr>
                <w:p w14:paraId="108C7F8A">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门架前端应用升级</w:t>
                  </w:r>
                </w:p>
              </w:tc>
              <w:tc>
                <w:tcPr>
                  <w:tcW w:w="3343" w:type="dxa"/>
                  <w:noWrap w:val="0"/>
                  <w:vAlign w:val="center"/>
                </w:tcPr>
                <w:p w14:paraId="71D2E297">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对门架前端软件版本进行升级，对升级过程进行监测，发现问题及时处理，并将处理结果及时反馈采购人。</w:t>
                  </w:r>
                </w:p>
              </w:tc>
            </w:tr>
            <w:tr w14:paraId="67E0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5313EB1B">
                  <w:pPr>
                    <w:spacing w:after="0" w:line="360" w:lineRule="exact"/>
                    <w:rPr>
                      <w:rFonts w:hint="eastAsia" w:ascii="宋体" w:hAnsi="宋体" w:cs="宋体"/>
                      <w:bCs/>
                      <w:color w:val="auto"/>
                      <w:szCs w:val="21"/>
                      <w:highlight w:val="none"/>
                      <w:lang w:bidi="ar"/>
                    </w:rPr>
                  </w:pPr>
                </w:p>
              </w:tc>
              <w:tc>
                <w:tcPr>
                  <w:tcW w:w="1433" w:type="dxa"/>
                  <w:noWrap w:val="0"/>
                  <w:vAlign w:val="center"/>
                </w:tcPr>
                <w:p w14:paraId="48C290B5">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门架服务器软件升级</w:t>
                  </w:r>
                </w:p>
              </w:tc>
              <w:tc>
                <w:tcPr>
                  <w:tcW w:w="3343" w:type="dxa"/>
                  <w:noWrap w:val="0"/>
                  <w:vAlign w:val="center"/>
                </w:tcPr>
                <w:p w14:paraId="70D74DA2">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对门架服务器软件及数据库进行升级，对升级过程进行监测，发现问题及时处理，并将处理结果及时反馈采购人。</w:t>
                  </w:r>
                </w:p>
              </w:tc>
            </w:tr>
            <w:tr w14:paraId="62C1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51861C4F">
                  <w:pPr>
                    <w:spacing w:after="0" w:line="360" w:lineRule="exact"/>
                    <w:rPr>
                      <w:rFonts w:hint="eastAsia" w:ascii="宋体" w:hAnsi="宋体" w:cs="宋体"/>
                      <w:bCs/>
                      <w:color w:val="auto"/>
                      <w:szCs w:val="21"/>
                      <w:highlight w:val="none"/>
                      <w:lang w:bidi="ar"/>
                    </w:rPr>
                  </w:pPr>
                </w:p>
              </w:tc>
              <w:tc>
                <w:tcPr>
                  <w:tcW w:w="1433" w:type="dxa"/>
                  <w:noWrap w:val="0"/>
                  <w:vAlign w:val="center"/>
                </w:tcPr>
                <w:p w14:paraId="1078C0FA">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计费模块升级</w:t>
                  </w:r>
                </w:p>
              </w:tc>
              <w:tc>
                <w:tcPr>
                  <w:tcW w:w="3343" w:type="dxa"/>
                  <w:noWrap w:val="0"/>
                  <w:vAlign w:val="center"/>
                </w:tcPr>
                <w:p w14:paraId="71990587">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按照省中心要求对全区门架计费模块进行升级，保障门架计费的准确性，对升级过程进行监测，发现问题及时处理，并将处理结果及时反馈采购人。</w:t>
                  </w:r>
                </w:p>
              </w:tc>
            </w:tr>
            <w:tr w14:paraId="049E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64F33287">
                  <w:pPr>
                    <w:spacing w:after="0" w:line="360" w:lineRule="exact"/>
                    <w:rPr>
                      <w:rFonts w:hint="eastAsia" w:ascii="宋体" w:hAnsi="宋体" w:cs="宋体"/>
                      <w:bCs/>
                      <w:color w:val="auto"/>
                      <w:szCs w:val="21"/>
                      <w:highlight w:val="none"/>
                      <w:lang w:bidi="ar"/>
                    </w:rPr>
                  </w:pPr>
                </w:p>
              </w:tc>
              <w:tc>
                <w:tcPr>
                  <w:tcW w:w="1433" w:type="dxa"/>
                  <w:noWrap w:val="0"/>
                  <w:vAlign w:val="center"/>
                </w:tcPr>
                <w:p w14:paraId="1B6DFEC1">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门架数据部站传输</w:t>
                  </w:r>
                </w:p>
              </w:tc>
              <w:tc>
                <w:tcPr>
                  <w:tcW w:w="3343" w:type="dxa"/>
                  <w:noWrap w:val="0"/>
                  <w:vAlign w:val="center"/>
                </w:tcPr>
                <w:p w14:paraId="22C5079A">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保障门架交易和牌识数据能够及时上传至部中心。若因为网络问题导致故障，及时进行上报。</w:t>
                  </w:r>
                </w:p>
              </w:tc>
            </w:tr>
            <w:tr w14:paraId="5B63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45BD04D0">
                  <w:pPr>
                    <w:spacing w:after="0" w:line="360" w:lineRule="exact"/>
                    <w:rPr>
                      <w:rFonts w:hint="eastAsia" w:ascii="宋体" w:hAnsi="宋体" w:cs="宋体"/>
                      <w:bCs/>
                      <w:color w:val="auto"/>
                      <w:szCs w:val="21"/>
                      <w:highlight w:val="none"/>
                      <w:lang w:bidi="ar"/>
                    </w:rPr>
                  </w:pPr>
                </w:p>
              </w:tc>
              <w:tc>
                <w:tcPr>
                  <w:tcW w:w="1433" w:type="dxa"/>
                  <w:noWrap w:val="0"/>
                  <w:vAlign w:val="center"/>
                </w:tcPr>
                <w:p w14:paraId="07F75FB6">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门架数据部省传输</w:t>
                  </w:r>
                </w:p>
              </w:tc>
              <w:tc>
                <w:tcPr>
                  <w:tcW w:w="3343" w:type="dxa"/>
                  <w:noWrap w:val="0"/>
                  <w:vAlign w:val="center"/>
                </w:tcPr>
                <w:p w14:paraId="355B04B2">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保障门架交易和牌识数据能够及时上传至省中心。若因为网络问题导致故障，及时进行上报。</w:t>
                  </w:r>
                </w:p>
              </w:tc>
            </w:tr>
            <w:tr w14:paraId="19BA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40AE50CD">
                  <w:pPr>
                    <w:spacing w:after="0" w:line="360" w:lineRule="exact"/>
                    <w:rPr>
                      <w:rFonts w:hint="eastAsia" w:ascii="宋体" w:hAnsi="宋体" w:cs="宋体"/>
                      <w:bCs/>
                      <w:color w:val="auto"/>
                      <w:szCs w:val="21"/>
                      <w:highlight w:val="none"/>
                      <w:lang w:bidi="ar"/>
                    </w:rPr>
                  </w:pPr>
                </w:p>
              </w:tc>
              <w:tc>
                <w:tcPr>
                  <w:tcW w:w="1433" w:type="dxa"/>
                  <w:noWrap w:val="0"/>
                  <w:vAlign w:val="center"/>
                </w:tcPr>
                <w:p w14:paraId="29DF92CB">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门架图片</w:t>
                  </w:r>
                </w:p>
              </w:tc>
              <w:tc>
                <w:tcPr>
                  <w:tcW w:w="3343" w:type="dxa"/>
                  <w:noWrap w:val="0"/>
                  <w:vAlign w:val="center"/>
                </w:tcPr>
                <w:p w14:paraId="02CCEB97">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保障门架图片能够及时按需调取。若因为网络问题导致故障，及时进行上报。</w:t>
                  </w:r>
                </w:p>
              </w:tc>
            </w:tr>
            <w:tr w14:paraId="0F88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65235325">
                  <w:pPr>
                    <w:spacing w:after="0" w:line="360" w:lineRule="exact"/>
                    <w:rPr>
                      <w:rFonts w:hint="eastAsia" w:ascii="宋体" w:hAnsi="宋体" w:cs="宋体"/>
                      <w:bCs/>
                      <w:color w:val="auto"/>
                      <w:szCs w:val="21"/>
                      <w:highlight w:val="none"/>
                      <w:lang w:bidi="ar"/>
                    </w:rPr>
                  </w:pPr>
                </w:p>
              </w:tc>
              <w:tc>
                <w:tcPr>
                  <w:tcW w:w="1433" w:type="dxa"/>
                  <w:noWrap w:val="0"/>
                  <w:vAlign w:val="center"/>
                </w:tcPr>
                <w:p w14:paraId="6B89F325">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门架镜像加速服务</w:t>
                  </w:r>
                </w:p>
              </w:tc>
              <w:tc>
                <w:tcPr>
                  <w:tcW w:w="3343" w:type="dxa"/>
                  <w:noWrap w:val="0"/>
                  <w:vAlign w:val="center"/>
                </w:tcPr>
                <w:p w14:paraId="0B87ADE3">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保障省中心门架镜像加速服务正常运行，能够从部中心下载镜像和应用并升级至门架前端。</w:t>
                  </w:r>
                </w:p>
              </w:tc>
            </w:tr>
            <w:tr w14:paraId="35BD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6E5683BB">
                  <w:pPr>
                    <w:spacing w:after="0" w:line="360" w:lineRule="exact"/>
                    <w:rPr>
                      <w:rFonts w:hint="eastAsia" w:ascii="宋体" w:hAnsi="宋体" w:cs="宋体"/>
                      <w:bCs/>
                      <w:color w:val="auto"/>
                      <w:szCs w:val="21"/>
                      <w:highlight w:val="none"/>
                      <w:lang w:bidi="ar"/>
                    </w:rPr>
                  </w:pPr>
                </w:p>
              </w:tc>
              <w:tc>
                <w:tcPr>
                  <w:tcW w:w="1433" w:type="dxa"/>
                  <w:noWrap w:val="0"/>
                  <w:vAlign w:val="center"/>
                </w:tcPr>
                <w:p w14:paraId="2D757947">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门架镜像服务器升级</w:t>
                  </w:r>
                </w:p>
              </w:tc>
              <w:tc>
                <w:tcPr>
                  <w:tcW w:w="3343" w:type="dxa"/>
                  <w:noWrap w:val="0"/>
                  <w:vAlign w:val="center"/>
                </w:tcPr>
                <w:p w14:paraId="4B788999">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配合部中心对门架镜像服务器软件版本及数据库进行升级。</w:t>
                  </w:r>
                </w:p>
              </w:tc>
            </w:tr>
            <w:tr w14:paraId="6004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07538D38">
                  <w:pPr>
                    <w:spacing w:after="0" w:line="360" w:lineRule="exact"/>
                    <w:rPr>
                      <w:rFonts w:hint="eastAsia" w:ascii="宋体" w:hAnsi="宋体" w:cs="宋体"/>
                      <w:bCs/>
                      <w:color w:val="auto"/>
                      <w:szCs w:val="21"/>
                      <w:highlight w:val="none"/>
                      <w:lang w:bidi="ar"/>
                    </w:rPr>
                  </w:pPr>
                </w:p>
              </w:tc>
              <w:tc>
                <w:tcPr>
                  <w:tcW w:w="1433" w:type="dxa"/>
                  <w:noWrap w:val="0"/>
                  <w:vAlign w:val="center"/>
                </w:tcPr>
                <w:p w14:paraId="55158186">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门架设备更换调试</w:t>
                  </w:r>
                </w:p>
              </w:tc>
              <w:tc>
                <w:tcPr>
                  <w:tcW w:w="3343" w:type="dxa"/>
                  <w:noWrap w:val="0"/>
                  <w:vAlign w:val="center"/>
                </w:tcPr>
                <w:p w14:paraId="4078D436">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门架发生硬件设备更换时，配合高速公路经营管理单位对更换的设备进行配置、调试。</w:t>
                  </w:r>
                </w:p>
              </w:tc>
            </w:tr>
            <w:tr w14:paraId="21D7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232FE2B6">
                  <w:pPr>
                    <w:spacing w:after="0" w:line="360" w:lineRule="exact"/>
                    <w:rPr>
                      <w:rFonts w:hint="eastAsia" w:ascii="宋体" w:hAnsi="宋体" w:cs="宋体"/>
                      <w:bCs/>
                      <w:color w:val="auto"/>
                      <w:szCs w:val="21"/>
                      <w:highlight w:val="none"/>
                      <w:lang w:bidi="ar"/>
                    </w:rPr>
                  </w:pPr>
                </w:p>
              </w:tc>
              <w:tc>
                <w:tcPr>
                  <w:tcW w:w="1433" w:type="dxa"/>
                  <w:noWrap w:val="0"/>
                  <w:vAlign w:val="center"/>
                </w:tcPr>
                <w:p w14:paraId="7432DB2C">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门架系统技术咨询</w:t>
                  </w:r>
                </w:p>
              </w:tc>
              <w:tc>
                <w:tcPr>
                  <w:tcW w:w="3343" w:type="dxa"/>
                  <w:noWrap w:val="0"/>
                  <w:vAlign w:val="center"/>
                </w:tcPr>
                <w:p w14:paraId="4FF71723">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向高速公路经营管理单位运维人员提供门架系统运维的技术咨询服务。</w:t>
                  </w:r>
                </w:p>
              </w:tc>
            </w:tr>
            <w:tr w14:paraId="1B00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Merge w:val="continue"/>
                  <w:noWrap w:val="0"/>
                  <w:vAlign w:val="center"/>
                </w:tcPr>
                <w:p w14:paraId="7A5DC7C1">
                  <w:pPr>
                    <w:spacing w:after="0" w:line="360" w:lineRule="exact"/>
                    <w:rPr>
                      <w:rFonts w:hint="eastAsia" w:ascii="宋体" w:hAnsi="宋体" w:cs="宋体"/>
                      <w:bCs/>
                      <w:color w:val="auto"/>
                      <w:szCs w:val="21"/>
                      <w:highlight w:val="none"/>
                      <w:lang w:bidi="ar"/>
                    </w:rPr>
                  </w:pPr>
                </w:p>
              </w:tc>
              <w:tc>
                <w:tcPr>
                  <w:tcW w:w="1433" w:type="dxa"/>
                  <w:noWrap w:val="0"/>
                  <w:vAlign w:val="center"/>
                </w:tcPr>
                <w:p w14:paraId="47A1100B">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门架新增</w:t>
                  </w:r>
                  <w:r>
                    <w:rPr>
                      <w:rFonts w:hint="eastAsia" w:ascii="宋体" w:hAnsi="宋体"/>
                      <w:color w:val="auto"/>
                      <w:szCs w:val="21"/>
                      <w:highlight w:val="none"/>
                      <w:lang w:bidi="ar"/>
                    </w:rPr>
                    <w:t>/启用/停用</w:t>
                  </w:r>
                </w:p>
              </w:tc>
              <w:tc>
                <w:tcPr>
                  <w:tcW w:w="3343" w:type="dxa"/>
                  <w:noWrap w:val="0"/>
                  <w:vAlign w:val="center"/>
                </w:tcPr>
                <w:p w14:paraId="5A5CA945">
                  <w:pPr>
                    <w:spacing w:after="0" w:line="360" w:lineRule="exact"/>
                    <w:rPr>
                      <w:rFonts w:ascii="宋体" w:hAnsi="宋体"/>
                      <w:color w:val="auto"/>
                      <w:szCs w:val="21"/>
                      <w:highlight w:val="none"/>
                    </w:rPr>
                  </w:pPr>
                  <w:r>
                    <w:rPr>
                      <w:rFonts w:hint="eastAsia" w:ascii="宋体" w:hAnsi="宋体" w:cs="宋体"/>
                      <w:color w:val="auto"/>
                      <w:szCs w:val="21"/>
                      <w:highlight w:val="none"/>
                      <w:lang w:bidi="ar"/>
                    </w:rPr>
                    <w:t>配合新路段开展新增门架管理配置工作，配合高速公路经营管理单位对在用门架进行停用、启用等更新操作。</w:t>
                  </w:r>
                </w:p>
              </w:tc>
            </w:tr>
          </w:tbl>
          <w:p w14:paraId="5F7CE2C8">
            <w:pPr>
              <w:spacing w:after="0" w:line="360" w:lineRule="exact"/>
              <w:ind w:firstLine="420"/>
              <w:rPr>
                <w:rFonts w:hint="eastAsia" w:ascii="宋体" w:hAnsi="宋体" w:cs="宋体"/>
                <w:bCs/>
                <w:color w:val="auto"/>
                <w:szCs w:val="21"/>
                <w:highlight w:val="none"/>
                <w:lang w:bidi="ar"/>
              </w:rPr>
            </w:pPr>
          </w:p>
          <w:p w14:paraId="079D4008">
            <w:pPr>
              <w:spacing w:after="0" w:line="360" w:lineRule="exact"/>
              <w:ind w:firstLine="420" w:firstLineChars="200"/>
              <w:jc w:val="left"/>
              <w:rPr>
                <w:rFonts w:ascii="宋体" w:hAnsi="宋体"/>
                <w:b/>
                <w:color w:val="auto"/>
                <w:szCs w:val="21"/>
                <w:highlight w:val="none"/>
              </w:rPr>
            </w:pP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四、广西ETC门架系统运维服务实施要求</w:t>
            </w:r>
          </w:p>
          <w:p w14:paraId="6797D134">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1</w:t>
            </w:r>
            <w:r>
              <w:rPr>
                <w:rFonts w:ascii="宋体" w:hAnsi="宋体" w:cs="宋体"/>
                <w:color w:val="auto"/>
                <w:szCs w:val="21"/>
                <w:highlight w:val="none"/>
                <w:lang w:bidi="ar"/>
              </w:rPr>
              <w:t>.</w:t>
            </w:r>
            <w:r>
              <w:rPr>
                <w:rFonts w:hint="eastAsia" w:ascii="宋体" w:hAnsi="宋体" w:cs="宋体"/>
                <w:color w:val="auto"/>
                <w:szCs w:val="21"/>
                <w:highlight w:val="none"/>
                <w:lang w:eastAsia="zh" w:bidi="ar"/>
              </w:rPr>
              <w:t>服务</w:t>
            </w:r>
            <w:r>
              <w:rPr>
                <w:rFonts w:hint="eastAsia" w:ascii="宋体" w:hAnsi="宋体" w:cs="宋体"/>
                <w:color w:val="auto"/>
                <w:szCs w:val="21"/>
                <w:highlight w:val="none"/>
                <w:lang w:bidi="ar"/>
              </w:rPr>
              <w:t>期内，必须提供全年每日24小时的技术支持。中标人在接到采购人或其下属维护部门的故障报修后，1小时内实质响应，系统故障的最终修复从报修时间算起不能超过24小时；如中标人逾期不能修复，采购人可委托第三方代为实施，相关费用由中标人承担。</w:t>
            </w:r>
          </w:p>
          <w:p w14:paraId="3320B627">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2</w:t>
            </w:r>
            <w:r>
              <w:rPr>
                <w:rFonts w:ascii="宋体" w:hAnsi="宋体" w:cs="宋体"/>
                <w:color w:val="auto"/>
                <w:szCs w:val="21"/>
                <w:highlight w:val="none"/>
                <w:lang w:bidi="ar"/>
              </w:rPr>
              <w:t>.</w:t>
            </w:r>
            <w:r>
              <w:rPr>
                <w:rFonts w:hint="eastAsia" w:ascii="宋体" w:hAnsi="宋体" w:cs="宋体"/>
                <w:color w:val="auto"/>
                <w:szCs w:val="21"/>
                <w:highlight w:val="none"/>
                <w:lang w:bidi="ar"/>
              </w:rPr>
              <w:t>中标人必须提供10名以上专职工程师为ETC门架系统进行专业维护，且至少保证有1名工程师进驻采购人单位24小时驻点值班。</w:t>
            </w:r>
            <w:r>
              <w:rPr>
                <w:rFonts w:hint="eastAsia" w:ascii="宋体" w:hAnsi="宋体"/>
                <w:color w:val="auto"/>
                <w:szCs w:val="21"/>
                <w:highlight w:val="none"/>
              </w:rPr>
              <w:t>在业务高峰期时，应按照采购人要求适当增加值班工程师。</w:t>
            </w:r>
          </w:p>
          <w:p w14:paraId="2EF10183">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3</w:t>
            </w:r>
            <w:r>
              <w:rPr>
                <w:rFonts w:ascii="宋体" w:hAnsi="宋体" w:cs="宋体"/>
                <w:color w:val="auto"/>
                <w:szCs w:val="21"/>
                <w:highlight w:val="none"/>
                <w:lang w:bidi="ar"/>
              </w:rPr>
              <w:t>.</w:t>
            </w:r>
            <w:r>
              <w:rPr>
                <w:rFonts w:hint="eastAsia" w:ascii="宋体" w:hAnsi="宋体" w:cs="宋体"/>
                <w:color w:val="auto"/>
                <w:szCs w:val="21"/>
                <w:highlight w:val="none"/>
                <w:lang w:bidi="ar"/>
              </w:rPr>
              <w:t>中标人必须向高速公路经营管理单位公开维保服务电话号码及专职工程师移动电话，保证值班工程师电话24小时通讯畅通，故障及时响应。出现故障提供远程技术支持服务，当远程无法排除故障时，应及时到现场进行处理，同时记录相关处理情况，形成维护记录表，在维护到期时汇编成册提交给采购人。</w:t>
            </w:r>
          </w:p>
          <w:p w14:paraId="254444B2">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4</w:t>
            </w:r>
            <w:r>
              <w:rPr>
                <w:rFonts w:ascii="宋体" w:hAnsi="宋体" w:cs="宋体"/>
                <w:color w:val="auto"/>
                <w:szCs w:val="21"/>
                <w:highlight w:val="none"/>
                <w:lang w:bidi="ar"/>
              </w:rPr>
              <w:t>.</w:t>
            </w:r>
            <w:r>
              <w:rPr>
                <w:rFonts w:hint="eastAsia" w:ascii="宋体" w:hAnsi="宋体" w:cs="宋体"/>
                <w:color w:val="auto"/>
                <w:szCs w:val="21"/>
                <w:highlight w:val="none"/>
                <w:lang w:bidi="ar"/>
              </w:rPr>
              <w:t>ETC门架系统发生故障时，中标人必须积极配合高速公路经营管理单位进行故障排查工作。</w:t>
            </w:r>
          </w:p>
          <w:p w14:paraId="1CA29738">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5</w:t>
            </w:r>
            <w:r>
              <w:rPr>
                <w:rFonts w:ascii="宋体" w:hAnsi="宋体" w:cs="宋体"/>
                <w:color w:val="auto"/>
                <w:szCs w:val="21"/>
                <w:highlight w:val="none"/>
                <w:lang w:bidi="ar"/>
              </w:rPr>
              <w:t>.</w:t>
            </w:r>
            <w:r>
              <w:rPr>
                <w:rFonts w:hint="eastAsia" w:ascii="宋体" w:hAnsi="宋体" w:cs="宋体"/>
                <w:color w:val="auto"/>
                <w:szCs w:val="21"/>
                <w:highlight w:val="none"/>
                <w:lang w:bidi="ar"/>
              </w:rPr>
              <w:t>中标人必须按《关于印发&lt;收费公路联网收费系统运维工作指南（暂行）&gt;的函》（交路网函〔2021〕288号）文件要求对广西高速公路ETC门架系统提供日常巡检服务，并填写《巡检记录表》。主要内容包括：收费门架系统运行情况、系统日志、系统告警及故障处理等，并将《巡检记录表》提交给采购人。</w:t>
            </w:r>
          </w:p>
          <w:p w14:paraId="70DD9B14">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eastAsia="zh" w:bidi="ar"/>
              </w:rPr>
              <w:t>6</w:t>
            </w:r>
            <w:r>
              <w:rPr>
                <w:rFonts w:ascii="宋体" w:hAnsi="宋体" w:cs="宋体"/>
                <w:color w:val="auto"/>
                <w:szCs w:val="21"/>
                <w:highlight w:val="none"/>
                <w:lang w:eastAsia="zh" w:bidi="ar"/>
              </w:rPr>
              <w:t>.</w:t>
            </w:r>
            <w:r>
              <w:rPr>
                <w:rFonts w:hint="eastAsia" w:ascii="宋体" w:hAnsi="宋体" w:cs="宋体"/>
                <w:color w:val="auto"/>
                <w:szCs w:val="21"/>
                <w:highlight w:val="none"/>
                <w:lang w:bidi="ar"/>
              </w:rPr>
              <w:t>对于系统本身存在的功能缺陷，采购人提出对系统进行升级完善，在不涉及系统重大改变的情况下，中标人应作为维保内容范围予以完成。对于涉及系统重大调整改变的，中标人需提供相关技术支持，协助采购人制定系统调整和升级方案。</w:t>
            </w:r>
          </w:p>
          <w:p w14:paraId="730B1C5B">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eastAsia="zh" w:bidi="ar"/>
              </w:rPr>
              <w:t>7</w:t>
            </w:r>
            <w:r>
              <w:rPr>
                <w:rFonts w:ascii="宋体" w:hAnsi="宋体" w:cs="宋体"/>
                <w:color w:val="auto"/>
                <w:szCs w:val="21"/>
                <w:highlight w:val="none"/>
                <w:lang w:eastAsia="zh" w:bidi="ar"/>
              </w:rPr>
              <w:t>.</w:t>
            </w:r>
            <w:r>
              <w:rPr>
                <w:rFonts w:hint="eastAsia" w:ascii="宋体" w:hAnsi="宋体" w:cs="宋体"/>
                <w:color w:val="auto"/>
                <w:szCs w:val="21"/>
                <w:highlight w:val="none"/>
                <w:lang w:bidi="ar"/>
              </w:rPr>
              <w:t>维护记录</w:t>
            </w:r>
          </w:p>
          <w:p w14:paraId="5CD74320">
            <w:pPr>
              <w:spacing w:after="0" w:line="360" w:lineRule="exact"/>
              <w:ind w:firstLine="420" w:firstLineChars="200"/>
              <w:jc w:val="left"/>
              <w:rPr>
                <w:rFonts w:ascii="宋体" w:hAnsi="宋体" w:cs="宋体"/>
                <w:color w:val="auto"/>
                <w:szCs w:val="21"/>
                <w:highlight w:val="none"/>
                <w:lang w:bidi="ar"/>
              </w:rPr>
            </w:pPr>
            <w:r>
              <w:rPr>
                <w:rFonts w:hint="eastAsia" w:ascii="宋体" w:hAnsi="宋体" w:cs="宋体"/>
                <w:color w:val="auto"/>
                <w:szCs w:val="21"/>
                <w:highlight w:val="none"/>
                <w:lang w:bidi="ar"/>
              </w:rPr>
              <w:t>中标人在维护期间应做好维护记录表，记录报修时间、响应时间、完成时间、维护人、维护原因、解决办法、报障人信息（姓名、电话、单位）等内容，每季度汇编成册交予采购人。</w:t>
            </w:r>
          </w:p>
          <w:p w14:paraId="3B51E3E4">
            <w:pPr>
              <w:spacing w:after="0" w:line="360" w:lineRule="exact"/>
              <w:ind w:firstLine="420" w:firstLineChars="200"/>
              <w:jc w:val="left"/>
              <w:rPr>
                <w:rFonts w:hint="eastAsia" w:ascii="宋体" w:hAnsi="宋体" w:cs="宋体"/>
                <w:color w:val="auto"/>
                <w:szCs w:val="21"/>
                <w:highlight w:val="none"/>
                <w:lang w:eastAsia="zh" w:bidi="ar"/>
              </w:rPr>
            </w:pPr>
            <w:r>
              <w:rPr>
                <w:rFonts w:hint="eastAsia" w:ascii="宋体" w:hAnsi="宋体" w:cs="宋体"/>
                <w:color w:val="auto"/>
                <w:szCs w:val="21"/>
                <w:highlight w:val="none"/>
                <w:lang w:eastAsia="zh" w:bidi="ar"/>
              </w:rPr>
              <w:t>8</w:t>
            </w:r>
            <w:r>
              <w:rPr>
                <w:rFonts w:ascii="宋体" w:hAnsi="宋体" w:cs="宋体"/>
                <w:color w:val="auto"/>
                <w:szCs w:val="21"/>
                <w:highlight w:val="none"/>
                <w:lang w:eastAsia="zh" w:bidi="ar"/>
              </w:rPr>
              <w:t>.</w:t>
            </w:r>
            <w:r>
              <w:rPr>
                <w:rFonts w:hint="eastAsia"/>
                <w:color w:val="auto"/>
                <w:highlight w:val="none"/>
              </w:rPr>
              <w:t xml:space="preserve"> </w:t>
            </w:r>
            <w:r>
              <w:rPr>
                <w:rFonts w:hint="eastAsia" w:ascii="宋体" w:hAnsi="宋体" w:cs="宋体"/>
                <w:color w:val="auto"/>
                <w:szCs w:val="21"/>
                <w:highlight w:val="none"/>
                <w:lang w:eastAsia="zh" w:bidi="ar"/>
              </w:rPr>
              <w:t>评估报告</w:t>
            </w:r>
          </w:p>
          <w:p w14:paraId="0E5E16DC">
            <w:pPr>
              <w:spacing w:after="0" w:line="360" w:lineRule="exact"/>
              <w:ind w:firstLine="420" w:firstLineChars="200"/>
              <w:jc w:val="left"/>
              <w:rPr>
                <w:rFonts w:ascii="宋体" w:hAnsi="宋体" w:cs="宋体"/>
                <w:color w:val="auto"/>
                <w:szCs w:val="21"/>
                <w:highlight w:val="none"/>
                <w:lang w:eastAsia="zh" w:bidi="ar"/>
              </w:rPr>
            </w:pPr>
            <w:r>
              <w:rPr>
                <w:rFonts w:hint="eastAsia" w:ascii="宋体" w:hAnsi="宋体" w:cs="宋体"/>
                <w:color w:val="auto"/>
                <w:szCs w:val="21"/>
                <w:highlight w:val="none"/>
                <w:lang w:eastAsia="zh" w:bidi="ar"/>
              </w:rPr>
              <w:t>中标人应综合日常巡检、维护记录，评估系统状况，每月提交一份《系统评估报告》给采购人，《系统评估报告》应包含报告基本信息、系统整体运行概况与关键指标摘要、巡检维护与升级执行情况总结、问题与风险的改进建议等。</w:t>
            </w:r>
          </w:p>
          <w:p w14:paraId="04062B32">
            <w:pPr>
              <w:spacing w:after="0" w:line="360" w:lineRule="exact"/>
              <w:ind w:firstLine="420" w:firstLineChars="200"/>
              <w:jc w:val="left"/>
              <w:rPr>
                <w:color w:val="auto"/>
                <w:highlight w:val="none"/>
              </w:rPr>
            </w:pPr>
            <w:r>
              <w:rPr>
                <w:rFonts w:hint="eastAsia" w:ascii="宋体" w:hAnsi="宋体" w:cs="宋体"/>
                <w:color w:val="auto"/>
                <w:szCs w:val="21"/>
                <w:highlight w:val="none"/>
                <w:lang w:bidi="ar"/>
              </w:rPr>
              <w:t>9.中标人在维护期间必须提供至少一次由采购人组织的面向高速公路经营管理单位的技术培训服务。</w:t>
            </w:r>
          </w:p>
          <w:p w14:paraId="1E4FE86D">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10</w:t>
            </w:r>
            <w:r>
              <w:rPr>
                <w:rFonts w:ascii="宋体" w:hAnsi="宋体" w:cs="宋体"/>
                <w:color w:val="auto"/>
                <w:szCs w:val="21"/>
                <w:highlight w:val="none"/>
                <w:lang w:bidi="ar"/>
              </w:rPr>
              <w:t>.</w:t>
            </w:r>
            <w:r>
              <w:rPr>
                <w:rFonts w:hint="eastAsia" w:ascii="宋体" w:hAnsi="宋体" w:cs="宋体"/>
                <w:color w:val="auto"/>
                <w:szCs w:val="21"/>
                <w:highlight w:val="none"/>
                <w:lang w:bidi="ar"/>
              </w:rPr>
              <w:t>投标人在投标文件中必须明确</w:t>
            </w:r>
            <w:r>
              <w:rPr>
                <w:rFonts w:hint="eastAsia" w:ascii="宋体" w:hAnsi="宋体"/>
                <w:color w:val="auto"/>
                <w:szCs w:val="21"/>
                <w:highlight w:val="none"/>
              </w:rPr>
              <w:t>承诺达到</w:t>
            </w:r>
            <w:r>
              <w:rPr>
                <w:rFonts w:hint="eastAsia" w:ascii="宋体" w:hAnsi="宋体"/>
                <w:color w:val="auto"/>
                <w:szCs w:val="21"/>
                <w:highlight w:val="none"/>
                <w:lang w:val="zh-CN"/>
              </w:rPr>
              <w:t>采购人</w:t>
            </w:r>
            <w:r>
              <w:rPr>
                <w:rFonts w:hint="eastAsia" w:ascii="宋体" w:hAnsi="宋体"/>
                <w:color w:val="auto"/>
                <w:szCs w:val="21"/>
                <w:highlight w:val="none"/>
              </w:rPr>
              <w:t>本项目维护所需的技术及服务要求</w:t>
            </w:r>
            <w:r>
              <w:rPr>
                <w:rFonts w:hint="eastAsia" w:ascii="宋体" w:hAnsi="宋体" w:cs="宋体"/>
                <w:color w:val="auto"/>
                <w:szCs w:val="21"/>
                <w:highlight w:val="none"/>
                <w:lang w:bidi="ar"/>
              </w:rPr>
              <w:t>。</w:t>
            </w:r>
          </w:p>
          <w:p w14:paraId="73BA06A4">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11</w:t>
            </w:r>
            <w:r>
              <w:rPr>
                <w:rFonts w:ascii="宋体" w:hAnsi="宋体" w:cs="宋体"/>
                <w:color w:val="auto"/>
                <w:szCs w:val="21"/>
                <w:highlight w:val="none"/>
                <w:lang w:bidi="ar"/>
              </w:rPr>
              <w:t>.</w:t>
            </w:r>
            <w:r>
              <w:rPr>
                <w:rFonts w:hint="eastAsia" w:ascii="宋体" w:hAnsi="宋体" w:cs="宋体"/>
                <w:color w:val="auto"/>
                <w:szCs w:val="21"/>
                <w:highlight w:val="none"/>
                <w:lang w:bidi="ar"/>
              </w:rPr>
              <w:t>因中标人的原因，导致采购人系统出现安全事故，由中标人承担造成的所有损失。</w:t>
            </w:r>
          </w:p>
          <w:p w14:paraId="52BC6CE7">
            <w:pPr>
              <w:spacing w:after="0" w:line="360" w:lineRule="exact"/>
              <w:ind w:firstLine="420" w:firstLineChars="200"/>
              <w:jc w:val="left"/>
              <w:rPr>
                <w:rFonts w:ascii="宋体" w:hAnsi="宋体"/>
                <w:color w:val="auto"/>
                <w:szCs w:val="21"/>
                <w:highlight w:val="none"/>
              </w:rPr>
            </w:pPr>
            <w:r>
              <w:rPr>
                <w:rFonts w:hint="eastAsia" w:ascii="宋体" w:hAnsi="宋体" w:cs="宋体"/>
                <w:color w:val="auto"/>
                <w:szCs w:val="21"/>
                <w:highlight w:val="none"/>
                <w:lang w:bidi="ar"/>
              </w:rPr>
              <w:t>12</w:t>
            </w:r>
            <w:r>
              <w:rPr>
                <w:rFonts w:ascii="宋体" w:hAnsi="宋体" w:cs="宋体"/>
                <w:color w:val="auto"/>
                <w:szCs w:val="21"/>
                <w:highlight w:val="none"/>
                <w:lang w:bidi="ar"/>
              </w:rPr>
              <w:t>.</w:t>
            </w:r>
            <w:r>
              <w:rPr>
                <w:rFonts w:hint="eastAsia" w:ascii="宋体" w:hAnsi="宋体" w:cs="宋体"/>
                <w:color w:val="auto"/>
                <w:szCs w:val="21"/>
                <w:highlight w:val="none"/>
                <w:lang w:bidi="ar"/>
              </w:rPr>
              <w:t>因中标人的原因，造成</w:t>
            </w:r>
            <w:r>
              <w:rPr>
                <w:rFonts w:hint="eastAsia" w:ascii="宋体" w:hAnsi="宋体" w:cs="宋体"/>
                <w:color w:val="auto"/>
                <w:szCs w:val="21"/>
                <w:highlight w:val="none"/>
                <w:lang w:val="en-US" w:eastAsia="zh-CN" w:bidi="ar"/>
              </w:rPr>
              <w:t>ETC门架</w:t>
            </w:r>
            <w:r>
              <w:rPr>
                <w:rFonts w:hint="eastAsia" w:ascii="宋体" w:hAnsi="宋体" w:cs="宋体"/>
                <w:color w:val="auto"/>
                <w:szCs w:val="21"/>
                <w:highlight w:val="none"/>
                <w:lang w:bidi="ar"/>
              </w:rPr>
              <w:t>系统发生数据丢失、数据传输错误、传输延迟等系统故障5次</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含5次</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以上的，中标人履约保证金全部金额不予退还。</w:t>
            </w:r>
          </w:p>
          <w:p w14:paraId="0C32B37E">
            <w:pPr>
              <w:spacing w:after="0" w:line="360" w:lineRule="exact"/>
              <w:ind w:firstLine="420"/>
              <w:rPr>
                <w:rFonts w:hint="eastAsia" w:ascii="宋体" w:hAnsi="宋体" w:cs="宋体"/>
                <w:color w:val="auto"/>
                <w:szCs w:val="21"/>
                <w:highlight w:val="none"/>
              </w:rPr>
            </w:pPr>
            <w:r>
              <w:rPr>
                <w:rFonts w:hint="eastAsia" w:ascii="宋体" w:hAnsi="宋体" w:cs="宋体"/>
                <w:color w:val="auto"/>
                <w:szCs w:val="21"/>
                <w:highlight w:val="none"/>
                <w:lang w:bidi="ar"/>
              </w:rPr>
              <w:t>13</w:t>
            </w:r>
            <w:r>
              <w:rPr>
                <w:rFonts w:ascii="宋体" w:hAnsi="宋体" w:cs="宋体"/>
                <w:color w:val="auto"/>
                <w:szCs w:val="21"/>
                <w:highlight w:val="none"/>
                <w:lang w:bidi="ar"/>
              </w:rPr>
              <w:t>.</w:t>
            </w:r>
            <w:r>
              <w:rPr>
                <w:rFonts w:hint="eastAsia" w:ascii="宋体" w:hAnsi="宋体" w:cs="宋体"/>
                <w:color w:val="auto"/>
                <w:szCs w:val="21"/>
                <w:highlight w:val="none"/>
                <w:lang w:bidi="ar"/>
              </w:rPr>
              <w:t>因中标人的原因，造成联网收费系统通行费损失或高速公路经营管理单位经济损失的，由中标人承担全部损失。</w:t>
            </w:r>
          </w:p>
        </w:tc>
      </w:tr>
      <w:tr w14:paraId="7D2F7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top"/>
          </w:tcPr>
          <w:p w14:paraId="1CA82266">
            <w:pPr>
              <w:spacing w:after="0" w:line="360" w:lineRule="exact"/>
              <w:rPr>
                <w:rFonts w:hint="eastAsia" w:ascii="宋体" w:hAnsi="宋体"/>
                <w:b/>
                <w:color w:val="auto"/>
                <w:szCs w:val="21"/>
                <w:highlight w:val="none"/>
              </w:rPr>
            </w:pPr>
            <w:r>
              <w:rPr>
                <w:rFonts w:hint="eastAsia" w:ascii="宋体" w:hAnsi="宋体"/>
                <w:b/>
                <w:color w:val="auto"/>
                <w:szCs w:val="21"/>
                <w:highlight w:val="none"/>
              </w:rPr>
              <w:t>▲一、商务要求</w:t>
            </w:r>
          </w:p>
        </w:tc>
      </w:tr>
      <w:tr w14:paraId="50087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58044FFD">
            <w:pPr>
              <w:spacing w:after="0" w:line="380" w:lineRule="exact"/>
              <w:rPr>
                <w:rFonts w:ascii="宋体" w:hAnsi="宋体"/>
                <w:color w:val="auto"/>
                <w:szCs w:val="21"/>
                <w:highlight w:val="none"/>
              </w:rPr>
            </w:pPr>
            <w:r>
              <w:rPr>
                <w:rFonts w:hint="eastAsia" w:ascii="宋体" w:hAnsi="宋体"/>
                <w:color w:val="auto"/>
                <w:szCs w:val="21"/>
                <w:highlight w:val="none"/>
              </w:rPr>
              <w:t>合同签订期</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137DBAD7">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自中标通知书发出之日起25个自然日内。</w:t>
            </w:r>
          </w:p>
        </w:tc>
      </w:tr>
      <w:tr w14:paraId="73F07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499993FB">
            <w:pPr>
              <w:spacing w:after="0" w:line="380" w:lineRule="exact"/>
              <w:rPr>
                <w:rFonts w:ascii="宋体" w:hAnsi="宋体"/>
                <w:color w:val="auto"/>
                <w:szCs w:val="21"/>
                <w:highlight w:val="none"/>
              </w:rPr>
            </w:pPr>
            <w:r>
              <w:rPr>
                <w:rFonts w:hint="eastAsia" w:ascii="宋体" w:hAnsi="宋体"/>
                <w:color w:val="auto"/>
                <w:szCs w:val="21"/>
                <w:highlight w:val="none"/>
              </w:rPr>
              <w:t>服务周期及地点</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54B6E299">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合同履行期限：</w:t>
            </w:r>
            <w:r>
              <w:rPr>
                <w:rFonts w:hint="eastAsia" w:ascii="宋体" w:hAnsi="宋体"/>
                <w:color w:val="auto"/>
                <w:szCs w:val="21"/>
                <w:highlight w:val="none"/>
                <w:u w:val="single"/>
              </w:rPr>
              <w:t>一年，即202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rPr>
              <w:t>年10月28日-202</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rPr>
              <w:t>年10月27日</w:t>
            </w:r>
            <w:r>
              <w:rPr>
                <w:rFonts w:hint="eastAsia" w:ascii="宋体" w:hAnsi="宋体"/>
                <w:color w:val="auto"/>
                <w:szCs w:val="21"/>
                <w:highlight w:val="none"/>
              </w:rPr>
              <w:t>。</w:t>
            </w:r>
          </w:p>
          <w:p w14:paraId="0CEAD24D">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服务地点：广西区内采购人指定地点。</w:t>
            </w:r>
          </w:p>
        </w:tc>
      </w:tr>
      <w:tr w14:paraId="2E2A4D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A5438BA">
            <w:pPr>
              <w:spacing w:after="0" w:line="360" w:lineRule="exact"/>
              <w:rPr>
                <w:rFonts w:ascii="宋体" w:hAnsi="宋体"/>
                <w:color w:val="auto"/>
                <w:szCs w:val="21"/>
                <w:highlight w:val="none"/>
              </w:rPr>
            </w:pPr>
            <w:r>
              <w:rPr>
                <w:rFonts w:hint="eastAsia" w:ascii="宋体" w:hAnsi="宋体"/>
                <w:color w:val="auto"/>
                <w:szCs w:val="21"/>
                <w:highlight w:val="none"/>
              </w:rPr>
              <w:t>付款方式</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3377EEEB">
            <w:pPr>
              <w:spacing w:after="0" w:line="36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合同签订并提交服务方案后经采购人认可后10个工作日内，采购人支付中标人50%合同款；服务期开始后达到6个月无服务质量问题，采购人向中标人支付合同款的25%；项目服务期结束且验收合格后，采购人向中标人支付合同款的25%。每次支付前中标人应提交相应的支付材料及增值税专用发票给采购人，经采购人审核通过后于10个工作日内，采购人向中标人支付相应合同款。</w:t>
            </w:r>
          </w:p>
        </w:tc>
      </w:tr>
      <w:tr w14:paraId="732B26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0FBC68E4">
            <w:pPr>
              <w:spacing w:after="0" w:line="360" w:lineRule="exact"/>
              <w:rPr>
                <w:rFonts w:hint="eastAsia" w:ascii="宋体" w:hAnsi="宋体"/>
                <w:color w:val="auto"/>
                <w:szCs w:val="21"/>
                <w:highlight w:val="none"/>
              </w:rPr>
            </w:pPr>
            <w:r>
              <w:rPr>
                <w:rFonts w:hint="eastAsia" w:ascii="宋体" w:hAnsi="宋体"/>
                <w:color w:val="auto"/>
                <w:szCs w:val="21"/>
                <w:highlight w:val="none"/>
              </w:rPr>
              <w:t>报价要求及</w:t>
            </w:r>
            <w:r>
              <w:rPr>
                <w:rFonts w:ascii="宋体" w:hAnsi="宋体"/>
                <w:color w:val="auto"/>
                <w:szCs w:val="21"/>
                <w:highlight w:val="none"/>
              </w:rPr>
              <w:t>其他</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53C69FF5">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本项目报价为总价包干，且为人民币含</w:t>
            </w:r>
            <w:r>
              <w:rPr>
                <w:rFonts w:ascii="宋体" w:hAnsi="宋体"/>
                <w:color w:val="auto"/>
                <w:szCs w:val="21"/>
                <w:highlight w:val="none"/>
              </w:rPr>
              <w:t>税</w:t>
            </w:r>
            <w:r>
              <w:rPr>
                <w:rFonts w:hint="eastAsia" w:ascii="宋体" w:hAnsi="宋体"/>
                <w:color w:val="auto"/>
                <w:szCs w:val="21"/>
                <w:highlight w:val="none"/>
              </w:rPr>
              <w:t>价。投</w:t>
            </w:r>
            <w:r>
              <w:rPr>
                <w:rFonts w:ascii="宋体" w:hAnsi="宋体"/>
                <w:color w:val="auto"/>
                <w:szCs w:val="21"/>
                <w:highlight w:val="none"/>
              </w:rPr>
              <w:t>标</w:t>
            </w:r>
            <w:r>
              <w:rPr>
                <w:rFonts w:hint="eastAsia" w:ascii="宋体" w:hAnsi="宋体"/>
                <w:color w:val="auto"/>
                <w:szCs w:val="21"/>
                <w:highlight w:val="none"/>
              </w:rPr>
              <w:t>报价必须包括实施和完成项目服务所需的一切费用，以及合同明示所有责任、义务和一般风险，采购人不再支付任何费用。</w:t>
            </w:r>
          </w:p>
        </w:tc>
      </w:tr>
      <w:tr w14:paraId="78982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6BE337A1">
            <w:pPr>
              <w:spacing w:after="0" w:line="360" w:lineRule="exact"/>
              <w:rPr>
                <w:rFonts w:hint="eastAsia" w:ascii="宋体" w:hAnsi="宋体"/>
                <w:color w:val="auto"/>
                <w:szCs w:val="21"/>
                <w:highlight w:val="none"/>
              </w:rPr>
            </w:pPr>
            <w:r>
              <w:rPr>
                <w:rFonts w:hint="eastAsia" w:ascii="宋体" w:hAnsi="宋体" w:cs="宋体"/>
                <w:color w:val="auto"/>
                <w:szCs w:val="21"/>
                <w:highlight w:val="none"/>
              </w:rPr>
              <w:t>验收标准</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4828B724">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在项目验收时，中标人对每次巡检和重大故障处理情况形成纸质文件汇编成册和扫描成PDF文件提交采购人。</w:t>
            </w:r>
          </w:p>
          <w:p w14:paraId="6752D7EA">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提交年度维护报告，对采购人自身的系统运行情况进行汇总，并提出合理的优化建议，汇编成册提交给采购人。</w:t>
            </w:r>
          </w:p>
          <w:p w14:paraId="562EC1A1">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高速公路经营管理单位对运维工作的服务满意度总体达到95%以上。</w:t>
            </w:r>
          </w:p>
          <w:p w14:paraId="27DF6963">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除招标文件另有约定的，以满足采购单位服务要求为标准。</w:t>
            </w:r>
          </w:p>
        </w:tc>
      </w:tr>
      <w:tr w14:paraId="4273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25D4DE73">
            <w:pPr>
              <w:widowControl w:val="0"/>
              <w:spacing w:line="360" w:lineRule="exact"/>
              <w:jc w:val="both"/>
              <w:rPr>
                <w:rFonts w:hint="eastAsia" w:ascii="宋体" w:hAnsi="宋体" w:eastAsia="宋体" w:cs="宋体"/>
                <w:color w:val="auto"/>
                <w:spacing w:val="-2"/>
                <w:kern w:val="0"/>
                <w:sz w:val="21"/>
                <w:szCs w:val="21"/>
                <w:highlight w:val="none"/>
                <w:lang w:val="en-US" w:eastAsia="zh-CN" w:bidi="ar-SA"/>
              </w:rPr>
            </w:pPr>
            <w:r>
              <w:rPr>
                <w:rFonts w:hint="eastAsia" w:ascii="宋体" w:hAnsi="宋体" w:eastAsia="宋体" w:cs="宋体"/>
                <w:color w:val="auto"/>
                <w:spacing w:val="-2"/>
                <w:kern w:val="0"/>
                <w:sz w:val="21"/>
                <w:szCs w:val="21"/>
                <w:highlight w:val="none"/>
                <w:lang w:val="en-US" w:eastAsia="zh-CN" w:bidi="ar-SA"/>
              </w:rPr>
              <w:t>知识产权及</w:t>
            </w:r>
            <w:r>
              <w:rPr>
                <w:rFonts w:ascii="宋体" w:hAnsi="宋体" w:eastAsia="宋体" w:cs="宋体"/>
                <w:color w:val="auto"/>
                <w:spacing w:val="-2"/>
                <w:kern w:val="0"/>
                <w:sz w:val="21"/>
                <w:szCs w:val="21"/>
                <w:highlight w:val="none"/>
                <w:lang w:val="en-US" w:eastAsia="zh-CN" w:bidi="ar-SA"/>
              </w:rPr>
              <w:t>其他</w:t>
            </w:r>
          </w:p>
        </w:tc>
        <w:tc>
          <w:tcPr>
            <w:tcW w:w="4057" w:type="pct"/>
            <w:gridSpan w:val="4"/>
            <w:tcBorders>
              <w:top w:val="single" w:color="auto" w:sz="4" w:space="0"/>
              <w:left w:val="single" w:color="auto" w:sz="4" w:space="0"/>
              <w:bottom w:val="single" w:color="auto" w:sz="4" w:space="0"/>
              <w:right w:val="single" w:color="auto" w:sz="4" w:space="0"/>
            </w:tcBorders>
            <w:noWrap w:val="0"/>
            <w:vAlign w:val="top"/>
          </w:tcPr>
          <w:p w14:paraId="28E13B98">
            <w:pPr>
              <w:tabs>
                <w:tab w:val="left" w:pos="180"/>
                <w:tab w:val="left" w:pos="1620"/>
              </w:tabs>
              <w:spacing w:after="0"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1.中</w:t>
            </w:r>
            <w:r>
              <w:rPr>
                <w:rFonts w:ascii="宋体" w:hAnsi="宋体"/>
                <w:color w:val="auto"/>
                <w:szCs w:val="21"/>
                <w:highlight w:val="none"/>
              </w:rPr>
              <w:t>标人</w:t>
            </w:r>
            <w:r>
              <w:rPr>
                <w:rFonts w:hint="eastAsia" w:ascii="宋体" w:hAnsi="宋体"/>
                <w:color w:val="auto"/>
                <w:szCs w:val="21"/>
                <w:highlight w:val="none"/>
              </w:rPr>
              <w:t>在系统升级改造及运维服务过程中，所涉</w:t>
            </w:r>
            <w:r>
              <w:rPr>
                <w:rFonts w:ascii="宋体" w:hAnsi="宋体"/>
                <w:color w:val="auto"/>
                <w:szCs w:val="21"/>
                <w:highlight w:val="none"/>
              </w:rPr>
              <w:t>及技术开发</w:t>
            </w:r>
            <w:r>
              <w:rPr>
                <w:rFonts w:hint="eastAsia" w:ascii="宋体" w:hAnsi="宋体"/>
                <w:color w:val="auto"/>
                <w:szCs w:val="21"/>
                <w:highlight w:val="none"/>
              </w:rPr>
              <w:t>不</w:t>
            </w:r>
            <w:r>
              <w:rPr>
                <w:rFonts w:ascii="宋体" w:hAnsi="宋体"/>
                <w:color w:val="auto"/>
                <w:szCs w:val="21"/>
                <w:highlight w:val="none"/>
              </w:rPr>
              <w:t>得有知识产权侵权行为</w:t>
            </w:r>
            <w:r>
              <w:rPr>
                <w:rFonts w:hint="eastAsia" w:ascii="宋体" w:hAnsi="宋体"/>
                <w:color w:val="auto"/>
                <w:szCs w:val="21"/>
                <w:highlight w:val="none"/>
              </w:rPr>
              <w:t>。采购人在中华人民共和国境内使用中标</w:t>
            </w:r>
            <w:r>
              <w:rPr>
                <w:rFonts w:ascii="宋体" w:hAnsi="宋体"/>
                <w:color w:val="auto"/>
                <w:szCs w:val="21"/>
                <w:highlight w:val="none"/>
              </w:rPr>
              <w:t>人</w:t>
            </w:r>
            <w:r>
              <w:rPr>
                <w:rFonts w:hint="eastAsia" w:ascii="宋体" w:hAnsi="宋体"/>
                <w:color w:val="auto"/>
                <w:szCs w:val="21"/>
                <w:highlight w:val="none"/>
              </w:rPr>
              <w:t>提供的相关服务时免受第三方提出的侵犯其专利权或其它知识产权的起诉。如果第三方提出侵权指控，中标</w:t>
            </w:r>
            <w:r>
              <w:rPr>
                <w:rFonts w:ascii="宋体" w:hAnsi="宋体"/>
                <w:color w:val="auto"/>
                <w:szCs w:val="21"/>
                <w:highlight w:val="none"/>
              </w:rPr>
              <w:t>人</w:t>
            </w:r>
            <w:r>
              <w:rPr>
                <w:rFonts w:hint="eastAsia" w:ascii="宋体" w:hAnsi="宋体"/>
                <w:color w:val="auto"/>
                <w:szCs w:val="21"/>
                <w:highlight w:val="none"/>
              </w:rPr>
              <w:t>应承担由此而引起的一切法律责任和费用。</w:t>
            </w:r>
          </w:p>
          <w:p w14:paraId="306842E1">
            <w:pPr>
              <w:tabs>
                <w:tab w:val="left" w:pos="180"/>
                <w:tab w:val="left" w:pos="1620"/>
              </w:tabs>
              <w:spacing w:after="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2.在运</w:t>
            </w:r>
            <w:r>
              <w:rPr>
                <w:rFonts w:ascii="宋体" w:hAnsi="宋体"/>
                <w:color w:val="auto"/>
                <w:szCs w:val="21"/>
                <w:highlight w:val="none"/>
              </w:rPr>
              <w:t>维</w:t>
            </w:r>
            <w:r>
              <w:rPr>
                <w:rFonts w:hint="eastAsia" w:ascii="宋体" w:hAnsi="宋体"/>
                <w:color w:val="auto"/>
                <w:szCs w:val="21"/>
                <w:highlight w:val="none"/>
              </w:rPr>
              <w:t>服务期间所涉及的调试、测试不能影响原系统的运行。</w:t>
            </w:r>
          </w:p>
          <w:p w14:paraId="6B419FE7">
            <w:pPr>
              <w:tabs>
                <w:tab w:val="left" w:pos="180"/>
                <w:tab w:val="left" w:pos="1620"/>
              </w:tabs>
              <w:spacing w:after="0"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3.中标人必须与采购人签订保密协议。</w:t>
            </w:r>
          </w:p>
        </w:tc>
      </w:tr>
      <w:tr w14:paraId="4D75B4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2E3E1B9D">
            <w:pPr>
              <w:spacing w:after="0" w:line="360" w:lineRule="exact"/>
              <w:rPr>
                <w:rFonts w:hint="eastAsia" w:ascii="宋体" w:hAnsi="宋体"/>
                <w:color w:val="auto"/>
                <w:szCs w:val="21"/>
                <w:highlight w:val="none"/>
              </w:rPr>
            </w:pPr>
            <w:r>
              <w:rPr>
                <w:rFonts w:hint="eastAsia" w:ascii="宋体" w:hAnsi="宋体"/>
                <w:color w:val="auto"/>
                <w:szCs w:val="21"/>
                <w:highlight w:val="none"/>
              </w:rPr>
              <w:t>履约保证金</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1BCE617B">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1.中标人在签订合同时按合同金额的5%（如为小微企业按合同金额的2%）向采购人指定账户提交履约保证金（履约保证金作为违约金用于补偿采购人因中标人不能履行合同义务所蒙受的损失）。</w:t>
            </w:r>
          </w:p>
          <w:p w14:paraId="62E0012F">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2.履约保证金</w:t>
            </w:r>
            <w:bookmarkStart w:id="43" w:name="OLE_LINK9"/>
            <w:r>
              <w:rPr>
                <w:rFonts w:hint="eastAsia" w:ascii="宋体" w:hAnsi="宋体"/>
                <w:color w:val="auto"/>
                <w:szCs w:val="21"/>
                <w:highlight w:val="none"/>
              </w:rPr>
              <w:t>在验收合格后，中标人向采购人递交请款材料的同时，同步递交退还履约保证金申请材料，采购人在支付合同款时，</w:t>
            </w:r>
            <w:bookmarkEnd w:id="43"/>
            <w:r>
              <w:rPr>
                <w:rFonts w:hint="eastAsia" w:ascii="宋体" w:hAnsi="宋体"/>
                <w:color w:val="auto"/>
                <w:szCs w:val="21"/>
                <w:highlight w:val="none"/>
              </w:rPr>
              <w:t>一次性将履约保证金退付给中标人（不计利息），如有涉及违约行为的，扣除违约金后退还。</w:t>
            </w:r>
          </w:p>
          <w:p w14:paraId="78D4E255">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3.履约保证金递交方式：银行转账、支票、汇票、本票等非现金方式或者银行、保险机构出具的保函等非现金方式。</w:t>
            </w:r>
          </w:p>
          <w:p w14:paraId="00BB09FE">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4.履约保证金指定账户：</w:t>
            </w:r>
          </w:p>
          <w:p w14:paraId="079A6FB8">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开户名称：广西壮族自治区收费公路联网收费清分结算中心</w:t>
            </w:r>
          </w:p>
          <w:p w14:paraId="41893BCB">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开户银行：交通银行股份有限公司南宁金源支行</w:t>
            </w:r>
          </w:p>
          <w:p w14:paraId="217B9C33">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银行账号：4510 6030 9018 0101 03458 </w:t>
            </w:r>
          </w:p>
        </w:tc>
      </w:tr>
      <w:tr w14:paraId="20041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4D8E88AD">
            <w:pPr>
              <w:spacing w:after="0" w:line="360" w:lineRule="exact"/>
              <w:rPr>
                <w:rFonts w:hint="eastAsia" w:ascii="宋体" w:hAnsi="宋体"/>
                <w:b/>
                <w:color w:val="auto"/>
                <w:szCs w:val="21"/>
                <w:highlight w:val="none"/>
              </w:rPr>
            </w:pPr>
            <w:r>
              <w:rPr>
                <w:rFonts w:hint="eastAsia" w:ascii="宋体" w:hAnsi="宋体"/>
                <w:b/>
                <w:color w:val="auto"/>
                <w:szCs w:val="21"/>
                <w:highlight w:val="none"/>
              </w:rPr>
              <w:t>二、与实现项目目标相关的其他要求</w:t>
            </w:r>
          </w:p>
        </w:tc>
      </w:tr>
      <w:tr w14:paraId="7B1B6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7ED6FB35">
            <w:pPr>
              <w:spacing w:after="0" w:line="360" w:lineRule="exact"/>
              <w:rPr>
                <w:rFonts w:hint="eastAsia" w:ascii="宋体" w:hAnsi="宋体"/>
                <w:b/>
                <w:color w:val="auto"/>
                <w:szCs w:val="21"/>
                <w:highlight w:val="none"/>
              </w:rPr>
            </w:pPr>
            <w:r>
              <w:rPr>
                <w:rFonts w:hint="eastAsia" w:ascii="宋体" w:hAnsi="宋体"/>
                <w:b/>
                <w:color w:val="auto"/>
                <w:szCs w:val="21"/>
                <w:highlight w:val="none"/>
              </w:rPr>
              <w:t>（一）投标人的履约能力要求</w:t>
            </w:r>
          </w:p>
        </w:tc>
      </w:tr>
      <w:tr w14:paraId="4C04D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34DD51DB">
            <w:pPr>
              <w:spacing w:after="0" w:line="360" w:lineRule="exact"/>
              <w:rPr>
                <w:rFonts w:hint="eastAsia" w:ascii="宋体" w:hAnsi="宋体"/>
                <w:color w:val="auto"/>
                <w:szCs w:val="21"/>
                <w:highlight w:val="none"/>
              </w:rPr>
            </w:pPr>
            <w:r>
              <w:rPr>
                <w:rFonts w:hint="eastAsia" w:ascii="宋体" w:hAnsi="宋体"/>
                <w:color w:val="auto"/>
                <w:szCs w:val="21"/>
                <w:highlight w:val="none"/>
              </w:rPr>
              <w:t>政策性加分条件</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14F234BB">
            <w:pPr>
              <w:spacing w:after="0" w:line="360" w:lineRule="exact"/>
              <w:rPr>
                <w:rFonts w:hint="eastAsia" w:ascii="宋体" w:hAnsi="宋体"/>
                <w:color w:val="auto"/>
                <w:szCs w:val="21"/>
                <w:highlight w:val="none"/>
              </w:rPr>
            </w:pPr>
            <w:r>
              <w:rPr>
                <w:rFonts w:hint="eastAsia" w:ascii="宋体" w:hAnsi="宋体"/>
                <w:color w:val="auto"/>
                <w:szCs w:val="21"/>
                <w:highlight w:val="none"/>
              </w:rPr>
              <w:t>见本采购文件第四章“评标方法及评标标准”。</w:t>
            </w:r>
          </w:p>
        </w:tc>
      </w:tr>
      <w:tr w14:paraId="5F49D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240D5701">
            <w:pPr>
              <w:spacing w:after="0" w:line="360" w:lineRule="exact"/>
              <w:rPr>
                <w:rFonts w:hint="eastAsia" w:ascii="宋体" w:hAnsi="宋体"/>
                <w:color w:val="auto"/>
                <w:szCs w:val="21"/>
                <w:highlight w:val="none"/>
              </w:rPr>
            </w:pPr>
            <w:r>
              <w:rPr>
                <w:rFonts w:hint="eastAsia" w:ascii="宋体" w:hAnsi="宋体"/>
                <w:color w:val="auto"/>
                <w:szCs w:val="21"/>
                <w:highlight w:val="none"/>
              </w:rPr>
              <w:t>质量管理体系要求</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2222A10D">
            <w:pPr>
              <w:spacing w:after="0" w:line="360" w:lineRule="exact"/>
              <w:rPr>
                <w:rFonts w:hint="eastAsia" w:ascii="宋体" w:hAnsi="宋体"/>
                <w:color w:val="auto"/>
                <w:szCs w:val="21"/>
                <w:highlight w:val="none"/>
              </w:rPr>
            </w:pPr>
            <w:r>
              <w:rPr>
                <w:rFonts w:hint="eastAsia" w:ascii="宋体" w:hAnsi="宋体"/>
                <w:color w:val="auto"/>
                <w:szCs w:val="21"/>
                <w:highlight w:val="none"/>
              </w:rPr>
              <w:t>如有，请于投标文件中自行提供。</w:t>
            </w:r>
          </w:p>
        </w:tc>
      </w:tr>
      <w:tr w14:paraId="04300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43" w:type="pct"/>
            <w:gridSpan w:val="2"/>
            <w:tcBorders>
              <w:top w:val="single" w:color="auto" w:sz="4" w:space="0"/>
              <w:left w:val="single" w:color="auto" w:sz="4" w:space="0"/>
              <w:bottom w:val="single" w:color="auto" w:sz="4" w:space="0"/>
              <w:right w:val="single" w:color="auto" w:sz="4" w:space="0"/>
            </w:tcBorders>
            <w:noWrap w:val="0"/>
            <w:vAlign w:val="center"/>
          </w:tcPr>
          <w:p w14:paraId="46BBE568">
            <w:pPr>
              <w:spacing w:after="0" w:line="360" w:lineRule="exact"/>
              <w:rPr>
                <w:rFonts w:hint="eastAsia" w:ascii="宋体" w:hAnsi="宋体"/>
                <w:color w:val="auto"/>
                <w:szCs w:val="21"/>
                <w:highlight w:val="none"/>
              </w:rPr>
            </w:pPr>
            <w:r>
              <w:rPr>
                <w:rFonts w:hint="eastAsia" w:ascii="宋体" w:hAnsi="宋体"/>
                <w:color w:val="auto"/>
                <w:szCs w:val="21"/>
                <w:highlight w:val="none"/>
              </w:rPr>
              <w:t>业绩要求</w:t>
            </w:r>
          </w:p>
        </w:tc>
        <w:tc>
          <w:tcPr>
            <w:tcW w:w="4057" w:type="pct"/>
            <w:gridSpan w:val="4"/>
            <w:tcBorders>
              <w:top w:val="single" w:color="auto" w:sz="4" w:space="0"/>
              <w:left w:val="single" w:color="auto" w:sz="4" w:space="0"/>
              <w:bottom w:val="single" w:color="auto" w:sz="4" w:space="0"/>
              <w:right w:val="single" w:color="auto" w:sz="4" w:space="0"/>
            </w:tcBorders>
            <w:noWrap w:val="0"/>
            <w:vAlign w:val="center"/>
          </w:tcPr>
          <w:p w14:paraId="143B374A">
            <w:pPr>
              <w:spacing w:after="0" w:line="360" w:lineRule="exact"/>
              <w:rPr>
                <w:rFonts w:hint="eastAsia" w:ascii="宋体" w:hAnsi="宋体"/>
                <w:color w:val="auto"/>
                <w:szCs w:val="21"/>
                <w:highlight w:val="none"/>
              </w:rPr>
            </w:pPr>
            <w:r>
              <w:rPr>
                <w:rFonts w:hint="eastAsia" w:ascii="宋体" w:hAnsi="宋体"/>
                <w:color w:val="auto"/>
                <w:szCs w:val="21"/>
                <w:highlight w:val="none"/>
              </w:rPr>
              <w:t>如有，请于投标文件中自行提供。</w:t>
            </w:r>
          </w:p>
        </w:tc>
      </w:tr>
      <w:tr w14:paraId="2034D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352FEC0E">
            <w:pPr>
              <w:spacing w:after="0" w:line="360" w:lineRule="exact"/>
              <w:rPr>
                <w:rFonts w:hint="eastAsia" w:ascii="宋体" w:hAnsi="宋体"/>
                <w:b/>
                <w:color w:val="auto"/>
                <w:szCs w:val="21"/>
                <w:highlight w:val="none"/>
              </w:rPr>
            </w:pPr>
            <w:r>
              <w:rPr>
                <w:rFonts w:hint="eastAsia" w:ascii="宋体" w:hAnsi="宋体"/>
                <w:b/>
                <w:color w:val="auto"/>
                <w:szCs w:val="21"/>
                <w:highlight w:val="none"/>
              </w:rPr>
              <w:t>（二）验收事宜</w:t>
            </w:r>
          </w:p>
        </w:tc>
      </w:tr>
      <w:tr w14:paraId="37E25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173CFDE1">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本章《采购需求》有其他要求的按其要求。</w:t>
            </w:r>
          </w:p>
          <w:p w14:paraId="6E8CCD43">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合同履行过程中，由采购人根据中标人所提供服务，对照招标文件要求及中标人投标文件承诺进行检验并记录，发现中标人在投标文件中有弄虚作假的行为，或在投标文件中有针对技术商务条款有虚假响应情况的，采购人将终止合同或不予验收，并追究中标人的责任，由此带来的一切损失由中标人自行承担。</w:t>
            </w:r>
          </w:p>
          <w:p w14:paraId="2A2150DA">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5E546BF3">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4.验收过程中，若出现需要第三方机构介入验收的，所产生的费用均由中标人承担。报价时应考虑相关费用。</w:t>
            </w:r>
          </w:p>
          <w:p w14:paraId="06C6B2C5">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5.服务过程中，若涉及实行强制标准认证制度、生产许可证制度、销售或经营许可证制度、注册证制度等，中标人均应符合国</w:t>
            </w:r>
            <w:r>
              <w:rPr>
                <w:rFonts w:ascii="宋体" w:hAnsi="宋体"/>
                <w:color w:val="auto"/>
                <w:szCs w:val="21"/>
                <w:highlight w:val="none"/>
              </w:rPr>
              <w:t>家相关规定</w:t>
            </w:r>
            <w:r>
              <w:rPr>
                <w:rFonts w:hint="eastAsia" w:ascii="宋体" w:hAnsi="宋体"/>
                <w:color w:val="auto"/>
                <w:szCs w:val="21"/>
                <w:highlight w:val="none"/>
              </w:rPr>
              <w:t>的</w:t>
            </w:r>
            <w:r>
              <w:rPr>
                <w:rFonts w:ascii="宋体" w:hAnsi="宋体"/>
                <w:color w:val="auto"/>
                <w:szCs w:val="21"/>
                <w:highlight w:val="none"/>
              </w:rPr>
              <w:t>要</w:t>
            </w:r>
            <w:r>
              <w:rPr>
                <w:rFonts w:hint="eastAsia" w:ascii="宋体" w:hAnsi="宋体"/>
                <w:color w:val="auto"/>
                <w:szCs w:val="21"/>
                <w:highlight w:val="none"/>
              </w:rPr>
              <w:t>求</w:t>
            </w:r>
            <w:r>
              <w:rPr>
                <w:rFonts w:ascii="宋体" w:hAnsi="宋体"/>
                <w:color w:val="auto"/>
                <w:szCs w:val="21"/>
                <w:highlight w:val="none"/>
              </w:rPr>
              <w:t>并</w:t>
            </w:r>
            <w:r>
              <w:rPr>
                <w:rFonts w:hint="eastAsia" w:ascii="宋体" w:hAnsi="宋体"/>
                <w:color w:val="auto"/>
                <w:szCs w:val="21"/>
                <w:highlight w:val="none"/>
              </w:rPr>
              <w:t>提供相关有效的证书复印件。</w:t>
            </w:r>
          </w:p>
        </w:tc>
      </w:tr>
      <w:tr w14:paraId="408F3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561A638E">
            <w:pPr>
              <w:spacing w:after="0" w:line="360" w:lineRule="exact"/>
              <w:rPr>
                <w:rFonts w:ascii="宋体" w:hAnsi="宋体"/>
                <w:color w:val="auto"/>
                <w:szCs w:val="21"/>
                <w:highlight w:val="none"/>
              </w:rPr>
            </w:pPr>
            <w:r>
              <w:rPr>
                <w:rFonts w:hint="eastAsia" w:ascii="宋体" w:hAnsi="宋体"/>
                <w:b/>
                <w:color w:val="auto"/>
                <w:szCs w:val="21"/>
                <w:highlight w:val="none"/>
              </w:rPr>
              <w:t>（三）进口产品及核心产品说明</w:t>
            </w:r>
          </w:p>
        </w:tc>
      </w:tr>
      <w:tr w14:paraId="13B51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63754979">
            <w:pPr>
              <w:spacing w:after="0" w:line="360" w:lineRule="exact"/>
              <w:ind w:firstLine="435"/>
              <w:rPr>
                <w:rFonts w:ascii="宋体" w:hAnsi="宋体"/>
                <w:color w:val="auto"/>
                <w:szCs w:val="21"/>
                <w:highlight w:val="none"/>
              </w:rPr>
            </w:pPr>
            <w:r>
              <w:rPr>
                <w:rFonts w:hint="eastAsia" w:ascii="宋体" w:hAnsi="宋体"/>
                <w:color w:val="auto"/>
                <w:szCs w:val="21"/>
                <w:highlight w:val="none"/>
              </w:rPr>
              <w:t>本项目为服务类项目，无进</w:t>
            </w:r>
            <w:r>
              <w:rPr>
                <w:rFonts w:ascii="宋体" w:hAnsi="宋体"/>
                <w:color w:val="auto"/>
                <w:szCs w:val="21"/>
                <w:highlight w:val="none"/>
              </w:rPr>
              <w:t>口产品和</w:t>
            </w:r>
            <w:r>
              <w:rPr>
                <w:rFonts w:hint="eastAsia" w:ascii="宋体" w:hAnsi="宋体"/>
                <w:color w:val="auto"/>
                <w:szCs w:val="21"/>
                <w:highlight w:val="none"/>
              </w:rPr>
              <w:t>核心产品。</w:t>
            </w:r>
          </w:p>
        </w:tc>
      </w:tr>
      <w:tr w14:paraId="459E0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6DB61DA0">
            <w:pPr>
              <w:spacing w:after="0" w:line="360" w:lineRule="exact"/>
              <w:rPr>
                <w:rFonts w:ascii="宋体" w:hAnsi="宋体"/>
                <w:b/>
                <w:color w:val="auto"/>
                <w:szCs w:val="21"/>
                <w:highlight w:val="none"/>
              </w:rPr>
            </w:pPr>
            <w:r>
              <w:rPr>
                <w:rFonts w:hint="eastAsia" w:ascii="宋体" w:hAnsi="宋体"/>
                <w:b/>
                <w:color w:val="auto"/>
                <w:szCs w:val="21"/>
                <w:highlight w:val="none"/>
              </w:rPr>
              <w:t>（四）其他要求</w:t>
            </w:r>
          </w:p>
        </w:tc>
      </w:tr>
      <w:tr w14:paraId="4978F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724E3313">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.投标人可根据自身优势在响应本采购文件要求的基础上，结合本招标文件第四章“评标方法及评标标准”提供相关服务方案（格式自拟），包括</w:t>
            </w:r>
            <w:r>
              <w:rPr>
                <w:rFonts w:ascii="宋体" w:hAnsi="宋体"/>
                <w:color w:val="auto"/>
                <w:szCs w:val="21"/>
                <w:highlight w:val="none"/>
              </w:rPr>
              <w:t>但不限于技术</w:t>
            </w:r>
            <w:r>
              <w:rPr>
                <w:rFonts w:hint="eastAsia" w:ascii="宋体" w:hAnsi="宋体"/>
                <w:color w:val="auto"/>
                <w:szCs w:val="21"/>
                <w:highlight w:val="none"/>
              </w:rPr>
              <w:t>服务</w:t>
            </w:r>
            <w:r>
              <w:rPr>
                <w:rFonts w:ascii="宋体" w:hAnsi="宋体"/>
                <w:color w:val="auto"/>
                <w:szCs w:val="21"/>
                <w:highlight w:val="none"/>
              </w:rPr>
              <w:t>方案</w:t>
            </w:r>
            <w:r>
              <w:rPr>
                <w:rFonts w:hint="eastAsia" w:ascii="宋体" w:hAnsi="宋体"/>
                <w:color w:val="auto"/>
                <w:szCs w:val="21"/>
                <w:highlight w:val="none"/>
              </w:rPr>
              <w:t>、</w:t>
            </w:r>
            <w:bookmarkStart w:id="44" w:name="OLE_LINK4"/>
            <w:r>
              <w:rPr>
                <w:rFonts w:hint="eastAsia" w:ascii="宋体" w:hAnsi="宋体"/>
                <w:color w:val="auto"/>
                <w:szCs w:val="21"/>
                <w:highlight w:val="none"/>
              </w:rPr>
              <w:t>实施</w:t>
            </w:r>
            <w:r>
              <w:rPr>
                <w:rFonts w:ascii="宋体" w:hAnsi="宋体"/>
                <w:color w:val="auto"/>
                <w:szCs w:val="21"/>
                <w:highlight w:val="none"/>
              </w:rPr>
              <w:t>方案</w:t>
            </w:r>
            <w:bookmarkEnd w:id="44"/>
            <w:r>
              <w:rPr>
                <w:rFonts w:hint="eastAsia" w:ascii="宋体" w:hAnsi="宋体"/>
                <w:color w:val="auto"/>
                <w:szCs w:val="21"/>
                <w:highlight w:val="none"/>
              </w:rPr>
              <w:t>等；</w:t>
            </w:r>
          </w:p>
          <w:p w14:paraId="2BFA3340">
            <w:pPr>
              <w:spacing w:after="0"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投入项目的技术团队人员基本固定，且</w:t>
            </w:r>
            <w:r>
              <w:rPr>
                <w:rFonts w:ascii="宋体" w:hAnsi="宋体"/>
                <w:color w:val="auto"/>
                <w:szCs w:val="21"/>
                <w:highlight w:val="none"/>
              </w:rPr>
              <w:t>满足项目实施所需</w:t>
            </w:r>
            <w:r>
              <w:rPr>
                <w:rFonts w:hint="eastAsia" w:ascii="宋体" w:hAnsi="宋体"/>
                <w:color w:val="auto"/>
                <w:szCs w:val="21"/>
                <w:highlight w:val="none"/>
              </w:rPr>
              <w:t>，如</w:t>
            </w:r>
            <w:r>
              <w:rPr>
                <w:rFonts w:ascii="宋体" w:hAnsi="宋体"/>
                <w:color w:val="auto"/>
                <w:szCs w:val="21"/>
                <w:highlight w:val="none"/>
              </w:rPr>
              <w:t>有并附</w:t>
            </w:r>
            <w:r>
              <w:rPr>
                <w:rFonts w:hint="eastAsia" w:ascii="宋体" w:hAnsi="宋体"/>
                <w:color w:val="auto"/>
                <w:szCs w:val="21"/>
                <w:highlight w:val="none"/>
              </w:rPr>
              <w:t>人</w:t>
            </w:r>
            <w:r>
              <w:rPr>
                <w:rFonts w:ascii="宋体" w:hAnsi="宋体"/>
                <w:color w:val="auto"/>
                <w:szCs w:val="21"/>
                <w:highlight w:val="none"/>
              </w:rPr>
              <w:t>员技术资格证书或职称证书</w:t>
            </w:r>
            <w:r>
              <w:rPr>
                <w:rFonts w:hint="eastAsia" w:ascii="宋体" w:hAnsi="宋体"/>
                <w:color w:val="auto"/>
                <w:szCs w:val="21"/>
                <w:highlight w:val="none"/>
              </w:rPr>
              <w:t>。</w:t>
            </w:r>
          </w:p>
          <w:p w14:paraId="2AC8ACEE">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3.提供《项目实施人员一览表》，及社保缴纳证明文件复印件或劳动合同或协议书复印件或聘用意向书复印件及承诺书等。</w:t>
            </w:r>
          </w:p>
          <w:p w14:paraId="6806901E">
            <w:pPr>
              <w:spacing w:after="0"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如有，请于投标文件中提供包含但不限于信誉、业绩等。</w:t>
            </w:r>
          </w:p>
        </w:tc>
      </w:tr>
      <w:tr w14:paraId="5BD43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688EF2DA">
            <w:pPr>
              <w:spacing w:after="0" w:line="360" w:lineRule="exact"/>
              <w:rPr>
                <w:rFonts w:hint="eastAsia" w:ascii="宋体" w:hAnsi="宋体"/>
                <w:color w:val="auto"/>
                <w:szCs w:val="21"/>
                <w:highlight w:val="none"/>
              </w:rPr>
            </w:pPr>
            <w:r>
              <w:rPr>
                <w:rFonts w:hint="eastAsia" w:ascii="宋体" w:hAnsi="宋体"/>
                <w:b/>
                <w:color w:val="auto"/>
                <w:szCs w:val="21"/>
                <w:highlight w:val="none"/>
              </w:rPr>
              <w:t>（五）</w:t>
            </w:r>
            <w:r>
              <w:rPr>
                <w:rFonts w:ascii="宋体" w:hAnsi="宋体"/>
                <w:b/>
                <w:color w:val="auto"/>
                <w:szCs w:val="21"/>
                <w:highlight w:val="none"/>
              </w:rPr>
              <w:t>其他说明</w:t>
            </w:r>
          </w:p>
        </w:tc>
      </w:tr>
      <w:tr w14:paraId="695D1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D627AAE">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▲1.评审时以预</w:t>
            </w:r>
            <w:r>
              <w:rPr>
                <w:rFonts w:ascii="宋体" w:hAnsi="宋体"/>
                <w:color w:val="auto"/>
                <w:szCs w:val="21"/>
                <w:highlight w:val="none"/>
              </w:rPr>
              <w:t>算</w:t>
            </w:r>
            <w:r>
              <w:rPr>
                <w:rFonts w:hint="eastAsia" w:ascii="宋体" w:hAnsi="宋体"/>
                <w:color w:val="auto"/>
                <w:szCs w:val="21"/>
                <w:highlight w:val="none"/>
              </w:rPr>
              <w:t>金额为最高限价，</w:t>
            </w:r>
            <w:r>
              <w:rPr>
                <w:rFonts w:hint="eastAsia" w:ascii="宋体" w:hAnsi="宋体"/>
                <w:b/>
                <w:color w:val="auto"/>
                <w:szCs w:val="21"/>
                <w:highlight w:val="none"/>
                <w:u w:val="single"/>
              </w:rPr>
              <w:t>投标报价超最高限价的作无效投标处理</w:t>
            </w:r>
            <w:r>
              <w:rPr>
                <w:rFonts w:hint="eastAsia" w:ascii="宋体" w:hAnsi="宋体"/>
                <w:color w:val="auto"/>
                <w:szCs w:val="21"/>
                <w:highlight w:val="none"/>
              </w:rPr>
              <w:t>。</w:t>
            </w:r>
          </w:p>
          <w:p w14:paraId="57206EBC">
            <w:pPr>
              <w:spacing w:after="0" w:line="360" w:lineRule="exact"/>
              <w:ind w:firstLine="404" w:firstLineChars="200"/>
              <w:rPr>
                <w:rFonts w:hint="eastAsia" w:ascii="宋体" w:hAnsi="宋体"/>
                <w:b/>
                <w:color w:val="auto"/>
                <w:szCs w:val="21"/>
                <w:highlight w:val="none"/>
              </w:rPr>
            </w:pPr>
            <w:r>
              <w:rPr>
                <w:rFonts w:hint="eastAsia" w:ascii="宋体" w:hAnsi="宋体"/>
                <w:color w:val="auto"/>
                <w:spacing w:val="-4"/>
                <w:szCs w:val="21"/>
                <w:highlight w:val="none"/>
              </w:rPr>
              <w:t>▲2.投标人就本项目服务需求中全部内容作完整唯一报价，拆分服务</w:t>
            </w:r>
            <w:r>
              <w:rPr>
                <w:rFonts w:ascii="宋体" w:hAnsi="宋体"/>
                <w:color w:val="auto"/>
                <w:spacing w:val="-4"/>
                <w:szCs w:val="21"/>
                <w:highlight w:val="none"/>
              </w:rPr>
              <w:t>内容</w:t>
            </w:r>
            <w:r>
              <w:rPr>
                <w:rFonts w:hint="eastAsia" w:ascii="宋体" w:hAnsi="宋体"/>
                <w:color w:val="auto"/>
                <w:spacing w:val="-4"/>
                <w:szCs w:val="21"/>
                <w:highlight w:val="none"/>
              </w:rPr>
              <w:t>投标或仅</w:t>
            </w:r>
            <w:r>
              <w:rPr>
                <w:rFonts w:ascii="宋体" w:hAnsi="宋体"/>
                <w:color w:val="auto"/>
                <w:spacing w:val="-4"/>
                <w:szCs w:val="21"/>
                <w:highlight w:val="none"/>
              </w:rPr>
              <w:t>对部分内容</w:t>
            </w:r>
            <w:r>
              <w:rPr>
                <w:rFonts w:hint="eastAsia" w:ascii="宋体" w:hAnsi="宋体"/>
                <w:color w:val="auto"/>
                <w:spacing w:val="-4"/>
                <w:szCs w:val="21"/>
                <w:highlight w:val="none"/>
              </w:rPr>
              <w:t>投</w:t>
            </w:r>
            <w:r>
              <w:rPr>
                <w:rFonts w:ascii="宋体" w:hAnsi="宋体"/>
                <w:color w:val="auto"/>
                <w:spacing w:val="-4"/>
                <w:szCs w:val="21"/>
                <w:highlight w:val="none"/>
              </w:rPr>
              <w:t>标报价</w:t>
            </w:r>
            <w:r>
              <w:rPr>
                <w:rFonts w:hint="eastAsia" w:ascii="宋体" w:hAnsi="宋体"/>
                <w:color w:val="auto"/>
                <w:spacing w:val="-4"/>
                <w:szCs w:val="21"/>
                <w:highlight w:val="none"/>
              </w:rPr>
              <w:t>的将导致投标无效。</w:t>
            </w:r>
          </w:p>
        </w:tc>
      </w:tr>
    </w:tbl>
    <w:p w14:paraId="6F53BD72">
      <w:pPr>
        <w:snapToGrid w:val="0"/>
        <w:spacing w:line="360" w:lineRule="auto"/>
        <w:rPr>
          <w:rFonts w:ascii="宋体" w:hAnsi="宋体"/>
          <w:color w:val="auto"/>
          <w:szCs w:val="21"/>
          <w:highlight w:val="none"/>
          <w:u w:val="single"/>
        </w:rPr>
      </w:pPr>
    </w:p>
    <w:p w14:paraId="3DFE58E6">
      <w:pPr>
        <w:spacing w:line="360" w:lineRule="auto"/>
        <w:rPr>
          <w:rFonts w:ascii="宋体" w:hAnsi="宋体"/>
          <w:color w:val="auto"/>
          <w:highlight w:val="none"/>
        </w:rPr>
      </w:pPr>
    </w:p>
    <w:p w14:paraId="63F43E4C">
      <w:pPr>
        <w:spacing w:line="360" w:lineRule="auto"/>
        <w:rPr>
          <w:rFonts w:ascii="宋体" w:hAnsi="宋体"/>
          <w:color w:val="auto"/>
          <w:highlight w:val="none"/>
        </w:rPr>
        <w:sectPr>
          <w:footerReference r:id="rId5" w:type="default"/>
          <w:pgSz w:w="11906" w:h="16838"/>
          <w:pgMar w:top="1440" w:right="1800" w:bottom="1440" w:left="1800" w:header="851" w:footer="992" w:gutter="0"/>
          <w:cols w:space="425" w:num="1"/>
          <w:docGrid w:type="lines" w:linePitch="312" w:charSpace="0"/>
        </w:sectPr>
      </w:pPr>
    </w:p>
    <w:p w14:paraId="417C17F3">
      <w:pPr>
        <w:spacing w:line="428" w:lineRule="exact"/>
        <w:jc w:val="both"/>
        <w:rPr>
          <w:rFonts w:ascii="宋体" w:hAnsi="宋体"/>
          <w:b/>
          <w:color w:val="auto"/>
          <w:sz w:val="36"/>
          <w:szCs w:val="36"/>
          <w:highlight w:val="none"/>
        </w:rPr>
      </w:pPr>
    </w:p>
    <w:p w14:paraId="6A007AEB">
      <w:pPr>
        <w:spacing w:line="428" w:lineRule="exact"/>
        <w:jc w:val="center"/>
        <w:rPr>
          <w:rFonts w:ascii="宋体" w:hAnsi="宋体"/>
          <w:b/>
          <w:color w:val="auto"/>
          <w:sz w:val="36"/>
          <w:szCs w:val="36"/>
          <w:highlight w:val="none"/>
        </w:rPr>
      </w:pPr>
      <w:r>
        <w:rPr>
          <w:rFonts w:hint="eastAsia" w:ascii="宋体" w:hAnsi="宋体"/>
          <w:b/>
          <w:color w:val="auto"/>
          <w:sz w:val="36"/>
          <w:szCs w:val="36"/>
          <w:highlight w:val="none"/>
        </w:rPr>
        <w:t>节能产品政府采购品目清单</w:t>
      </w:r>
    </w:p>
    <w:tbl>
      <w:tblPr>
        <w:tblStyle w:val="49"/>
        <w:tblW w:w="9781" w:type="dxa"/>
        <w:tblInd w:w="-10" w:type="dxa"/>
        <w:tblLayout w:type="autofit"/>
        <w:tblCellMar>
          <w:top w:w="0" w:type="dxa"/>
          <w:left w:w="108" w:type="dxa"/>
          <w:bottom w:w="0" w:type="dxa"/>
          <w:right w:w="108" w:type="dxa"/>
        </w:tblCellMar>
      </w:tblPr>
      <w:tblGrid>
        <w:gridCol w:w="546"/>
        <w:gridCol w:w="1401"/>
        <w:gridCol w:w="1651"/>
        <w:gridCol w:w="1482"/>
        <w:gridCol w:w="4701"/>
      </w:tblGrid>
      <w:tr w14:paraId="68E5C5C1">
        <w:tblPrEx>
          <w:tblCellMar>
            <w:top w:w="0" w:type="dxa"/>
            <w:left w:w="108" w:type="dxa"/>
            <w:bottom w:w="0" w:type="dxa"/>
            <w:right w:w="108" w:type="dxa"/>
          </w:tblCellMar>
        </w:tblPrEx>
        <w:trPr>
          <w:trHeight w:val="555" w:hRule="atLeast"/>
        </w:trPr>
        <w:tc>
          <w:tcPr>
            <w:tcW w:w="561" w:type="dxa"/>
            <w:tcBorders>
              <w:top w:val="single" w:color="000000" w:sz="8" w:space="0"/>
              <w:left w:val="single" w:color="000000" w:sz="8" w:space="0"/>
              <w:bottom w:val="single" w:color="000000" w:sz="8" w:space="0"/>
              <w:right w:val="single" w:color="000000" w:sz="8" w:space="0"/>
            </w:tcBorders>
          </w:tcPr>
          <w:p w14:paraId="42D5E2EC">
            <w:pPr>
              <w:widowControl/>
              <w:ind w:left="-67" w:right="-3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335" w:type="dxa"/>
            <w:gridSpan w:val="3"/>
            <w:tcBorders>
              <w:top w:val="single" w:color="000000" w:sz="8" w:space="0"/>
              <w:left w:val="nil"/>
              <w:bottom w:val="single" w:color="000000" w:sz="8" w:space="0"/>
              <w:right w:val="single" w:color="000000" w:sz="8" w:space="0"/>
            </w:tcBorders>
            <w:vAlign w:val="center"/>
          </w:tcPr>
          <w:p w14:paraId="55235D1F">
            <w:pPr>
              <w:widowControl/>
              <w:ind w:left="-67" w:right="-3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885" w:type="dxa"/>
            <w:tcBorders>
              <w:top w:val="single" w:color="000000" w:sz="8" w:space="0"/>
              <w:left w:val="nil"/>
              <w:bottom w:val="single" w:color="000000" w:sz="8" w:space="0"/>
              <w:right w:val="single" w:color="000000" w:sz="8" w:space="0"/>
            </w:tcBorders>
            <w:vAlign w:val="center"/>
          </w:tcPr>
          <w:p w14:paraId="785D5EB9">
            <w:pPr>
              <w:widowControl/>
              <w:ind w:left="-67" w:right="-3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3934C6E2">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4E3EBEC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424" w:type="dxa"/>
            <w:vMerge w:val="restart"/>
            <w:tcBorders>
              <w:top w:val="nil"/>
              <w:left w:val="single" w:color="000000" w:sz="8" w:space="0"/>
              <w:bottom w:val="single" w:color="000000" w:sz="8" w:space="0"/>
              <w:right w:val="single" w:color="000000" w:sz="8" w:space="0"/>
            </w:tcBorders>
            <w:vAlign w:val="center"/>
          </w:tcPr>
          <w:p w14:paraId="593167E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662" w:type="dxa"/>
            <w:tcBorders>
              <w:top w:val="nil"/>
              <w:left w:val="nil"/>
              <w:bottom w:val="single" w:color="000000" w:sz="8" w:space="0"/>
              <w:right w:val="single" w:color="000000" w:sz="8" w:space="0"/>
            </w:tcBorders>
            <w:vAlign w:val="center"/>
          </w:tcPr>
          <w:p w14:paraId="428E2AD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249" w:type="dxa"/>
            <w:tcBorders>
              <w:top w:val="nil"/>
              <w:left w:val="nil"/>
              <w:bottom w:val="single" w:color="000000" w:sz="8" w:space="0"/>
              <w:right w:val="single" w:color="000000" w:sz="8" w:space="0"/>
            </w:tcBorders>
            <w:vAlign w:val="center"/>
          </w:tcPr>
          <w:p w14:paraId="7BCF511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C639A5D">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5224851B">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3C3CD641">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94C78B2">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0BEC48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249" w:type="dxa"/>
            <w:tcBorders>
              <w:top w:val="nil"/>
              <w:left w:val="nil"/>
              <w:bottom w:val="single" w:color="000000" w:sz="8" w:space="0"/>
              <w:right w:val="single" w:color="000000" w:sz="8" w:space="0"/>
            </w:tcBorders>
            <w:vAlign w:val="center"/>
          </w:tcPr>
          <w:p w14:paraId="1383531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6C4CCA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52740188">
        <w:tblPrEx>
          <w:tblCellMar>
            <w:top w:w="0" w:type="dxa"/>
            <w:left w:w="108" w:type="dxa"/>
            <w:bottom w:w="0" w:type="dxa"/>
            <w:right w:w="108" w:type="dxa"/>
          </w:tblCellMar>
        </w:tblPrEx>
        <w:trPr>
          <w:trHeight w:val="577" w:hRule="atLeast"/>
        </w:trPr>
        <w:tc>
          <w:tcPr>
            <w:tcW w:w="561" w:type="dxa"/>
            <w:vMerge w:val="continue"/>
            <w:tcBorders>
              <w:top w:val="nil"/>
              <w:left w:val="single" w:color="000000" w:sz="8" w:space="0"/>
              <w:bottom w:val="single" w:color="000000" w:sz="8" w:space="0"/>
              <w:right w:val="single" w:color="000000" w:sz="8" w:space="0"/>
            </w:tcBorders>
            <w:vAlign w:val="center"/>
          </w:tcPr>
          <w:p w14:paraId="39B8EE3C">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7D2CBC10">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72A8B36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249" w:type="dxa"/>
            <w:tcBorders>
              <w:top w:val="nil"/>
              <w:left w:val="nil"/>
              <w:bottom w:val="single" w:color="000000" w:sz="8" w:space="0"/>
              <w:right w:val="single" w:color="000000" w:sz="8" w:space="0"/>
            </w:tcBorders>
            <w:vAlign w:val="center"/>
          </w:tcPr>
          <w:p w14:paraId="2B129B5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4DC1E9F4">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0B7FCDD0">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2B3BD61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424" w:type="dxa"/>
            <w:vMerge w:val="restart"/>
            <w:tcBorders>
              <w:top w:val="nil"/>
              <w:left w:val="single" w:color="000000" w:sz="8" w:space="0"/>
              <w:bottom w:val="single" w:color="000000" w:sz="8" w:space="0"/>
              <w:right w:val="single" w:color="000000" w:sz="8" w:space="0"/>
            </w:tcBorders>
            <w:vAlign w:val="center"/>
          </w:tcPr>
          <w:p w14:paraId="1CC34B0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662" w:type="dxa"/>
            <w:vMerge w:val="restart"/>
            <w:tcBorders>
              <w:top w:val="nil"/>
              <w:left w:val="single" w:color="000000" w:sz="8" w:space="0"/>
              <w:bottom w:val="single" w:color="000000" w:sz="8" w:space="0"/>
              <w:right w:val="single" w:color="000000" w:sz="8" w:space="0"/>
            </w:tcBorders>
            <w:vAlign w:val="center"/>
          </w:tcPr>
          <w:p w14:paraId="4B57673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249" w:type="dxa"/>
            <w:tcBorders>
              <w:top w:val="nil"/>
              <w:left w:val="nil"/>
              <w:bottom w:val="single" w:color="000000" w:sz="8" w:space="0"/>
              <w:right w:val="single" w:color="000000" w:sz="8" w:space="0"/>
            </w:tcBorders>
            <w:vAlign w:val="center"/>
          </w:tcPr>
          <w:p w14:paraId="78803DA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885" w:type="dxa"/>
            <w:tcBorders>
              <w:top w:val="nil"/>
              <w:left w:val="nil"/>
              <w:bottom w:val="single" w:color="000000" w:sz="8" w:space="0"/>
              <w:right w:val="single" w:color="000000" w:sz="8" w:space="0"/>
            </w:tcBorders>
            <w:vAlign w:val="center"/>
          </w:tcPr>
          <w:p w14:paraId="31DDC2C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38E4F839">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35C535EE">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8D0A122">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167A4B2C">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6969B3C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885" w:type="dxa"/>
            <w:tcBorders>
              <w:top w:val="nil"/>
              <w:left w:val="nil"/>
              <w:bottom w:val="single" w:color="000000" w:sz="8" w:space="0"/>
              <w:right w:val="single" w:color="000000" w:sz="8" w:space="0"/>
            </w:tcBorders>
            <w:vAlign w:val="center"/>
          </w:tcPr>
          <w:p w14:paraId="5922567B">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7DEC2051">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0B3EFAC3">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588B317">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0DCEE571">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1B39181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885" w:type="dxa"/>
            <w:tcBorders>
              <w:top w:val="nil"/>
              <w:left w:val="nil"/>
              <w:bottom w:val="single" w:color="000000" w:sz="8" w:space="0"/>
              <w:right w:val="single" w:color="000000" w:sz="8" w:space="0"/>
            </w:tcBorders>
            <w:vAlign w:val="center"/>
          </w:tcPr>
          <w:p w14:paraId="4DD4129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1F2DAC20">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15DB788C">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03DD43AE">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695ADE4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249" w:type="dxa"/>
            <w:tcBorders>
              <w:top w:val="nil"/>
              <w:left w:val="nil"/>
              <w:bottom w:val="single" w:color="000000" w:sz="8" w:space="0"/>
              <w:right w:val="single" w:color="000000" w:sz="8" w:space="0"/>
            </w:tcBorders>
            <w:vAlign w:val="center"/>
          </w:tcPr>
          <w:p w14:paraId="5EB1B6B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885" w:type="dxa"/>
            <w:tcBorders>
              <w:top w:val="nil"/>
              <w:left w:val="nil"/>
              <w:bottom w:val="single" w:color="000000" w:sz="8" w:space="0"/>
              <w:right w:val="single" w:color="000000" w:sz="8" w:space="0"/>
            </w:tcBorders>
            <w:vAlign w:val="center"/>
          </w:tcPr>
          <w:p w14:paraId="421439BD">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77A7CFFA">
        <w:tblPrEx>
          <w:tblCellMar>
            <w:top w:w="0" w:type="dxa"/>
            <w:left w:w="108" w:type="dxa"/>
            <w:bottom w:w="0" w:type="dxa"/>
            <w:right w:w="108" w:type="dxa"/>
          </w:tblCellMar>
        </w:tblPrEx>
        <w:trPr>
          <w:trHeight w:val="975" w:hRule="atLeast"/>
        </w:trPr>
        <w:tc>
          <w:tcPr>
            <w:tcW w:w="561" w:type="dxa"/>
            <w:vMerge w:val="continue"/>
            <w:tcBorders>
              <w:top w:val="nil"/>
              <w:left w:val="single" w:color="000000" w:sz="8" w:space="0"/>
              <w:bottom w:val="single" w:color="000000" w:sz="8" w:space="0"/>
              <w:right w:val="single" w:color="000000" w:sz="8" w:space="0"/>
            </w:tcBorders>
            <w:vAlign w:val="center"/>
          </w:tcPr>
          <w:p w14:paraId="13A5F8EF">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366F26A7">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1041A9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249" w:type="dxa"/>
            <w:tcBorders>
              <w:top w:val="nil"/>
              <w:left w:val="nil"/>
              <w:bottom w:val="single" w:color="000000" w:sz="8" w:space="0"/>
              <w:right w:val="single" w:color="000000" w:sz="8" w:space="0"/>
            </w:tcBorders>
            <w:vAlign w:val="center"/>
          </w:tcPr>
          <w:p w14:paraId="644E869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885" w:type="dxa"/>
            <w:tcBorders>
              <w:top w:val="nil"/>
              <w:left w:val="nil"/>
              <w:bottom w:val="single" w:color="000000" w:sz="8" w:space="0"/>
              <w:right w:val="single" w:color="000000" w:sz="8" w:space="0"/>
            </w:tcBorders>
            <w:vAlign w:val="center"/>
          </w:tcPr>
          <w:p w14:paraId="3EA6D80B">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41D15EF9">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5E0BD1E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424" w:type="dxa"/>
            <w:tcBorders>
              <w:top w:val="nil"/>
              <w:left w:val="nil"/>
              <w:bottom w:val="single" w:color="000000" w:sz="8" w:space="0"/>
              <w:right w:val="single" w:color="000000" w:sz="8" w:space="0"/>
            </w:tcBorders>
            <w:vAlign w:val="center"/>
          </w:tcPr>
          <w:p w14:paraId="643370C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662" w:type="dxa"/>
            <w:tcBorders>
              <w:top w:val="nil"/>
              <w:left w:val="nil"/>
              <w:bottom w:val="single" w:color="000000" w:sz="8" w:space="0"/>
              <w:right w:val="single" w:color="000000" w:sz="8" w:space="0"/>
            </w:tcBorders>
            <w:vAlign w:val="center"/>
          </w:tcPr>
          <w:p w14:paraId="7656AEB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27B00B2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6F64688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37A450FC">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73208D5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424" w:type="dxa"/>
            <w:tcBorders>
              <w:top w:val="nil"/>
              <w:left w:val="nil"/>
              <w:bottom w:val="single" w:color="000000" w:sz="8" w:space="0"/>
              <w:right w:val="single" w:color="000000" w:sz="8" w:space="0"/>
            </w:tcBorders>
            <w:vAlign w:val="center"/>
          </w:tcPr>
          <w:p w14:paraId="3497ABC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662" w:type="dxa"/>
            <w:tcBorders>
              <w:top w:val="nil"/>
              <w:left w:val="nil"/>
              <w:bottom w:val="single" w:color="000000" w:sz="8" w:space="0"/>
              <w:right w:val="single" w:color="000000" w:sz="8" w:space="0"/>
            </w:tcBorders>
            <w:vAlign w:val="center"/>
          </w:tcPr>
          <w:p w14:paraId="7EE605E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4BC54F0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BB927D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1B54A80">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7C7BD2C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424" w:type="dxa"/>
            <w:tcBorders>
              <w:top w:val="nil"/>
              <w:left w:val="nil"/>
              <w:bottom w:val="single" w:color="000000" w:sz="8" w:space="0"/>
              <w:right w:val="single" w:color="000000" w:sz="8" w:space="0"/>
            </w:tcBorders>
            <w:vAlign w:val="center"/>
          </w:tcPr>
          <w:p w14:paraId="1D89AFB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662" w:type="dxa"/>
            <w:tcBorders>
              <w:top w:val="nil"/>
              <w:left w:val="nil"/>
              <w:bottom w:val="single" w:color="000000" w:sz="8" w:space="0"/>
              <w:right w:val="single" w:color="000000" w:sz="8" w:space="0"/>
            </w:tcBorders>
            <w:vAlign w:val="center"/>
          </w:tcPr>
          <w:p w14:paraId="685F9BC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249" w:type="dxa"/>
            <w:tcBorders>
              <w:top w:val="nil"/>
              <w:left w:val="nil"/>
              <w:bottom w:val="single" w:color="000000" w:sz="8" w:space="0"/>
              <w:right w:val="single" w:color="000000" w:sz="8" w:space="0"/>
            </w:tcBorders>
            <w:vAlign w:val="center"/>
          </w:tcPr>
          <w:p w14:paraId="0E5814C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5BFC1F20">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01B21515">
        <w:tblPrEx>
          <w:tblCellMar>
            <w:top w:w="0" w:type="dxa"/>
            <w:left w:w="108" w:type="dxa"/>
            <w:bottom w:w="0" w:type="dxa"/>
            <w:right w:w="108" w:type="dxa"/>
          </w:tblCellMar>
        </w:tblPrEx>
        <w:trPr>
          <w:trHeight w:val="735" w:hRule="atLeast"/>
        </w:trPr>
        <w:tc>
          <w:tcPr>
            <w:tcW w:w="561" w:type="dxa"/>
            <w:vMerge w:val="restart"/>
            <w:tcBorders>
              <w:top w:val="nil"/>
              <w:left w:val="single" w:color="000000" w:sz="8" w:space="0"/>
              <w:bottom w:val="single" w:color="000000" w:sz="8" w:space="0"/>
              <w:right w:val="single" w:color="000000" w:sz="8" w:space="0"/>
            </w:tcBorders>
            <w:vAlign w:val="center"/>
          </w:tcPr>
          <w:p w14:paraId="1A7409E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424" w:type="dxa"/>
            <w:vMerge w:val="restart"/>
            <w:tcBorders>
              <w:top w:val="nil"/>
              <w:left w:val="single" w:color="000000" w:sz="8" w:space="0"/>
              <w:bottom w:val="single" w:color="000000" w:sz="8" w:space="0"/>
              <w:right w:val="single" w:color="000000" w:sz="8" w:space="0"/>
            </w:tcBorders>
            <w:vAlign w:val="center"/>
          </w:tcPr>
          <w:p w14:paraId="39440B5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662" w:type="dxa"/>
            <w:vMerge w:val="restart"/>
            <w:tcBorders>
              <w:top w:val="nil"/>
              <w:left w:val="single" w:color="000000" w:sz="8" w:space="0"/>
              <w:bottom w:val="single" w:color="000000" w:sz="8" w:space="0"/>
              <w:right w:val="single" w:color="000000" w:sz="8" w:space="0"/>
            </w:tcBorders>
            <w:vAlign w:val="center"/>
          </w:tcPr>
          <w:p w14:paraId="649DD2A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249" w:type="dxa"/>
            <w:tcBorders>
              <w:top w:val="nil"/>
              <w:left w:val="nil"/>
              <w:bottom w:val="single" w:color="000000" w:sz="8" w:space="0"/>
              <w:right w:val="single" w:color="000000" w:sz="8" w:space="0"/>
            </w:tcBorders>
            <w:vAlign w:val="center"/>
          </w:tcPr>
          <w:p w14:paraId="120D97D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885" w:type="dxa"/>
            <w:tcBorders>
              <w:top w:val="nil"/>
              <w:left w:val="nil"/>
              <w:bottom w:val="single" w:color="000000" w:sz="8" w:space="0"/>
              <w:right w:val="single" w:color="000000" w:sz="8" w:space="0"/>
            </w:tcBorders>
            <w:vAlign w:val="center"/>
          </w:tcPr>
          <w:p w14:paraId="3D247B8C">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071372CE">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07BB7860">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467AB1E3">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0212183A">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0A7E215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885" w:type="dxa"/>
            <w:tcBorders>
              <w:top w:val="nil"/>
              <w:left w:val="nil"/>
              <w:bottom w:val="single" w:color="000000" w:sz="8" w:space="0"/>
              <w:right w:val="single" w:color="000000" w:sz="8" w:space="0"/>
            </w:tcBorders>
            <w:vAlign w:val="center"/>
          </w:tcPr>
          <w:p w14:paraId="573D511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291584C9">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33A60ACF">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56C6DE39">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4AD1E609">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4901320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885" w:type="dxa"/>
            <w:tcBorders>
              <w:top w:val="nil"/>
              <w:left w:val="nil"/>
              <w:bottom w:val="single" w:color="000000" w:sz="8" w:space="0"/>
              <w:right w:val="single" w:color="000000" w:sz="8" w:space="0"/>
            </w:tcBorders>
            <w:vAlign w:val="center"/>
          </w:tcPr>
          <w:p w14:paraId="3ED6D37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315363A1">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1598B910">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D88501B">
            <w:pPr>
              <w:widowControl/>
              <w:ind w:left="-67" w:right="-32"/>
              <w:jc w:val="left"/>
              <w:rPr>
                <w:rFonts w:ascii="宋体" w:hAnsi="宋体" w:cs="宋体"/>
                <w:color w:val="auto"/>
                <w:kern w:val="0"/>
                <w:szCs w:val="21"/>
                <w:highlight w:val="none"/>
              </w:rPr>
            </w:pPr>
          </w:p>
        </w:tc>
        <w:tc>
          <w:tcPr>
            <w:tcW w:w="1662" w:type="dxa"/>
            <w:vMerge w:val="restart"/>
            <w:tcBorders>
              <w:top w:val="nil"/>
              <w:left w:val="single" w:color="000000" w:sz="8" w:space="0"/>
              <w:bottom w:val="single" w:color="000000" w:sz="8" w:space="0"/>
              <w:right w:val="single" w:color="000000" w:sz="8" w:space="0"/>
            </w:tcBorders>
            <w:vAlign w:val="center"/>
          </w:tcPr>
          <w:p w14:paraId="7C4163E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249" w:type="dxa"/>
            <w:tcBorders>
              <w:top w:val="nil"/>
              <w:left w:val="nil"/>
              <w:bottom w:val="single" w:color="000000" w:sz="8" w:space="0"/>
              <w:right w:val="single" w:color="000000" w:sz="8" w:space="0"/>
            </w:tcBorders>
            <w:vAlign w:val="center"/>
          </w:tcPr>
          <w:p w14:paraId="1E39282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多联式空调（热泵）机组(制冷量&gt;14000W)</w:t>
            </w:r>
          </w:p>
        </w:tc>
        <w:tc>
          <w:tcPr>
            <w:tcW w:w="4885" w:type="dxa"/>
            <w:tcBorders>
              <w:top w:val="nil"/>
              <w:left w:val="nil"/>
              <w:bottom w:val="single" w:color="000000" w:sz="8" w:space="0"/>
              <w:right w:val="single" w:color="000000" w:sz="8" w:space="0"/>
            </w:tcBorders>
            <w:vAlign w:val="center"/>
          </w:tcPr>
          <w:p w14:paraId="57D55300">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6F198CF5">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4D2C9D2B">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080EF06F">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032DBCFE">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4476B43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885" w:type="dxa"/>
            <w:tcBorders>
              <w:top w:val="nil"/>
              <w:left w:val="nil"/>
              <w:bottom w:val="single" w:color="000000" w:sz="8" w:space="0"/>
              <w:right w:val="single" w:color="000000" w:sz="8" w:space="0"/>
            </w:tcBorders>
            <w:vAlign w:val="center"/>
          </w:tcPr>
          <w:p w14:paraId="7E31DCE4">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5902B531">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0591AD0E">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7AF6A91">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075CC0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249" w:type="dxa"/>
            <w:tcBorders>
              <w:top w:val="nil"/>
              <w:left w:val="nil"/>
              <w:bottom w:val="single" w:color="000000" w:sz="8" w:space="0"/>
              <w:right w:val="single" w:color="000000" w:sz="8" w:space="0"/>
            </w:tcBorders>
            <w:vAlign w:val="center"/>
          </w:tcPr>
          <w:p w14:paraId="726D590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885" w:type="dxa"/>
            <w:tcBorders>
              <w:top w:val="nil"/>
              <w:left w:val="nil"/>
              <w:bottom w:val="single" w:color="000000" w:sz="8" w:space="0"/>
              <w:right w:val="single" w:color="000000" w:sz="8" w:space="0"/>
            </w:tcBorders>
            <w:vAlign w:val="center"/>
          </w:tcPr>
          <w:p w14:paraId="0D34AFA9">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73F8D295">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1F9D6075">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76AEA014">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3000227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249" w:type="dxa"/>
            <w:tcBorders>
              <w:top w:val="nil"/>
              <w:left w:val="nil"/>
              <w:bottom w:val="single" w:color="000000" w:sz="8" w:space="0"/>
              <w:right w:val="single" w:color="000000" w:sz="8" w:space="0"/>
            </w:tcBorders>
            <w:vAlign w:val="center"/>
          </w:tcPr>
          <w:p w14:paraId="11E88C0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885" w:type="dxa"/>
            <w:tcBorders>
              <w:top w:val="nil"/>
              <w:left w:val="nil"/>
              <w:bottom w:val="single" w:color="000000" w:sz="8" w:space="0"/>
              <w:right w:val="single" w:color="000000" w:sz="8" w:space="0"/>
            </w:tcBorders>
            <w:vAlign w:val="center"/>
          </w:tcPr>
          <w:p w14:paraId="2C066CD0">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4524323D">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25F017E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424" w:type="dxa"/>
            <w:tcBorders>
              <w:top w:val="nil"/>
              <w:left w:val="nil"/>
              <w:bottom w:val="single" w:color="000000" w:sz="8" w:space="0"/>
              <w:right w:val="single" w:color="000000" w:sz="8" w:space="0"/>
            </w:tcBorders>
            <w:vAlign w:val="center"/>
          </w:tcPr>
          <w:p w14:paraId="11B13B8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662" w:type="dxa"/>
            <w:tcBorders>
              <w:top w:val="nil"/>
              <w:left w:val="nil"/>
              <w:bottom w:val="single" w:color="000000" w:sz="8" w:space="0"/>
              <w:right w:val="single" w:color="000000" w:sz="8" w:space="0"/>
            </w:tcBorders>
            <w:vAlign w:val="center"/>
          </w:tcPr>
          <w:p w14:paraId="71CAD59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093400E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53CD613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79FD3161">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6A0195B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424" w:type="dxa"/>
            <w:tcBorders>
              <w:top w:val="nil"/>
              <w:left w:val="nil"/>
              <w:bottom w:val="single" w:color="000000" w:sz="8" w:space="0"/>
              <w:right w:val="single" w:color="000000" w:sz="8" w:space="0"/>
            </w:tcBorders>
            <w:vAlign w:val="center"/>
          </w:tcPr>
          <w:p w14:paraId="046FDE6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662" w:type="dxa"/>
            <w:tcBorders>
              <w:top w:val="nil"/>
              <w:left w:val="nil"/>
              <w:bottom w:val="single" w:color="000000" w:sz="8" w:space="0"/>
              <w:right w:val="single" w:color="000000" w:sz="8" w:space="0"/>
            </w:tcBorders>
            <w:vAlign w:val="center"/>
          </w:tcPr>
          <w:p w14:paraId="1AC03D3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249" w:type="dxa"/>
            <w:tcBorders>
              <w:top w:val="nil"/>
              <w:left w:val="nil"/>
              <w:bottom w:val="single" w:color="000000" w:sz="8" w:space="0"/>
              <w:right w:val="single" w:color="000000" w:sz="8" w:space="0"/>
            </w:tcBorders>
            <w:vAlign w:val="center"/>
          </w:tcPr>
          <w:p w14:paraId="4436E57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685DC26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64DDE921">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0C771B5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424" w:type="dxa"/>
            <w:tcBorders>
              <w:top w:val="nil"/>
              <w:left w:val="nil"/>
              <w:bottom w:val="single" w:color="000000" w:sz="8" w:space="0"/>
              <w:right w:val="single" w:color="000000" w:sz="8" w:space="0"/>
            </w:tcBorders>
            <w:vAlign w:val="center"/>
          </w:tcPr>
          <w:p w14:paraId="71E0750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662" w:type="dxa"/>
            <w:tcBorders>
              <w:top w:val="nil"/>
              <w:left w:val="nil"/>
              <w:bottom w:val="single" w:color="000000" w:sz="8" w:space="0"/>
              <w:right w:val="single" w:color="000000" w:sz="8" w:space="0"/>
            </w:tcBorders>
            <w:vAlign w:val="center"/>
          </w:tcPr>
          <w:p w14:paraId="76B963E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249" w:type="dxa"/>
            <w:tcBorders>
              <w:top w:val="nil"/>
              <w:left w:val="nil"/>
              <w:bottom w:val="single" w:color="000000" w:sz="8" w:space="0"/>
              <w:right w:val="single" w:color="000000" w:sz="8" w:space="0"/>
            </w:tcBorders>
            <w:vAlign w:val="center"/>
          </w:tcPr>
          <w:p w14:paraId="5A62BEA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CCC43BD">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61C2AE9E">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2E1D38B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424" w:type="dxa"/>
            <w:vMerge w:val="restart"/>
            <w:tcBorders>
              <w:top w:val="nil"/>
              <w:left w:val="single" w:color="000000" w:sz="8" w:space="0"/>
              <w:bottom w:val="single" w:color="000000" w:sz="8" w:space="0"/>
              <w:right w:val="single" w:color="000000" w:sz="8" w:space="0"/>
            </w:tcBorders>
            <w:vAlign w:val="center"/>
          </w:tcPr>
          <w:p w14:paraId="6F92859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662" w:type="dxa"/>
            <w:tcBorders>
              <w:top w:val="nil"/>
              <w:left w:val="nil"/>
              <w:bottom w:val="single" w:color="000000" w:sz="8" w:space="0"/>
              <w:right w:val="single" w:color="000000" w:sz="8" w:space="0"/>
            </w:tcBorders>
            <w:vAlign w:val="center"/>
          </w:tcPr>
          <w:p w14:paraId="14A8C65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249" w:type="dxa"/>
            <w:tcBorders>
              <w:top w:val="nil"/>
              <w:left w:val="nil"/>
              <w:bottom w:val="single" w:color="000000" w:sz="8" w:space="0"/>
              <w:right w:val="single" w:color="000000" w:sz="8" w:space="0"/>
            </w:tcBorders>
            <w:vAlign w:val="center"/>
          </w:tcPr>
          <w:p w14:paraId="1F4BFA9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927AEB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3C68DA66">
        <w:tblPrEx>
          <w:tblCellMar>
            <w:top w:w="0" w:type="dxa"/>
            <w:left w:w="108" w:type="dxa"/>
            <w:bottom w:w="0" w:type="dxa"/>
            <w:right w:w="108" w:type="dxa"/>
          </w:tblCellMar>
        </w:tblPrEx>
        <w:trPr>
          <w:trHeight w:val="975" w:hRule="atLeast"/>
        </w:trPr>
        <w:tc>
          <w:tcPr>
            <w:tcW w:w="561" w:type="dxa"/>
            <w:vMerge w:val="continue"/>
            <w:tcBorders>
              <w:top w:val="nil"/>
              <w:left w:val="single" w:color="000000" w:sz="8" w:space="0"/>
              <w:bottom w:val="single" w:color="000000" w:sz="8" w:space="0"/>
              <w:right w:val="single" w:color="000000" w:sz="8" w:space="0"/>
            </w:tcBorders>
            <w:vAlign w:val="center"/>
          </w:tcPr>
          <w:p w14:paraId="0C90B115">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7D865921">
            <w:pPr>
              <w:widowControl/>
              <w:ind w:left="-67" w:right="-32"/>
              <w:jc w:val="left"/>
              <w:rPr>
                <w:rFonts w:ascii="宋体" w:hAnsi="宋体" w:cs="宋体"/>
                <w:color w:val="auto"/>
                <w:kern w:val="0"/>
                <w:szCs w:val="21"/>
                <w:highlight w:val="none"/>
              </w:rPr>
            </w:pPr>
          </w:p>
        </w:tc>
        <w:tc>
          <w:tcPr>
            <w:tcW w:w="1662" w:type="dxa"/>
            <w:vMerge w:val="restart"/>
            <w:tcBorders>
              <w:top w:val="nil"/>
              <w:left w:val="single" w:color="000000" w:sz="8" w:space="0"/>
              <w:bottom w:val="single" w:color="000000" w:sz="8" w:space="0"/>
              <w:right w:val="single" w:color="000000" w:sz="8" w:space="0"/>
            </w:tcBorders>
            <w:vAlign w:val="center"/>
          </w:tcPr>
          <w:p w14:paraId="1907C07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249" w:type="dxa"/>
            <w:tcBorders>
              <w:top w:val="nil"/>
              <w:left w:val="nil"/>
              <w:bottom w:val="single" w:color="000000" w:sz="8" w:space="0"/>
              <w:right w:val="single" w:color="000000" w:sz="8" w:space="0"/>
            </w:tcBorders>
            <w:vAlign w:val="center"/>
          </w:tcPr>
          <w:p w14:paraId="7022FF4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885" w:type="dxa"/>
            <w:tcBorders>
              <w:top w:val="nil"/>
              <w:left w:val="nil"/>
              <w:bottom w:val="single" w:color="000000" w:sz="8" w:space="0"/>
              <w:right w:val="single" w:color="000000" w:sz="8" w:space="0"/>
            </w:tcBorders>
            <w:vAlign w:val="center"/>
          </w:tcPr>
          <w:p w14:paraId="2E9239B2">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239DC823">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1019BC07">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795379AE">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475920BF">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065CDEB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885" w:type="dxa"/>
            <w:tcBorders>
              <w:top w:val="nil"/>
              <w:left w:val="nil"/>
              <w:bottom w:val="single" w:color="000000" w:sz="8" w:space="0"/>
              <w:right w:val="single" w:color="000000" w:sz="8" w:space="0"/>
            </w:tcBorders>
            <w:vAlign w:val="center"/>
          </w:tcPr>
          <w:p w14:paraId="332A99AE">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399A77C2">
        <w:tblPrEx>
          <w:tblCellMar>
            <w:top w:w="0" w:type="dxa"/>
            <w:left w:w="108" w:type="dxa"/>
            <w:bottom w:w="0" w:type="dxa"/>
            <w:right w:w="108" w:type="dxa"/>
          </w:tblCellMar>
        </w:tblPrEx>
        <w:trPr>
          <w:trHeight w:val="735" w:hRule="atLeast"/>
        </w:trPr>
        <w:tc>
          <w:tcPr>
            <w:tcW w:w="561" w:type="dxa"/>
            <w:vMerge w:val="continue"/>
            <w:tcBorders>
              <w:top w:val="nil"/>
              <w:left w:val="single" w:color="000000" w:sz="8" w:space="0"/>
              <w:bottom w:val="single" w:color="000000" w:sz="8" w:space="0"/>
              <w:right w:val="single" w:color="000000" w:sz="8" w:space="0"/>
            </w:tcBorders>
            <w:vAlign w:val="center"/>
          </w:tcPr>
          <w:p w14:paraId="0AA38B70">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36C1F58">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0B284C4C">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6594AAB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单元式空气调节机(制冷量≤14000W)</w:t>
            </w:r>
          </w:p>
        </w:tc>
        <w:tc>
          <w:tcPr>
            <w:tcW w:w="4885" w:type="dxa"/>
            <w:tcBorders>
              <w:top w:val="nil"/>
              <w:left w:val="nil"/>
              <w:bottom w:val="single" w:color="000000" w:sz="8" w:space="0"/>
              <w:right w:val="single" w:color="000000" w:sz="8" w:space="0"/>
            </w:tcBorders>
            <w:vAlign w:val="center"/>
          </w:tcPr>
          <w:p w14:paraId="7DD17B9B">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39784DDD">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2DDB2171">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544ACF99">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69E352D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249" w:type="dxa"/>
            <w:tcBorders>
              <w:top w:val="nil"/>
              <w:left w:val="nil"/>
              <w:bottom w:val="single" w:color="000000" w:sz="8" w:space="0"/>
              <w:right w:val="single" w:color="000000" w:sz="8" w:space="0"/>
            </w:tcBorders>
            <w:vAlign w:val="center"/>
          </w:tcPr>
          <w:p w14:paraId="602521D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6641F74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350D72D3">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4F5FE860">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59EE71C5">
            <w:pPr>
              <w:widowControl/>
              <w:ind w:left="-67" w:right="-32"/>
              <w:jc w:val="left"/>
              <w:rPr>
                <w:rFonts w:ascii="宋体" w:hAnsi="宋体" w:cs="宋体"/>
                <w:color w:val="auto"/>
                <w:kern w:val="0"/>
                <w:szCs w:val="21"/>
                <w:highlight w:val="none"/>
              </w:rPr>
            </w:pPr>
          </w:p>
        </w:tc>
        <w:tc>
          <w:tcPr>
            <w:tcW w:w="1662" w:type="dxa"/>
            <w:vMerge w:val="restart"/>
            <w:tcBorders>
              <w:top w:val="nil"/>
              <w:left w:val="single" w:color="000000" w:sz="8" w:space="0"/>
              <w:bottom w:val="single" w:color="000000" w:sz="8" w:space="0"/>
              <w:right w:val="single" w:color="000000" w:sz="8" w:space="0"/>
            </w:tcBorders>
            <w:vAlign w:val="center"/>
          </w:tcPr>
          <w:p w14:paraId="652BCBA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249" w:type="dxa"/>
            <w:tcBorders>
              <w:top w:val="nil"/>
              <w:left w:val="nil"/>
              <w:bottom w:val="single" w:color="000000" w:sz="8" w:space="0"/>
              <w:right w:val="single" w:color="000000" w:sz="8" w:space="0"/>
            </w:tcBorders>
            <w:vAlign w:val="center"/>
          </w:tcPr>
          <w:p w14:paraId="2DF2442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885" w:type="dxa"/>
            <w:tcBorders>
              <w:top w:val="nil"/>
              <w:left w:val="nil"/>
              <w:bottom w:val="single" w:color="000000" w:sz="8" w:space="0"/>
              <w:right w:val="single" w:color="000000" w:sz="8" w:space="0"/>
            </w:tcBorders>
            <w:vAlign w:val="center"/>
          </w:tcPr>
          <w:p w14:paraId="0508E6D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63855A2C">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6D6B6B7B">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C9CDB7A">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2CB67331">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649435D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885" w:type="dxa"/>
            <w:tcBorders>
              <w:top w:val="nil"/>
              <w:left w:val="nil"/>
              <w:bottom w:val="single" w:color="000000" w:sz="8" w:space="0"/>
              <w:right w:val="single" w:color="000000" w:sz="8" w:space="0"/>
            </w:tcBorders>
            <w:vAlign w:val="center"/>
          </w:tcPr>
          <w:p w14:paraId="0372AB4A">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742B6F25">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0FA279BC">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286C4D3C">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6810019D">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3D8C0B1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885" w:type="dxa"/>
            <w:tcBorders>
              <w:top w:val="nil"/>
              <w:left w:val="nil"/>
              <w:bottom w:val="single" w:color="000000" w:sz="8" w:space="0"/>
              <w:right w:val="single" w:color="000000" w:sz="8" w:space="0"/>
            </w:tcBorders>
            <w:vAlign w:val="center"/>
          </w:tcPr>
          <w:p w14:paraId="1500EDD6">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1210A30A">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58F2F6AB">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AA1221C">
            <w:pPr>
              <w:widowControl/>
              <w:ind w:left="-67" w:right="-32"/>
              <w:jc w:val="left"/>
              <w:rPr>
                <w:rFonts w:ascii="宋体" w:hAnsi="宋体" w:cs="宋体"/>
                <w:color w:val="auto"/>
                <w:kern w:val="0"/>
                <w:szCs w:val="21"/>
                <w:highlight w:val="none"/>
              </w:rPr>
            </w:pPr>
          </w:p>
        </w:tc>
        <w:tc>
          <w:tcPr>
            <w:tcW w:w="1662" w:type="dxa"/>
            <w:vMerge w:val="continue"/>
            <w:tcBorders>
              <w:top w:val="nil"/>
              <w:left w:val="single" w:color="000000" w:sz="8" w:space="0"/>
              <w:bottom w:val="single" w:color="000000" w:sz="8" w:space="0"/>
              <w:right w:val="single" w:color="000000" w:sz="8" w:space="0"/>
            </w:tcBorders>
            <w:vAlign w:val="center"/>
          </w:tcPr>
          <w:p w14:paraId="614828A5">
            <w:pPr>
              <w:widowControl/>
              <w:ind w:left="-67" w:right="-32"/>
              <w:jc w:val="left"/>
              <w:rPr>
                <w:rFonts w:ascii="宋体" w:hAnsi="宋体" w:cs="宋体"/>
                <w:color w:val="auto"/>
                <w:kern w:val="0"/>
                <w:szCs w:val="21"/>
                <w:highlight w:val="none"/>
              </w:rPr>
            </w:pPr>
          </w:p>
        </w:tc>
        <w:tc>
          <w:tcPr>
            <w:tcW w:w="1249" w:type="dxa"/>
            <w:tcBorders>
              <w:top w:val="nil"/>
              <w:left w:val="nil"/>
              <w:bottom w:val="single" w:color="000000" w:sz="8" w:space="0"/>
              <w:right w:val="single" w:color="000000" w:sz="8" w:space="0"/>
            </w:tcBorders>
            <w:vAlign w:val="center"/>
          </w:tcPr>
          <w:p w14:paraId="52526B3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885" w:type="dxa"/>
            <w:tcBorders>
              <w:top w:val="nil"/>
              <w:left w:val="nil"/>
              <w:bottom w:val="single" w:color="000000" w:sz="8" w:space="0"/>
              <w:right w:val="single" w:color="000000" w:sz="8" w:space="0"/>
            </w:tcBorders>
            <w:vAlign w:val="center"/>
          </w:tcPr>
          <w:p w14:paraId="6AD9E18E">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1AA0847C">
        <w:tblPrEx>
          <w:tblCellMar>
            <w:top w:w="0" w:type="dxa"/>
            <w:left w:w="108" w:type="dxa"/>
            <w:bottom w:w="0" w:type="dxa"/>
            <w:right w:w="108" w:type="dxa"/>
          </w:tblCellMar>
        </w:tblPrEx>
        <w:trPr>
          <w:trHeight w:val="495" w:hRule="atLeast"/>
        </w:trPr>
        <w:tc>
          <w:tcPr>
            <w:tcW w:w="561" w:type="dxa"/>
            <w:vMerge w:val="restart"/>
            <w:tcBorders>
              <w:top w:val="nil"/>
              <w:left w:val="single" w:color="000000" w:sz="8" w:space="0"/>
              <w:bottom w:val="single" w:color="000000" w:sz="8" w:space="0"/>
              <w:right w:val="single" w:color="000000" w:sz="8" w:space="0"/>
            </w:tcBorders>
            <w:vAlign w:val="center"/>
          </w:tcPr>
          <w:p w14:paraId="6862818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424" w:type="dxa"/>
            <w:vMerge w:val="restart"/>
            <w:tcBorders>
              <w:top w:val="nil"/>
              <w:left w:val="single" w:color="000000" w:sz="8" w:space="0"/>
              <w:bottom w:val="single" w:color="000000" w:sz="8" w:space="0"/>
              <w:right w:val="single" w:color="000000" w:sz="8" w:space="0"/>
            </w:tcBorders>
            <w:vAlign w:val="center"/>
          </w:tcPr>
          <w:p w14:paraId="12CE3D1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662" w:type="dxa"/>
            <w:tcBorders>
              <w:top w:val="nil"/>
              <w:left w:val="nil"/>
              <w:bottom w:val="single" w:color="000000" w:sz="8" w:space="0"/>
              <w:right w:val="single" w:color="000000" w:sz="8" w:space="0"/>
            </w:tcBorders>
            <w:vAlign w:val="center"/>
          </w:tcPr>
          <w:p w14:paraId="7D21F4D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249" w:type="dxa"/>
            <w:tcBorders>
              <w:top w:val="nil"/>
              <w:left w:val="nil"/>
              <w:bottom w:val="single" w:color="000000" w:sz="8" w:space="0"/>
              <w:right w:val="single" w:color="000000" w:sz="8" w:space="0"/>
            </w:tcBorders>
            <w:vAlign w:val="center"/>
          </w:tcPr>
          <w:p w14:paraId="5224655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FC7A1B3">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16E71155">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4A167C71">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1FEE1CD4">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2DDC8F8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249" w:type="dxa"/>
            <w:tcBorders>
              <w:top w:val="nil"/>
              <w:left w:val="nil"/>
              <w:bottom w:val="single" w:color="000000" w:sz="8" w:space="0"/>
              <w:right w:val="single" w:color="000000" w:sz="8" w:space="0"/>
            </w:tcBorders>
            <w:vAlign w:val="center"/>
          </w:tcPr>
          <w:p w14:paraId="2B3E38A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0EC64641">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79717E91">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51DAAB87">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0A0A3CDB">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BE34136">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249" w:type="dxa"/>
            <w:tcBorders>
              <w:top w:val="nil"/>
              <w:left w:val="nil"/>
              <w:bottom w:val="single" w:color="000000" w:sz="8" w:space="0"/>
              <w:right w:val="single" w:color="000000" w:sz="8" w:space="0"/>
            </w:tcBorders>
            <w:vAlign w:val="center"/>
          </w:tcPr>
          <w:p w14:paraId="62606B3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26997DE4">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1832C922">
        <w:tblPrEx>
          <w:tblCellMar>
            <w:top w:w="0" w:type="dxa"/>
            <w:left w:w="108" w:type="dxa"/>
            <w:bottom w:w="0" w:type="dxa"/>
            <w:right w:w="108" w:type="dxa"/>
          </w:tblCellMar>
        </w:tblPrEx>
        <w:trPr>
          <w:trHeight w:val="515" w:hRule="atLeast"/>
        </w:trPr>
        <w:tc>
          <w:tcPr>
            <w:tcW w:w="561" w:type="dxa"/>
            <w:vMerge w:val="continue"/>
            <w:tcBorders>
              <w:top w:val="nil"/>
              <w:left w:val="single" w:color="000000" w:sz="8" w:space="0"/>
              <w:bottom w:val="single" w:color="000000" w:sz="8" w:space="0"/>
              <w:right w:val="single" w:color="000000" w:sz="8" w:space="0"/>
            </w:tcBorders>
            <w:vAlign w:val="center"/>
          </w:tcPr>
          <w:p w14:paraId="60C3E2E6">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8F0968D">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1DD0E3A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249" w:type="dxa"/>
            <w:tcBorders>
              <w:top w:val="nil"/>
              <w:left w:val="nil"/>
              <w:bottom w:val="single" w:color="000000" w:sz="8" w:space="0"/>
              <w:right w:val="single" w:color="000000" w:sz="8" w:space="0"/>
            </w:tcBorders>
            <w:vAlign w:val="center"/>
          </w:tcPr>
          <w:p w14:paraId="2266F17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155AE2E">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2198D83D">
        <w:tblPrEx>
          <w:tblCellMar>
            <w:top w:w="0" w:type="dxa"/>
            <w:left w:w="108" w:type="dxa"/>
            <w:bottom w:w="0" w:type="dxa"/>
            <w:right w:w="108" w:type="dxa"/>
          </w:tblCellMar>
        </w:tblPrEx>
        <w:trPr>
          <w:trHeight w:val="610" w:hRule="atLeast"/>
        </w:trPr>
        <w:tc>
          <w:tcPr>
            <w:tcW w:w="561" w:type="dxa"/>
            <w:tcBorders>
              <w:top w:val="nil"/>
              <w:left w:val="single" w:color="000000" w:sz="8" w:space="0"/>
              <w:bottom w:val="single" w:color="000000" w:sz="8" w:space="0"/>
              <w:right w:val="single" w:color="000000" w:sz="8" w:space="0"/>
            </w:tcBorders>
            <w:vAlign w:val="center"/>
          </w:tcPr>
          <w:p w14:paraId="15BE81F7">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424" w:type="dxa"/>
            <w:tcBorders>
              <w:top w:val="nil"/>
              <w:left w:val="nil"/>
              <w:bottom w:val="single" w:color="000000" w:sz="8" w:space="0"/>
              <w:right w:val="single" w:color="000000" w:sz="8" w:space="0"/>
            </w:tcBorders>
            <w:vAlign w:val="center"/>
          </w:tcPr>
          <w:p w14:paraId="3860237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662" w:type="dxa"/>
            <w:tcBorders>
              <w:top w:val="nil"/>
              <w:left w:val="nil"/>
              <w:bottom w:val="single" w:color="000000" w:sz="8" w:space="0"/>
              <w:right w:val="single" w:color="000000" w:sz="8" w:space="0"/>
            </w:tcBorders>
            <w:vAlign w:val="center"/>
          </w:tcPr>
          <w:p w14:paraId="59B335D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249" w:type="dxa"/>
            <w:tcBorders>
              <w:top w:val="nil"/>
              <w:left w:val="nil"/>
              <w:bottom w:val="single" w:color="000000" w:sz="8" w:space="0"/>
              <w:right w:val="single" w:color="000000" w:sz="8" w:space="0"/>
            </w:tcBorders>
            <w:vAlign w:val="center"/>
          </w:tcPr>
          <w:p w14:paraId="68228E34">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1DC19689">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437EEC8E">
        <w:tblPrEx>
          <w:tblCellMar>
            <w:top w:w="0" w:type="dxa"/>
            <w:left w:w="108" w:type="dxa"/>
            <w:bottom w:w="0" w:type="dxa"/>
            <w:right w:w="108" w:type="dxa"/>
          </w:tblCellMar>
        </w:tblPrEx>
        <w:trPr>
          <w:trHeight w:val="975" w:hRule="atLeast"/>
        </w:trPr>
        <w:tc>
          <w:tcPr>
            <w:tcW w:w="561" w:type="dxa"/>
            <w:tcBorders>
              <w:top w:val="nil"/>
              <w:left w:val="single" w:color="000000" w:sz="8" w:space="0"/>
              <w:bottom w:val="single" w:color="000000" w:sz="8" w:space="0"/>
              <w:right w:val="single" w:color="000000" w:sz="8" w:space="0"/>
            </w:tcBorders>
            <w:vAlign w:val="center"/>
          </w:tcPr>
          <w:p w14:paraId="629D3D1E">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424" w:type="dxa"/>
            <w:tcBorders>
              <w:top w:val="nil"/>
              <w:left w:val="nil"/>
              <w:bottom w:val="single" w:color="000000" w:sz="8" w:space="0"/>
              <w:right w:val="single" w:color="000000" w:sz="8" w:space="0"/>
            </w:tcBorders>
            <w:vAlign w:val="center"/>
          </w:tcPr>
          <w:p w14:paraId="72094801">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662" w:type="dxa"/>
            <w:tcBorders>
              <w:top w:val="nil"/>
              <w:left w:val="nil"/>
              <w:bottom w:val="single" w:color="000000" w:sz="8" w:space="0"/>
              <w:right w:val="single" w:color="000000" w:sz="8" w:space="0"/>
            </w:tcBorders>
            <w:vAlign w:val="center"/>
          </w:tcPr>
          <w:p w14:paraId="55949F8B">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249" w:type="dxa"/>
            <w:tcBorders>
              <w:top w:val="nil"/>
              <w:left w:val="nil"/>
              <w:bottom w:val="single" w:color="000000" w:sz="8" w:space="0"/>
              <w:right w:val="single" w:color="000000" w:sz="8" w:space="0"/>
            </w:tcBorders>
            <w:vAlign w:val="center"/>
          </w:tcPr>
          <w:p w14:paraId="72F6D0C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885" w:type="dxa"/>
            <w:tcBorders>
              <w:top w:val="nil"/>
              <w:left w:val="nil"/>
              <w:bottom w:val="single" w:color="000000" w:sz="8" w:space="0"/>
              <w:right w:val="single" w:color="000000" w:sz="8" w:space="0"/>
            </w:tcBorders>
            <w:vAlign w:val="center"/>
          </w:tcPr>
          <w:p w14:paraId="7C482C4C">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1A9E1E23">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1C2887E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424" w:type="dxa"/>
            <w:tcBorders>
              <w:top w:val="nil"/>
              <w:left w:val="nil"/>
              <w:bottom w:val="single" w:color="000000" w:sz="8" w:space="0"/>
              <w:right w:val="single" w:color="000000" w:sz="8" w:space="0"/>
            </w:tcBorders>
            <w:vAlign w:val="center"/>
          </w:tcPr>
          <w:p w14:paraId="671969E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662" w:type="dxa"/>
            <w:tcBorders>
              <w:top w:val="nil"/>
              <w:left w:val="nil"/>
              <w:bottom w:val="single" w:color="000000" w:sz="8" w:space="0"/>
              <w:right w:val="single" w:color="000000" w:sz="8" w:space="0"/>
            </w:tcBorders>
            <w:vAlign w:val="center"/>
          </w:tcPr>
          <w:p w14:paraId="094659E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249" w:type="dxa"/>
            <w:tcBorders>
              <w:top w:val="nil"/>
              <w:left w:val="nil"/>
              <w:bottom w:val="single" w:color="000000" w:sz="8" w:space="0"/>
              <w:right w:val="single" w:color="000000" w:sz="8" w:space="0"/>
            </w:tcBorders>
            <w:vAlign w:val="center"/>
          </w:tcPr>
          <w:p w14:paraId="3F07826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5F42FE7D">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2C949F9B">
        <w:tblPrEx>
          <w:tblCellMar>
            <w:top w:w="0" w:type="dxa"/>
            <w:left w:w="108" w:type="dxa"/>
            <w:bottom w:w="0" w:type="dxa"/>
            <w:right w:w="108" w:type="dxa"/>
          </w:tblCellMar>
        </w:tblPrEx>
        <w:trPr>
          <w:trHeight w:val="285" w:hRule="atLeast"/>
        </w:trPr>
        <w:tc>
          <w:tcPr>
            <w:tcW w:w="561" w:type="dxa"/>
            <w:vMerge w:val="restart"/>
            <w:tcBorders>
              <w:top w:val="nil"/>
              <w:left w:val="single" w:color="000000" w:sz="8" w:space="0"/>
              <w:bottom w:val="single" w:color="000000" w:sz="8" w:space="0"/>
              <w:right w:val="single" w:color="000000" w:sz="8" w:space="0"/>
            </w:tcBorders>
            <w:vAlign w:val="center"/>
          </w:tcPr>
          <w:p w14:paraId="0118134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424" w:type="dxa"/>
            <w:vMerge w:val="restart"/>
            <w:tcBorders>
              <w:top w:val="nil"/>
              <w:left w:val="single" w:color="000000" w:sz="8" w:space="0"/>
              <w:bottom w:val="single" w:color="000000" w:sz="8" w:space="0"/>
              <w:right w:val="single" w:color="000000" w:sz="8" w:space="0"/>
            </w:tcBorders>
            <w:vAlign w:val="center"/>
          </w:tcPr>
          <w:p w14:paraId="79B3069A">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662" w:type="dxa"/>
            <w:tcBorders>
              <w:top w:val="nil"/>
              <w:left w:val="nil"/>
              <w:bottom w:val="single" w:color="000000" w:sz="8" w:space="0"/>
              <w:right w:val="single" w:color="000000" w:sz="8" w:space="0"/>
            </w:tcBorders>
            <w:vAlign w:val="center"/>
          </w:tcPr>
          <w:p w14:paraId="2B1BEAA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249" w:type="dxa"/>
            <w:tcBorders>
              <w:top w:val="nil"/>
              <w:left w:val="nil"/>
              <w:bottom w:val="single" w:color="000000" w:sz="8" w:space="0"/>
              <w:right w:val="single" w:color="000000" w:sz="8" w:space="0"/>
            </w:tcBorders>
            <w:vAlign w:val="center"/>
          </w:tcPr>
          <w:p w14:paraId="6FB1DAD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4C31B05C">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35B81542">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1CFFC960">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B578424">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5C72CC4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249" w:type="dxa"/>
            <w:tcBorders>
              <w:top w:val="nil"/>
              <w:left w:val="nil"/>
              <w:bottom w:val="single" w:color="000000" w:sz="8" w:space="0"/>
              <w:right w:val="single" w:color="000000" w:sz="8" w:space="0"/>
            </w:tcBorders>
            <w:vAlign w:val="center"/>
          </w:tcPr>
          <w:p w14:paraId="25E8F229">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1AB246A1">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3D5455FF">
        <w:tblPrEx>
          <w:tblCellMar>
            <w:top w:w="0" w:type="dxa"/>
            <w:left w:w="108" w:type="dxa"/>
            <w:bottom w:w="0" w:type="dxa"/>
            <w:right w:w="108" w:type="dxa"/>
          </w:tblCellMar>
        </w:tblPrEx>
        <w:trPr>
          <w:trHeight w:val="495" w:hRule="atLeast"/>
        </w:trPr>
        <w:tc>
          <w:tcPr>
            <w:tcW w:w="561" w:type="dxa"/>
            <w:vMerge w:val="continue"/>
            <w:tcBorders>
              <w:top w:val="nil"/>
              <w:left w:val="single" w:color="000000" w:sz="8" w:space="0"/>
              <w:bottom w:val="single" w:color="000000" w:sz="8" w:space="0"/>
              <w:right w:val="single" w:color="000000" w:sz="8" w:space="0"/>
            </w:tcBorders>
            <w:vAlign w:val="center"/>
          </w:tcPr>
          <w:p w14:paraId="4AAEAB67">
            <w:pPr>
              <w:widowControl/>
              <w:ind w:left="-67" w:right="-32"/>
              <w:jc w:val="left"/>
              <w:rPr>
                <w:rFonts w:ascii="宋体" w:hAnsi="宋体" w:cs="宋体"/>
                <w:color w:val="auto"/>
                <w:kern w:val="0"/>
                <w:szCs w:val="21"/>
                <w:highlight w:val="none"/>
              </w:rPr>
            </w:pPr>
          </w:p>
        </w:tc>
        <w:tc>
          <w:tcPr>
            <w:tcW w:w="1424" w:type="dxa"/>
            <w:vMerge w:val="continue"/>
            <w:tcBorders>
              <w:top w:val="nil"/>
              <w:left w:val="single" w:color="000000" w:sz="8" w:space="0"/>
              <w:bottom w:val="single" w:color="000000" w:sz="8" w:space="0"/>
              <w:right w:val="single" w:color="000000" w:sz="8" w:space="0"/>
            </w:tcBorders>
            <w:vAlign w:val="center"/>
          </w:tcPr>
          <w:p w14:paraId="630F34FF">
            <w:pPr>
              <w:widowControl/>
              <w:ind w:left="-67" w:right="-32"/>
              <w:jc w:val="left"/>
              <w:rPr>
                <w:rFonts w:ascii="宋体" w:hAnsi="宋体" w:cs="宋体"/>
                <w:color w:val="auto"/>
                <w:kern w:val="0"/>
                <w:szCs w:val="21"/>
                <w:highlight w:val="none"/>
              </w:rPr>
            </w:pPr>
          </w:p>
        </w:tc>
        <w:tc>
          <w:tcPr>
            <w:tcW w:w="1662" w:type="dxa"/>
            <w:tcBorders>
              <w:top w:val="nil"/>
              <w:left w:val="nil"/>
              <w:bottom w:val="single" w:color="000000" w:sz="8" w:space="0"/>
              <w:right w:val="single" w:color="000000" w:sz="8" w:space="0"/>
            </w:tcBorders>
            <w:vAlign w:val="center"/>
          </w:tcPr>
          <w:p w14:paraId="4D8B882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249" w:type="dxa"/>
            <w:tcBorders>
              <w:top w:val="nil"/>
              <w:left w:val="nil"/>
              <w:bottom w:val="single" w:color="000000" w:sz="8" w:space="0"/>
              <w:right w:val="single" w:color="000000" w:sz="8" w:space="0"/>
            </w:tcBorders>
            <w:vAlign w:val="center"/>
          </w:tcPr>
          <w:p w14:paraId="445EC40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4AEA118F">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39A4F4E2">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73D1F3B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424" w:type="dxa"/>
            <w:tcBorders>
              <w:top w:val="nil"/>
              <w:left w:val="nil"/>
              <w:bottom w:val="single" w:color="000000" w:sz="8" w:space="0"/>
              <w:right w:val="single" w:color="000000" w:sz="8" w:space="0"/>
            </w:tcBorders>
            <w:vAlign w:val="center"/>
          </w:tcPr>
          <w:p w14:paraId="75FF678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662" w:type="dxa"/>
            <w:tcBorders>
              <w:top w:val="nil"/>
              <w:left w:val="nil"/>
              <w:bottom w:val="single" w:color="000000" w:sz="8" w:space="0"/>
              <w:right w:val="single" w:color="000000" w:sz="8" w:space="0"/>
            </w:tcBorders>
            <w:vAlign w:val="center"/>
          </w:tcPr>
          <w:p w14:paraId="72E7791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2DEAE7EF">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156E4ED9">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5B04FA55">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5F7C832C">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1424" w:type="dxa"/>
            <w:tcBorders>
              <w:top w:val="nil"/>
              <w:left w:val="nil"/>
              <w:bottom w:val="single" w:color="000000" w:sz="8" w:space="0"/>
              <w:right w:val="single" w:color="000000" w:sz="8" w:space="0"/>
            </w:tcBorders>
            <w:vAlign w:val="center"/>
          </w:tcPr>
          <w:p w14:paraId="5BCF590D">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662" w:type="dxa"/>
            <w:tcBorders>
              <w:top w:val="nil"/>
              <w:left w:val="nil"/>
              <w:bottom w:val="single" w:color="000000" w:sz="8" w:space="0"/>
              <w:right w:val="single" w:color="000000" w:sz="8" w:space="0"/>
            </w:tcBorders>
            <w:vAlign w:val="center"/>
          </w:tcPr>
          <w:p w14:paraId="7D274E3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7C439C72">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7CF50A38">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7A61C99F">
        <w:tblPrEx>
          <w:tblCellMar>
            <w:top w:w="0" w:type="dxa"/>
            <w:left w:w="108" w:type="dxa"/>
            <w:bottom w:w="0" w:type="dxa"/>
            <w:right w:w="108" w:type="dxa"/>
          </w:tblCellMar>
        </w:tblPrEx>
        <w:trPr>
          <w:trHeight w:val="495" w:hRule="atLeast"/>
        </w:trPr>
        <w:tc>
          <w:tcPr>
            <w:tcW w:w="561" w:type="dxa"/>
            <w:tcBorders>
              <w:top w:val="nil"/>
              <w:left w:val="single" w:color="000000" w:sz="8" w:space="0"/>
              <w:bottom w:val="single" w:color="000000" w:sz="8" w:space="0"/>
              <w:right w:val="single" w:color="000000" w:sz="8" w:space="0"/>
            </w:tcBorders>
            <w:vAlign w:val="center"/>
          </w:tcPr>
          <w:p w14:paraId="1F110A73">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1424" w:type="dxa"/>
            <w:tcBorders>
              <w:top w:val="nil"/>
              <w:left w:val="nil"/>
              <w:bottom w:val="single" w:color="000000" w:sz="8" w:space="0"/>
              <w:right w:val="single" w:color="000000" w:sz="8" w:space="0"/>
            </w:tcBorders>
            <w:vAlign w:val="center"/>
          </w:tcPr>
          <w:p w14:paraId="1B892C20">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662" w:type="dxa"/>
            <w:tcBorders>
              <w:top w:val="nil"/>
              <w:left w:val="nil"/>
              <w:bottom w:val="single" w:color="000000" w:sz="8" w:space="0"/>
              <w:right w:val="single" w:color="000000" w:sz="8" w:space="0"/>
            </w:tcBorders>
            <w:vAlign w:val="center"/>
          </w:tcPr>
          <w:p w14:paraId="73C79815">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249" w:type="dxa"/>
            <w:tcBorders>
              <w:top w:val="nil"/>
              <w:left w:val="nil"/>
              <w:bottom w:val="single" w:color="000000" w:sz="8" w:space="0"/>
              <w:right w:val="single" w:color="000000" w:sz="8" w:space="0"/>
            </w:tcBorders>
            <w:vAlign w:val="center"/>
          </w:tcPr>
          <w:p w14:paraId="254F5218">
            <w:pPr>
              <w:widowControl/>
              <w:ind w:left="-67" w:right="-32"/>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4885" w:type="dxa"/>
            <w:tcBorders>
              <w:top w:val="nil"/>
              <w:left w:val="nil"/>
              <w:bottom w:val="single" w:color="000000" w:sz="8" w:space="0"/>
              <w:right w:val="single" w:color="000000" w:sz="8" w:space="0"/>
            </w:tcBorders>
            <w:vAlign w:val="center"/>
          </w:tcPr>
          <w:p w14:paraId="6A099B77">
            <w:pPr>
              <w:widowControl/>
              <w:ind w:left="-67" w:right="-32"/>
              <w:jc w:val="left"/>
              <w:rPr>
                <w:rFonts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6E87C066">
      <w:pPr>
        <w:spacing w:after="120" w:line="360" w:lineRule="auto"/>
        <w:ind w:left="-67" w:right="-32" w:firstLine="468"/>
        <w:rPr>
          <w:rFonts w:ascii="宋体" w:hAnsi="宋体"/>
          <w:color w:val="auto"/>
          <w:spacing w:val="-3"/>
          <w:szCs w:val="21"/>
          <w:highlight w:val="none"/>
        </w:rPr>
      </w:pPr>
    </w:p>
    <w:p w14:paraId="1171FC65">
      <w:pPr>
        <w:spacing w:after="120" w:line="360" w:lineRule="auto"/>
        <w:ind w:left="-67" w:right="-32" w:firstLine="468"/>
        <w:rPr>
          <w:rFonts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1653FEBB">
      <w:pPr>
        <w:spacing w:after="120" w:line="360" w:lineRule="auto"/>
        <w:ind w:left="-67" w:right="-32"/>
        <w:rPr>
          <w:rFonts w:ascii="宋体" w:hAnsi="宋体"/>
          <w:b/>
          <w:bCs/>
          <w:color w:val="auto"/>
          <w:szCs w:val="21"/>
          <w:highlight w:val="none"/>
        </w:rPr>
      </w:pPr>
      <w:r>
        <w:rPr>
          <w:rFonts w:hint="eastAsia" w:ascii="宋体" w:hAnsi="宋体"/>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以</w:t>
      </w:r>
      <w:r>
        <w:rPr>
          <w:rFonts w:ascii="宋体" w:hAnsi="宋体"/>
          <w:b/>
          <w:bCs/>
          <w:color w:val="auto"/>
          <w:szCs w:val="21"/>
          <w:highlight w:val="none"/>
        </w:rPr>
        <w:t>“</w:t>
      </w:r>
      <w:r>
        <w:rPr>
          <w:rFonts w:hint="eastAsia" w:ascii="宋体" w:hAnsi="宋体"/>
          <w:b/>
          <w:bCs/>
          <w:color w:val="auto"/>
          <w:szCs w:val="21"/>
          <w:highlight w:val="none"/>
        </w:rPr>
        <w:t>★</w:t>
      </w:r>
      <w:r>
        <w:rPr>
          <w:rFonts w:ascii="宋体" w:hAnsi="宋体"/>
          <w:b/>
          <w:bCs/>
          <w:color w:val="auto"/>
          <w:szCs w:val="21"/>
          <w:highlight w:val="none"/>
        </w:rPr>
        <w:t>”</w:t>
      </w:r>
      <w:r>
        <w:rPr>
          <w:rFonts w:hint="eastAsia" w:ascii="宋体" w:hAnsi="宋体"/>
          <w:b/>
          <w:bCs/>
          <w:color w:val="auto"/>
          <w:szCs w:val="21"/>
          <w:highlight w:val="none"/>
        </w:rPr>
        <w:t>标注的为政府强制采购产品。</w:t>
      </w:r>
    </w:p>
    <w:p w14:paraId="332A5643">
      <w:pPr>
        <w:rPr>
          <w:rFonts w:ascii="宋体" w:hAnsi="宋体"/>
          <w:color w:val="auto"/>
          <w:highlight w:val="none"/>
        </w:rPr>
      </w:pPr>
    </w:p>
    <w:p w14:paraId="3EFBC046">
      <w:pPr>
        <w:pStyle w:val="2"/>
        <w:keepNext w:val="0"/>
        <w:keepLines w:val="0"/>
        <w:spacing w:before="0" w:after="0"/>
        <w:jc w:val="center"/>
        <w:rPr>
          <w:rFonts w:ascii="宋体" w:hAnsi="宋体" w:eastAsia="宋体"/>
          <w:color w:val="auto"/>
          <w:highlight w:val="none"/>
        </w:rPr>
      </w:pPr>
    </w:p>
    <w:p w14:paraId="0AD8E58E">
      <w:pPr>
        <w:rPr>
          <w:color w:val="auto"/>
          <w:highlight w:val="none"/>
        </w:rPr>
      </w:pPr>
    </w:p>
    <w:p w14:paraId="0AB618F8">
      <w:pPr>
        <w:rPr>
          <w:color w:val="auto"/>
          <w:highlight w:val="none"/>
        </w:rPr>
      </w:pPr>
    </w:p>
    <w:p w14:paraId="09EE0323">
      <w:pPr>
        <w:rPr>
          <w:color w:val="auto"/>
          <w:highlight w:val="none"/>
        </w:rPr>
      </w:pPr>
    </w:p>
    <w:p w14:paraId="56C6C4EB">
      <w:pPr>
        <w:rPr>
          <w:color w:val="auto"/>
          <w:highlight w:val="none"/>
        </w:rPr>
      </w:pPr>
    </w:p>
    <w:p w14:paraId="2525F65D">
      <w:pPr>
        <w:rPr>
          <w:color w:val="auto"/>
          <w:highlight w:val="none"/>
        </w:rPr>
      </w:pPr>
    </w:p>
    <w:p w14:paraId="277FE1CC">
      <w:pPr>
        <w:rPr>
          <w:color w:val="auto"/>
          <w:highlight w:val="none"/>
        </w:rPr>
      </w:pPr>
    </w:p>
    <w:p w14:paraId="56C8C9C3">
      <w:pPr>
        <w:rPr>
          <w:color w:val="auto"/>
          <w:highlight w:val="none"/>
        </w:rPr>
      </w:pPr>
    </w:p>
    <w:p w14:paraId="38F7B9FE">
      <w:pPr>
        <w:rPr>
          <w:color w:val="auto"/>
          <w:highlight w:val="none"/>
        </w:rPr>
      </w:pPr>
    </w:p>
    <w:p w14:paraId="24564B01">
      <w:pPr>
        <w:rPr>
          <w:color w:val="auto"/>
          <w:highlight w:val="none"/>
        </w:rPr>
      </w:pPr>
    </w:p>
    <w:p w14:paraId="0810D020">
      <w:pPr>
        <w:rPr>
          <w:color w:val="auto"/>
          <w:highlight w:val="none"/>
        </w:rPr>
      </w:pPr>
    </w:p>
    <w:p w14:paraId="25F06E4A">
      <w:pPr>
        <w:rPr>
          <w:color w:val="auto"/>
          <w:highlight w:val="none"/>
        </w:rPr>
      </w:pPr>
    </w:p>
    <w:p w14:paraId="5DD43BE5">
      <w:pPr>
        <w:rPr>
          <w:color w:val="auto"/>
          <w:highlight w:val="none"/>
        </w:rPr>
      </w:pPr>
    </w:p>
    <w:p w14:paraId="1759CF48">
      <w:pPr>
        <w:rPr>
          <w:color w:val="auto"/>
          <w:highlight w:val="none"/>
        </w:rPr>
      </w:pPr>
    </w:p>
    <w:p w14:paraId="13A95FBB">
      <w:pPr>
        <w:rPr>
          <w:color w:val="auto"/>
          <w:highlight w:val="none"/>
        </w:rPr>
      </w:pPr>
    </w:p>
    <w:p w14:paraId="2C32B189">
      <w:pPr>
        <w:rPr>
          <w:color w:val="auto"/>
          <w:highlight w:val="none"/>
        </w:rPr>
      </w:pPr>
    </w:p>
    <w:p w14:paraId="26AE9011">
      <w:pPr>
        <w:rPr>
          <w:color w:val="auto"/>
          <w:highlight w:val="none"/>
        </w:rPr>
      </w:pPr>
    </w:p>
    <w:p w14:paraId="16DE302F">
      <w:pPr>
        <w:rPr>
          <w:color w:val="auto"/>
          <w:highlight w:val="none"/>
        </w:rPr>
      </w:pPr>
    </w:p>
    <w:p w14:paraId="4B067C89">
      <w:pPr>
        <w:rPr>
          <w:color w:val="auto"/>
          <w:highlight w:val="none"/>
        </w:rPr>
      </w:pPr>
    </w:p>
    <w:p w14:paraId="1585BA2D">
      <w:pPr>
        <w:rPr>
          <w:color w:val="auto"/>
          <w:highlight w:val="none"/>
        </w:rPr>
      </w:pPr>
    </w:p>
    <w:p w14:paraId="3504ADEC">
      <w:pPr>
        <w:rPr>
          <w:color w:val="auto"/>
          <w:highlight w:val="none"/>
        </w:rPr>
      </w:pPr>
    </w:p>
    <w:p w14:paraId="616C22D8">
      <w:pPr>
        <w:rPr>
          <w:color w:val="auto"/>
          <w:highlight w:val="none"/>
        </w:rPr>
      </w:pPr>
    </w:p>
    <w:p w14:paraId="6543700E">
      <w:pPr>
        <w:rPr>
          <w:color w:val="auto"/>
          <w:highlight w:val="none"/>
        </w:rPr>
      </w:pPr>
    </w:p>
    <w:p w14:paraId="48E913C5">
      <w:pPr>
        <w:rPr>
          <w:color w:val="auto"/>
          <w:highlight w:val="none"/>
        </w:rPr>
      </w:pPr>
    </w:p>
    <w:p w14:paraId="759172C8">
      <w:pPr>
        <w:rPr>
          <w:color w:val="auto"/>
          <w:highlight w:val="none"/>
        </w:rPr>
      </w:pPr>
    </w:p>
    <w:p w14:paraId="5764DB93">
      <w:pPr>
        <w:rPr>
          <w:color w:val="auto"/>
          <w:highlight w:val="none"/>
        </w:rPr>
      </w:pPr>
    </w:p>
    <w:p w14:paraId="1348FAED">
      <w:pPr>
        <w:rPr>
          <w:color w:val="auto"/>
          <w:highlight w:val="none"/>
        </w:rPr>
      </w:pPr>
    </w:p>
    <w:p w14:paraId="199352A0">
      <w:pPr>
        <w:rPr>
          <w:color w:val="auto"/>
          <w:highlight w:val="none"/>
        </w:rPr>
      </w:pPr>
    </w:p>
    <w:p w14:paraId="2504D6F9">
      <w:pPr>
        <w:rPr>
          <w:color w:val="auto"/>
          <w:highlight w:val="none"/>
        </w:rPr>
      </w:pPr>
    </w:p>
    <w:p w14:paraId="617BC8B3">
      <w:pPr>
        <w:rPr>
          <w:color w:val="auto"/>
          <w:highlight w:val="none"/>
        </w:rPr>
      </w:pPr>
    </w:p>
    <w:p w14:paraId="7A4D7EB4">
      <w:pPr>
        <w:rPr>
          <w:color w:val="auto"/>
          <w:highlight w:val="none"/>
        </w:rPr>
      </w:pPr>
    </w:p>
    <w:p w14:paraId="61376984">
      <w:pPr>
        <w:rPr>
          <w:color w:val="auto"/>
          <w:highlight w:val="none"/>
        </w:rPr>
      </w:pPr>
    </w:p>
    <w:p w14:paraId="09A7F39C">
      <w:pPr>
        <w:rPr>
          <w:color w:val="auto"/>
          <w:highlight w:val="none"/>
        </w:rPr>
      </w:pPr>
    </w:p>
    <w:p w14:paraId="0A70109A">
      <w:pPr>
        <w:rPr>
          <w:color w:val="auto"/>
          <w:highlight w:val="none"/>
        </w:rPr>
      </w:pPr>
    </w:p>
    <w:p w14:paraId="015BCD23">
      <w:pPr>
        <w:rPr>
          <w:color w:val="auto"/>
          <w:highlight w:val="none"/>
        </w:rPr>
      </w:pPr>
    </w:p>
    <w:p w14:paraId="46C8720D">
      <w:pPr>
        <w:rPr>
          <w:color w:val="auto"/>
          <w:highlight w:val="none"/>
        </w:rPr>
      </w:pPr>
    </w:p>
    <w:p w14:paraId="0602F608">
      <w:pPr>
        <w:rPr>
          <w:color w:val="auto"/>
          <w:highlight w:val="none"/>
        </w:rPr>
      </w:pPr>
    </w:p>
    <w:p w14:paraId="4B3F97F1">
      <w:pPr>
        <w:rPr>
          <w:color w:val="auto"/>
          <w:highlight w:val="none"/>
        </w:rPr>
      </w:pPr>
    </w:p>
    <w:p w14:paraId="5AAE5EBA">
      <w:pPr>
        <w:rPr>
          <w:color w:val="auto"/>
          <w:highlight w:val="none"/>
        </w:rPr>
      </w:pPr>
    </w:p>
    <w:p w14:paraId="7D9F1308">
      <w:pPr>
        <w:rPr>
          <w:color w:val="auto"/>
          <w:highlight w:val="none"/>
        </w:rPr>
      </w:pPr>
    </w:p>
    <w:p w14:paraId="53A30EDB">
      <w:pPr>
        <w:rPr>
          <w:color w:val="auto"/>
          <w:highlight w:val="none"/>
        </w:rPr>
      </w:pPr>
    </w:p>
    <w:p w14:paraId="48CE1C5B">
      <w:pPr>
        <w:rPr>
          <w:color w:val="auto"/>
          <w:highlight w:val="none"/>
        </w:rPr>
      </w:pPr>
    </w:p>
    <w:p w14:paraId="5F04AFF0">
      <w:pPr>
        <w:rPr>
          <w:color w:val="auto"/>
          <w:highlight w:val="none"/>
        </w:rPr>
      </w:pPr>
    </w:p>
    <w:p w14:paraId="17BA4235">
      <w:pPr>
        <w:rPr>
          <w:color w:val="auto"/>
          <w:highlight w:val="none"/>
        </w:rPr>
      </w:pPr>
    </w:p>
    <w:p w14:paraId="51F64FF2">
      <w:pPr>
        <w:pStyle w:val="2"/>
        <w:keepNext w:val="0"/>
        <w:keepLines w:val="0"/>
        <w:spacing w:before="0" w:after="0"/>
        <w:jc w:val="center"/>
        <w:rPr>
          <w:rFonts w:ascii="宋体" w:hAnsi="宋体" w:eastAsia="宋体"/>
          <w:color w:val="auto"/>
          <w:highlight w:val="none"/>
        </w:rPr>
      </w:pPr>
      <w:bookmarkStart w:id="45" w:name="_Toc3534"/>
      <w:r>
        <w:rPr>
          <w:rFonts w:hint="eastAsia" w:ascii="宋体" w:hAnsi="宋体" w:eastAsia="宋体"/>
          <w:color w:val="auto"/>
          <w:highlight w:val="none"/>
        </w:rPr>
        <w:t>第三章  投标人须知</w:t>
      </w:r>
      <w:bookmarkEnd w:id="45"/>
    </w:p>
    <w:p w14:paraId="7379249A">
      <w:pPr>
        <w:jc w:val="center"/>
        <w:rPr>
          <w:rFonts w:ascii="宋体" w:hAnsi="宋体"/>
          <w:color w:val="auto"/>
          <w:sz w:val="36"/>
          <w:szCs w:val="36"/>
          <w:highlight w:val="none"/>
        </w:rPr>
      </w:pPr>
      <w:bookmarkStart w:id="46" w:name="_Toc254970526"/>
      <w:bookmarkStart w:id="47" w:name="_Toc254970667"/>
    </w:p>
    <w:p w14:paraId="14E4B694">
      <w:pPr>
        <w:jc w:val="center"/>
        <w:rPr>
          <w:rFonts w:ascii="宋体" w:hAnsi="宋体"/>
          <w:color w:val="auto"/>
          <w:sz w:val="36"/>
          <w:szCs w:val="36"/>
          <w:highlight w:val="none"/>
        </w:rPr>
      </w:pPr>
      <w:r>
        <w:rPr>
          <w:rFonts w:hint="eastAsia" w:ascii="宋体" w:hAnsi="宋体"/>
          <w:color w:val="auto"/>
          <w:sz w:val="36"/>
          <w:szCs w:val="36"/>
          <w:highlight w:val="none"/>
        </w:rPr>
        <w:t>投标人须知前附表</w:t>
      </w:r>
      <w:bookmarkEnd w:id="46"/>
      <w:bookmarkEnd w:id="47"/>
    </w:p>
    <w:p w14:paraId="00530EA2">
      <w:pPr>
        <w:jc w:val="center"/>
        <w:rPr>
          <w:rFonts w:ascii="宋体" w:hAnsi="宋体"/>
          <w:color w:val="auto"/>
          <w:sz w:val="36"/>
          <w:szCs w:val="36"/>
          <w:highlight w:val="none"/>
        </w:rPr>
      </w:pPr>
    </w:p>
    <w:tbl>
      <w:tblPr>
        <w:tblStyle w:val="49"/>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61F71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5B222DA">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46432F90">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编列内容</w:t>
            </w:r>
          </w:p>
        </w:tc>
      </w:tr>
      <w:tr w14:paraId="79B8DB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67E1C19">
            <w:pPr>
              <w:spacing w:line="400" w:lineRule="exact"/>
              <w:jc w:val="center"/>
              <w:rPr>
                <w:rFonts w:ascii="宋体" w:hAnsi="宋体"/>
                <w:color w:val="auto"/>
                <w:szCs w:val="21"/>
                <w:highlight w:val="none"/>
              </w:rPr>
            </w:pPr>
            <w:r>
              <w:rPr>
                <w:rFonts w:hint="eastAsia" w:ascii="宋体" w:hAnsi="宋体"/>
                <w:color w:val="auto"/>
                <w:szCs w:val="21"/>
                <w:highlight w:val="none"/>
              </w:rPr>
              <w:t>3</w:t>
            </w:r>
          </w:p>
        </w:tc>
        <w:tc>
          <w:tcPr>
            <w:tcW w:w="8708" w:type="dxa"/>
            <w:tcBorders>
              <w:top w:val="single" w:color="auto" w:sz="4" w:space="0"/>
              <w:left w:val="single" w:color="auto" w:sz="4" w:space="0"/>
              <w:bottom w:val="single" w:color="auto" w:sz="4" w:space="0"/>
              <w:right w:val="single" w:color="auto" w:sz="4" w:space="0"/>
            </w:tcBorders>
            <w:vAlign w:val="center"/>
          </w:tcPr>
          <w:p w14:paraId="76AA0A12">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投标人的资格要求：详见招标公告。</w:t>
            </w:r>
          </w:p>
        </w:tc>
      </w:tr>
      <w:tr w14:paraId="2F62D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80DE231">
            <w:pPr>
              <w:spacing w:line="400" w:lineRule="exact"/>
              <w:jc w:val="center"/>
              <w:rPr>
                <w:rFonts w:ascii="宋体" w:hAnsi="宋体"/>
                <w:color w:val="auto"/>
                <w:szCs w:val="21"/>
                <w:highlight w:val="none"/>
              </w:rPr>
            </w:pPr>
            <w:bookmarkStart w:id="48" w:name="_8.1"/>
            <w:bookmarkEnd w:id="48"/>
            <w:bookmarkStart w:id="49" w:name="_9.2"/>
            <w:bookmarkEnd w:id="49"/>
            <w:bookmarkStart w:id="50" w:name="_5"/>
            <w:bookmarkEnd w:id="50"/>
            <w:r>
              <w:rPr>
                <w:rFonts w:hint="eastAsia" w:ascii="宋体" w:hAnsi="宋体"/>
                <w:color w:val="auto"/>
                <w:szCs w:val="21"/>
                <w:highlight w:val="none"/>
              </w:rPr>
              <w:t>6.1</w:t>
            </w:r>
          </w:p>
        </w:tc>
        <w:tc>
          <w:tcPr>
            <w:tcW w:w="8708" w:type="dxa"/>
            <w:tcBorders>
              <w:top w:val="single" w:color="auto" w:sz="4" w:space="0"/>
              <w:left w:val="single" w:color="auto" w:sz="4" w:space="0"/>
              <w:bottom w:val="single" w:color="auto" w:sz="4" w:space="0"/>
              <w:right w:val="single" w:color="auto" w:sz="4" w:space="0"/>
            </w:tcBorders>
            <w:vAlign w:val="center"/>
          </w:tcPr>
          <w:p w14:paraId="1993F41C">
            <w:pPr>
              <w:pStyle w:val="17"/>
              <w:spacing w:line="400" w:lineRule="exact"/>
              <w:rPr>
                <w:rFonts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3D143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4BD0BD8">
            <w:pPr>
              <w:spacing w:line="400" w:lineRule="exact"/>
              <w:jc w:val="center"/>
              <w:rPr>
                <w:rFonts w:ascii="宋体" w:hAnsi="宋体"/>
                <w:color w:val="auto"/>
                <w:szCs w:val="21"/>
                <w:highlight w:val="none"/>
              </w:rPr>
            </w:pPr>
            <w:r>
              <w:rPr>
                <w:rFonts w:hint="eastAsia" w:ascii="宋体" w:hAnsi="宋体"/>
                <w:color w:val="auto"/>
                <w:szCs w:val="21"/>
                <w:highlight w:val="none"/>
              </w:rPr>
              <w:t>7.2</w:t>
            </w:r>
          </w:p>
        </w:tc>
        <w:tc>
          <w:tcPr>
            <w:tcW w:w="8708" w:type="dxa"/>
            <w:tcBorders>
              <w:top w:val="single" w:color="auto" w:sz="4" w:space="0"/>
              <w:left w:val="single" w:color="auto" w:sz="4" w:space="0"/>
              <w:bottom w:val="single" w:color="auto" w:sz="4" w:space="0"/>
              <w:right w:val="single" w:color="auto" w:sz="4" w:space="0"/>
            </w:tcBorders>
            <w:vAlign w:val="center"/>
          </w:tcPr>
          <w:p w14:paraId="77711E62">
            <w:pPr>
              <w:pStyle w:val="17"/>
              <w:spacing w:line="400" w:lineRule="exact"/>
              <w:rPr>
                <w:rFonts w:ascii="宋体" w:hAnsi="宋体"/>
                <w:color w:val="auto"/>
                <w:szCs w:val="21"/>
                <w:highlight w:val="none"/>
              </w:rPr>
            </w:pPr>
            <w:r>
              <w:rPr>
                <w:rFonts w:hint="eastAsia" w:ascii="宋体" w:hAnsi="宋体"/>
                <w:color w:val="auto"/>
                <w:szCs w:val="21"/>
                <w:highlight w:val="none"/>
              </w:rPr>
              <w:t>本项目不允许分包。</w:t>
            </w:r>
          </w:p>
        </w:tc>
      </w:tr>
      <w:tr w14:paraId="6AEB53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6ADAAAB9">
            <w:pPr>
              <w:spacing w:line="400" w:lineRule="exact"/>
              <w:jc w:val="center"/>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5</w:t>
            </w:r>
          </w:p>
        </w:tc>
        <w:tc>
          <w:tcPr>
            <w:tcW w:w="8708" w:type="dxa"/>
            <w:tcBorders>
              <w:top w:val="single" w:color="auto" w:sz="4" w:space="0"/>
              <w:left w:val="single" w:color="auto" w:sz="4" w:space="0"/>
              <w:bottom w:val="single" w:color="auto" w:sz="4" w:space="0"/>
              <w:right w:val="single" w:color="auto" w:sz="4" w:space="0"/>
            </w:tcBorders>
            <w:vAlign w:val="center"/>
          </w:tcPr>
          <w:p w14:paraId="564A2322">
            <w:pPr>
              <w:snapToGrid w:val="0"/>
              <w:spacing w:line="400" w:lineRule="exact"/>
              <w:rPr>
                <w:rFonts w:ascii="宋体" w:hAnsi="宋体"/>
                <w:color w:val="auto"/>
                <w:szCs w:val="21"/>
                <w:highlight w:val="none"/>
              </w:rPr>
            </w:pPr>
            <w:r>
              <w:rPr>
                <w:rFonts w:hint="eastAsia" w:ascii="宋体" w:hAnsi="宋体"/>
                <w:color w:val="auto"/>
                <w:szCs w:val="21"/>
                <w:highlight w:val="none"/>
              </w:rPr>
              <w:t>本项目不组织现场考察。</w:t>
            </w:r>
          </w:p>
        </w:tc>
      </w:tr>
      <w:tr w14:paraId="1DE2C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226FA13A">
            <w:pPr>
              <w:spacing w:line="400" w:lineRule="exact"/>
              <w:jc w:val="center"/>
              <w:rPr>
                <w:rFonts w:ascii="宋体" w:hAnsi="宋体"/>
                <w:color w:val="auto"/>
                <w:szCs w:val="21"/>
                <w:highlight w:val="none"/>
              </w:rPr>
            </w:pPr>
          </w:p>
        </w:tc>
        <w:tc>
          <w:tcPr>
            <w:tcW w:w="8708" w:type="dxa"/>
            <w:tcBorders>
              <w:top w:val="single" w:color="auto" w:sz="4" w:space="0"/>
              <w:left w:val="single" w:color="auto" w:sz="4" w:space="0"/>
              <w:bottom w:val="single" w:color="auto" w:sz="4" w:space="0"/>
              <w:right w:val="single" w:color="auto" w:sz="4" w:space="0"/>
            </w:tcBorders>
            <w:vAlign w:val="center"/>
          </w:tcPr>
          <w:p w14:paraId="4F1C9B4F">
            <w:pPr>
              <w:snapToGrid w:val="0"/>
              <w:spacing w:line="400" w:lineRule="exact"/>
              <w:rPr>
                <w:rFonts w:ascii="宋体" w:hAnsi="宋体"/>
                <w:color w:val="auto"/>
                <w:szCs w:val="21"/>
                <w:highlight w:val="none"/>
              </w:rPr>
            </w:pPr>
            <w:r>
              <w:rPr>
                <w:rFonts w:hint="eastAsia" w:ascii="宋体" w:hAnsi="宋体"/>
                <w:color w:val="auto"/>
                <w:szCs w:val="21"/>
                <w:highlight w:val="none"/>
              </w:rPr>
              <w:t>本项目不组织召开开标前答疑会。</w:t>
            </w:r>
          </w:p>
        </w:tc>
      </w:tr>
      <w:tr w14:paraId="7D302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5C056343">
            <w:pPr>
              <w:spacing w:line="400" w:lineRule="exact"/>
              <w:jc w:val="center"/>
              <w:rPr>
                <w:rFonts w:ascii="宋体" w:hAnsi="宋体"/>
                <w:color w:val="auto"/>
                <w:szCs w:val="21"/>
                <w:highlight w:val="none"/>
              </w:rPr>
            </w:pPr>
            <w:bookmarkStart w:id="51" w:name="_13.1"/>
            <w:bookmarkEnd w:id="51"/>
            <w:r>
              <w:rPr>
                <w:rFonts w:hint="eastAsia" w:ascii="宋体" w:hAnsi="宋体"/>
                <w:color w:val="auto"/>
                <w:szCs w:val="21"/>
                <w:highlight w:val="none"/>
              </w:rPr>
              <w:t>13.</w:t>
            </w:r>
            <w:bookmarkStart w:id="52" w:name="_Hlt19632543"/>
            <w:r>
              <w:rPr>
                <w:rFonts w:hint="eastAsia" w:ascii="宋体" w:hAnsi="宋体"/>
                <w:color w:val="auto"/>
                <w:szCs w:val="21"/>
                <w:highlight w:val="none"/>
              </w:rPr>
              <w:t>1</w:t>
            </w:r>
            <w:bookmarkEnd w:id="52"/>
          </w:p>
        </w:tc>
        <w:tc>
          <w:tcPr>
            <w:tcW w:w="8708" w:type="dxa"/>
            <w:tcBorders>
              <w:top w:val="single" w:color="auto" w:sz="4" w:space="0"/>
              <w:left w:val="single" w:color="auto" w:sz="4" w:space="0"/>
              <w:bottom w:val="single" w:color="auto" w:sz="4" w:space="0"/>
              <w:right w:val="single" w:color="auto" w:sz="4" w:space="0"/>
            </w:tcBorders>
            <w:vAlign w:val="center"/>
          </w:tcPr>
          <w:p w14:paraId="7977CD0B">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报价文件:</w:t>
            </w:r>
          </w:p>
          <w:p w14:paraId="05A23FFB">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C287897">
            <w:pPr>
              <w:tabs>
                <w:tab w:val="left" w:pos="459"/>
              </w:tabs>
              <w:snapToGrid w:val="0"/>
              <w:spacing w:line="400" w:lineRule="exact"/>
              <w:jc w:val="left"/>
              <w:rPr>
                <w:rFonts w:ascii="宋体" w:hAnsi="宋体"/>
                <w:color w:val="auto"/>
                <w:szCs w:val="21"/>
                <w:highlight w:val="none"/>
              </w:rPr>
            </w:pPr>
            <w:bookmarkStart w:id="53" w:name="_Hlk71299233"/>
            <w:r>
              <w:rPr>
                <w:rFonts w:hint="eastAsia" w:ascii="宋体" w:hAnsi="宋体"/>
                <w:color w:val="auto"/>
                <w:szCs w:val="21"/>
                <w:highlight w:val="none"/>
              </w:rPr>
              <w:t>2、开标一览表</w:t>
            </w:r>
            <w:bookmarkEnd w:id="53"/>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2DD9124">
            <w:pPr>
              <w:tabs>
                <w:tab w:val="left" w:pos="459"/>
              </w:tabs>
              <w:snapToGrid w:val="0"/>
              <w:spacing w:line="400" w:lineRule="exact"/>
              <w:jc w:val="left"/>
              <w:rPr>
                <w:rFonts w:ascii="宋体" w:hAnsi="宋体"/>
                <w:color w:val="auto"/>
                <w:szCs w:val="21"/>
                <w:highlight w:val="none"/>
              </w:rPr>
            </w:pPr>
            <w:r>
              <w:rPr>
                <w:rFonts w:hint="eastAsia" w:ascii="宋体" w:hAnsi="宋体"/>
                <w:color w:val="auto"/>
                <w:szCs w:val="21"/>
                <w:highlight w:val="none"/>
              </w:rPr>
              <w:t>3、投标人针对报价需要说明的其他文件和说明（格式自拟）。</w:t>
            </w:r>
          </w:p>
          <w:p w14:paraId="7E3E17A0">
            <w:pPr>
              <w:snapToGrid w:val="0"/>
              <w:spacing w:line="400" w:lineRule="exact"/>
              <w:ind w:firstLine="420"/>
              <w:jc w:val="left"/>
              <w:rPr>
                <w:rFonts w:ascii="宋体" w:hAnsi="宋体"/>
                <w:color w:val="auto"/>
                <w:szCs w:val="21"/>
                <w:highlight w:val="none"/>
              </w:rPr>
            </w:pPr>
            <w:r>
              <w:rPr>
                <w:rFonts w:hint="eastAsia" w:ascii="宋体" w:hAnsi="宋体"/>
                <w:b/>
                <w:bCs/>
                <w:color w:val="auto"/>
                <w:szCs w:val="21"/>
                <w:highlight w:val="none"/>
              </w:rPr>
              <w:t>注：投标函、开标一览表必须由法定代表人或者委托代理人在规定签章处逐一签字并加盖投标人公章，否则按无效投标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CF44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56C0946F">
            <w:pPr>
              <w:spacing w:line="400" w:lineRule="exact"/>
              <w:rPr>
                <w:rFonts w:ascii="宋体" w:hAnsi="宋体"/>
                <w:color w:val="auto"/>
                <w:szCs w:val="21"/>
                <w:highlight w:val="none"/>
              </w:rPr>
            </w:pPr>
            <w:bookmarkStart w:id="54" w:name="_13.2"/>
            <w:bookmarkEnd w:id="54"/>
          </w:p>
        </w:tc>
        <w:tc>
          <w:tcPr>
            <w:tcW w:w="8708" w:type="dxa"/>
            <w:tcBorders>
              <w:top w:val="single" w:color="auto" w:sz="4" w:space="0"/>
              <w:left w:val="single" w:color="auto" w:sz="4" w:space="0"/>
              <w:bottom w:val="single" w:color="auto" w:sz="4" w:space="0"/>
              <w:right w:val="single" w:color="auto" w:sz="4" w:space="0"/>
            </w:tcBorders>
            <w:vAlign w:val="center"/>
          </w:tcPr>
          <w:p w14:paraId="06F521AE">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资格证明文件:</w:t>
            </w:r>
          </w:p>
          <w:p w14:paraId="3B6CCCE6">
            <w:pPr>
              <w:autoSpaceDE w:val="0"/>
              <w:autoSpaceDN w:val="0"/>
              <w:snapToGrid w:val="0"/>
              <w:spacing w:line="400" w:lineRule="exact"/>
              <w:textAlignment w:val="bottom"/>
              <w:rPr>
                <w:rFonts w:ascii="宋体" w:hAnsi="宋体"/>
                <w:b/>
                <w:color w:val="auto"/>
                <w:szCs w:val="21"/>
                <w:highlight w:val="none"/>
              </w:rPr>
            </w:pPr>
            <w:r>
              <w:rPr>
                <w:rFonts w:hint="eastAsia" w:ascii="宋体" w:hAnsi="宋体" w:cs="宋体"/>
                <w:color w:val="auto"/>
                <w:szCs w:val="21"/>
                <w:highlight w:val="none"/>
              </w:rPr>
              <w:t>1、供应商为法人或者其他组织的，</w:t>
            </w:r>
            <w:r>
              <w:rPr>
                <w:rFonts w:hint="eastAsia" w:ascii="宋体" w:hAnsi="宋体"/>
                <w:color w:val="auto"/>
                <w:szCs w:val="21"/>
                <w:highlight w:val="none"/>
              </w:rPr>
              <w:t>证明文件为其营业执照复印件（如营业执照或者事业单位法人证书或者执业许可证等）；供应商为自然人的，证明文件为其身份证复印件；</w:t>
            </w:r>
            <w:r>
              <w:rPr>
                <w:rFonts w:hint="eastAsia" w:ascii="宋体" w:hAnsi="宋体"/>
                <w:b/>
                <w:color w:val="auto"/>
                <w:szCs w:val="21"/>
                <w:highlight w:val="none"/>
              </w:rPr>
              <w:t>（必须提供，否则投标文件按无效响应处理</w:t>
            </w:r>
            <w:r>
              <w:rPr>
                <w:rFonts w:ascii="宋体" w:hAnsi="宋体"/>
                <w:b/>
                <w:color w:val="auto"/>
                <w:szCs w:val="21"/>
                <w:highlight w:val="none"/>
              </w:rPr>
              <w:t>）</w:t>
            </w:r>
          </w:p>
          <w:p w14:paraId="15691FE2">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2、投标人依法缴纳税收的相关材料（202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月内连续3个月的依法缴纳税收的凭据复印件；依法免税的供应商，必须提供相应文件证明其依法免税。从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之日起的依法缴纳税收相应证明文件）；</w:t>
            </w:r>
            <w:r>
              <w:rPr>
                <w:rFonts w:hint="eastAsia" w:ascii="宋体" w:hAnsi="宋体" w:cs="宋体"/>
                <w:b/>
                <w:color w:val="auto"/>
                <w:szCs w:val="21"/>
                <w:highlight w:val="none"/>
              </w:rPr>
              <w:t>（必须提供，否则按无效投标处理）</w:t>
            </w:r>
          </w:p>
          <w:p w14:paraId="61DEB35B">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3、投标人依法缴纳社会保障资金的相关材料[202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月内连续3个月的的依法缴纳社会保障资金的缴费凭证（专用收据或者社会保险缴纳清单）复印件；依法不需要缴纳社会保障资金的供应商，必须提供相应文件证明不需要缴纳社会保障资金。从</w:t>
            </w:r>
            <w:r>
              <w:rPr>
                <w:rFonts w:ascii="宋体" w:hAnsi="宋体" w:cs="宋体"/>
                <w:color w:val="auto"/>
                <w:szCs w:val="21"/>
                <w:highlight w:val="none"/>
              </w:rPr>
              <w:t>成立</w:t>
            </w:r>
            <w:r>
              <w:rPr>
                <w:rFonts w:hint="eastAsia" w:ascii="宋体" w:hAnsi="宋体" w:cs="宋体"/>
                <w:color w:val="auto"/>
                <w:szCs w:val="21"/>
                <w:highlight w:val="none"/>
              </w:rPr>
              <w:t>之日起到投标文件提交截止时间止不足要求月数的只需提供从</w:t>
            </w:r>
            <w:r>
              <w:rPr>
                <w:rFonts w:ascii="宋体" w:hAnsi="宋体" w:cs="宋体"/>
                <w:color w:val="auto"/>
                <w:szCs w:val="21"/>
                <w:highlight w:val="none"/>
              </w:rPr>
              <w:t>成立</w:t>
            </w:r>
            <w:r>
              <w:rPr>
                <w:rFonts w:hint="eastAsia" w:ascii="宋体" w:hAnsi="宋体" w:cs="宋体"/>
                <w:color w:val="auto"/>
                <w:szCs w:val="21"/>
                <w:highlight w:val="none"/>
              </w:rPr>
              <w:t>之日起的依法缴纳社会保障资金的相应证明文件]；</w:t>
            </w:r>
            <w:r>
              <w:rPr>
                <w:rFonts w:hint="eastAsia" w:ascii="宋体" w:hAnsi="宋体" w:cs="宋体"/>
                <w:b/>
                <w:color w:val="auto"/>
                <w:szCs w:val="21"/>
                <w:highlight w:val="none"/>
              </w:rPr>
              <w:t>（必须提供，否则按无效投标处理）</w:t>
            </w:r>
          </w:p>
          <w:p w14:paraId="3016AAF6">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4、投标人财务状况报告（202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年度财务报表复印件或者银行出具的资信证明；投标人属于成立</w:t>
            </w:r>
            <w:r>
              <w:rPr>
                <w:rFonts w:ascii="宋体" w:hAnsi="宋体" w:cs="宋体"/>
                <w:color w:val="auto"/>
                <w:szCs w:val="21"/>
                <w:highlight w:val="none"/>
              </w:rPr>
              <w:t>时间</w:t>
            </w:r>
            <w:r>
              <w:rPr>
                <w:rFonts w:hint="eastAsia" w:ascii="宋体" w:hAnsi="宋体" w:cs="宋体"/>
                <w:color w:val="auto"/>
                <w:szCs w:val="21"/>
                <w:highlight w:val="none"/>
              </w:rPr>
              <w:t>在规定年度之后</w:t>
            </w:r>
            <w:r>
              <w:rPr>
                <w:rFonts w:ascii="宋体" w:hAnsi="宋体" w:cs="宋体"/>
                <w:color w:val="auto"/>
                <w:szCs w:val="21"/>
                <w:highlight w:val="none"/>
              </w:rPr>
              <w:t>的</w:t>
            </w:r>
            <w:r>
              <w:rPr>
                <w:rFonts w:hint="eastAsia" w:ascii="宋体" w:hAnsi="宋体" w:cs="宋体"/>
                <w:color w:val="auto"/>
                <w:szCs w:val="21"/>
                <w:highlight w:val="none"/>
              </w:rPr>
              <w:t>法人或其他组织</w:t>
            </w:r>
            <w:r>
              <w:rPr>
                <w:rFonts w:ascii="宋体" w:hAnsi="宋体" w:cs="宋体"/>
                <w:color w:val="auto"/>
                <w:szCs w:val="21"/>
                <w:highlight w:val="none"/>
              </w:rPr>
              <w:t>，需提供成立</w:t>
            </w:r>
            <w:r>
              <w:rPr>
                <w:rFonts w:hint="eastAsia" w:ascii="宋体" w:hAnsi="宋体" w:cs="宋体"/>
                <w:color w:val="auto"/>
                <w:szCs w:val="21"/>
                <w:highlight w:val="none"/>
              </w:rPr>
              <w:t>之日起至投标截止时间前</w:t>
            </w:r>
            <w:r>
              <w:rPr>
                <w:rFonts w:ascii="宋体" w:hAnsi="宋体" w:cs="宋体"/>
                <w:color w:val="auto"/>
                <w:szCs w:val="21"/>
                <w:highlight w:val="none"/>
              </w:rPr>
              <w:t>的月报表</w:t>
            </w:r>
            <w:r>
              <w:rPr>
                <w:rFonts w:hint="eastAsia" w:ascii="宋体" w:hAnsi="宋体" w:cs="宋体"/>
                <w:color w:val="auto"/>
                <w:szCs w:val="21"/>
                <w:highlight w:val="none"/>
              </w:rPr>
              <w:t>或银行出具的资信证明；资信证明应在有效期内，未注明有效期的，银行出具时间至投标截止时间不超过一年）；</w:t>
            </w:r>
            <w:r>
              <w:rPr>
                <w:rFonts w:hint="eastAsia" w:ascii="宋体" w:hAnsi="宋体" w:cs="宋体"/>
                <w:b/>
                <w:color w:val="auto"/>
                <w:szCs w:val="21"/>
                <w:highlight w:val="none"/>
              </w:rPr>
              <w:t>（除自然人外必须提供，否则按无效投标处理）</w:t>
            </w:r>
          </w:p>
          <w:p w14:paraId="098F6FF3">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p>
          <w:p w14:paraId="6962D53B">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（必须提供，否则按无效投标处理）</w:t>
            </w:r>
          </w:p>
          <w:p w14:paraId="5D85B08E">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、联合体协议书（格式后附）；</w:t>
            </w:r>
            <w:r>
              <w:rPr>
                <w:rFonts w:hint="eastAsia" w:ascii="宋体" w:hAnsi="宋体" w:cs="宋体"/>
                <w:b/>
                <w:bCs/>
                <w:color w:val="auto"/>
                <w:szCs w:val="21"/>
                <w:highlight w:val="none"/>
              </w:rPr>
              <w:t>（联合体投标时必须提供，否则按无效投标处理）</w:t>
            </w:r>
          </w:p>
          <w:p w14:paraId="08160E15">
            <w:pPr>
              <w:autoSpaceDE w:val="0"/>
              <w:autoSpaceDN w:val="0"/>
              <w:snapToGrid w:val="0"/>
              <w:spacing w:line="400" w:lineRule="exact"/>
              <w:textAlignment w:val="bottom"/>
              <w:rPr>
                <w:rFonts w:ascii="宋体" w:hAnsi="宋体" w:cs="宋体"/>
                <w:b/>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、中小企业声明函（格式后附）；</w:t>
            </w:r>
          </w:p>
          <w:p w14:paraId="5CFD6CF3">
            <w:pPr>
              <w:autoSpaceDE w:val="0"/>
              <w:autoSpaceDN w:val="0"/>
              <w:snapToGrid w:val="0"/>
              <w:spacing w:line="400" w:lineRule="exact"/>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、除招标文件规定必须提供以外，投标人认为需要提供的其他证明材料。</w:t>
            </w:r>
          </w:p>
          <w:p w14:paraId="01092C2B">
            <w:pPr>
              <w:snapToGrid w:val="0"/>
              <w:spacing w:line="400" w:lineRule="exact"/>
              <w:jc w:val="left"/>
              <w:rPr>
                <w:rFonts w:ascii="宋体" w:hAnsi="宋体"/>
                <w:b/>
                <w:bCs/>
                <w:color w:val="auto"/>
                <w:szCs w:val="21"/>
                <w:highlight w:val="none"/>
              </w:rPr>
            </w:pPr>
            <w:r>
              <w:rPr>
                <w:rFonts w:hint="eastAsia" w:ascii="宋体" w:hAnsi="宋体"/>
                <w:b/>
                <w:bCs/>
                <w:color w:val="auto"/>
                <w:szCs w:val="21"/>
                <w:highlight w:val="none"/>
              </w:rPr>
              <w:t>注：</w:t>
            </w:r>
          </w:p>
          <w:p w14:paraId="08E3E959">
            <w:pPr>
              <w:snapToGrid w:val="0"/>
              <w:spacing w:line="400" w:lineRule="exact"/>
              <w:ind w:firstLine="422" w:firstLineChars="200"/>
              <w:jc w:val="left"/>
              <w:rPr>
                <w:rFonts w:ascii="宋体" w:hAnsi="宋体" w:cs="Courier New"/>
                <w:b/>
                <w:color w:val="auto"/>
                <w:szCs w:val="21"/>
                <w:highlight w:val="none"/>
              </w:rPr>
            </w:pPr>
            <w:r>
              <w:rPr>
                <w:rFonts w:hint="eastAsia" w:ascii="宋体" w:hAnsi="宋体"/>
                <w:b/>
                <w:bCs/>
                <w:color w:val="auto"/>
                <w:szCs w:val="21"/>
                <w:highlight w:val="none"/>
              </w:rPr>
              <w:t>1、以上标明“必须提供”的材料属于复印件的，必须加盖投标人公章，否则按无效投标</w:t>
            </w:r>
            <w:r>
              <w:rPr>
                <w:rFonts w:hint="eastAsia" w:ascii="宋体" w:hAnsi="宋体" w:cs="Courier New"/>
                <w:b/>
                <w:color w:val="auto"/>
                <w:szCs w:val="21"/>
                <w:highlight w:val="none"/>
              </w:rPr>
              <w:t>处理。</w:t>
            </w:r>
          </w:p>
          <w:p w14:paraId="073EC84D">
            <w:pPr>
              <w:snapToGrid w:val="0"/>
              <w:spacing w:line="400" w:lineRule="exact"/>
              <w:ind w:firstLine="422" w:firstLineChars="200"/>
              <w:jc w:val="left"/>
              <w:rPr>
                <w:rFonts w:ascii="宋体" w:hAnsi="宋体"/>
                <w:b/>
                <w:bCs/>
                <w:color w:val="auto"/>
                <w:szCs w:val="21"/>
                <w:highlight w:val="none"/>
              </w:rPr>
            </w:pPr>
            <w:r>
              <w:rPr>
                <w:rFonts w:hint="eastAsia" w:ascii="宋体" w:hAnsi="宋体" w:cs="Courier New"/>
                <w:b/>
                <w:color w:val="auto"/>
                <w:szCs w:val="21"/>
                <w:highlight w:val="none"/>
              </w:rPr>
              <w:t>2、</w:t>
            </w:r>
            <w:r>
              <w:rPr>
                <w:rFonts w:hint="eastAsia" w:ascii="宋体" w:hAnsi="宋体"/>
                <w:b/>
                <w:bCs/>
                <w:color w:val="auto"/>
                <w:szCs w:val="21"/>
                <w:highlight w:val="none"/>
              </w:rPr>
              <w:t>投标声明必须由法定代表人在规定签章处签字并加盖投标人公章，否则按无效投标处理。</w:t>
            </w:r>
          </w:p>
          <w:p w14:paraId="0F827D67">
            <w:pPr>
              <w:snapToGrid w:val="0"/>
              <w:spacing w:line="4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3、投标人直接控股、管理关系信息表必须由法定代表人或者委托代理人在规定签章处签字并加盖投标人公章，否则按无效投标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p w14:paraId="0C41D275">
            <w:pPr>
              <w:snapToGrid w:val="0"/>
              <w:spacing w:line="400" w:lineRule="exact"/>
              <w:ind w:firstLine="422" w:firstLineChars="200"/>
              <w:jc w:val="left"/>
              <w:rPr>
                <w:rFonts w:ascii="宋体" w:hAnsi="宋体"/>
                <w:b/>
                <w:bCs/>
                <w:color w:val="auto"/>
                <w:szCs w:val="21"/>
                <w:highlight w:val="none"/>
              </w:rPr>
            </w:pPr>
            <w:r>
              <w:rPr>
                <w:rFonts w:hint="eastAsia" w:ascii="宋体" w:hAnsi="宋体"/>
                <w:b/>
                <w:bCs/>
                <w:color w:val="auto"/>
                <w:szCs w:val="21"/>
                <w:highlight w:val="none"/>
              </w:rPr>
              <w:t>4、联合体投标时，第1-5项资格证明文件联合体各方均必须分别提供，联合体各方分别盖章和签字，否则按无效投标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6A2CA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1B93030D">
            <w:pPr>
              <w:spacing w:line="400" w:lineRule="exact"/>
              <w:rPr>
                <w:rFonts w:ascii="宋体" w:hAnsi="宋体"/>
                <w:color w:val="auto"/>
                <w:szCs w:val="21"/>
                <w:highlight w:val="none"/>
              </w:rPr>
            </w:pPr>
            <w:bookmarkStart w:id="55" w:name="_13.3"/>
            <w:bookmarkEnd w:id="55"/>
          </w:p>
        </w:tc>
        <w:tc>
          <w:tcPr>
            <w:tcW w:w="8708" w:type="dxa"/>
            <w:tcBorders>
              <w:top w:val="single" w:color="auto" w:sz="4" w:space="0"/>
              <w:left w:val="single" w:color="auto" w:sz="4" w:space="0"/>
              <w:bottom w:val="single" w:color="auto" w:sz="4" w:space="0"/>
              <w:right w:val="single" w:color="auto" w:sz="4" w:space="0"/>
            </w:tcBorders>
            <w:vAlign w:val="center"/>
          </w:tcPr>
          <w:p w14:paraId="303C3D81">
            <w:pPr>
              <w:snapToGrid w:val="0"/>
              <w:spacing w:line="400" w:lineRule="exact"/>
              <w:jc w:val="left"/>
              <w:rPr>
                <w:rFonts w:ascii="宋体" w:hAnsi="宋体" w:cs="Courier New"/>
                <w:b/>
                <w:color w:val="auto"/>
                <w:szCs w:val="21"/>
                <w:highlight w:val="none"/>
              </w:rPr>
            </w:pPr>
            <w:r>
              <w:rPr>
                <w:rFonts w:hint="eastAsia" w:ascii="宋体" w:hAnsi="宋体" w:cs="Courier New"/>
                <w:b/>
                <w:color w:val="auto"/>
                <w:szCs w:val="21"/>
                <w:highlight w:val="none"/>
              </w:rPr>
              <w:t>商务文件：</w:t>
            </w:r>
          </w:p>
          <w:p w14:paraId="540DAA64">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CE57861">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2、投标保证金提交凭证；（</w:t>
            </w:r>
            <w:r>
              <w:rPr>
                <w:rFonts w:hint="eastAsia" w:ascii="宋体" w:hAnsi="宋体"/>
                <w:b/>
                <w:bCs/>
                <w:color w:val="auto"/>
                <w:highlight w:val="none"/>
              </w:rPr>
              <w:t>如要求提交投标保证金的则必须提供</w:t>
            </w:r>
            <w:r>
              <w:rPr>
                <w:rFonts w:hint="eastAsia" w:ascii="宋体" w:hAnsi="宋体"/>
                <w:b/>
                <w:color w:val="auto"/>
                <w:szCs w:val="21"/>
                <w:highlight w:val="none"/>
              </w:rPr>
              <w:t>，否则按无效投标处理</w:t>
            </w:r>
            <w:r>
              <w:rPr>
                <w:rFonts w:hint="eastAsia" w:ascii="宋体" w:hAnsi="宋体"/>
                <w:color w:val="auto"/>
                <w:szCs w:val="21"/>
                <w:highlight w:val="none"/>
              </w:rPr>
              <w:t>）</w:t>
            </w:r>
          </w:p>
          <w:p w14:paraId="45DE76DA">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25B6BE8">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5A06AA73">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5、商务要求偏离表（格式后附）；（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DF5B584">
            <w:pPr>
              <w:snapToGrid w:val="0"/>
              <w:spacing w:line="400" w:lineRule="exact"/>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、售后服务承诺（格式自拟）；（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4E41EE9">
            <w:pPr>
              <w:snapToGrid w:val="0"/>
              <w:spacing w:line="400" w:lineRule="exact"/>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w:t>
            </w:r>
          </w:p>
          <w:p w14:paraId="54A78B9D">
            <w:pPr>
              <w:snapToGrid w:val="0"/>
              <w:spacing w:line="400" w:lineRule="exact"/>
              <w:jc w:val="left"/>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、联合体协议书（格式后附）；（</w:t>
            </w:r>
            <w:r>
              <w:rPr>
                <w:rFonts w:hint="eastAsia" w:ascii="宋体" w:hAnsi="宋体"/>
                <w:b/>
                <w:color w:val="auto"/>
                <w:szCs w:val="21"/>
                <w:highlight w:val="none"/>
              </w:rPr>
              <w:t>联合体投标时必须提供，否则按无效投标处理</w:t>
            </w:r>
            <w:r>
              <w:rPr>
                <w:rFonts w:hint="eastAsia" w:ascii="宋体" w:hAnsi="宋体"/>
                <w:color w:val="auto"/>
                <w:szCs w:val="21"/>
                <w:highlight w:val="none"/>
              </w:rPr>
              <w:t>）</w:t>
            </w:r>
          </w:p>
          <w:p w14:paraId="56E5F68C">
            <w:pPr>
              <w:snapToGrid w:val="0"/>
              <w:spacing w:line="400" w:lineRule="exact"/>
              <w:jc w:val="left"/>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7ABAD8AA">
            <w:pPr>
              <w:snapToGrid w:val="0"/>
              <w:spacing w:line="400" w:lineRule="exact"/>
              <w:jc w:val="left"/>
              <w:rPr>
                <w:rFonts w:ascii="宋体" w:hAnsi="宋体"/>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594BD5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49C24AF4">
            <w:pPr>
              <w:spacing w:line="400" w:lineRule="exact"/>
              <w:rPr>
                <w:rFonts w:ascii="宋体" w:hAnsi="宋体"/>
                <w:color w:val="auto"/>
                <w:szCs w:val="21"/>
                <w:highlight w:val="none"/>
              </w:rPr>
            </w:pPr>
            <w:bookmarkStart w:id="56" w:name="_13.4"/>
            <w:bookmarkEnd w:id="56"/>
          </w:p>
        </w:tc>
        <w:tc>
          <w:tcPr>
            <w:tcW w:w="8708" w:type="dxa"/>
            <w:tcBorders>
              <w:top w:val="single" w:color="auto" w:sz="4" w:space="0"/>
              <w:left w:val="single" w:color="auto" w:sz="4" w:space="0"/>
              <w:bottom w:val="single" w:color="auto" w:sz="4" w:space="0"/>
              <w:right w:val="single" w:color="auto" w:sz="4" w:space="0"/>
            </w:tcBorders>
            <w:vAlign w:val="center"/>
          </w:tcPr>
          <w:p w14:paraId="3CFD8EAA">
            <w:pPr>
              <w:snapToGrid w:val="0"/>
              <w:spacing w:line="400" w:lineRule="exact"/>
              <w:jc w:val="left"/>
              <w:rPr>
                <w:rFonts w:ascii="宋体" w:hAnsi="宋体" w:cs="Courier New"/>
                <w:b/>
                <w:i/>
                <w:color w:val="auto"/>
                <w:szCs w:val="21"/>
                <w:highlight w:val="none"/>
              </w:rPr>
            </w:pPr>
            <w:r>
              <w:rPr>
                <w:rFonts w:hint="eastAsia" w:ascii="宋体" w:hAnsi="宋体" w:cs="Courier New"/>
                <w:b/>
                <w:color w:val="auto"/>
                <w:szCs w:val="21"/>
                <w:highlight w:val="none"/>
              </w:rPr>
              <w:t>技术文件：</w:t>
            </w:r>
          </w:p>
          <w:p w14:paraId="59979FA6">
            <w:pPr>
              <w:snapToGrid w:val="0"/>
              <w:spacing w:line="400" w:lineRule="exact"/>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、技术要求偏离表（格式后附）；（必须提供，否则按无效投标处理）</w:t>
            </w:r>
          </w:p>
          <w:p w14:paraId="28C3D0C7">
            <w:pPr>
              <w:snapToGrid w:val="0"/>
              <w:spacing w:line="400" w:lineRule="exact"/>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、服务方案（格式自拟）； </w:t>
            </w:r>
          </w:p>
          <w:p w14:paraId="77E49904">
            <w:pPr>
              <w:snapToGrid w:val="0"/>
              <w:spacing w:line="400" w:lineRule="exact"/>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 xml:space="preserve">、项目实施人员一览表（格式后附）； </w:t>
            </w:r>
          </w:p>
          <w:p w14:paraId="151E037D">
            <w:pPr>
              <w:snapToGrid w:val="0"/>
              <w:spacing w:line="400" w:lineRule="exact"/>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、投标人对本项目的合理化建议和改进措施（格式自拟）；</w:t>
            </w:r>
          </w:p>
          <w:p w14:paraId="1F206D1E">
            <w:pPr>
              <w:snapToGrid w:val="0"/>
              <w:spacing w:line="400" w:lineRule="exact"/>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、除招标文件规定必须提供以外，投标人需要说明的其他文件和说明（格式自拟）。</w:t>
            </w:r>
          </w:p>
          <w:p w14:paraId="10DC82C1">
            <w:pPr>
              <w:snapToGrid w:val="0"/>
              <w:spacing w:line="400" w:lineRule="exact"/>
              <w:ind w:firstLine="316" w:firstLineChars="150"/>
              <w:jc w:val="left"/>
              <w:rPr>
                <w:rFonts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注：以上标明“必须提供”的材料属于复印件的，必须加盖投标人公章，否则按无效投标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1F833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00F2DB2">
            <w:pPr>
              <w:spacing w:line="400" w:lineRule="exact"/>
              <w:jc w:val="center"/>
              <w:rPr>
                <w:rFonts w:ascii="宋体" w:hAnsi="宋体"/>
                <w:color w:val="auto"/>
                <w:szCs w:val="21"/>
                <w:highlight w:val="none"/>
              </w:rPr>
            </w:pPr>
            <w:bookmarkStart w:id="57" w:name="_13.5"/>
            <w:bookmarkEnd w:id="57"/>
            <w:bookmarkStart w:id="58" w:name="_16.2"/>
            <w:bookmarkEnd w:id="58"/>
            <w:r>
              <w:rPr>
                <w:rFonts w:hint="eastAsia" w:ascii="宋体" w:hAnsi="宋体"/>
                <w:color w:val="auto"/>
                <w:szCs w:val="21"/>
                <w:highlight w:val="none"/>
              </w:rPr>
              <w:t>16</w:t>
            </w:r>
            <w:bookmarkStart w:id="59" w:name="_Hlt19693759"/>
            <w:bookmarkStart w:id="60" w:name="_Hlt19194067"/>
            <w:bookmarkStart w:id="61" w:name="_Hlt19693758"/>
            <w:bookmarkStart w:id="62" w:name="_Hlt19194066"/>
            <w:r>
              <w:rPr>
                <w:rFonts w:hint="eastAsia" w:ascii="宋体" w:hAnsi="宋体"/>
                <w:color w:val="auto"/>
                <w:szCs w:val="21"/>
                <w:highlight w:val="none"/>
              </w:rPr>
              <w:t>.</w:t>
            </w:r>
            <w:bookmarkEnd w:id="59"/>
            <w:bookmarkEnd w:id="60"/>
            <w:bookmarkEnd w:id="61"/>
            <w:bookmarkEnd w:id="62"/>
            <w:r>
              <w:rPr>
                <w:rFonts w:hint="eastAsia"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281EAB2F">
            <w:pPr>
              <w:snapToGrid w:val="0"/>
              <w:spacing w:line="360" w:lineRule="auto"/>
              <w:rPr>
                <w:rFonts w:ascii="宋体" w:hAnsi="宋体"/>
                <w:b/>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即满足全部采购需求所应提供的服务的价格；包括投标服务的成本、运输（含保险）（如有）、技术服务、培训、税费等所有费用。</w:t>
            </w:r>
          </w:p>
        </w:tc>
      </w:tr>
      <w:tr w14:paraId="25062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A5E7ACD">
            <w:pPr>
              <w:spacing w:line="400" w:lineRule="exact"/>
              <w:jc w:val="center"/>
              <w:rPr>
                <w:rFonts w:ascii="宋体" w:hAnsi="宋体"/>
                <w:color w:val="auto"/>
                <w:szCs w:val="21"/>
                <w:highlight w:val="none"/>
              </w:rPr>
            </w:pPr>
            <w:bookmarkStart w:id="63" w:name="_17.1"/>
            <w:bookmarkEnd w:id="63"/>
            <w:r>
              <w:rPr>
                <w:rFonts w:hint="eastAsia" w:ascii="宋体" w:hAnsi="宋体"/>
                <w:color w:val="auto"/>
                <w:szCs w:val="21"/>
                <w:highlight w:val="none"/>
              </w:rPr>
              <w:t>17.</w:t>
            </w:r>
            <w:r>
              <w:rPr>
                <w:rFonts w:ascii="宋体" w:hAnsi="宋体"/>
                <w:color w:val="auto"/>
                <w:szCs w:val="21"/>
                <w:highlight w:val="none"/>
              </w:rPr>
              <w:t>2</w:t>
            </w:r>
          </w:p>
        </w:tc>
        <w:tc>
          <w:tcPr>
            <w:tcW w:w="8708" w:type="dxa"/>
            <w:tcBorders>
              <w:top w:val="single" w:color="auto" w:sz="4" w:space="0"/>
              <w:left w:val="single" w:color="auto" w:sz="4" w:space="0"/>
              <w:bottom w:val="single" w:color="auto" w:sz="4" w:space="0"/>
              <w:right w:val="single" w:color="auto" w:sz="4" w:space="0"/>
            </w:tcBorders>
            <w:vAlign w:val="center"/>
          </w:tcPr>
          <w:p w14:paraId="6C7BAB6D">
            <w:pPr>
              <w:snapToGrid w:val="0"/>
              <w:spacing w:line="400" w:lineRule="exact"/>
              <w:rPr>
                <w:rFonts w:ascii="宋体" w:hAnsi="宋体"/>
                <w:color w:val="auto"/>
                <w:szCs w:val="21"/>
                <w:highlight w:val="none"/>
              </w:rPr>
            </w:pPr>
            <w:r>
              <w:rPr>
                <w:rFonts w:hint="eastAsia" w:ascii="宋体" w:hAnsi="宋体"/>
                <w:color w:val="auto"/>
                <w:szCs w:val="21"/>
                <w:highlight w:val="none"/>
              </w:rPr>
              <w:t>投标有效期：投标截止之日起60天内。</w:t>
            </w:r>
          </w:p>
        </w:tc>
      </w:tr>
      <w:tr w14:paraId="57AB77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F15E44E">
            <w:pPr>
              <w:spacing w:line="400" w:lineRule="exact"/>
              <w:jc w:val="center"/>
              <w:rPr>
                <w:rFonts w:ascii="宋体" w:hAnsi="宋体"/>
                <w:color w:val="auto"/>
                <w:szCs w:val="21"/>
                <w:highlight w:val="none"/>
              </w:rPr>
            </w:pPr>
            <w:bookmarkStart w:id="64" w:name="_18"/>
            <w:bookmarkEnd w:id="64"/>
            <w:r>
              <w:rPr>
                <w:rFonts w:hint="eastAsia" w:ascii="宋体" w:hAnsi="宋体"/>
                <w:color w:val="auto"/>
                <w:szCs w:val="21"/>
                <w:highlight w:val="none"/>
              </w:rPr>
              <w:t>18</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5FD512D7">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27F9F59F">
            <w:pPr>
              <w:snapToGrid w:val="0"/>
              <w:spacing w:line="400" w:lineRule="exact"/>
              <w:rPr>
                <w:rFonts w:ascii="宋体" w:hAnsi="宋体"/>
                <w:color w:val="auto"/>
                <w:szCs w:val="21"/>
                <w:highlight w:val="none"/>
              </w:rPr>
            </w:pPr>
            <w:r>
              <w:rPr>
                <w:rFonts w:hint="eastAsia" w:ascii="宋体" w:hAnsi="宋体" w:eastAsia="MS Mincho" w:cs="MS Mincho"/>
                <w:color w:val="auto"/>
                <w:szCs w:val="21"/>
                <w:highlight w:val="none"/>
              </w:rPr>
              <w:t>☑</w:t>
            </w:r>
            <w:r>
              <w:rPr>
                <w:rFonts w:hint="eastAsia" w:ascii="宋体" w:hAnsi="宋体"/>
                <w:color w:val="auto"/>
                <w:szCs w:val="21"/>
                <w:highlight w:val="none"/>
              </w:rPr>
              <w:t>本项目收取投标保证金，具体规定如下：</w:t>
            </w:r>
          </w:p>
          <w:p w14:paraId="2A75883B">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投标保证金金额：</w:t>
            </w:r>
            <w:r>
              <w:rPr>
                <w:rFonts w:hint="eastAsia" w:ascii="宋体" w:hAnsi="宋体" w:cs="宋体"/>
                <w:color w:val="auto"/>
                <w:kern w:val="0"/>
                <w:szCs w:val="21"/>
                <w:highlight w:val="none"/>
                <w:lang w:val="en-US" w:eastAsia="zh-CN"/>
              </w:rPr>
              <w:t>壹拾万元整（￥100000.00）</w:t>
            </w:r>
            <w:r>
              <w:rPr>
                <w:rFonts w:hint="eastAsia" w:ascii="宋体" w:hAnsi="宋体" w:cs="宋体"/>
                <w:color w:val="auto"/>
                <w:kern w:val="0"/>
                <w:szCs w:val="21"/>
                <w:highlight w:val="none"/>
              </w:rPr>
              <w:t>。</w:t>
            </w:r>
          </w:p>
          <w:p w14:paraId="2131A530">
            <w:pPr>
              <w:snapToGrid w:val="0"/>
              <w:spacing w:line="400" w:lineRule="exact"/>
              <w:rPr>
                <w:rFonts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color w:val="auto"/>
                <w:szCs w:val="21"/>
                <w:highlight w:val="none"/>
              </w:rPr>
              <w:t>开户名称：广西科文招标有限公司，开户银行：广西北部湾银行南宁分行营业部，银行账号：0101012090615689</w:t>
            </w:r>
            <w:r>
              <w:rPr>
                <w:rFonts w:hint="eastAsia" w:ascii="宋体" w:hAnsi="宋体" w:cs="宋体"/>
                <w:color w:val="auto"/>
                <w:kern w:val="0"/>
                <w:szCs w:val="21"/>
                <w:highlight w:val="none"/>
              </w:rPr>
              <w:t>）。</w:t>
            </w:r>
          </w:p>
          <w:p w14:paraId="44859004">
            <w:pPr>
              <w:snapToGrid w:val="0"/>
              <w:spacing w:line="400" w:lineRule="exact"/>
              <w:rPr>
                <w:rFonts w:ascii="宋体" w:hAnsi="宋体"/>
                <w:color w:val="auto"/>
                <w:szCs w:val="21"/>
                <w:highlight w:val="none"/>
              </w:rPr>
            </w:pPr>
            <w:r>
              <w:rPr>
                <w:rFonts w:hint="eastAsia" w:ascii="宋体" w:hAnsi="宋体"/>
                <w:color w:val="auto"/>
                <w:szCs w:val="21"/>
                <w:highlight w:val="none"/>
              </w:rPr>
              <w:t>相关要求：</w:t>
            </w:r>
          </w:p>
          <w:p w14:paraId="21CD4876">
            <w:pPr>
              <w:pStyle w:val="17"/>
              <w:spacing w:line="400" w:lineRule="exact"/>
              <w:rPr>
                <w:rFonts w:ascii="宋体" w:hAnsi="宋体"/>
                <w:color w:val="auto"/>
                <w:szCs w:val="21"/>
                <w:highlight w:val="none"/>
              </w:rPr>
            </w:pPr>
            <w:r>
              <w:rPr>
                <w:rFonts w:hint="eastAsia" w:ascii="宋体" w:hAnsi="宋体"/>
                <w:color w:val="auto"/>
                <w:szCs w:val="21"/>
                <w:highlight w:val="none"/>
              </w:rPr>
              <w:t>1、投标保证金采用银行转账交纳方式的，在投标截止时间前交至指定账户并且到账，投标人应将银行转账底单的复印件作为投标保证金提交凭证，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4B4618EE">
            <w:pPr>
              <w:snapToGrid w:val="0"/>
              <w:spacing w:line="400" w:lineRule="exact"/>
              <w:rPr>
                <w:rFonts w:ascii="宋体" w:hAnsi="宋体"/>
                <w:b/>
                <w:color w:val="auto"/>
                <w:szCs w:val="21"/>
                <w:highlight w:val="none"/>
              </w:rPr>
            </w:pPr>
            <w:r>
              <w:rPr>
                <w:rFonts w:hint="eastAsia" w:ascii="宋体" w:hAnsi="宋体"/>
                <w:color w:val="auto"/>
                <w:szCs w:val="21"/>
                <w:highlight w:val="none"/>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color w:val="auto"/>
                <w:szCs w:val="21"/>
                <w:highlight w:val="none"/>
              </w:rPr>
              <w:t>否则投标无效</w:t>
            </w:r>
            <w:r>
              <w:rPr>
                <w:rFonts w:hint="eastAsia" w:ascii="宋体" w:hAnsi="宋体"/>
                <w:color w:val="auto"/>
                <w:szCs w:val="21"/>
                <w:highlight w:val="none"/>
              </w:rPr>
              <w:t>。</w:t>
            </w:r>
          </w:p>
          <w:p w14:paraId="473E8BF8">
            <w:pPr>
              <w:snapToGrid w:val="0"/>
              <w:spacing w:line="400" w:lineRule="exact"/>
              <w:rPr>
                <w:rFonts w:ascii="宋体" w:hAnsi="宋体"/>
                <w:color w:val="auto"/>
                <w:szCs w:val="21"/>
                <w:highlight w:val="none"/>
              </w:rPr>
            </w:pPr>
            <w:r>
              <w:rPr>
                <w:rFonts w:hint="eastAsia" w:ascii="宋体" w:hAnsi="宋体" w:cs="宋体"/>
                <w:color w:val="auto"/>
                <w:szCs w:val="21"/>
                <w:highlight w:val="none"/>
              </w:rPr>
              <w:t>3、投标人为联合体的，可以由联合体中的一方或者多方共同交纳投标保证金，其交纳的保证金对联合体各方均具有约束力。</w:t>
            </w:r>
          </w:p>
          <w:p w14:paraId="641B1D7B">
            <w:pPr>
              <w:snapToGrid w:val="0"/>
              <w:spacing w:line="400" w:lineRule="exact"/>
              <w:rPr>
                <w:rFonts w:ascii="宋体" w:hAnsi="宋体"/>
                <w:b/>
                <w:color w:val="auto"/>
                <w:szCs w:val="21"/>
                <w:highlight w:val="none"/>
              </w:rPr>
            </w:pPr>
            <w:r>
              <w:rPr>
                <w:rFonts w:hint="eastAsia" w:ascii="宋体" w:hAnsi="宋体"/>
                <w:b/>
                <w:color w:val="auto"/>
                <w:szCs w:val="21"/>
                <w:highlight w:val="none"/>
              </w:rPr>
              <w:t xml:space="preserve">备注： </w:t>
            </w:r>
          </w:p>
          <w:p w14:paraId="5E1AF2B2">
            <w:pPr>
              <w:snapToGrid w:val="0"/>
              <w:spacing w:line="400" w:lineRule="exact"/>
              <w:rPr>
                <w:rFonts w:ascii="宋体" w:hAnsi="宋体"/>
                <w:b/>
                <w:color w:val="auto"/>
                <w:szCs w:val="21"/>
                <w:highlight w:val="none"/>
              </w:rPr>
            </w:pPr>
            <w:r>
              <w:rPr>
                <w:rFonts w:hint="eastAsia" w:ascii="宋体" w:hAnsi="宋体"/>
                <w:b/>
                <w:color w:val="auto"/>
                <w:szCs w:val="21"/>
                <w:highlight w:val="none"/>
              </w:rPr>
              <w:t>1、投标保证金在投标截止时间后提交的，或者不按规定交纳方式交纳的，或者未足额交纳的（包含保函额度不足的），视为无效投标保证金。</w:t>
            </w:r>
          </w:p>
          <w:p w14:paraId="4472ADF4">
            <w:pPr>
              <w:snapToGrid w:val="0"/>
              <w:spacing w:line="400" w:lineRule="exact"/>
              <w:rPr>
                <w:rFonts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240C53AE">
            <w:pPr>
              <w:snapToGrid w:val="0"/>
              <w:spacing w:line="400" w:lineRule="exact"/>
              <w:rPr>
                <w:rFonts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1A4F438E">
            <w:pPr>
              <w:snapToGrid w:val="0"/>
              <w:spacing w:line="400" w:lineRule="exact"/>
              <w:rPr>
                <w:rFonts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6FF71326">
            <w:pPr>
              <w:snapToGrid w:val="0"/>
              <w:spacing w:line="400" w:lineRule="exact"/>
              <w:rPr>
                <w:rFonts w:ascii="宋体" w:hAnsi="宋体"/>
                <w:b/>
                <w:color w:val="auto"/>
                <w:szCs w:val="21"/>
                <w:highlight w:val="none"/>
              </w:rPr>
            </w:pPr>
            <w:r>
              <w:rPr>
                <w:rFonts w:hint="eastAsia" w:ascii="宋体" w:hAnsi="宋体"/>
                <w:b/>
                <w:color w:val="auto"/>
                <w:szCs w:val="21"/>
                <w:highlight w:val="none"/>
              </w:rPr>
              <w:t>5、采用金融、担保机构出具保函的，必须为无条件保函，否则视为无效投标保证金。</w:t>
            </w:r>
          </w:p>
        </w:tc>
      </w:tr>
      <w:tr w14:paraId="1C50F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E275BC4">
            <w:pPr>
              <w:spacing w:line="400" w:lineRule="exact"/>
              <w:jc w:val="center"/>
              <w:rPr>
                <w:rFonts w:ascii="宋体" w:hAnsi="宋体"/>
                <w:color w:val="auto"/>
                <w:szCs w:val="21"/>
                <w:highlight w:val="none"/>
              </w:rPr>
            </w:pPr>
            <w:bookmarkStart w:id="65" w:name="_19.2"/>
            <w:bookmarkEnd w:id="65"/>
            <w:r>
              <w:rPr>
                <w:rFonts w:hint="eastAsia" w:ascii="宋体" w:hAnsi="宋体"/>
                <w:color w:val="auto"/>
                <w:szCs w:val="21"/>
                <w:highlight w:val="none"/>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245EDAED">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投标文件应按报价文件、资格证明文件、商务文件、技术文件分别编制，</w:t>
            </w:r>
            <w:r>
              <w:rPr>
                <w:rFonts w:hint="eastAsia" w:ascii="宋体" w:hAnsi="宋体" w:cs="宋体"/>
                <w:color w:val="auto"/>
                <w:szCs w:val="21"/>
                <w:highlight w:val="none"/>
              </w:rPr>
              <w:t>并按广西政府采购云平台的要求编制、加密、上传。</w:t>
            </w:r>
          </w:p>
        </w:tc>
      </w:tr>
      <w:tr w14:paraId="5459F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F7F0A94">
            <w:pPr>
              <w:spacing w:line="400" w:lineRule="exact"/>
              <w:jc w:val="center"/>
              <w:rPr>
                <w:rFonts w:ascii="宋体" w:hAnsi="宋体"/>
                <w:color w:val="auto"/>
                <w:szCs w:val="21"/>
                <w:highlight w:val="none"/>
              </w:rPr>
            </w:pPr>
            <w:r>
              <w:rPr>
                <w:rFonts w:hint="eastAsia" w:ascii="宋体" w:hAnsi="宋体"/>
                <w:color w:val="auto"/>
                <w:szCs w:val="21"/>
                <w:highlight w:val="none"/>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7A3A14AF">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电子投标文件应在制作完成后，投标人应按广西政府采购云平台的要求进行加密，并在规定时间内解密，否则，由此产生的后果由投标人自行负责。</w:t>
            </w:r>
          </w:p>
        </w:tc>
      </w:tr>
      <w:tr w14:paraId="1B811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FA7E492">
            <w:pPr>
              <w:spacing w:line="400" w:lineRule="exact"/>
              <w:jc w:val="center"/>
              <w:rPr>
                <w:rFonts w:ascii="宋体" w:hAnsi="宋体"/>
                <w:color w:val="auto"/>
                <w:szCs w:val="21"/>
                <w:highlight w:val="none"/>
              </w:rPr>
            </w:pPr>
            <w:bookmarkStart w:id="66" w:name="_21.1"/>
            <w:bookmarkEnd w:id="66"/>
            <w:r>
              <w:rPr>
                <w:rFonts w:hint="eastAsia" w:ascii="宋体" w:hAnsi="宋体"/>
                <w:color w:val="auto"/>
                <w:szCs w:val="21"/>
                <w:highlight w:val="none"/>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41C58BB6">
            <w:pPr>
              <w:snapToGrid w:val="0"/>
              <w:spacing w:line="400" w:lineRule="exact"/>
              <w:rPr>
                <w:rFonts w:ascii="宋体" w:hAnsi="宋体"/>
                <w:color w:val="auto"/>
                <w:szCs w:val="21"/>
                <w:highlight w:val="none"/>
                <w:u w:val="single"/>
              </w:rPr>
            </w:pPr>
            <w:r>
              <w:rPr>
                <w:rFonts w:hint="eastAsia" w:ascii="宋体" w:hAnsi="宋体"/>
                <w:color w:val="auto"/>
                <w:szCs w:val="21"/>
                <w:highlight w:val="none"/>
              </w:rPr>
              <w:t>1、投标截止时间：详见招标公告</w:t>
            </w:r>
          </w:p>
          <w:p w14:paraId="6FBCE2D2">
            <w:pPr>
              <w:snapToGrid w:val="0"/>
              <w:spacing w:line="400" w:lineRule="exact"/>
              <w:rPr>
                <w:rFonts w:ascii="宋体" w:hAnsi="宋体"/>
                <w:color w:val="auto"/>
                <w:szCs w:val="21"/>
                <w:highlight w:val="none"/>
              </w:rPr>
            </w:pPr>
            <w:r>
              <w:rPr>
                <w:rFonts w:hint="eastAsia" w:ascii="宋体" w:hAnsi="宋体"/>
                <w:color w:val="auto"/>
                <w:szCs w:val="21"/>
                <w:highlight w:val="none"/>
              </w:rPr>
              <w:t>2、投标地点：详见招标公告</w:t>
            </w:r>
          </w:p>
        </w:tc>
      </w:tr>
      <w:tr w14:paraId="592BF3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931DF9B">
            <w:pPr>
              <w:spacing w:line="400" w:lineRule="exact"/>
              <w:jc w:val="center"/>
              <w:rPr>
                <w:rFonts w:ascii="宋体" w:hAnsi="宋体"/>
                <w:color w:val="auto"/>
                <w:szCs w:val="21"/>
                <w:highlight w:val="none"/>
              </w:rPr>
            </w:pPr>
            <w:bookmarkStart w:id="67" w:name="_23"/>
            <w:bookmarkEnd w:id="67"/>
            <w:r>
              <w:rPr>
                <w:rFonts w:hint="eastAsia" w:ascii="宋体" w:hAnsi="宋体"/>
                <w:color w:val="auto"/>
                <w:szCs w:val="21"/>
                <w:highlight w:val="none"/>
              </w:rPr>
              <w:t>23</w:t>
            </w:r>
          </w:p>
        </w:tc>
        <w:tc>
          <w:tcPr>
            <w:tcW w:w="8708" w:type="dxa"/>
            <w:tcBorders>
              <w:top w:val="single" w:color="auto" w:sz="4" w:space="0"/>
              <w:left w:val="single" w:color="auto" w:sz="4" w:space="0"/>
              <w:bottom w:val="single" w:color="auto" w:sz="4" w:space="0"/>
              <w:right w:val="single" w:color="auto" w:sz="4" w:space="0"/>
            </w:tcBorders>
            <w:vAlign w:val="center"/>
          </w:tcPr>
          <w:p w14:paraId="7E8BE966">
            <w:pPr>
              <w:snapToGrid w:val="0"/>
              <w:spacing w:line="400" w:lineRule="exact"/>
              <w:rPr>
                <w:rFonts w:ascii="宋体" w:hAnsi="宋体"/>
                <w:color w:val="auto"/>
                <w:szCs w:val="21"/>
                <w:highlight w:val="none"/>
              </w:rPr>
            </w:pPr>
            <w:r>
              <w:rPr>
                <w:rFonts w:hint="eastAsia" w:ascii="宋体" w:hAnsi="宋体"/>
                <w:color w:val="auto"/>
                <w:szCs w:val="21"/>
                <w:highlight w:val="none"/>
              </w:rPr>
              <w:t>1、开标时间：详见招标公告</w:t>
            </w:r>
          </w:p>
          <w:p w14:paraId="32B013DE">
            <w:pPr>
              <w:snapToGrid w:val="0"/>
              <w:spacing w:line="400" w:lineRule="exact"/>
              <w:rPr>
                <w:rFonts w:ascii="宋体" w:hAnsi="宋体"/>
                <w:color w:val="auto"/>
                <w:szCs w:val="21"/>
                <w:highlight w:val="none"/>
              </w:rPr>
            </w:pPr>
            <w:r>
              <w:rPr>
                <w:rFonts w:hint="eastAsia" w:ascii="宋体" w:hAnsi="宋体"/>
                <w:color w:val="auto"/>
                <w:szCs w:val="21"/>
                <w:highlight w:val="none"/>
              </w:rPr>
              <w:t>2、开标地点：详见招标公告</w:t>
            </w:r>
          </w:p>
        </w:tc>
      </w:tr>
      <w:tr w14:paraId="3CD75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543540F">
            <w:pPr>
              <w:spacing w:line="400" w:lineRule="exact"/>
              <w:jc w:val="center"/>
              <w:rPr>
                <w:rFonts w:ascii="宋体" w:hAnsi="宋体"/>
                <w:color w:val="auto"/>
                <w:szCs w:val="21"/>
                <w:highlight w:val="none"/>
              </w:rPr>
            </w:pPr>
            <w:r>
              <w:rPr>
                <w:rFonts w:hint="eastAsia" w:ascii="宋体" w:hAnsi="宋体"/>
                <w:bCs/>
                <w:color w:val="auto"/>
                <w:szCs w:val="21"/>
                <w:highlight w:val="none"/>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6CC7B514">
            <w:pPr>
              <w:snapToGrid w:val="0"/>
              <w:spacing w:line="400" w:lineRule="exact"/>
              <w:rPr>
                <w:rFonts w:ascii="宋体" w:hAnsi="宋体"/>
                <w:color w:val="auto"/>
                <w:szCs w:val="21"/>
                <w:highlight w:val="none"/>
              </w:rPr>
            </w:pPr>
            <w:r>
              <w:rPr>
                <w:rFonts w:hint="eastAsia" w:ascii="宋体" w:hAnsi="宋体"/>
                <w:bCs/>
                <w:color w:val="auto"/>
                <w:szCs w:val="21"/>
                <w:highlight w:val="none"/>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p>
        </w:tc>
      </w:tr>
      <w:tr w14:paraId="075AD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A3DF7A4">
            <w:pPr>
              <w:spacing w:line="400" w:lineRule="exact"/>
              <w:jc w:val="center"/>
              <w:rPr>
                <w:rFonts w:ascii="宋体" w:hAnsi="宋体"/>
                <w:color w:val="auto"/>
                <w:szCs w:val="21"/>
                <w:highlight w:val="none"/>
              </w:rPr>
            </w:pPr>
            <w:bookmarkStart w:id="68" w:name="_25.3"/>
            <w:bookmarkEnd w:id="68"/>
            <w:r>
              <w:rPr>
                <w:rFonts w:hint="eastAsia" w:ascii="宋体" w:hAnsi="宋体"/>
                <w:color w:val="auto"/>
                <w:szCs w:val="21"/>
                <w:highlight w:val="none"/>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2B71BA51">
            <w:pPr>
              <w:snapToGrid w:val="0"/>
              <w:spacing w:line="400" w:lineRule="exact"/>
              <w:rPr>
                <w:rFonts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614AD9E1">
            <w:pPr>
              <w:snapToGrid w:val="0"/>
              <w:spacing w:line="400" w:lineRule="exact"/>
              <w:rPr>
                <w:rFonts w:ascii="宋体" w:hAnsi="宋体"/>
                <w:color w:val="auto"/>
                <w:szCs w:val="21"/>
                <w:highlight w:val="none"/>
              </w:rPr>
            </w:pPr>
            <w:r>
              <w:rPr>
                <w:rFonts w:hint="eastAsia" w:ascii="宋体" w:hAnsi="宋体"/>
                <w:color w:val="auto"/>
                <w:szCs w:val="21"/>
                <w:highlight w:val="none"/>
              </w:rPr>
              <w:t>查询渠道：</w:t>
            </w:r>
            <w:r>
              <w:rPr>
                <w:rFonts w:ascii="宋体" w:hAnsi="宋体"/>
                <w:color w:val="auto"/>
                <w:szCs w:val="21"/>
                <w:highlight w:val="none"/>
              </w:rPr>
              <w:t>“信用中国”网站（www.creditchina.gov.cn）、中国政府采购网（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55"/>
                <w:rFonts w:ascii="宋体" w:hAnsi="宋体"/>
                <w:color w:val="auto"/>
                <w:szCs w:val="21"/>
                <w:highlight w:val="none"/>
              </w:rPr>
              <w:t>www.ccgp.gov.cn</w:t>
            </w:r>
            <w:r>
              <w:rPr>
                <w:rStyle w:val="55"/>
                <w:rFonts w:ascii="宋体" w:hAnsi="宋体"/>
                <w:color w:val="auto"/>
                <w:szCs w:val="21"/>
                <w:highlight w:val="none"/>
              </w:rPr>
              <w:fldChar w:fldCharType="end"/>
            </w:r>
            <w:r>
              <w:rPr>
                <w:rFonts w:ascii="宋体" w:hAnsi="宋体"/>
                <w:color w:val="auto"/>
                <w:szCs w:val="21"/>
                <w:highlight w:val="none"/>
              </w:rPr>
              <w:t>）</w:t>
            </w:r>
            <w:r>
              <w:rPr>
                <w:rFonts w:hint="eastAsia" w:ascii="宋体" w:hAnsi="宋体"/>
                <w:color w:val="auto"/>
                <w:szCs w:val="21"/>
                <w:highlight w:val="none"/>
              </w:rPr>
              <w:t>。</w:t>
            </w:r>
          </w:p>
          <w:p w14:paraId="72E5192D">
            <w:pPr>
              <w:snapToGrid w:val="0"/>
              <w:spacing w:line="400" w:lineRule="exact"/>
              <w:rPr>
                <w:rFonts w:ascii="宋体" w:hAnsi="宋体"/>
                <w:color w:val="auto"/>
                <w:szCs w:val="21"/>
                <w:highlight w:val="none"/>
              </w:rPr>
            </w:pPr>
            <w:r>
              <w:rPr>
                <w:rFonts w:hint="eastAsia" w:ascii="宋体" w:hAnsi="宋体"/>
                <w:color w:val="auto"/>
                <w:szCs w:val="21"/>
                <w:highlight w:val="none"/>
              </w:rPr>
              <w:t>信用查询截止时点：</w:t>
            </w:r>
            <w:r>
              <w:rPr>
                <w:rFonts w:ascii="宋体" w:hAnsi="宋体" w:cs="宋体"/>
                <w:color w:val="auto"/>
                <w:szCs w:val="21"/>
                <w:highlight w:val="none"/>
              </w:rPr>
              <w:t>资格审查结束前</w:t>
            </w:r>
            <w:r>
              <w:rPr>
                <w:rFonts w:hint="eastAsia" w:ascii="宋体" w:hAnsi="宋体" w:cs="宋体"/>
                <w:color w:val="auto"/>
                <w:szCs w:val="21"/>
                <w:highlight w:val="none"/>
              </w:rPr>
              <w:t>。</w:t>
            </w:r>
          </w:p>
          <w:p w14:paraId="285BEE34">
            <w:pPr>
              <w:snapToGrid w:val="0"/>
              <w:spacing w:line="400" w:lineRule="exact"/>
              <w:rPr>
                <w:rFonts w:ascii="宋体" w:hAnsi="宋体"/>
                <w:color w:val="auto"/>
                <w:szCs w:val="21"/>
                <w:highlight w:val="none"/>
              </w:rPr>
            </w:pPr>
            <w:r>
              <w:rPr>
                <w:rFonts w:hint="eastAsia" w:ascii="宋体" w:hAnsi="宋体"/>
                <w:color w:val="auto"/>
                <w:szCs w:val="21"/>
                <w:highlight w:val="none"/>
              </w:rPr>
              <w:t>查询记录和证据留存方式：</w:t>
            </w:r>
            <w:r>
              <w:rPr>
                <w:rFonts w:hint="eastAsia" w:ascii="宋体" w:hAnsi="宋体" w:cs="宋体"/>
                <w:color w:val="auto"/>
                <w:szCs w:val="21"/>
                <w:highlight w:val="none"/>
              </w:rPr>
              <w:t>将查询网站中的查询记录截图并作为评审资料保存。</w:t>
            </w:r>
          </w:p>
          <w:p w14:paraId="72F2E086">
            <w:pPr>
              <w:snapToGrid w:val="0"/>
              <w:spacing w:line="400" w:lineRule="exact"/>
              <w:rPr>
                <w:rFonts w:ascii="宋体" w:hAnsi="宋体"/>
                <w:b/>
                <w:color w:val="auto"/>
                <w:szCs w:val="21"/>
                <w:highlight w:val="none"/>
              </w:rPr>
            </w:pPr>
            <w:r>
              <w:rPr>
                <w:rFonts w:hint="eastAsia" w:ascii="宋体" w:hAnsi="宋体"/>
                <w:color w:val="auto"/>
                <w:szCs w:val="21"/>
                <w:highlight w:val="none"/>
              </w:rPr>
              <w:t>信用信息使用规则：根据财政部《关于在政府采购活动中查询及使用信用记录有关问题的通知》（财库〔2016〕125号）的规定，</w:t>
            </w:r>
            <w:r>
              <w:rPr>
                <w:rFonts w:hint="eastAsia" w:ascii="宋体" w:hAnsi="宋体" w:cs="宋体"/>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2CEF1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F18B504">
            <w:pPr>
              <w:spacing w:line="400" w:lineRule="exact"/>
              <w:jc w:val="center"/>
              <w:rPr>
                <w:rFonts w:ascii="宋体" w:hAnsi="宋体"/>
                <w:color w:val="auto"/>
                <w:szCs w:val="21"/>
                <w:highlight w:val="none"/>
              </w:rPr>
            </w:pPr>
            <w:bookmarkStart w:id="69" w:name="_26"/>
            <w:bookmarkEnd w:id="69"/>
            <w:r>
              <w:rPr>
                <w:rFonts w:hint="eastAsia" w:ascii="宋体" w:hAnsi="宋体"/>
                <w:color w:val="auto"/>
                <w:szCs w:val="21"/>
                <w:highlight w:val="none"/>
              </w:rPr>
              <w:t>26</w:t>
            </w:r>
          </w:p>
        </w:tc>
        <w:tc>
          <w:tcPr>
            <w:tcW w:w="8708" w:type="dxa"/>
            <w:tcBorders>
              <w:top w:val="single" w:color="auto" w:sz="4" w:space="0"/>
              <w:left w:val="single" w:color="auto" w:sz="4" w:space="0"/>
              <w:bottom w:val="single" w:color="auto" w:sz="4" w:space="0"/>
              <w:right w:val="single" w:color="auto" w:sz="4" w:space="0"/>
            </w:tcBorders>
            <w:vAlign w:val="center"/>
          </w:tcPr>
          <w:p w14:paraId="3065EC73">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评标委员会的人数：5人或5人以上单数</w:t>
            </w:r>
            <w:r>
              <w:rPr>
                <w:rFonts w:hint="eastAsia" w:ascii="宋体" w:hAnsi="宋体"/>
                <w:color w:val="auto"/>
                <w:highlight w:val="none"/>
              </w:rPr>
              <w:t>。</w:t>
            </w:r>
          </w:p>
        </w:tc>
      </w:tr>
      <w:tr w14:paraId="49B9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15E075D">
            <w:pPr>
              <w:spacing w:line="400" w:lineRule="exact"/>
              <w:jc w:val="center"/>
              <w:rPr>
                <w:rFonts w:ascii="宋体" w:hAnsi="宋体"/>
                <w:color w:val="auto"/>
                <w:szCs w:val="21"/>
                <w:highlight w:val="none"/>
              </w:rPr>
            </w:pPr>
            <w:bookmarkStart w:id="70" w:name="_28.3"/>
            <w:bookmarkEnd w:id="70"/>
            <w:r>
              <w:rPr>
                <w:rFonts w:ascii="宋体" w:hAnsi="宋体"/>
                <w:color w:val="auto"/>
                <w:szCs w:val="21"/>
                <w:highlight w:val="none"/>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21948174">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评标方法：综合评分法</w:t>
            </w:r>
          </w:p>
        </w:tc>
      </w:tr>
      <w:tr w14:paraId="7DDEB9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54E91D55">
            <w:pPr>
              <w:spacing w:line="400" w:lineRule="exact"/>
              <w:jc w:val="center"/>
              <w:rPr>
                <w:rFonts w:ascii="宋体" w:hAnsi="宋体"/>
                <w:color w:val="auto"/>
                <w:szCs w:val="21"/>
                <w:highlight w:val="none"/>
              </w:rPr>
            </w:pPr>
            <w:bookmarkStart w:id="71" w:name="_29.2.2（2）"/>
            <w:bookmarkEnd w:id="71"/>
            <w:r>
              <w:rPr>
                <w:rFonts w:hint="eastAsia" w:ascii="宋体" w:hAnsi="宋体"/>
                <w:color w:val="auto"/>
                <w:szCs w:val="21"/>
                <w:highlight w:val="none"/>
              </w:rPr>
              <w:t>29</w:t>
            </w:r>
            <w:r>
              <w:rPr>
                <w:rFonts w:ascii="宋体" w:hAnsi="宋体"/>
                <w:color w:val="auto"/>
                <w:szCs w:val="21"/>
                <w:highlight w:val="none"/>
              </w:rPr>
              <w:t>.2</w:t>
            </w:r>
          </w:p>
        </w:tc>
        <w:tc>
          <w:tcPr>
            <w:tcW w:w="8708" w:type="dxa"/>
            <w:tcBorders>
              <w:top w:val="single" w:color="auto" w:sz="4" w:space="0"/>
              <w:left w:val="single" w:color="auto" w:sz="4" w:space="0"/>
              <w:right w:val="single" w:color="auto" w:sz="4" w:space="0"/>
            </w:tcBorders>
            <w:vAlign w:val="center"/>
          </w:tcPr>
          <w:p w14:paraId="4FE2782F">
            <w:pPr>
              <w:snapToGrid w:val="0"/>
              <w:spacing w:line="400" w:lineRule="exact"/>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p w14:paraId="6EF95584">
            <w:pPr>
              <w:snapToGrid w:val="0"/>
              <w:spacing w:line="400" w:lineRule="exact"/>
              <w:rPr>
                <w:rFonts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tc>
      </w:tr>
      <w:tr w14:paraId="0BA1F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3C8B2A9E">
            <w:pPr>
              <w:spacing w:line="400" w:lineRule="exact"/>
              <w:jc w:val="center"/>
              <w:rPr>
                <w:rFonts w:ascii="宋体" w:hAnsi="宋体"/>
                <w:color w:val="auto"/>
                <w:szCs w:val="21"/>
                <w:highlight w:val="none"/>
              </w:rPr>
            </w:pPr>
          </w:p>
        </w:tc>
        <w:tc>
          <w:tcPr>
            <w:tcW w:w="8708" w:type="dxa"/>
            <w:tcBorders>
              <w:top w:val="single" w:color="auto" w:sz="4" w:space="0"/>
              <w:left w:val="single" w:color="auto" w:sz="4" w:space="0"/>
              <w:right w:val="single" w:color="auto" w:sz="4" w:space="0"/>
            </w:tcBorders>
            <w:vAlign w:val="center"/>
          </w:tcPr>
          <w:p w14:paraId="0C0AB6F4">
            <w:pPr>
              <w:snapToGrid w:val="0"/>
              <w:spacing w:line="400" w:lineRule="exact"/>
              <w:rPr>
                <w:rFonts w:ascii="宋体" w:hAnsi="宋体" w:cs="宋体"/>
                <w:color w:val="auto"/>
                <w:szCs w:val="21"/>
                <w:highlight w:val="none"/>
                <w:u w:val="single"/>
              </w:rPr>
            </w:pPr>
            <w:r>
              <w:rPr>
                <w:rFonts w:ascii="宋体" w:hAnsi="宋体"/>
                <w:color w:val="auto"/>
                <w:highlight w:val="none"/>
              </w:rPr>
              <w:t>中标候选人推荐数量</w:t>
            </w:r>
            <w:r>
              <w:rPr>
                <w:rFonts w:hint="eastAsia" w:ascii="宋体" w:hAnsi="宋体"/>
                <w:color w:val="auto"/>
                <w:highlight w:val="none"/>
              </w:rPr>
              <w:t>：3家</w:t>
            </w:r>
          </w:p>
        </w:tc>
      </w:tr>
      <w:tr w14:paraId="20134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9A03F93">
            <w:pPr>
              <w:spacing w:line="400" w:lineRule="exact"/>
              <w:jc w:val="center"/>
              <w:rPr>
                <w:rFonts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1EB2A157">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采用综合评分法的采购项目，采购人确定中标人时，出现中标候选人并列的情形，采购人按以下的方式确定中标人：按综合评分中价格分、技术分、商务分得分高低依次确定。</w:t>
            </w:r>
          </w:p>
        </w:tc>
      </w:tr>
      <w:tr w14:paraId="147FF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ACCF2F0">
            <w:pPr>
              <w:spacing w:line="400" w:lineRule="exact"/>
              <w:jc w:val="center"/>
              <w:rPr>
                <w:rFonts w:ascii="宋体" w:hAnsi="宋体"/>
                <w:color w:val="auto"/>
                <w:szCs w:val="21"/>
                <w:highlight w:val="none"/>
              </w:rPr>
            </w:pPr>
            <w:bookmarkStart w:id="72" w:name="_39.1"/>
            <w:bookmarkEnd w:id="72"/>
            <w:r>
              <w:rPr>
                <w:rFonts w:hint="eastAsia" w:ascii="宋体" w:hAnsi="宋体"/>
                <w:color w:val="auto"/>
                <w:szCs w:val="21"/>
                <w:highlight w:val="none"/>
              </w:rPr>
              <w:t>35</w:t>
            </w:r>
            <w:r>
              <w:rPr>
                <w:rFonts w:ascii="宋体" w:hAnsi="宋体"/>
                <w:color w:val="auto"/>
                <w:szCs w:val="21"/>
                <w:highlight w:val="none"/>
              </w:rPr>
              <w:t>.1</w:t>
            </w:r>
          </w:p>
        </w:tc>
        <w:tc>
          <w:tcPr>
            <w:tcW w:w="8708" w:type="dxa"/>
            <w:tcBorders>
              <w:top w:val="single" w:color="auto" w:sz="4" w:space="0"/>
              <w:left w:val="single" w:color="auto" w:sz="4" w:space="0"/>
              <w:bottom w:val="single" w:color="auto" w:sz="4" w:space="0"/>
              <w:right w:val="single" w:color="auto" w:sz="4" w:space="0"/>
            </w:tcBorders>
            <w:vAlign w:val="center"/>
          </w:tcPr>
          <w:p w14:paraId="3F7040B4">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047543E2">
            <w:pPr>
              <w:autoSpaceDE w:val="0"/>
              <w:autoSpaceDN w:val="0"/>
              <w:snapToGrid w:val="0"/>
              <w:spacing w:line="400" w:lineRule="exact"/>
              <w:textAlignment w:val="bottom"/>
              <w:rPr>
                <w:rFonts w:ascii="宋体" w:hAnsi="宋体"/>
                <w:color w:val="auto"/>
                <w:szCs w:val="21"/>
                <w:highlight w:val="none"/>
              </w:rPr>
            </w:pPr>
            <w:r>
              <w:rPr>
                <w:rFonts w:hint="eastAsia" w:ascii="宋体" w:hAnsi="宋体" w:eastAsia="MS Mincho" w:cs="MS Mincho"/>
                <w:color w:val="auto"/>
                <w:szCs w:val="21"/>
                <w:highlight w:val="none"/>
              </w:rPr>
              <w:t>☑</w:t>
            </w:r>
            <w:r>
              <w:rPr>
                <w:rFonts w:hint="eastAsia" w:ascii="宋体" w:hAnsi="宋体" w:cs="宋体"/>
                <w:color w:val="auto"/>
                <w:szCs w:val="21"/>
                <w:highlight w:val="none"/>
              </w:rPr>
              <w:t>本项目收取履约保证金，具体规定如下：</w:t>
            </w:r>
          </w:p>
          <w:p w14:paraId="1FA28975">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履约保证金金额：按合同金额的5%（小微企业按合同金额的2%）</w:t>
            </w:r>
          </w:p>
          <w:p w14:paraId="0C8ECC9B">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履约保证金递交方式：银行转账、支票、汇票、本票或者金融、担保机构出具的保函等非现金方式</w:t>
            </w:r>
          </w:p>
          <w:p w14:paraId="035A9A16">
            <w:pPr>
              <w:autoSpaceDE w:val="0"/>
              <w:autoSpaceDN w:val="0"/>
              <w:snapToGrid w:val="0"/>
              <w:spacing w:line="400" w:lineRule="exact"/>
              <w:textAlignment w:val="bottom"/>
              <w:rPr>
                <w:rFonts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u w:val="single"/>
              </w:rPr>
              <w:t>项目验收合格后自动转换成质保金，服务期内项目若无质量问题，服务期结束后无息返还。</w:t>
            </w:r>
          </w:p>
          <w:p w14:paraId="7E3BECFB">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履约保证金指定账户：</w:t>
            </w:r>
          </w:p>
          <w:p w14:paraId="0747434B">
            <w:pPr>
              <w:spacing w:line="400" w:lineRule="exact"/>
              <w:jc w:val="left"/>
              <w:rPr>
                <w:rFonts w:ascii="宋体" w:hAnsi="宋体"/>
                <w:color w:val="auto"/>
                <w:szCs w:val="21"/>
                <w:highlight w:val="none"/>
              </w:rPr>
            </w:pPr>
            <w:r>
              <w:rPr>
                <w:rFonts w:hint="eastAsia" w:ascii="宋体" w:hAnsi="宋体"/>
                <w:color w:val="auto"/>
                <w:szCs w:val="21"/>
                <w:highlight w:val="none"/>
              </w:rPr>
              <w:t>开户名称：广西壮族自治区收费公路联网收费清分结算中心</w:t>
            </w:r>
          </w:p>
          <w:p w14:paraId="5E42F94B">
            <w:pPr>
              <w:spacing w:line="400" w:lineRule="exact"/>
              <w:jc w:val="left"/>
              <w:rPr>
                <w:rFonts w:ascii="宋体" w:hAnsi="宋体"/>
                <w:color w:val="auto"/>
                <w:szCs w:val="21"/>
                <w:highlight w:val="none"/>
              </w:rPr>
            </w:pPr>
            <w:r>
              <w:rPr>
                <w:rFonts w:hint="eastAsia" w:ascii="宋体" w:hAnsi="宋体"/>
                <w:color w:val="auto"/>
                <w:szCs w:val="21"/>
                <w:highlight w:val="none"/>
              </w:rPr>
              <w:t>开户银行：交通银行股份有限公司南宁金源支行</w:t>
            </w:r>
          </w:p>
          <w:p w14:paraId="44EF11D7">
            <w:pPr>
              <w:spacing w:line="400" w:lineRule="exact"/>
              <w:jc w:val="left"/>
              <w:rPr>
                <w:rFonts w:ascii="宋体" w:hAnsi="宋体"/>
                <w:color w:val="auto"/>
                <w:szCs w:val="21"/>
                <w:highlight w:val="none"/>
              </w:rPr>
            </w:pPr>
            <w:r>
              <w:rPr>
                <w:rFonts w:hint="eastAsia" w:ascii="宋体" w:hAnsi="宋体"/>
                <w:color w:val="auto"/>
                <w:szCs w:val="21"/>
                <w:highlight w:val="none"/>
              </w:rPr>
              <w:t>银行账号：4510 6030 9018 0101 03458</w:t>
            </w:r>
          </w:p>
          <w:p w14:paraId="098BB2E8">
            <w:pPr>
              <w:spacing w:line="400" w:lineRule="exact"/>
              <w:jc w:val="left"/>
              <w:rPr>
                <w:rFonts w:ascii="宋体" w:hAnsi="宋体" w:cs="Courier New"/>
                <w:color w:val="auto"/>
                <w:szCs w:val="21"/>
                <w:highlight w:val="none"/>
              </w:rPr>
            </w:pPr>
            <w:r>
              <w:rPr>
                <w:rFonts w:ascii="宋体" w:hAnsi="宋体" w:cs="Courier New"/>
                <w:color w:val="auto"/>
                <w:szCs w:val="21"/>
                <w:highlight w:val="none"/>
              </w:rPr>
              <w:t>备注：</w:t>
            </w:r>
          </w:p>
          <w:p w14:paraId="65150E14">
            <w:pPr>
              <w:spacing w:line="400" w:lineRule="exact"/>
              <w:jc w:val="left"/>
              <w:rPr>
                <w:rFonts w:ascii="宋体" w:hAnsi="宋体" w:cs="Courier New"/>
                <w:color w:val="auto"/>
                <w:szCs w:val="21"/>
                <w:highlight w:val="none"/>
              </w:rPr>
            </w:pPr>
            <w:r>
              <w:rPr>
                <w:rFonts w:ascii="宋体" w:hAnsi="宋体"/>
                <w:b/>
                <w:color w:val="auto"/>
                <w:szCs w:val="21"/>
                <w:highlight w:val="none"/>
              </w:rPr>
              <w:t>1</w:t>
            </w:r>
            <w:bookmarkStart w:id="73" w:name="_Hlk54170335"/>
            <w:r>
              <w:rPr>
                <w:rFonts w:hint="eastAsia" w:ascii="宋体" w:hAnsi="宋体"/>
                <w:b/>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2%。</w:t>
            </w:r>
            <w:bookmarkEnd w:id="73"/>
          </w:p>
          <w:p w14:paraId="263E7C25">
            <w:pPr>
              <w:spacing w:line="400" w:lineRule="exact"/>
              <w:jc w:val="left"/>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8298AD2">
            <w:pPr>
              <w:spacing w:line="400" w:lineRule="exact"/>
              <w:jc w:val="left"/>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w:t>
            </w:r>
            <w:r>
              <w:rPr>
                <w:rFonts w:ascii="宋体" w:hAnsi="宋体"/>
                <w:b/>
                <w:color w:val="auto"/>
                <w:szCs w:val="21"/>
                <w:highlight w:val="none"/>
              </w:rPr>
              <w:t>采用金融、担保机构出具的保函的，必须为无条件保函，否则不予签订合同。</w:t>
            </w:r>
          </w:p>
          <w:p w14:paraId="4D71BC59">
            <w:pPr>
              <w:spacing w:line="400" w:lineRule="exact"/>
              <w:jc w:val="left"/>
              <w:rPr>
                <w:rFonts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61D3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0BFBE81">
            <w:pPr>
              <w:spacing w:line="400" w:lineRule="exact"/>
              <w:jc w:val="center"/>
              <w:rPr>
                <w:rFonts w:ascii="宋体" w:hAnsi="宋体"/>
                <w:color w:val="auto"/>
                <w:szCs w:val="21"/>
                <w:highlight w:val="none"/>
              </w:rPr>
            </w:pPr>
            <w:bookmarkStart w:id="74" w:name="_40.1"/>
            <w:bookmarkEnd w:id="74"/>
            <w:r>
              <w:rPr>
                <w:rFonts w:hint="eastAsia" w:ascii="宋体" w:hAnsi="宋体"/>
                <w:color w:val="auto"/>
                <w:szCs w:val="21"/>
                <w:highlight w:val="none"/>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2E7704DD">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1CA528B2">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1、委托代理人负责签订合同的，须携带授权委托书及委托代理人身份证原件等其他资格证件。</w:t>
            </w:r>
          </w:p>
          <w:p w14:paraId="79FC5598">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2、法定代表人负责签订合同的，须携带法定代表人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D218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879D11B">
            <w:pPr>
              <w:spacing w:line="400" w:lineRule="exact"/>
              <w:jc w:val="center"/>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708" w:type="dxa"/>
            <w:tcBorders>
              <w:top w:val="single" w:color="auto" w:sz="4" w:space="0"/>
              <w:left w:val="single" w:color="auto" w:sz="4" w:space="0"/>
              <w:bottom w:val="single" w:color="auto" w:sz="4" w:space="0"/>
              <w:right w:val="single" w:color="auto" w:sz="4" w:space="0"/>
            </w:tcBorders>
            <w:vAlign w:val="center"/>
          </w:tcPr>
          <w:p w14:paraId="0D48577A">
            <w:pPr>
              <w:snapToGrid w:val="0"/>
              <w:spacing w:line="400" w:lineRule="exact"/>
              <w:rPr>
                <w:rFonts w:ascii="宋体" w:hAnsi="宋体"/>
                <w:color w:val="auto"/>
                <w:szCs w:val="21"/>
                <w:highlight w:val="none"/>
              </w:rPr>
            </w:pPr>
            <w:r>
              <w:rPr>
                <w:rFonts w:hint="eastAsia" w:ascii="宋体" w:hAnsi="宋体"/>
                <w:color w:val="auto"/>
                <w:szCs w:val="21"/>
                <w:highlight w:val="none"/>
              </w:rPr>
              <w:t>接收质疑函方式：以纸质书面形式</w:t>
            </w:r>
          </w:p>
          <w:p w14:paraId="025441B1">
            <w:pPr>
              <w:snapToGrid w:val="0"/>
              <w:spacing w:line="400" w:lineRule="exact"/>
              <w:rPr>
                <w:rFonts w:ascii="宋体" w:hAnsi="宋体"/>
                <w:color w:val="auto"/>
                <w:szCs w:val="21"/>
                <w:highlight w:val="none"/>
              </w:rPr>
            </w:pPr>
            <w:r>
              <w:rPr>
                <w:rFonts w:hint="eastAsia" w:ascii="宋体" w:hAnsi="宋体"/>
                <w:color w:val="auto"/>
                <w:szCs w:val="21"/>
                <w:highlight w:val="none"/>
              </w:rPr>
              <w:t>质疑联系部门及联系方式：广西科文招标有限公司，质疑联系人：</w:t>
            </w:r>
            <w:r>
              <w:rPr>
                <w:rFonts w:hint="eastAsia" w:ascii="宋体" w:hAnsi="宋体"/>
                <w:color w:val="auto"/>
                <w:szCs w:val="21"/>
                <w:highlight w:val="none"/>
                <w:lang w:val="en-US" w:eastAsia="zh-CN"/>
              </w:rPr>
              <w:t>雷栋、</w:t>
            </w:r>
            <w:r>
              <w:rPr>
                <w:rFonts w:hint="eastAsia" w:ascii="宋体" w:hAnsi="宋体"/>
                <w:color w:val="auto"/>
                <w:szCs w:val="21"/>
                <w:highlight w:val="none"/>
              </w:rPr>
              <w:t>胡安娜，联系电话：0771-2023805</w:t>
            </w:r>
            <w:r>
              <w:rPr>
                <w:rFonts w:hint="eastAsia" w:ascii="宋体" w:hAnsi="宋体"/>
                <w:color w:val="auto"/>
                <w:szCs w:val="21"/>
                <w:highlight w:val="none"/>
                <w:lang w:val="en-US" w:eastAsia="zh-CN"/>
              </w:rPr>
              <w:t>、2023511</w:t>
            </w:r>
            <w:r>
              <w:rPr>
                <w:rFonts w:hint="eastAsia" w:ascii="宋体" w:hAnsi="宋体"/>
                <w:color w:val="auto"/>
                <w:szCs w:val="21"/>
                <w:highlight w:val="none"/>
              </w:rPr>
              <w:t>，</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广西南宁市民族大道141号中鼎万象东方D区五层</w:t>
            </w:r>
          </w:p>
          <w:p w14:paraId="679386C4">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highlight w:val="none"/>
              </w:rPr>
              <w:t>现场提交质疑办理业务时间：工作日，</w:t>
            </w:r>
            <w:r>
              <w:rPr>
                <w:rFonts w:hint="eastAsia" w:ascii="宋体" w:hAnsi="宋体" w:cs="Arial"/>
                <w:color w:val="auto"/>
                <w:szCs w:val="21"/>
                <w:highlight w:val="none"/>
              </w:rPr>
              <w:t>上午8:00-12:00；下午1</w:t>
            </w:r>
            <w:r>
              <w:rPr>
                <w:rFonts w:hint="eastAsia" w:ascii="宋体" w:hAnsi="宋体" w:cs="Arial"/>
                <w:color w:val="auto"/>
                <w:highlight w:val="none"/>
              </w:rPr>
              <w:t>5</w:t>
            </w:r>
            <w:r>
              <w:rPr>
                <w:rFonts w:hint="eastAsia" w:ascii="宋体" w:hAnsi="宋体" w:cs="Arial"/>
                <w:color w:val="auto"/>
                <w:szCs w:val="21"/>
                <w:highlight w:val="none"/>
              </w:rPr>
              <w:t>:</w:t>
            </w:r>
            <w:r>
              <w:rPr>
                <w:rFonts w:hint="eastAsia" w:ascii="宋体" w:hAnsi="宋体" w:cs="Arial"/>
                <w:color w:val="auto"/>
                <w:highlight w:val="none"/>
              </w:rPr>
              <w:t>00</w:t>
            </w:r>
            <w:r>
              <w:rPr>
                <w:rFonts w:hint="eastAsia" w:ascii="宋体" w:hAnsi="宋体" w:cs="Arial"/>
                <w:color w:val="auto"/>
                <w:szCs w:val="21"/>
                <w:highlight w:val="none"/>
              </w:rPr>
              <w:t>-1</w:t>
            </w:r>
            <w:r>
              <w:rPr>
                <w:rFonts w:hint="eastAsia" w:ascii="宋体" w:hAnsi="宋体" w:cs="Arial"/>
                <w:color w:val="auto"/>
                <w:highlight w:val="none"/>
              </w:rPr>
              <w:t>8</w:t>
            </w:r>
            <w:r>
              <w:rPr>
                <w:rFonts w:hint="eastAsia" w:ascii="宋体" w:hAnsi="宋体" w:cs="Arial"/>
                <w:color w:val="auto"/>
                <w:szCs w:val="21"/>
                <w:highlight w:val="none"/>
              </w:rPr>
              <w:t>:</w:t>
            </w:r>
            <w:r>
              <w:rPr>
                <w:rFonts w:hint="eastAsia" w:ascii="宋体" w:hAnsi="宋体" w:cs="Arial"/>
                <w:color w:val="auto"/>
                <w:highlight w:val="none"/>
              </w:rPr>
              <w:t>0</w:t>
            </w:r>
            <w:r>
              <w:rPr>
                <w:rFonts w:hint="eastAsia" w:ascii="宋体" w:hAnsi="宋体" w:cs="Arial"/>
                <w:color w:val="auto"/>
                <w:szCs w:val="21"/>
                <w:highlight w:val="none"/>
              </w:rPr>
              <w:t>0（北京时间）</w:t>
            </w:r>
          </w:p>
        </w:tc>
      </w:tr>
      <w:tr w14:paraId="5B2B7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AD379D7">
            <w:pPr>
              <w:spacing w:line="400" w:lineRule="exact"/>
              <w:jc w:val="center"/>
              <w:rPr>
                <w:rFonts w:ascii="宋体" w:hAnsi="宋体"/>
                <w:color w:val="auto"/>
                <w:szCs w:val="21"/>
                <w:highlight w:val="none"/>
              </w:rPr>
            </w:pPr>
            <w:bookmarkStart w:id="75" w:name="_41"/>
            <w:bookmarkEnd w:id="75"/>
            <w:bookmarkStart w:id="76" w:name="_42"/>
            <w:bookmarkEnd w:id="76"/>
            <w:bookmarkStart w:id="77" w:name="_Hlt17709148"/>
            <w:r>
              <w:rPr>
                <w:rFonts w:hint="eastAsia" w:ascii="宋体" w:hAnsi="宋体"/>
                <w:color w:val="auto"/>
                <w:szCs w:val="21"/>
                <w:highlight w:val="none"/>
              </w:rPr>
              <w:t>3</w:t>
            </w:r>
            <w:bookmarkEnd w:id="77"/>
            <w:r>
              <w:rPr>
                <w:rFonts w:ascii="宋体" w:hAnsi="宋体"/>
                <w:color w:val="auto"/>
                <w:szCs w:val="21"/>
                <w:highlight w:val="none"/>
              </w:rPr>
              <w:t>9.1</w:t>
            </w:r>
          </w:p>
        </w:tc>
        <w:tc>
          <w:tcPr>
            <w:tcW w:w="8708" w:type="dxa"/>
            <w:tcBorders>
              <w:top w:val="single" w:color="auto" w:sz="4" w:space="0"/>
              <w:left w:val="single" w:color="auto" w:sz="4" w:space="0"/>
              <w:bottom w:val="single" w:color="auto" w:sz="4" w:space="0"/>
              <w:right w:val="single" w:color="auto" w:sz="4" w:space="0"/>
            </w:tcBorders>
            <w:vAlign w:val="center"/>
          </w:tcPr>
          <w:p w14:paraId="7F03AFD7">
            <w:pPr>
              <w:pStyle w:val="25"/>
              <w:snapToGrid w:val="0"/>
              <w:spacing w:line="400" w:lineRule="exact"/>
              <w:rPr>
                <w:rFonts w:hAnsi="宋体"/>
                <w:color w:val="auto"/>
                <w:kern w:val="2"/>
                <w:sz w:val="21"/>
                <w:highlight w:val="none"/>
              </w:rPr>
            </w:pPr>
            <w:r>
              <w:rPr>
                <w:rFonts w:hAnsi="宋体"/>
                <w:color w:val="auto"/>
                <w:kern w:val="2"/>
                <w:sz w:val="21"/>
                <w:highlight w:val="none"/>
              </w:rPr>
              <w:t>1、采购代理服务费支付方式：本项目的招标代理服务费按以下收费标准向中标人收取，领取中标通知书前，中标人应向采购代理机构一次付清招标代理服务费，否则采购代理机构有权不予以办理。</w:t>
            </w:r>
          </w:p>
          <w:p w14:paraId="4FE646C9">
            <w:pPr>
              <w:pStyle w:val="25"/>
              <w:snapToGrid w:val="0"/>
              <w:spacing w:line="400" w:lineRule="exact"/>
              <w:rPr>
                <w:rFonts w:hAnsi="宋体"/>
                <w:color w:val="auto"/>
                <w:kern w:val="2"/>
                <w:sz w:val="21"/>
                <w:highlight w:val="none"/>
              </w:rPr>
            </w:pPr>
            <w:r>
              <w:rPr>
                <w:rFonts w:hAnsi="宋体"/>
                <w:color w:val="auto"/>
                <w:kern w:val="2"/>
                <w:sz w:val="21"/>
                <w:highlight w:val="none"/>
              </w:rPr>
              <w:t>2、采购代理服务费收取标准：</w:t>
            </w:r>
          </w:p>
          <w:p w14:paraId="1C3487A9">
            <w:pPr>
              <w:pStyle w:val="25"/>
              <w:snapToGrid w:val="0"/>
              <w:spacing w:line="400" w:lineRule="exact"/>
              <w:rPr>
                <w:rFonts w:hAnsi="宋体"/>
                <w:color w:val="auto"/>
                <w:kern w:val="2"/>
                <w:sz w:val="21"/>
                <w:highlight w:val="none"/>
              </w:rPr>
            </w:pPr>
            <w:r>
              <w:rPr>
                <w:rFonts w:hAnsi="宋体"/>
                <w:color w:val="auto"/>
                <w:kern w:val="2"/>
                <w:sz w:val="21"/>
                <w:highlight w:val="none"/>
              </w:rPr>
              <w:t>按本须知正文第39.2条规定的收费计算标准采用差额定率累进法计算出收费基准价格，采购代理服务费收费以收费基准价格收取。</w:t>
            </w:r>
          </w:p>
          <w:p w14:paraId="0F301C74">
            <w:pPr>
              <w:pStyle w:val="25"/>
              <w:snapToGrid w:val="0"/>
              <w:spacing w:line="400" w:lineRule="exact"/>
              <w:rPr>
                <w:rFonts w:hAnsi="宋体"/>
                <w:color w:val="auto"/>
                <w:kern w:val="2"/>
                <w:sz w:val="21"/>
                <w:highlight w:val="none"/>
              </w:rPr>
            </w:pPr>
            <w:r>
              <w:rPr>
                <w:rFonts w:hAnsi="宋体"/>
                <w:color w:val="auto"/>
                <w:kern w:val="2"/>
                <w:sz w:val="21"/>
                <w:highlight w:val="none"/>
              </w:rPr>
              <w:t>3、账户名称：广西科文招标有限公司南宁八分公司</w:t>
            </w:r>
          </w:p>
          <w:p w14:paraId="5B80A6AC">
            <w:pPr>
              <w:pStyle w:val="25"/>
              <w:snapToGrid w:val="0"/>
              <w:spacing w:line="400" w:lineRule="exact"/>
              <w:rPr>
                <w:rFonts w:hAnsi="宋体"/>
                <w:color w:val="auto"/>
                <w:kern w:val="2"/>
                <w:sz w:val="21"/>
                <w:highlight w:val="none"/>
              </w:rPr>
            </w:pPr>
            <w:r>
              <w:rPr>
                <w:rFonts w:hAnsi="宋体"/>
                <w:color w:val="auto"/>
                <w:kern w:val="2"/>
                <w:sz w:val="21"/>
                <w:highlight w:val="none"/>
              </w:rPr>
              <w:t>开户银行：广西北部湾银行股份有限公司南宁市云景支行</w:t>
            </w:r>
          </w:p>
          <w:p w14:paraId="2E76FF03">
            <w:pPr>
              <w:pStyle w:val="25"/>
              <w:snapToGrid w:val="0"/>
              <w:spacing w:line="400" w:lineRule="exact"/>
              <w:rPr>
                <w:rFonts w:hAnsi="宋体"/>
                <w:color w:val="auto"/>
                <w:kern w:val="2"/>
                <w:sz w:val="21"/>
                <w:highlight w:val="none"/>
              </w:rPr>
            </w:pPr>
            <w:r>
              <w:rPr>
                <w:rFonts w:hAnsi="宋体"/>
                <w:color w:val="auto"/>
                <w:kern w:val="2"/>
                <w:sz w:val="21"/>
                <w:highlight w:val="none"/>
              </w:rPr>
              <w:t>银行账号：8050 2996 77 00001</w:t>
            </w:r>
          </w:p>
        </w:tc>
      </w:tr>
      <w:tr w14:paraId="7DCEBE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BDF32A9">
            <w:pPr>
              <w:snapToGrid w:val="0"/>
              <w:spacing w:line="400" w:lineRule="exact"/>
              <w:jc w:val="center"/>
              <w:rPr>
                <w:rFonts w:ascii="宋体" w:hAnsi="宋体"/>
                <w:color w:val="auto"/>
                <w:szCs w:val="21"/>
                <w:highlight w:val="none"/>
              </w:rPr>
            </w:pPr>
            <w:r>
              <w:rPr>
                <w:rFonts w:ascii="宋体" w:hAnsi="宋体"/>
                <w:color w:val="auto"/>
                <w:szCs w:val="21"/>
                <w:highlight w:val="none"/>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70D23A11">
            <w:pPr>
              <w:snapToGrid w:val="0"/>
              <w:spacing w:line="400" w:lineRule="exact"/>
              <w:rPr>
                <w:rFonts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70A673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744314F">
            <w:pPr>
              <w:snapToGrid w:val="0"/>
              <w:spacing w:line="400" w:lineRule="exact"/>
              <w:jc w:val="center"/>
              <w:rPr>
                <w:rFonts w:ascii="宋体" w:hAnsi="宋体"/>
                <w:color w:val="auto"/>
                <w:szCs w:val="21"/>
                <w:highlight w:val="none"/>
              </w:rPr>
            </w:pPr>
            <w:r>
              <w:rPr>
                <w:rFonts w:ascii="宋体" w:hAnsi="宋体"/>
                <w:color w:val="auto"/>
                <w:szCs w:val="21"/>
                <w:highlight w:val="none"/>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144D4DE6">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w:t>
            </w:r>
            <w:r>
              <w:rPr>
                <w:rFonts w:hint="eastAsia" w:hAnsi="宋体" w:cs="宋体"/>
                <w:color w:val="auto"/>
                <w:sz w:val="21"/>
                <w:highlight w:val="none"/>
              </w:rPr>
              <w:t>（含电子印章）</w:t>
            </w:r>
            <w:r>
              <w:rPr>
                <w:rFonts w:hint="eastAsia" w:hAnsi="宋体" w:cs="宋体"/>
                <w:bCs/>
                <w:color w:val="auto"/>
                <w:sz w:val="21"/>
                <w:highlight w:val="none"/>
              </w:rPr>
              <w:t>，除本招标文件有特殊规定外，投标人的财务章、部门章、分公司章、工会章、合同章、投标专用章、业务专用章及银行的转账章、现金收讫章、现金付讫章等其他形式印章均不能代替公章。</w:t>
            </w:r>
          </w:p>
          <w:p w14:paraId="24A82B6D">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5EA31A4">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3、本招标文件中描述投标人的“签字”是指投标人的法定代表人或者委托代理人</w:t>
            </w:r>
            <w:r>
              <w:rPr>
                <w:rFonts w:hint="eastAsia" w:hAnsi="宋体" w:cs="宋体"/>
                <w:color w:val="auto"/>
                <w:sz w:val="21"/>
                <w:highlight w:val="none"/>
              </w:rPr>
              <w:t>在文件规定签署处签名（含电子签名）的行为，私章、印鉴等其他形式均不能代替签字</w:t>
            </w:r>
            <w:r>
              <w:rPr>
                <w:rFonts w:hint="eastAsia" w:hAnsi="宋体" w:cs="宋体"/>
                <w:bCs/>
                <w:color w:val="auto"/>
                <w:sz w:val="21"/>
                <w:highlight w:val="none"/>
              </w:rPr>
              <w:t>。</w:t>
            </w:r>
          </w:p>
          <w:p w14:paraId="6AF8EC4C">
            <w:pPr>
              <w:pStyle w:val="25"/>
              <w:snapToGrid w:val="0"/>
              <w:spacing w:line="400" w:lineRule="exact"/>
              <w:rPr>
                <w:rFonts w:hAnsi="宋体" w:cs="宋体"/>
                <w:bCs/>
                <w:color w:val="auto"/>
                <w:sz w:val="21"/>
                <w:highlight w:val="none"/>
              </w:rPr>
            </w:pPr>
            <w:r>
              <w:rPr>
                <w:rFonts w:hint="eastAsia" w:hAnsi="宋体" w:cs="宋体"/>
                <w:bCs/>
                <w:color w:val="auto"/>
                <w:sz w:val="21"/>
                <w:highlight w:val="none"/>
              </w:rPr>
              <w:t>4、自然人投标的，招标文件规定盖公章处由自然人摁手指指印。</w:t>
            </w:r>
          </w:p>
          <w:p w14:paraId="6AB7DC18">
            <w:pPr>
              <w:spacing w:line="400" w:lineRule="exact"/>
              <w:jc w:val="left"/>
              <w:rPr>
                <w:rFonts w:ascii="宋体" w:hAnsi="宋体"/>
                <w:color w:val="auto"/>
                <w:szCs w:val="21"/>
                <w:highlight w:val="none"/>
              </w:rPr>
            </w:pPr>
            <w:r>
              <w:rPr>
                <w:rFonts w:hint="eastAsia" w:ascii="宋体" w:hAnsi="宋体" w:cs="宋体"/>
                <w:bCs/>
                <w:color w:val="auto"/>
                <w:szCs w:val="21"/>
                <w:highlight w:val="none"/>
              </w:rPr>
              <w:t>5、本招标文件所称的“以上”“以下”“以内”“届满”，包括本数；所称的“不满”“超过”“以外”，不包括本数。</w:t>
            </w:r>
          </w:p>
        </w:tc>
      </w:tr>
    </w:tbl>
    <w:p w14:paraId="3A4C6481">
      <w:pPr>
        <w:snapToGrid w:val="0"/>
        <w:rPr>
          <w:rFonts w:ascii="宋体" w:hAnsi="宋体"/>
          <w:color w:val="auto"/>
          <w:sz w:val="24"/>
          <w:szCs w:val="20"/>
          <w:highlight w:val="none"/>
        </w:rPr>
      </w:pPr>
    </w:p>
    <w:p w14:paraId="4234C321">
      <w:pPr>
        <w:pStyle w:val="4"/>
        <w:keepNext w:val="0"/>
        <w:keepLines w:val="0"/>
        <w:jc w:val="center"/>
        <w:rPr>
          <w:rFonts w:ascii="宋体" w:hAnsi="宋体" w:eastAsia="宋体"/>
          <w:color w:val="auto"/>
          <w:highlight w:val="none"/>
        </w:rPr>
      </w:pPr>
    </w:p>
    <w:p w14:paraId="46045300">
      <w:pPr>
        <w:rPr>
          <w:rFonts w:ascii="宋体" w:hAnsi="宋体"/>
          <w:color w:val="auto"/>
          <w:highlight w:val="none"/>
        </w:rPr>
      </w:pPr>
    </w:p>
    <w:p w14:paraId="23672141">
      <w:pPr>
        <w:rPr>
          <w:rFonts w:ascii="宋体" w:hAnsi="宋体"/>
          <w:color w:val="auto"/>
          <w:highlight w:val="none"/>
        </w:rPr>
      </w:pPr>
    </w:p>
    <w:p w14:paraId="32714630">
      <w:pPr>
        <w:rPr>
          <w:rFonts w:ascii="宋体" w:hAnsi="宋体"/>
          <w:color w:val="auto"/>
          <w:highlight w:val="none"/>
        </w:rPr>
      </w:pPr>
    </w:p>
    <w:p w14:paraId="49129313">
      <w:pPr>
        <w:rPr>
          <w:rFonts w:ascii="宋体" w:hAnsi="宋体"/>
          <w:color w:val="auto"/>
          <w:highlight w:val="none"/>
        </w:rPr>
      </w:pPr>
    </w:p>
    <w:p w14:paraId="7FD65911">
      <w:pPr>
        <w:rPr>
          <w:rFonts w:ascii="宋体" w:hAnsi="宋体"/>
          <w:color w:val="auto"/>
          <w:highlight w:val="none"/>
        </w:rPr>
      </w:pPr>
    </w:p>
    <w:p w14:paraId="367C5ACC">
      <w:pPr>
        <w:rPr>
          <w:rFonts w:ascii="宋体" w:hAnsi="宋体"/>
          <w:color w:val="auto"/>
          <w:highlight w:val="none"/>
        </w:rPr>
      </w:pPr>
    </w:p>
    <w:p w14:paraId="221049B4">
      <w:pPr>
        <w:rPr>
          <w:rFonts w:ascii="宋体" w:hAnsi="宋体"/>
          <w:color w:val="auto"/>
          <w:highlight w:val="none"/>
        </w:rPr>
      </w:pPr>
    </w:p>
    <w:p w14:paraId="01D32EA6">
      <w:pPr>
        <w:rPr>
          <w:rFonts w:ascii="宋体" w:hAnsi="宋体"/>
          <w:color w:val="auto"/>
          <w:highlight w:val="none"/>
        </w:rPr>
      </w:pPr>
    </w:p>
    <w:p w14:paraId="37572AC4">
      <w:pPr>
        <w:rPr>
          <w:rFonts w:ascii="宋体" w:hAnsi="宋体"/>
          <w:color w:val="auto"/>
          <w:highlight w:val="none"/>
        </w:rPr>
      </w:pPr>
    </w:p>
    <w:p w14:paraId="15F044E2">
      <w:pPr>
        <w:rPr>
          <w:rFonts w:ascii="宋体" w:hAnsi="宋体"/>
          <w:color w:val="auto"/>
          <w:highlight w:val="none"/>
        </w:rPr>
      </w:pPr>
    </w:p>
    <w:p w14:paraId="776C1C87">
      <w:pPr>
        <w:rPr>
          <w:rFonts w:ascii="宋体" w:hAnsi="宋体"/>
          <w:color w:val="auto"/>
          <w:highlight w:val="none"/>
        </w:rPr>
      </w:pPr>
    </w:p>
    <w:p w14:paraId="313E0467">
      <w:pPr>
        <w:rPr>
          <w:rFonts w:ascii="宋体" w:hAnsi="宋体"/>
          <w:color w:val="auto"/>
          <w:highlight w:val="none"/>
        </w:rPr>
      </w:pPr>
    </w:p>
    <w:p w14:paraId="28694B8F">
      <w:pPr>
        <w:rPr>
          <w:rFonts w:ascii="宋体" w:hAnsi="宋体"/>
          <w:color w:val="auto"/>
          <w:highlight w:val="none"/>
        </w:rPr>
      </w:pPr>
    </w:p>
    <w:p w14:paraId="6EA7BD78">
      <w:pPr>
        <w:rPr>
          <w:rFonts w:ascii="宋体" w:hAnsi="宋体"/>
          <w:color w:val="auto"/>
          <w:highlight w:val="none"/>
        </w:rPr>
      </w:pPr>
    </w:p>
    <w:p w14:paraId="53A0393D">
      <w:pPr>
        <w:rPr>
          <w:rFonts w:ascii="宋体" w:hAnsi="宋体"/>
          <w:color w:val="auto"/>
          <w:highlight w:val="none"/>
        </w:rPr>
      </w:pPr>
    </w:p>
    <w:p w14:paraId="763B0E86">
      <w:pPr>
        <w:rPr>
          <w:rFonts w:ascii="宋体" w:hAnsi="宋体"/>
          <w:color w:val="auto"/>
          <w:highlight w:val="none"/>
        </w:rPr>
      </w:pPr>
    </w:p>
    <w:p w14:paraId="51797BA1">
      <w:pPr>
        <w:rPr>
          <w:rFonts w:ascii="宋体" w:hAnsi="宋体"/>
          <w:color w:val="auto"/>
          <w:highlight w:val="none"/>
        </w:rPr>
      </w:pPr>
    </w:p>
    <w:p w14:paraId="26107CB2">
      <w:pPr>
        <w:rPr>
          <w:rFonts w:ascii="宋体" w:hAnsi="宋体"/>
          <w:color w:val="auto"/>
          <w:highlight w:val="none"/>
        </w:rPr>
      </w:pPr>
    </w:p>
    <w:p w14:paraId="3468ACC3">
      <w:pPr>
        <w:rPr>
          <w:rFonts w:ascii="宋体" w:hAnsi="宋体"/>
          <w:color w:val="auto"/>
          <w:highlight w:val="none"/>
        </w:rPr>
      </w:pPr>
    </w:p>
    <w:p w14:paraId="41037F3B">
      <w:pPr>
        <w:rPr>
          <w:rFonts w:ascii="宋体" w:hAnsi="宋体"/>
          <w:color w:val="auto"/>
          <w:highlight w:val="none"/>
        </w:rPr>
      </w:pPr>
    </w:p>
    <w:p w14:paraId="57F41965">
      <w:pPr>
        <w:rPr>
          <w:rFonts w:ascii="宋体" w:hAnsi="宋体"/>
          <w:color w:val="auto"/>
          <w:highlight w:val="none"/>
        </w:rPr>
      </w:pPr>
    </w:p>
    <w:p w14:paraId="3CCB0EFA">
      <w:pPr>
        <w:rPr>
          <w:rFonts w:ascii="宋体" w:hAnsi="宋体"/>
          <w:color w:val="auto"/>
          <w:highlight w:val="none"/>
        </w:rPr>
      </w:pPr>
    </w:p>
    <w:p w14:paraId="32AFAF6B">
      <w:pPr>
        <w:rPr>
          <w:rFonts w:ascii="宋体" w:hAnsi="宋体"/>
          <w:color w:val="auto"/>
          <w:highlight w:val="none"/>
        </w:rPr>
      </w:pPr>
    </w:p>
    <w:p w14:paraId="198F0174">
      <w:pPr>
        <w:rPr>
          <w:rFonts w:ascii="宋体" w:hAnsi="宋体"/>
          <w:color w:val="auto"/>
          <w:highlight w:val="none"/>
        </w:rPr>
      </w:pPr>
    </w:p>
    <w:p w14:paraId="509480C2">
      <w:pPr>
        <w:rPr>
          <w:rFonts w:ascii="宋体" w:hAnsi="宋体"/>
          <w:color w:val="auto"/>
          <w:highlight w:val="none"/>
        </w:rPr>
      </w:pPr>
    </w:p>
    <w:p w14:paraId="5D91FC7A">
      <w:pPr>
        <w:rPr>
          <w:rFonts w:ascii="宋体" w:hAnsi="宋体"/>
          <w:color w:val="auto"/>
          <w:highlight w:val="none"/>
        </w:rPr>
      </w:pPr>
    </w:p>
    <w:p w14:paraId="15BF719D">
      <w:pPr>
        <w:rPr>
          <w:rFonts w:ascii="宋体" w:hAnsi="宋体"/>
          <w:color w:val="auto"/>
          <w:highlight w:val="none"/>
        </w:rPr>
      </w:pPr>
    </w:p>
    <w:p w14:paraId="0C7EFBC7">
      <w:pPr>
        <w:rPr>
          <w:rFonts w:ascii="宋体" w:hAnsi="宋体"/>
          <w:color w:val="auto"/>
          <w:highlight w:val="none"/>
        </w:rPr>
      </w:pPr>
    </w:p>
    <w:p w14:paraId="6686EBD5">
      <w:pPr>
        <w:pStyle w:val="4"/>
        <w:keepNext w:val="0"/>
        <w:keepLines w:val="0"/>
        <w:jc w:val="center"/>
        <w:rPr>
          <w:rFonts w:ascii="宋体" w:hAnsi="宋体" w:eastAsia="宋体"/>
          <w:color w:val="auto"/>
          <w:highlight w:val="none"/>
        </w:rPr>
      </w:pPr>
    </w:p>
    <w:p w14:paraId="49BDB116">
      <w:pPr>
        <w:rPr>
          <w:color w:val="auto"/>
          <w:highlight w:val="none"/>
        </w:rPr>
      </w:pPr>
    </w:p>
    <w:p w14:paraId="5EE47A87">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投标人须知正文</w:t>
      </w:r>
    </w:p>
    <w:p w14:paraId="1D9F8798">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一、总  则</w:t>
      </w:r>
    </w:p>
    <w:p w14:paraId="1A87E542">
      <w:pPr>
        <w:pStyle w:val="6"/>
        <w:keepNext w:val="0"/>
        <w:keepLines w:val="0"/>
        <w:spacing w:before="0" w:after="0" w:line="360" w:lineRule="auto"/>
        <w:ind w:left="420" w:leftChars="200"/>
        <w:rPr>
          <w:rFonts w:ascii="宋体" w:hAnsi="宋体"/>
          <w:color w:val="auto"/>
          <w:highlight w:val="none"/>
        </w:rPr>
      </w:pPr>
      <w:bookmarkStart w:id="78" w:name="_Toc254970527"/>
      <w:bookmarkStart w:id="79" w:name="_Toc254970668"/>
      <w:r>
        <w:rPr>
          <w:rFonts w:hint="eastAsia" w:ascii="宋体" w:hAnsi="宋体"/>
          <w:color w:val="auto"/>
          <w:highlight w:val="none"/>
        </w:rPr>
        <w:t>1.适用范围</w:t>
      </w:r>
      <w:bookmarkEnd w:id="78"/>
      <w:bookmarkEnd w:id="79"/>
    </w:p>
    <w:p w14:paraId="65AC3CC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2FC811F">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CF1B754">
      <w:pPr>
        <w:pStyle w:val="6"/>
        <w:keepNext w:val="0"/>
        <w:keepLines w:val="0"/>
        <w:spacing w:before="0" w:after="0" w:line="360" w:lineRule="auto"/>
        <w:ind w:left="420" w:leftChars="200"/>
        <w:rPr>
          <w:rFonts w:ascii="宋体" w:hAnsi="宋体"/>
          <w:color w:val="auto"/>
          <w:highlight w:val="none"/>
        </w:rPr>
      </w:pPr>
      <w:bookmarkStart w:id="80" w:name="_Toc254970528"/>
      <w:bookmarkStart w:id="81" w:name="_Toc254970669"/>
      <w:r>
        <w:rPr>
          <w:rFonts w:hint="eastAsia" w:ascii="宋体" w:hAnsi="宋体"/>
          <w:color w:val="auto"/>
          <w:highlight w:val="none"/>
        </w:rPr>
        <w:t>2.定义</w:t>
      </w:r>
      <w:bookmarkEnd w:id="80"/>
      <w:bookmarkEnd w:id="81"/>
    </w:p>
    <w:p w14:paraId="6B12A3F6">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2.1“采购人”是指依法进行政府采购的国家机关、事业单位、团体组织。</w:t>
      </w:r>
    </w:p>
    <w:p w14:paraId="1F225F3B">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2.2“采购代理机构”是指政府采购集中采购机构和集中采购机构以外的采购代理机构。</w:t>
      </w:r>
    </w:p>
    <w:p w14:paraId="0A7BA4D5">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2.3“供应商”是指向采购人提供货物、工程或者服务的法人、其他组织或者自然人。</w:t>
      </w:r>
    </w:p>
    <w:p w14:paraId="7EF46C4B">
      <w:pPr>
        <w:pStyle w:val="14"/>
        <w:spacing w:line="360" w:lineRule="auto"/>
        <w:rPr>
          <w:rFonts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07377E72">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2.5“货物”是指各种形态和种类的物品，包括原材料、燃料、设备、产品等；“服务”是指除货物和工程以外的其他政府采购对象。</w:t>
      </w:r>
    </w:p>
    <w:p w14:paraId="7D28EA18">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2.6“售后服务” 是指商品出售以后所提供的各种服务，包含但不限于投标人须承担的备品备件、包装、运输、装卸、保险、货到就位以及安装、调试、培训、保修以及其他各种服务。</w:t>
      </w:r>
    </w:p>
    <w:p w14:paraId="1DF45CEA">
      <w:pPr>
        <w:pStyle w:val="6"/>
        <w:keepNext w:val="0"/>
        <w:keepLines w:val="0"/>
        <w:spacing w:before="0" w:after="0" w:line="360" w:lineRule="auto"/>
        <w:rPr>
          <w:rFonts w:ascii="宋体" w:hAnsi="宋体"/>
          <w:b/>
          <w:color w:val="auto"/>
          <w:sz w:val="21"/>
          <w:szCs w:val="21"/>
          <w:highlight w:val="none"/>
        </w:rPr>
      </w:pPr>
      <w:r>
        <w:rPr>
          <w:rFonts w:hint="eastAsia" w:ascii="宋体" w:hAnsi="宋体"/>
          <w:color w:val="auto"/>
          <w:sz w:val="21"/>
          <w:szCs w:val="21"/>
          <w:highlight w:val="none"/>
        </w:rPr>
        <w:t xml:space="preserve">    2.7“书面形式”是指合同书、信件和数据电文（包括电报、电传、传真、电子数据交换和电子邮件）等可以有形地表现所载内容的形式。</w:t>
      </w:r>
    </w:p>
    <w:p w14:paraId="2B39B53B">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2.8“实质性要求”是指招标文件中已经指明不满足则投标无效的条款，或者不能负偏离的条款，或者采购需求中带“▲”的条款。</w:t>
      </w:r>
    </w:p>
    <w:p w14:paraId="3982E202">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6847CB5A">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06A5030">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2" w:name="_Toc254970670"/>
      <w:bookmarkStart w:id="83" w:name="_Toc254970529"/>
    </w:p>
    <w:p w14:paraId="4FAB29A9">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w:t>
      </w:r>
      <w:bookmarkEnd w:id="82"/>
      <w:bookmarkEnd w:id="83"/>
      <w:r>
        <w:rPr>
          <w:rFonts w:hint="eastAsia" w:ascii="宋体" w:hAnsi="宋体"/>
          <w:color w:val="auto"/>
          <w:highlight w:val="none"/>
        </w:rPr>
        <w:t>投标人的资格要求</w:t>
      </w:r>
    </w:p>
    <w:p w14:paraId="69E565B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投标人的资格要求详见“投标人须知前附表”。</w:t>
      </w:r>
    </w:p>
    <w:p w14:paraId="300FB8EF">
      <w:pPr>
        <w:pStyle w:val="6"/>
        <w:keepNext w:val="0"/>
        <w:keepLines w:val="0"/>
        <w:spacing w:before="0" w:after="0" w:line="360" w:lineRule="auto"/>
        <w:ind w:left="420" w:leftChars="200"/>
        <w:rPr>
          <w:rFonts w:ascii="宋体" w:hAnsi="宋体"/>
          <w:color w:val="auto"/>
          <w:highlight w:val="none"/>
        </w:rPr>
      </w:pPr>
      <w:bookmarkStart w:id="84" w:name="_Toc254970671"/>
      <w:bookmarkStart w:id="85" w:name="_Toc254970530"/>
      <w:r>
        <w:rPr>
          <w:rFonts w:hint="eastAsia" w:ascii="宋体" w:hAnsi="宋体"/>
          <w:color w:val="auto"/>
          <w:highlight w:val="none"/>
        </w:rPr>
        <w:t>4.投标委托</w:t>
      </w:r>
      <w:bookmarkEnd w:id="84"/>
      <w:bookmarkEnd w:id="85"/>
    </w:p>
    <w:p w14:paraId="7F40AD1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29958F28">
      <w:pPr>
        <w:pStyle w:val="6"/>
        <w:keepNext w:val="0"/>
        <w:keepLines w:val="0"/>
        <w:spacing w:before="0" w:after="0" w:line="360" w:lineRule="auto"/>
        <w:ind w:left="420" w:leftChars="200"/>
        <w:rPr>
          <w:rFonts w:ascii="宋体" w:hAnsi="宋体"/>
          <w:color w:val="auto"/>
          <w:highlight w:val="none"/>
        </w:rPr>
      </w:pPr>
      <w:bookmarkStart w:id="86" w:name="_5.投标费用"/>
      <w:bookmarkEnd w:id="86"/>
      <w:bookmarkStart w:id="87" w:name="_Toc254970672"/>
      <w:bookmarkStart w:id="88" w:name="_Toc254970531"/>
      <w:r>
        <w:rPr>
          <w:rFonts w:hint="eastAsia" w:ascii="宋体" w:hAnsi="宋体"/>
          <w:color w:val="auto"/>
          <w:highlight w:val="none"/>
        </w:rPr>
        <w:t>5.投标费用</w:t>
      </w:r>
      <w:bookmarkEnd w:id="87"/>
      <w:bookmarkEnd w:id="88"/>
    </w:p>
    <w:p w14:paraId="5D775A27">
      <w:pPr>
        <w:snapToGrid w:val="0"/>
        <w:spacing w:line="360" w:lineRule="auto"/>
        <w:ind w:firstLine="420" w:firstLineChars="200"/>
        <w:jc w:val="left"/>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B7438D2">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6.联合体投标</w:t>
      </w:r>
    </w:p>
    <w:p w14:paraId="0A363D6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6E43CE7A">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164419AE">
      <w:pPr>
        <w:pStyle w:val="6"/>
        <w:keepNext w:val="0"/>
        <w:keepLines w:val="0"/>
        <w:spacing w:before="0" w:after="0" w:line="360" w:lineRule="auto"/>
        <w:ind w:firstLine="424" w:firstLineChars="202"/>
        <w:rPr>
          <w:rFonts w:ascii="宋体" w:hAnsi="宋体"/>
          <w:color w:val="auto"/>
          <w:highlight w:val="none"/>
        </w:rPr>
      </w:pPr>
      <w:r>
        <w:rPr>
          <w:rFonts w:hint="eastAsia" w:ascii="宋体" w:hAnsi="宋体"/>
          <w:bCs/>
          <w:color w:val="auto"/>
          <w:sz w:val="21"/>
          <w:szCs w:val="21"/>
          <w:highlight w:val="none"/>
        </w:rPr>
        <w:t>6.3</w:t>
      </w:r>
      <w:bookmarkStart w:id="89" w:name="_Hlk65857072"/>
      <w:r>
        <w:rPr>
          <w:rFonts w:hint="eastAsia" w:ascii="宋体" w:hAnsi="宋体"/>
          <w:bCs/>
          <w:color w:val="auto"/>
          <w:sz w:val="21"/>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9"/>
    </w:p>
    <w:p w14:paraId="5B4A35AD">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 xml:space="preserve">7.转包与分包             </w:t>
      </w:r>
    </w:p>
    <w:p w14:paraId="58AA6863">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7.1本项目不允许转包。</w:t>
      </w:r>
    </w:p>
    <w:p w14:paraId="106E6B6A">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34FC289">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4E0B00F">
      <w:pPr>
        <w:pStyle w:val="6"/>
        <w:keepNext w:val="0"/>
        <w:keepLines w:val="0"/>
        <w:spacing w:before="0" w:after="0" w:line="360" w:lineRule="auto"/>
        <w:ind w:left="420" w:leftChars="200"/>
        <w:rPr>
          <w:rFonts w:ascii="宋体" w:hAnsi="宋体"/>
          <w:color w:val="auto"/>
          <w:highlight w:val="none"/>
        </w:rPr>
      </w:pPr>
      <w:bookmarkStart w:id="90" w:name="_Toc254970673"/>
      <w:bookmarkStart w:id="91" w:name="_Toc254970532"/>
      <w:r>
        <w:rPr>
          <w:rFonts w:hint="eastAsia" w:ascii="宋体" w:hAnsi="宋体"/>
          <w:color w:val="auto"/>
          <w:highlight w:val="none"/>
        </w:rPr>
        <w:t>8.特别说明</w:t>
      </w:r>
      <w:bookmarkEnd w:id="90"/>
      <w:bookmarkEnd w:id="91"/>
    </w:p>
    <w:p w14:paraId="18B4B1E4">
      <w:pPr>
        <w:pStyle w:val="6"/>
        <w:keepNext w:val="0"/>
        <w:keepLines w:val="0"/>
        <w:spacing w:before="0" w:after="0" w:line="360" w:lineRule="auto"/>
        <w:ind w:firstLine="315" w:firstLineChars="150"/>
        <w:rPr>
          <w:rFonts w:ascii="宋体" w:hAnsi="宋体"/>
          <w:b/>
          <w:color w:val="auto"/>
          <w:sz w:val="21"/>
          <w:szCs w:val="21"/>
          <w:highlight w:val="none"/>
        </w:rPr>
      </w:pPr>
      <w:bookmarkStart w:id="92" w:name="_8.1提供相同品牌产品且通过资格审查、符合性审查的不同投标人参加同一合"/>
      <w:bookmarkEnd w:id="92"/>
      <w:r>
        <w:rPr>
          <w:rFonts w:hint="eastAsia" w:ascii="宋体" w:hAnsi="宋体"/>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576864F7">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8.2投标人应仔细阅读招标文件的所有内容，按照招标文件的要求提交投标文件，并对所提供的全部资料的真实性承担法律责任。</w:t>
      </w:r>
    </w:p>
    <w:p w14:paraId="62D8BF78">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8.3投标人在投标活动中提供任何虚假材料，将报监管部门查处；中标后发现的，中标人须依法赔偿采购人，且民事赔偿并不免除违法投标人的行政与刑事责任。</w:t>
      </w:r>
    </w:p>
    <w:p w14:paraId="167C4C7F">
      <w:pPr>
        <w:pStyle w:val="6"/>
        <w:keepNext w:val="0"/>
        <w:keepLines w:val="0"/>
        <w:spacing w:before="0" w:after="0" w:line="360" w:lineRule="auto"/>
        <w:ind w:left="420" w:leftChars="200"/>
        <w:rPr>
          <w:rFonts w:ascii="宋体" w:hAnsi="宋体"/>
          <w:color w:val="auto"/>
          <w:highlight w:val="none"/>
        </w:rPr>
      </w:pPr>
      <w:r>
        <w:rPr>
          <w:rFonts w:ascii="宋体" w:hAnsi="宋体"/>
          <w:color w:val="auto"/>
          <w:highlight w:val="none"/>
        </w:rPr>
        <w:t>9.</w:t>
      </w:r>
      <w:r>
        <w:rPr>
          <w:rFonts w:hint="eastAsia" w:ascii="宋体" w:hAnsi="宋体"/>
          <w:color w:val="auto"/>
          <w:highlight w:val="none"/>
        </w:rPr>
        <w:t>回避与串通投标</w:t>
      </w:r>
    </w:p>
    <w:p w14:paraId="6197EA3B">
      <w:pPr>
        <w:pStyle w:val="6"/>
        <w:keepNext w:val="0"/>
        <w:keepLines w:val="0"/>
        <w:spacing w:before="0" w:after="0" w:line="360" w:lineRule="auto"/>
        <w:ind w:firstLine="367" w:firstLineChars="175"/>
        <w:rPr>
          <w:rFonts w:ascii="宋体" w:hAnsi="宋体"/>
          <w:b/>
          <w:color w:val="auto"/>
          <w:sz w:val="21"/>
          <w:szCs w:val="21"/>
          <w:highlight w:val="none"/>
        </w:rPr>
      </w:pPr>
      <w:r>
        <w:rPr>
          <w:rFonts w:hint="eastAsia" w:ascii="宋体" w:hAnsi="宋体"/>
          <w:color w:val="auto"/>
          <w:sz w:val="21"/>
          <w:szCs w:val="21"/>
          <w:highlight w:val="none"/>
        </w:rPr>
        <w:t>9</w:t>
      </w:r>
      <w:r>
        <w:rPr>
          <w:rFonts w:ascii="宋体" w:hAnsi="宋体"/>
          <w:color w:val="auto"/>
          <w:sz w:val="21"/>
          <w:szCs w:val="21"/>
          <w:highlight w:val="none"/>
        </w:rPr>
        <w:t>.1在政府采购活动中，采购人员及相关人员与</w:t>
      </w:r>
      <w:r>
        <w:rPr>
          <w:rFonts w:hint="eastAsia" w:ascii="宋体" w:hAnsi="宋体"/>
          <w:color w:val="auto"/>
          <w:sz w:val="21"/>
          <w:szCs w:val="21"/>
          <w:highlight w:val="none"/>
        </w:rPr>
        <w:t>供应商</w:t>
      </w:r>
      <w:r>
        <w:rPr>
          <w:rFonts w:ascii="宋体" w:hAnsi="宋体"/>
          <w:color w:val="auto"/>
          <w:sz w:val="21"/>
          <w:szCs w:val="21"/>
          <w:highlight w:val="none"/>
        </w:rPr>
        <w:t>有下列利害关系之一的，应当回避：</w:t>
      </w:r>
    </w:p>
    <w:p w14:paraId="677ABA3C">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2F839E76">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501AD796">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68FD05C7">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67950757">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3D6734AE">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2BBB2790">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191F8503">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7B730360">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238BBE43">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0C9E7C78">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37D03356">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（5）不同投标人的投标文件相互混装；</w:t>
      </w:r>
    </w:p>
    <w:p w14:paraId="74CA0361">
      <w:pPr>
        <w:pStyle w:val="25"/>
        <w:snapToGrid w:val="0"/>
        <w:spacing w:line="360" w:lineRule="auto"/>
        <w:ind w:left="2" w:leftChars="1" w:firstLine="422" w:firstLineChars="200"/>
        <w:rPr>
          <w:rFonts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16150F9A">
      <w:pPr>
        <w:pStyle w:val="6"/>
        <w:keepNext w:val="0"/>
        <w:keepLines w:val="0"/>
        <w:spacing w:before="0" w:after="0" w:line="360" w:lineRule="auto"/>
        <w:ind w:left="420" w:leftChars="200"/>
        <w:rPr>
          <w:rFonts w:ascii="宋体" w:hAnsi="宋体"/>
          <w:b/>
          <w:color w:val="auto"/>
          <w:sz w:val="21"/>
          <w:szCs w:val="21"/>
          <w:highlight w:val="none"/>
        </w:rPr>
      </w:pPr>
      <w:r>
        <w:rPr>
          <w:rFonts w:ascii="宋体" w:hAnsi="宋体"/>
          <w:color w:val="auto"/>
          <w:sz w:val="21"/>
          <w:szCs w:val="21"/>
          <w:highlight w:val="none"/>
        </w:rPr>
        <w:t>9.3</w:t>
      </w:r>
      <w:r>
        <w:rPr>
          <w:rFonts w:hint="eastAsia" w:ascii="宋体" w:hAnsi="宋体"/>
          <w:color w:val="auto"/>
          <w:sz w:val="21"/>
          <w:szCs w:val="21"/>
          <w:highlight w:val="none"/>
        </w:rPr>
        <w:t>供应商有下列情形之一的，属于恶意串通行为，将报同级监督管理部门：</w:t>
      </w:r>
    </w:p>
    <w:p w14:paraId="6D8A8FFC">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2B88AC1E">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12062DE0">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332E8920">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5F454764">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6E620ABF">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14FF185C">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55BD4A53">
      <w:pPr>
        <w:pStyle w:val="25"/>
        <w:snapToGrid w:val="0"/>
        <w:spacing w:line="360" w:lineRule="auto"/>
        <w:ind w:left="2" w:leftChars="1" w:firstLine="422" w:firstLineChars="200"/>
        <w:rPr>
          <w:rFonts w:hAnsi="宋体"/>
          <w:b/>
          <w:color w:val="auto"/>
          <w:kern w:val="2"/>
          <w:sz w:val="21"/>
          <w:highlight w:val="none"/>
        </w:rPr>
      </w:pPr>
    </w:p>
    <w:p w14:paraId="0513FB68">
      <w:pPr>
        <w:pStyle w:val="4"/>
        <w:keepNext w:val="0"/>
        <w:keepLines w:val="0"/>
        <w:jc w:val="center"/>
        <w:rPr>
          <w:rFonts w:ascii="宋体" w:hAnsi="宋体" w:eastAsia="宋体"/>
          <w:color w:val="auto"/>
          <w:highlight w:val="none"/>
        </w:rPr>
      </w:pPr>
      <w:bookmarkStart w:id="93" w:name="_Toc254970675"/>
      <w:bookmarkStart w:id="94" w:name="_Toc254970534"/>
      <w:r>
        <w:rPr>
          <w:rFonts w:hint="eastAsia" w:ascii="宋体" w:hAnsi="宋体" w:eastAsia="宋体"/>
          <w:color w:val="auto"/>
          <w:highlight w:val="none"/>
        </w:rPr>
        <w:t>二、招标文件</w:t>
      </w:r>
      <w:bookmarkEnd w:id="93"/>
      <w:bookmarkEnd w:id="94"/>
    </w:p>
    <w:p w14:paraId="0868C72C">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10.招标文件的组成</w:t>
      </w:r>
    </w:p>
    <w:p w14:paraId="08699DDB">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（1）招标公告；</w:t>
      </w:r>
    </w:p>
    <w:p w14:paraId="6247691A">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 xml:space="preserve">（2）采购需求； </w:t>
      </w:r>
    </w:p>
    <w:p w14:paraId="567B56E6">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（3）投标人须知；</w:t>
      </w:r>
    </w:p>
    <w:p w14:paraId="35D18259">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（4）评标方法及评标标准；</w:t>
      </w:r>
    </w:p>
    <w:p w14:paraId="7550F99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（5）拟签订的合同文本；</w:t>
      </w:r>
    </w:p>
    <w:p w14:paraId="578586B7">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（6）投标文件格式。</w:t>
      </w:r>
    </w:p>
    <w:p w14:paraId="65AB8AB1">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11.招标文件的澄清、修改 、现场考察和答疑会</w:t>
      </w:r>
    </w:p>
    <w:p w14:paraId="5C485D6D">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77EBC842">
      <w:pPr>
        <w:pStyle w:val="6"/>
        <w:keepNext w:val="0"/>
        <w:keepLines w:val="0"/>
        <w:spacing w:before="0" w:after="0" w:line="360" w:lineRule="auto"/>
        <w:ind w:firstLine="420" w:firstLineChars="200"/>
        <w:rPr>
          <w:rFonts w:ascii="宋体" w:hAnsi="宋体"/>
          <w:color w:val="auto"/>
          <w:highlight w:val="none"/>
        </w:rPr>
      </w:pPr>
      <w:r>
        <w:rPr>
          <w:rFonts w:hint="eastAsia" w:ascii="宋体" w:hAnsi="宋体"/>
          <w:color w:val="auto"/>
          <w:sz w:val="21"/>
          <w:szCs w:val="21"/>
          <w:highlight w:val="none"/>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53D7F099">
      <w:pPr>
        <w:spacing w:line="360" w:lineRule="auto"/>
        <w:ind w:firstLine="420" w:firstLineChars="200"/>
        <w:rPr>
          <w:rFonts w:ascii="宋体" w:hAnsi="宋体"/>
          <w:color w:val="auto"/>
          <w:szCs w:val="21"/>
          <w:highlight w:val="none"/>
        </w:rPr>
      </w:pPr>
      <w:r>
        <w:rPr>
          <w:rFonts w:hint="eastAsia" w:ascii="宋体" w:hAnsi="宋体"/>
          <w:color w:val="auto"/>
          <w:highlight w:val="none"/>
        </w:rPr>
        <w:t>11.3采购人和采购代理机构可以视采购具体情况，变更投标截止时间和开标时间，并</w:t>
      </w:r>
      <w:r>
        <w:rPr>
          <w:rFonts w:hint="eastAsia" w:ascii="宋体" w:hAnsi="宋体"/>
          <w:color w:val="auto"/>
          <w:szCs w:val="21"/>
          <w:highlight w:val="none"/>
        </w:rPr>
        <w:t>在原公告发布媒体上发布更正公告。</w:t>
      </w:r>
    </w:p>
    <w:p w14:paraId="591BDAC1">
      <w:pPr>
        <w:spacing w:line="360" w:lineRule="auto"/>
        <w:ind w:firstLine="420" w:firstLineChars="200"/>
        <w:rPr>
          <w:rFonts w:ascii="宋体" w:hAnsi="宋体"/>
          <w:color w:val="auto"/>
          <w:highlight w:val="none"/>
        </w:rPr>
      </w:pPr>
      <w:r>
        <w:rPr>
          <w:rFonts w:hint="eastAsia" w:ascii="宋体" w:hAnsi="宋体"/>
          <w:color w:val="auto"/>
          <w:szCs w:val="21"/>
          <w:highlight w:val="none"/>
        </w:rPr>
        <w:t>11.4招标文件澄清、答复、修改、补充的内容为招标文件的组成部分。</w:t>
      </w:r>
      <w:r>
        <w:rPr>
          <w:rFonts w:hint="eastAsia" w:ascii="宋体" w:hAnsi="宋体"/>
          <w:b/>
          <w:color w:val="auto"/>
          <w:szCs w:val="21"/>
          <w:highlight w:val="none"/>
        </w:rPr>
        <w:t>当招标文件与招标文件的澄清、答复、修改、补充通知就同一内容的表述不一致时，以最后发出的文件为准。</w:t>
      </w:r>
    </w:p>
    <w:p w14:paraId="1EBCF49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w:t>
      </w:r>
      <w:r>
        <w:rPr>
          <w:rFonts w:hAnsi="宋体"/>
          <w:color w:val="auto"/>
          <w:sz w:val="21"/>
          <w:highlight w:val="none"/>
        </w:rPr>
        <w:t>1.</w:t>
      </w:r>
      <w:bookmarkStart w:id="95" w:name="_Hlk53134511"/>
      <w:r>
        <w:rPr>
          <w:rFonts w:hint="eastAsia" w:hAnsi="宋体"/>
          <w:color w:val="auto"/>
          <w:sz w:val="21"/>
          <w:highlight w:val="none"/>
        </w:rPr>
        <w:t>5采购人或者采购代理机构可以在招标文件提供期限截止后，组织已获取招标文件的潜在投标人现场考察或者召开开标前答疑会，具体详见“投标人须知前附表”。</w:t>
      </w:r>
    </w:p>
    <w:p w14:paraId="6105ECFE">
      <w:pPr>
        <w:pStyle w:val="25"/>
        <w:snapToGrid w:val="0"/>
        <w:spacing w:line="360" w:lineRule="auto"/>
        <w:ind w:firstLine="420" w:firstLineChars="200"/>
        <w:rPr>
          <w:rFonts w:hAnsi="宋体"/>
          <w:color w:val="auto"/>
          <w:sz w:val="21"/>
          <w:highlight w:val="none"/>
        </w:rPr>
      </w:pPr>
    </w:p>
    <w:bookmarkEnd w:id="95"/>
    <w:p w14:paraId="601DECDE">
      <w:pPr>
        <w:pStyle w:val="4"/>
        <w:keepNext w:val="0"/>
        <w:keepLines w:val="0"/>
        <w:jc w:val="center"/>
        <w:rPr>
          <w:rFonts w:ascii="宋体" w:hAnsi="宋体" w:eastAsia="宋体"/>
          <w:color w:val="auto"/>
          <w:highlight w:val="none"/>
        </w:rPr>
      </w:pPr>
      <w:bookmarkStart w:id="96" w:name="_Toc254970676"/>
      <w:bookmarkStart w:id="97" w:name="_Toc254970535"/>
      <w:r>
        <w:rPr>
          <w:rFonts w:hint="eastAsia" w:ascii="宋体" w:hAnsi="宋体" w:eastAsia="宋体"/>
          <w:color w:val="auto"/>
          <w:highlight w:val="none"/>
        </w:rPr>
        <w:t>三、投标文件的编制</w:t>
      </w:r>
      <w:bookmarkEnd w:id="96"/>
      <w:bookmarkEnd w:id="97"/>
    </w:p>
    <w:p w14:paraId="1F8A69A6">
      <w:pPr>
        <w:pStyle w:val="6"/>
        <w:keepNext w:val="0"/>
        <w:keepLines w:val="0"/>
        <w:spacing w:before="0" w:after="0" w:line="360" w:lineRule="auto"/>
        <w:ind w:left="420" w:leftChars="200"/>
        <w:rPr>
          <w:rFonts w:ascii="宋体" w:hAnsi="宋体"/>
          <w:color w:val="auto"/>
          <w:highlight w:val="none"/>
        </w:rPr>
      </w:pPr>
      <w:bookmarkStart w:id="98" w:name="_Toc254970677"/>
      <w:bookmarkStart w:id="99" w:name="_Toc254970536"/>
      <w:r>
        <w:rPr>
          <w:rFonts w:hint="eastAsia" w:ascii="宋体" w:hAnsi="宋体"/>
          <w:color w:val="auto"/>
          <w:highlight w:val="none"/>
        </w:rPr>
        <w:t>12.投标文件的编制原则</w:t>
      </w:r>
    </w:p>
    <w:p w14:paraId="4C9839E0">
      <w:pPr>
        <w:snapToGrid w:val="0"/>
        <w:spacing w:line="360" w:lineRule="auto"/>
        <w:ind w:firstLine="420"/>
        <w:jc w:val="left"/>
        <w:rPr>
          <w:rFonts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1B97AF96">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13.投标文件的组成</w:t>
      </w:r>
      <w:bookmarkEnd w:id="98"/>
      <w:bookmarkEnd w:id="99"/>
    </w:p>
    <w:p w14:paraId="3BAA27A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3.1</w:t>
      </w:r>
      <w:r>
        <w:rPr>
          <w:rFonts w:hint="eastAsia" w:ascii="宋体" w:hAnsi="宋体"/>
          <w:color w:val="auto"/>
          <w:szCs w:val="21"/>
          <w:highlight w:val="none"/>
        </w:rPr>
        <w:t>投标文件由报价文件、资格证明文件、商务文件、技术文件四部分组成。</w:t>
      </w:r>
    </w:p>
    <w:p w14:paraId="5DE78315">
      <w:pPr>
        <w:pStyle w:val="6"/>
        <w:keepNext w:val="0"/>
        <w:keepLines w:val="0"/>
        <w:spacing w:before="0" w:after="0" w:line="360" w:lineRule="auto"/>
        <w:ind w:left="420" w:leftChars="200"/>
        <w:rPr>
          <w:rFonts w:ascii="宋体" w:hAnsi="宋体"/>
          <w:b/>
          <w:color w:val="auto"/>
          <w:sz w:val="21"/>
          <w:szCs w:val="21"/>
          <w:highlight w:val="none"/>
        </w:rPr>
      </w:pPr>
      <w:bookmarkStart w:id="100" w:name="_13.1报价文件:_具体材料见“投标人须知前附表”。"/>
      <w:bookmarkEnd w:id="100"/>
      <w:r>
        <w:rPr>
          <w:rFonts w:hint="eastAsia" w:ascii="宋体" w:hAnsi="宋体"/>
          <w:color w:val="auto"/>
          <w:sz w:val="21"/>
          <w:szCs w:val="21"/>
          <w:highlight w:val="none"/>
        </w:rPr>
        <w:t>（1）报价文件：</w:t>
      </w:r>
      <w:r>
        <w:rPr>
          <w:rFonts w:ascii="宋体" w:hAnsi="宋体"/>
          <w:color w:val="auto"/>
          <w:sz w:val="21"/>
          <w:szCs w:val="21"/>
          <w:highlight w:val="none"/>
        </w:rPr>
        <w:t xml:space="preserve"> 具体材料见“投标人须知前附表”</w:t>
      </w:r>
      <w:r>
        <w:rPr>
          <w:rFonts w:hint="eastAsia" w:ascii="宋体" w:hAnsi="宋体"/>
          <w:color w:val="auto"/>
          <w:sz w:val="21"/>
          <w:szCs w:val="21"/>
          <w:highlight w:val="none"/>
        </w:rPr>
        <w:t>。</w:t>
      </w:r>
    </w:p>
    <w:p w14:paraId="71CE63EA">
      <w:pPr>
        <w:pStyle w:val="6"/>
        <w:keepNext w:val="0"/>
        <w:keepLines w:val="0"/>
        <w:spacing w:before="0" w:after="0" w:line="360" w:lineRule="auto"/>
        <w:ind w:left="420" w:leftChars="200"/>
        <w:rPr>
          <w:rFonts w:ascii="宋体" w:hAnsi="宋体"/>
          <w:b/>
          <w:color w:val="auto"/>
          <w:sz w:val="21"/>
          <w:szCs w:val="21"/>
          <w:highlight w:val="none"/>
        </w:rPr>
      </w:pPr>
      <w:bookmarkStart w:id="101" w:name="_13.2资格证明文件：具体材料见“投标人须知前附表”。"/>
      <w:bookmarkEnd w:id="101"/>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）资格证明文件：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p>
    <w:p w14:paraId="0396CFDD">
      <w:pPr>
        <w:pStyle w:val="6"/>
        <w:keepNext w:val="0"/>
        <w:keepLines w:val="0"/>
        <w:spacing w:before="0" w:after="0" w:line="360" w:lineRule="auto"/>
        <w:ind w:left="420" w:leftChars="200"/>
        <w:rPr>
          <w:rFonts w:ascii="宋体" w:hAnsi="宋体"/>
          <w:b/>
          <w:color w:val="auto"/>
          <w:sz w:val="21"/>
          <w:szCs w:val="21"/>
          <w:highlight w:val="none"/>
        </w:rPr>
      </w:pPr>
      <w:bookmarkStart w:id="102" w:name="_13.3商务文件:_具体材料见“投标人须知前附表”。"/>
      <w:bookmarkEnd w:id="102"/>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）商务文件：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p>
    <w:p w14:paraId="52AEC718">
      <w:pPr>
        <w:pStyle w:val="6"/>
        <w:keepNext w:val="0"/>
        <w:keepLines w:val="0"/>
        <w:spacing w:before="0" w:after="0" w:line="360" w:lineRule="auto"/>
        <w:ind w:left="420" w:leftChars="200"/>
        <w:rPr>
          <w:rFonts w:ascii="宋体" w:hAnsi="宋体"/>
          <w:b/>
          <w:color w:val="auto"/>
          <w:sz w:val="21"/>
          <w:szCs w:val="21"/>
          <w:highlight w:val="none"/>
        </w:rPr>
      </w:pPr>
      <w:bookmarkStart w:id="103" w:name="_13.4技术文件：具体材料见“投标人须知前附表”。"/>
      <w:bookmarkEnd w:id="103"/>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）技术文件：</w:t>
      </w:r>
      <w:r>
        <w:rPr>
          <w:rFonts w:ascii="宋体" w:hAnsi="宋体"/>
          <w:color w:val="auto"/>
          <w:sz w:val="21"/>
          <w:szCs w:val="21"/>
          <w:highlight w:val="none"/>
        </w:rPr>
        <w:t>具体材料见“投标人须知前附表”</w:t>
      </w:r>
      <w:r>
        <w:rPr>
          <w:rFonts w:hint="eastAsia" w:ascii="宋体" w:hAnsi="宋体"/>
          <w:color w:val="auto"/>
          <w:sz w:val="21"/>
          <w:szCs w:val="21"/>
          <w:highlight w:val="none"/>
        </w:rPr>
        <w:t>。</w:t>
      </w:r>
      <w:bookmarkStart w:id="104" w:name="_13.5投标文件电子版：具体材料见“投标人须知前附表”。"/>
      <w:bookmarkEnd w:id="104"/>
    </w:p>
    <w:p w14:paraId="34E9CD9C">
      <w:pPr>
        <w:pStyle w:val="6"/>
        <w:keepNext w:val="0"/>
        <w:keepLines w:val="0"/>
        <w:spacing w:before="0" w:after="0" w:line="360" w:lineRule="auto"/>
        <w:ind w:left="420" w:leftChars="200"/>
        <w:rPr>
          <w:rFonts w:ascii="宋体" w:hAnsi="宋体"/>
          <w:color w:val="auto"/>
          <w:highlight w:val="none"/>
        </w:rPr>
      </w:pPr>
      <w:bookmarkStart w:id="105" w:name="_Toc254970537"/>
      <w:bookmarkStart w:id="106" w:name="_Toc254970678"/>
      <w:r>
        <w:rPr>
          <w:rFonts w:hint="eastAsia" w:ascii="宋体" w:hAnsi="宋体"/>
          <w:color w:val="auto"/>
          <w:highlight w:val="none"/>
        </w:rPr>
        <w:t>14.投标文件的语言及计量</w:t>
      </w:r>
      <w:bookmarkEnd w:id="105"/>
      <w:bookmarkEnd w:id="106"/>
    </w:p>
    <w:p w14:paraId="72F6131E">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14.1语言文字</w:t>
      </w:r>
    </w:p>
    <w:p w14:paraId="79438926">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1F6BBD1">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14.2投标计量单位</w:t>
      </w:r>
    </w:p>
    <w:p w14:paraId="62942C6C">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招标文件已有明确规定的，使用招标文件规定的计量单位；招标文件没有规定的，应采用中华人民共和国法定计量单位，货币种类为人民币，否则视同未响应。</w:t>
      </w:r>
    </w:p>
    <w:p w14:paraId="31AF2DF2">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15.投标的风险</w:t>
      </w:r>
    </w:p>
    <w:p w14:paraId="026859F5">
      <w:pPr>
        <w:pStyle w:val="25"/>
        <w:snapToGrid w:val="0"/>
        <w:spacing w:line="360" w:lineRule="auto"/>
        <w:ind w:firstLine="420" w:firstLineChars="200"/>
        <w:jc w:val="left"/>
        <w:rPr>
          <w:rFonts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50F9A885">
      <w:pPr>
        <w:pStyle w:val="6"/>
        <w:keepNext w:val="0"/>
        <w:keepLines w:val="0"/>
        <w:spacing w:before="0" w:after="0" w:line="360" w:lineRule="auto"/>
        <w:ind w:left="420" w:leftChars="200"/>
        <w:rPr>
          <w:rFonts w:ascii="宋体" w:hAnsi="宋体"/>
          <w:color w:val="auto"/>
          <w:highlight w:val="none"/>
        </w:rPr>
      </w:pPr>
      <w:bookmarkStart w:id="107" w:name="_Toc254970679"/>
      <w:bookmarkStart w:id="108" w:name="_Toc254970538"/>
      <w:r>
        <w:rPr>
          <w:rFonts w:hint="eastAsia" w:ascii="宋体" w:hAnsi="宋体"/>
          <w:color w:val="auto"/>
          <w:highlight w:val="none"/>
        </w:rPr>
        <w:t>16.投标报价</w:t>
      </w:r>
      <w:bookmarkEnd w:id="107"/>
      <w:bookmarkEnd w:id="108"/>
    </w:p>
    <w:p w14:paraId="6A01E1BD">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16.1投标报价应按“第六章　投标文件格式”中“开标一览表”格式填写。</w:t>
      </w:r>
    </w:p>
    <w:p w14:paraId="2B5CFEC6">
      <w:pPr>
        <w:pStyle w:val="6"/>
        <w:keepNext w:val="0"/>
        <w:keepLines w:val="0"/>
        <w:spacing w:before="0" w:after="0" w:line="360" w:lineRule="auto"/>
        <w:ind w:left="420" w:leftChars="200"/>
        <w:rPr>
          <w:rFonts w:ascii="宋体" w:hAnsi="宋体"/>
          <w:b/>
          <w:color w:val="auto"/>
          <w:sz w:val="21"/>
          <w:szCs w:val="21"/>
          <w:highlight w:val="none"/>
        </w:rPr>
      </w:pPr>
      <w:bookmarkStart w:id="109" w:name="_16.2投标报价具体定义见投标人须知前附表。"/>
      <w:bookmarkEnd w:id="109"/>
      <w:r>
        <w:rPr>
          <w:rFonts w:hint="eastAsia" w:ascii="宋体" w:hAnsi="宋体"/>
          <w:color w:val="auto"/>
          <w:sz w:val="21"/>
          <w:szCs w:val="21"/>
          <w:highlight w:val="none"/>
        </w:rPr>
        <w:t>16.2投标报价具体包括内容详见“投标人须知前附表”。</w:t>
      </w:r>
    </w:p>
    <w:p w14:paraId="46D93727">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16.3投标人必须就所投每个分标的全部内容分别作完整唯一总价报价，不得存在漏项报价；投标人必须就所投分标的单项内容作唯一报价。</w:t>
      </w:r>
    </w:p>
    <w:p w14:paraId="583D0BF4">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17.投标有效期</w:t>
      </w:r>
    </w:p>
    <w:p w14:paraId="621E5F23">
      <w:pPr>
        <w:pStyle w:val="6"/>
        <w:keepNext w:val="0"/>
        <w:keepLines w:val="0"/>
        <w:spacing w:before="0" w:after="0" w:line="360" w:lineRule="auto"/>
        <w:ind w:firstLine="420" w:firstLineChars="200"/>
        <w:rPr>
          <w:rFonts w:ascii="宋体" w:hAnsi="宋体"/>
          <w:b/>
          <w:color w:val="auto"/>
          <w:sz w:val="21"/>
          <w:szCs w:val="21"/>
          <w:highlight w:val="none"/>
        </w:rPr>
      </w:pPr>
      <w:bookmarkStart w:id="110" w:name="_17.1投标有效期应按“投标人须知中的前附表”规定的期限。"/>
      <w:bookmarkEnd w:id="110"/>
      <w:r>
        <w:rPr>
          <w:rFonts w:hint="eastAsia" w:ascii="宋体" w:hAnsi="宋体"/>
          <w:color w:val="auto"/>
          <w:sz w:val="21"/>
          <w:szCs w:val="21"/>
          <w:highlight w:val="none"/>
        </w:rPr>
        <w:t>17.1投标有效期是指为保证采购人有足够的时间在开标后完成评标、定标、合同签订等工作而要求投标人提交的投标文件在一定时间内保持有效的期限。</w:t>
      </w:r>
    </w:p>
    <w:p w14:paraId="4560CB42">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17.2</w:t>
      </w:r>
      <w:bookmarkStart w:id="111" w:name="_Toc254970540"/>
      <w:bookmarkStart w:id="112" w:name="_Toc254970681"/>
      <w:r>
        <w:rPr>
          <w:rFonts w:hint="eastAsia" w:ascii="宋体" w:hAnsi="宋体"/>
          <w:color w:val="auto"/>
          <w:sz w:val="21"/>
          <w:szCs w:val="21"/>
          <w:highlight w:val="none"/>
        </w:rPr>
        <w:t xml:space="preserve"> 投标有效期应按规定的期限作出承诺，具体详见“投标人须知前附表”。</w:t>
      </w:r>
    </w:p>
    <w:p w14:paraId="5F7E6063">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17.3投标人的投标文件在投标有效期内均保持有效。</w:t>
      </w:r>
      <w:bookmarkEnd w:id="111"/>
      <w:bookmarkEnd w:id="112"/>
    </w:p>
    <w:p w14:paraId="2E6FE0AA">
      <w:pPr>
        <w:pStyle w:val="6"/>
        <w:keepNext w:val="0"/>
        <w:keepLines w:val="0"/>
        <w:spacing w:before="0" w:after="0" w:line="360" w:lineRule="auto"/>
        <w:ind w:left="420" w:leftChars="200"/>
        <w:rPr>
          <w:rFonts w:ascii="宋体" w:hAnsi="宋体"/>
          <w:color w:val="auto"/>
          <w:highlight w:val="none"/>
        </w:rPr>
      </w:pPr>
      <w:bookmarkStart w:id="113" w:name="_18.投标保证金"/>
      <w:bookmarkEnd w:id="113"/>
      <w:bookmarkStart w:id="114" w:name="_Toc254970541"/>
      <w:bookmarkStart w:id="115" w:name="_Toc254970682"/>
      <w:r>
        <w:rPr>
          <w:rFonts w:hint="eastAsia" w:ascii="宋体" w:hAnsi="宋体"/>
          <w:color w:val="auto"/>
          <w:highlight w:val="none"/>
        </w:rPr>
        <w:t>18.投标保证金</w:t>
      </w:r>
      <w:bookmarkEnd w:id="114"/>
      <w:bookmarkEnd w:id="115"/>
    </w:p>
    <w:p w14:paraId="5B18045B">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18.1投标人须按“投标人须知前附表” 的规定提交投标保证金。</w:t>
      </w:r>
    </w:p>
    <w:p w14:paraId="17FA707D">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18.2投标保证金的退还</w:t>
      </w:r>
    </w:p>
    <w:p w14:paraId="0F3E2C6B">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 xml:space="preserve">未中标人的投标保证金自中标通知书发出之日起4个工作日内退还；中标人的投标保证金自政府采购合同签订之日起4个工作日内退还。 </w:t>
      </w:r>
    </w:p>
    <w:p w14:paraId="201BE9E2">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18.3除逾期退还投标保证金和终止招标的情形以外，投标保证金不计息。</w:t>
      </w:r>
    </w:p>
    <w:p w14:paraId="2BE0430C">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 xml:space="preserve">18.4投标人有下列情形之一的，投标保证金将不予退还： </w:t>
      </w:r>
    </w:p>
    <w:p w14:paraId="3A941AAD">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（1）投标人在投标有效期内撤销投标文件的；</w:t>
      </w:r>
    </w:p>
    <w:p w14:paraId="41BB1910">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（2）投标人在投标过程中弄虚作假，提供虚假材料的；</w:t>
      </w:r>
    </w:p>
    <w:p w14:paraId="4F97B2BA">
      <w:pPr>
        <w:snapToGrid w:val="0"/>
        <w:spacing w:line="360" w:lineRule="auto"/>
        <w:ind w:firstLine="411" w:firstLineChars="196"/>
        <w:rPr>
          <w:rFonts w:ascii="宋体" w:hAnsi="宋体"/>
          <w:color w:val="auto"/>
          <w:szCs w:val="21"/>
          <w:highlight w:val="none"/>
        </w:rPr>
      </w:pPr>
      <w:r>
        <w:rPr>
          <w:rFonts w:hint="eastAsia" w:ascii="宋体" w:hAnsi="宋体"/>
          <w:color w:val="auto"/>
          <w:szCs w:val="21"/>
          <w:highlight w:val="none"/>
        </w:rPr>
        <w:t>（3）中标人无正当理由不与采购人签订合同的；</w:t>
      </w:r>
    </w:p>
    <w:p w14:paraId="1B943C1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（4）投标人出现本章第9.2、9.3情形的；</w:t>
      </w:r>
    </w:p>
    <w:p w14:paraId="6D9E4C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1F1B4FAB">
      <w:pPr>
        <w:pStyle w:val="6"/>
        <w:keepNext w:val="0"/>
        <w:keepLines w:val="0"/>
        <w:spacing w:before="0" w:after="0" w:line="360" w:lineRule="auto"/>
        <w:ind w:left="420" w:leftChars="200"/>
        <w:rPr>
          <w:rFonts w:ascii="宋体" w:hAnsi="宋体"/>
          <w:color w:val="auto"/>
          <w:highlight w:val="none"/>
        </w:rPr>
      </w:pPr>
      <w:bookmarkStart w:id="116" w:name="_Toc254970542"/>
      <w:bookmarkStart w:id="117" w:name="_Toc254970683"/>
      <w:r>
        <w:rPr>
          <w:rFonts w:hint="eastAsia" w:ascii="宋体" w:hAnsi="宋体"/>
          <w:color w:val="auto"/>
          <w:highlight w:val="none"/>
        </w:rPr>
        <w:t>19.投标文件的</w:t>
      </w:r>
      <w:bookmarkEnd w:id="116"/>
      <w:bookmarkEnd w:id="117"/>
      <w:r>
        <w:rPr>
          <w:rFonts w:hint="eastAsia" w:ascii="宋体" w:hAnsi="宋体"/>
          <w:color w:val="auto"/>
          <w:highlight w:val="none"/>
        </w:rPr>
        <w:t>编制</w:t>
      </w:r>
    </w:p>
    <w:p w14:paraId="2B632605">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7DA01639">
      <w:pPr>
        <w:pStyle w:val="6"/>
        <w:keepNext w:val="0"/>
        <w:keepLines w:val="0"/>
        <w:spacing w:before="0" w:after="0" w:line="360" w:lineRule="auto"/>
        <w:ind w:firstLine="420" w:firstLineChars="200"/>
        <w:rPr>
          <w:rFonts w:ascii="宋体" w:hAnsi="宋体"/>
          <w:b/>
          <w:color w:val="auto"/>
          <w:sz w:val="21"/>
          <w:szCs w:val="21"/>
          <w:highlight w:val="none"/>
        </w:rPr>
      </w:pPr>
      <w:bookmarkStart w:id="118" w:name="_19.2投标文件应按报价文件、资格证明文件、商务文件、技术文件分别编制"/>
      <w:bookmarkEnd w:id="118"/>
      <w:r>
        <w:rPr>
          <w:rFonts w:hint="eastAsia" w:ascii="宋体" w:hAnsi="宋体"/>
          <w:color w:val="auto"/>
          <w:sz w:val="21"/>
          <w:szCs w:val="21"/>
          <w:highlight w:val="none"/>
        </w:rPr>
        <w:t>19.2投标文件应按报价文件、资格证明文件、商务文件、技术文件分别编制电子文件，并按“广西政府采购云平台”平台的要求编制、加密、上传。</w:t>
      </w:r>
    </w:p>
    <w:p w14:paraId="1CF9B855">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19.</w:t>
      </w:r>
      <w:bookmarkStart w:id="119" w:name="_Hlk65832616"/>
      <w:r>
        <w:rPr>
          <w:rFonts w:hint="eastAsia" w:ascii="宋体" w:hAnsi="宋体"/>
          <w:color w:val="auto"/>
          <w:sz w:val="21"/>
          <w:szCs w:val="21"/>
          <w:highlight w:val="none"/>
        </w:rPr>
        <w:t>3投标文件须由投标人在规定位置盖公章并签字</w:t>
      </w:r>
      <w:bookmarkStart w:id="120" w:name="_Hlk65832569"/>
      <w:r>
        <w:rPr>
          <w:rFonts w:hint="eastAsia" w:ascii="宋体" w:hAnsi="宋体"/>
          <w:color w:val="auto"/>
          <w:sz w:val="21"/>
          <w:szCs w:val="21"/>
          <w:highlight w:val="none"/>
        </w:rPr>
        <w:t>（具体以投标人须知前附表或投标文件格式规定为准）</w:t>
      </w:r>
      <w:bookmarkEnd w:id="119"/>
      <w:bookmarkEnd w:id="120"/>
      <w:r>
        <w:rPr>
          <w:rFonts w:hint="eastAsia" w:ascii="宋体" w:hAnsi="宋体"/>
          <w:color w:val="auto"/>
          <w:sz w:val="21"/>
          <w:szCs w:val="21"/>
          <w:highlight w:val="none"/>
        </w:rPr>
        <w:t>，</w:t>
      </w:r>
      <w:r>
        <w:rPr>
          <w:rFonts w:hint="eastAsia" w:ascii="宋体" w:hAnsi="宋体"/>
          <w:bCs/>
          <w:color w:val="auto"/>
          <w:sz w:val="21"/>
          <w:szCs w:val="21"/>
          <w:highlight w:val="none"/>
        </w:rPr>
        <w:t>否则按无效投标处理</w:t>
      </w:r>
      <w:r>
        <w:rPr>
          <w:rFonts w:hint="eastAsia" w:ascii="宋体" w:hAnsi="宋体"/>
          <w:color w:val="auto"/>
          <w:sz w:val="21"/>
          <w:szCs w:val="21"/>
          <w:highlight w:val="none"/>
        </w:rPr>
        <w:t>。</w:t>
      </w:r>
    </w:p>
    <w:p w14:paraId="3EE69849">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19.4投标文件中标注的投标人名称应与主体资格证明（如营业执照、事业单位法人证书、执业许可证、自然人身份证等）及公章一致，否则按无效投标处理。</w:t>
      </w:r>
    </w:p>
    <w:p w14:paraId="51BF68CB">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0BA41F8E">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20.投标文件的加密、解密</w:t>
      </w:r>
    </w:p>
    <w:p w14:paraId="6C024537">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20.1电子投标文件编制完成后，投标人应按“广西政府采购云平台”的要求进行加密，并在规定时间内解密，否则，由此产生的后果由投标人自行负责。</w:t>
      </w:r>
    </w:p>
    <w:p w14:paraId="1D180629">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21.投标文件的提交</w:t>
      </w:r>
    </w:p>
    <w:p w14:paraId="36FCBB30">
      <w:pPr>
        <w:pStyle w:val="6"/>
        <w:keepNext w:val="0"/>
        <w:keepLines w:val="0"/>
        <w:spacing w:before="0" w:after="0" w:line="360" w:lineRule="auto"/>
        <w:ind w:firstLine="420" w:firstLineChars="200"/>
        <w:rPr>
          <w:rFonts w:ascii="宋体" w:hAnsi="宋体"/>
          <w:b/>
          <w:color w:val="auto"/>
          <w:sz w:val="21"/>
          <w:szCs w:val="21"/>
          <w:highlight w:val="none"/>
        </w:rPr>
      </w:pPr>
      <w:bookmarkStart w:id="121" w:name="_21.1投标人必须在“投标人须知中的前附表”规定的投标文件接收时间和投"/>
      <w:bookmarkEnd w:id="121"/>
      <w:r>
        <w:rPr>
          <w:rFonts w:hint="eastAsia" w:ascii="宋体" w:hAnsi="宋体"/>
          <w:color w:val="auto"/>
          <w:sz w:val="21"/>
          <w:szCs w:val="21"/>
          <w:highlight w:val="none"/>
        </w:rPr>
        <w:t>21.1投标人必须在“投标人须知前附表”规定的投标文件接收时间和投标地点提交投标文件。</w:t>
      </w:r>
    </w:p>
    <w:p w14:paraId="3B6CBBE7">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21.2本项目为全流程电子化政府采购项目，通过广西政府采购云平台（</w:t>
      </w:r>
      <w:r>
        <w:rPr>
          <w:rFonts w:ascii="宋体" w:hAnsi="宋体"/>
          <w:color w:val="auto"/>
          <w:sz w:val="21"/>
          <w:szCs w:val="21"/>
          <w:highlight w:val="none"/>
        </w:rPr>
        <w:t>https://www.gcy.zfcg.gxzf.gov.cn</w:t>
      </w:r>
      <w:r>
        <w:rPr>
          <w:rFonts w:hint="eastAsia" w:ascii="宋体" w:hAnsi="宋体"/>
          <w:color w:val="auto"/>
          <w:sz w:val="21"/>
          <w:szCs w:val="21"/>
          <w:highlight w:val="none"/>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41072645">
      <w:pPr>
        <w:pStyle w:val="6"/>
        <w:keepNext w:val="0"/>
        <w:keepLines w:val="0"/>
        <w:spacing w:before="0" w:after="0" w:line="360" w:lineRule="auto"/>
        <w:ind w:firstLine="420" w:firstLineChars="200"/>
        <w:jc w:val="left"/>
        <w:rPr>
          <w:rFonts w:ascii="宋体" w:hAnsi="宋体"/>
          <w:b/>
          <w:color w:val="auto"/>
          <w:sz w:val="21"/>
          <w:szCs w:val="21"/>
          <w:highlight w:val="none"/>
        </w:rPr>
      </w:pPr>
      <w:r>
        <w:rPr>
          <w:rFonts w:hint="eastAsia" w:ascii="宋体" w:hAnsi="宋体"/>
          <w:color w:val="auto"/>
          <w:sz w:val="21"/>
          <w:szCs w:val="21"/>
          <w:highlight w:val="none"/>
        </w:rPr>
        <w:t>21.3未在规定时间内上传或者未按广西政府采购云平台的要求编制、加密的电子投标文件，广西政府采购云平台将拒收。</w:t>
      </w:r>
    </w:p>
    <w:p w14:paraId="79D13ADD">
      <w:pPr>
        <w:pStyle w:val="14"/>
        <w:rPr>
          <w:rFonts w:ascii="宋体" w:hAnsi="宋体"/>
          <w:color w:val="auto"/>
          <w:highlight w:val="none"/>
        </w:rPr>
      </w:pPr>
      <w:r>
        <w:rPr>
          <w:rFonts w:hint="eastAsia" w:ascii="宋体" w:hAnsi="宋体"/>
          <w:color w:val="auto"/>
          <w:szCs w:val="21"/>
          <w:highlight w:val="none"/>
        </w:rPr>
        <w:t>21.4电子投标文件提交方式见“招标公告”中“四、提交投标文件截止时间、开标时间和地点”</w:t>
      </w:r>
    </w:p>
    <w:p w14:paraId="16D5BE28">
      <w:pPr>
        <w:pStyle w:val="14"/>
        <w:rPr>
          <w:rFonts w:ascii="宋体" w:hAnsi="宋体"/>
          <w:color w:val="auto"/>
          <w:highlight w:val="none"/>
        </w:rPr>
      </w:pPr>
    </w:p>
    <w:p w14:paraId="4A1CA536">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22. 投标文件的补充、修改、撤回与退回</w:t>
      </w:r>
    </w:p>
    <w:p w14:paraId="0E359091">
      <w:pPr>
        <w:snapToGrid w:val="0"/>
        <w:spacing w:line="360" w:lineRule="auto"/>
        <w:ind w:firstLine="420"/>
        <w:jc w:val="left"/>
        <w:rPr>
          <w:rFonts w:ascii="宋体" w:hAnsi="宋体"/>
          <w:color w:val="auto"/>
          <w:szCs w:val="21"/>
          <w:highlight w:val="none"/>
        </w:rPr>
      </w:pPr>
      <w:bookmarkStart w:id="122" w:name="_Toc254970684"/>
      <w:bookmarkStart w:id="123" w:name="_Toc254970543"/>
      <w:r>
        <w:rPr>
          <w:rFonts w:hint="eastAsia" w:ascii="宋体" w:hAnsi="宋体"/>
          <w:color w:val="auto"/>
          <w:szCs w:val="21"/>
          <w:highlight w:val="none"/>
        </w:rPr>
        <w:t>2</w:t>
      </w:r>
      <w:r>
        <w:rPr>
          <w:rFonts w:ascii="宋体" w:hAnsi="宋体"/>
          <w:color w:val="auto"/>
          <w:szCs w:val="21"/>
          <w:highlight w:val="none"/>
        </w:rPr>
        <w:t>2.1</w:t>
      </w:r>
      <w:r>
        <w:rPr>
          <w:rFonts w:hint="eastAsia" w:ascii="宋体" w:hAnsi="宋体"/>
          <w:color w:val="auto"/>
          <w:szCs w:val="21"/>
          <w:highlight w:val="none"/>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22"/>
    <w:bookmarkEnd w:id="123"/>
    <w:p w14:paraId="19B57620">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22.</w:t>
      </w:r>
      <w:r>
        <w:rPr>
          <w:rFonts w:ascii="宋体" w:hAnsi="宋体"/>
          <w:color w:val="auto"/>
          <w:szCs w:val="21"/>
          <w:highlight w:val="none"/>
        </w:rPr>
        <w:t>2</w:t>
      </w:r>
      <w:r>
        <w:rPr>
          <w:rFonts w:hint="eastAsia" w:ascii="宋体" w:hAnsi="宋体"/>
          <w:color w:val="auto"/>
          <w:szCs w:val="21"/>
          <w:highlight w:val="none"/>
        </w:rPr>
        <w:t>在投标截止时间止提交投标文件的投标人不足3家时，不得开标，采购代理机构将根据广西政府采购云平台的操作将电子版投标文件退回，除此之外采购人和采购代理机构对已提交的投标文件概不退回。</w:t>
      </w:r>
    </w:p>
    <w:p w14:paraId="65DFCB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2.3</w:t>
      </w:r>
      <w:r>
        <w:rPr>
          <w:rFonts w:hint="eastAsia" w:ascii="宋体" w:hAnsi="宋体" w:cs="宋体"/>
          <w:color w:val="auto"/>
          <w:szCs w:val="21"/>
          <w:highlight w:val="none"/>
        </w:rPr>
        <w:t xml:space="preserve"> 投标人在投标截止时间后书面通知采购人、采购代理机构撤销投标文件的，将根据本须知正文1</w:t>
      </w:r>
      <w:r>
        <w:rPr>
          <w:rFonts w:ascii="宋体" w:hAnsi="宋体" w:cs="宋体"/>
          <w:color w:val="auto"/>
          <w:szCs w:val="21"/>
          <w:highlight w:val="none"/>
        </w:rPr>
        <w:t>8</w:t>
      </w:r>
      <w:r>
        <w:rPr>
          <w:rFonts w:hint="eastAsia" w:ascii="宋体" w:hAnsi="宋体" w:cs="宋体"/>
          <w:color w:val="auto"/>
          <w:szCs w:val="21"/>
          <w:highlight w:val="none"/>
        </w:rPr>
        <w:t>.4的规定不予退还其投标保证金。</w:t>
      </w:r>
    </w:p>
    <w:p w14:paraId="21D26D45">
      <w:pPr>
        <w:pStyle w:val="20"/>
        <w:snapToGrid w:val="0"/>
        <w:spacing w:line="360" w:lineRule="auto"/>
        <w:ind w:firstLine="739"/>
        <w:rPr>
          <w:rFonts w:ascii="宋体" w:hAnsi="宋体"/>
          <w:snapToGrid w:val="0"/>
          <w:color w:val="auto"/>
          <w:szCs w:val="21"/>
          <w:highlight w:val="none"/>
        </w:rPr>
      </w:pPr>
    </w:p>
    <w:p w14:paraId="7769AF34">
      <w:pPr>
        <w:pStyle w:val="4"/>
        <w:keepNext w:val="0"/>
        <w:keepLines w:val="0"/>
        <w:jc w:val="center"/>
        <w:rPr>
          <w:rFonts w:ascii="宋体" w:hAnsi="宋体" w:eastAsia="宋体"/>
          <w:color w:val="auto"/>
          <w:highlight w:val="none"/>
        </w:rPr>
      </w:pPr>
      <w:bookmarkStart w:id="124" w:name="_Toc254970685"/>
      <w:bookmarkStart w:id="125" w:name="_Toc254970544"/>
      <w:r>
        <w:rPr>
          <w:rFonts w:hint="eastAsia" w:ascii="宋体" w:hAnsi="宋体" w:eastAsia="宋体"/>
          <w:color w:val="auto"/>
          <w:highlight w:val="none"/>
        </w:rPr>
        <w:t>四、开    标</w:t>
      </w:r>
      <w:bookmarkEnd w:id="124"/>
      <w:bookmarkEnd w:id="125"/>
    </w:p>
    <w:p w14:paraId="0600AE8D">
      <w:pPr>
        <w:pStyle w:val="6"/>
        <w:keepNext w:val="0"/>
        <w:keepLines w:val="0"/>
        <w:spacing w:before="0" w:after="0" w:line="360" w:lineRule="auto"/>
        <w:ind w:left="420" w:leftChars="200"/>
        <w:rPr>
          <w:rFonts w:ascii="宋体" w:hAnsi="宋体"/>
          <w:color w:val="auto"/>
          <w:highlight w:val="none"/>
        </w:rPr>
      </w:pPr>
      <w:bookmarkStart w:id="126" w:name="_23.开标时间和地点"/>
      <w:bookmarkEnd w:id="126"/>
      <w:r>
        <w:rPr>
          <w:rFonts w:hint="eastAsia" w:ascii="宋体" w:hAnsi="宋体"/>
          <w:color w:val="auto"/>
          <w:highlight w:val="none"/>
        </w:rPr>
        <w:t>23.开标时间和地点</w:t>
      </w:r>
    </w:p>
    <w:p w14:paraId="4EB6BE34">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23.1开标时间及地点详见“投标人须知前附表”</w:t>
      </w:r>
    </w:p>
    <w:p w14:paraId="451FBE8A">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23.2如投标人成功解密投标文件，但未在广西政府采购云平台电子开标大厅参加开标的，视同认可开标过程和结果，由此产生的后果由投标人自行负责。成功解密投标文件的投标人不足3家的，不得开标。</w:t>
      </w:r>
    </w:p>
    <w:p w14:paraId="4B768C4E">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24.开标程序</w:t>
      </w:r>
    </w:p>
    <w:p w14:paraId="760B122C">
      <w:pPr>
        <w:autoSpaceDE w:val="0"/>
        <w:autoSpaceDN w:val="0"/>
        <w:adjustRightInd w:val="0"/>
        <w:spacing w:line="440" w:lineRule="exact"/>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01199E5A">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采购代理机构将按照招标文件规定的时间通过广西政府采购云平台组织线上开标活动、开启投标文件，所有供应商均应当准时在线参加。投标人</w:t>
      </w:r>
      <w:r>
        <w:rPr>
          <w:rFonts w:ascii="宋体" w:hAnsi="宋体"/>
          <w:bCs/>
          <w:color w:val="auto"/>
          <w:szCs w:val="21"/>
          <w:highlight w:val="none"/>
        </w:rPr>
        <w:t>如不</w:t>
      </w:r>
      <w:r>
        <w:rPr>
          <w:rFonts w:hint="eastAsia" w:ascii="宋体" w:hAnsi="宋体"/>
          <w:bCs/>
          <w:color w:val="auto"/>
          <w:szCs w:val="21"/>
          <w:highlight w:val="none"/>
        </w:rPr>
        <w:t>参加</w:t>
      </w:r>
      <w:r>
        <w:rPr>
          <w:rFonts w:ascii="宋体" w:hAnsi="宋体"/>
          <w:bCs/>
          <w:color w:val="auto"/>
          <w:szCs w:val="21"/>
          <w:highlight w:val="none"/>
        </w:rPr>
        <w:t>开标大会的，</w:t>
      </w:r>
      <w:r>
        <w:rPr>
          <w:rFonts w:hint="eastAsia" w:ascii="宋体" w:hAnsi="宋体"/>
          <w:bCs/>
          <w:color w:val="auto"/>
          <w:szCs w:val="21"/>
          <w:highlight w:val="none"/>
        </w:rPr>
        <w:t>视同认可开标结果，</w:t>
      </w:r>
      <w:r>
        <w:rPr>
          <w:rFonts w:ascii="宋体" w:hAnsi="宋体"/>
          <w:bCs/>
          <w:color w:val="auto"/>
          <w:szCs w:val="21"/>
          <w:highlight w:val="none"/>
        </w:rPr>
        <w:t>事后不得对采购相关人员、开标过程和开标结果提出异议</w:t>
      </w:r>
      <w:r>
        <w:rPr>
          <w:rFonts w:hint="eastAsia" w:ascii="宋体" w:hAnsi="宋体"/>
          <w:bCs/>
          <w:color w:val="auto"/>
          <w:szCs w:val="21"/>
          <w:highlight w:val="none"/>
        </w:rPr>
        <w:t>，同时投标人因未在线参加开标而导致投标文件无法按时解密等一切后果由投标人自己承担。</w:t>
      </w:r>
    </w:p>
    <w:p w14:paraId="0D868373">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24.2</w:t>
      </w:r>
      <w:r>
        <w:rPr>
          <w:rFonts w:ascii="宋体" w:hAnsi="宋体"/>
          <w:bCs/>
          <w:color w:val="auto"/>
          <w:szCs w:val="21"/>
          <w:highlight w:val="none"/>
        </w:rPr>
        <w:t>开</w:t>
      </w:r>
      <w:r>
        <w:rPr>
          <w:rFonts w:hint="eastAsia" w:ascii="宋体" w:hAnsi="宋体"/>
          <w:bCs/>
          <w:color w:val="auto"/>
          <w:szCs w:val="21"/>
          <w:highlight w:val="none"/>
        </w:rPr>
        <w:t>标</w:t>
      </w:r>
      <w:r>
        <w:rPr>
          <w:rFonts w:ascii="宋体" w:hAnsi="宋体"/>
          <w:bCs/>
          <w:color w:val="auto"/>
          <w:szCs w:val="21"/>
          <w:highlight w:val="none"/>
        </w:rPr>
        <w:t>程序：</w:t>
      </w:r>
    </w:p>
    <w:p w14:paraId="660FC0C4">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b/>
          <w:bCs/>
          <w:color w:val="auto"/>
          <w:szCs w:val="21"/>
          <w:highlight w:val="none"/>
        </w:rPr>
        <w:t>投标人的法定代表人或其委托代理人须携带加密时所用的CA锁准时登录到广西政府采购云平台电子开标大厅签到</w:t>
      </w:r>
      <w:r>
        <w:rPr>
          <w:rFonts w:hint="eastAsia" w:ascii="宋体" w:hAnsi="宋体" w:cs="宋体"/>
          <w:b/>
          <w:color w:val="auto"/>
          <w:szCs w:val="21"/>
          <w:highlight w:val="none"/>
        </w:rPr>
        <w:t>并在发起解密</w:t>
      </w:r>
      <w:r>
        <w:rPr>
          <w:rFonts w:hint="eastAsia" w:ascii="宋体" w:hAnsi="宋体"/>
          <w:b/>
          <w:bCs/>
          <w:color w:val="auto"/>
          <w:szCs w:val="21"/>
          <w:highlight w:val="none"/>
        </w:rPr>
        <w:t>通知</w:t>
      </w:r>
      <w:r>
        <w:rPr>
          <w:rFonts w:hint="eastAsia" w:ascii="宋体" w:hAnsi="宋体" w:cs="宋体"/>
          <w:b/>
          <w:color w:val="auto"/>
          <w:szCs w:val="21"/>
          <w:highlight w:val="none"/>
        </w:rPr>
        <w:t>之时起30分钟内完成</w:t>
      </w:r>
      <w:r>
        <w:rPr>
          <w:rFonts w:hint="eastAsia" w:ascii="宋体" w:hAnsi="宋体"/>
          <w:b/>
          <w:bCs/>
          <w:color w:val="auto"/>
          <w:szCs w:val="21"/>
          <w:highlight w:val="none"/>
        </w:rPr>
        <w:t>对电子投标文件解密。投标文件未按时解密的，视为无效投标。</w:t>
      </w:r>
      <w:r>
        <w:rPr>
          <w:rFonts w:hint="eastAsia" w:ascii="宋体" w:hAnsi="宋体"/>
          <w:bCs/>
          <w:color w:val="auto"/>
          <w:szCs w:val="21"/>
          <w:highlight w:val="none"/>
        </w:rPr>
        <w:t>（解密异常情况处理：详见本章29.4 电子交易活动的中止）</w:t>
      </w:r>
    </w:p>
    <w:p w14:paraId="11CB26A4">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（2）电子唱标。投标文件解密结束，各投标供应商报价均在广西政府采购云平台远程不见面开标大厅展示；</w:t>
      </w:r>
    </w:p>
    <w:p w14:paraId="7E21B9F1">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（3）签署电子《政府采购活动现场确认声明书》。通过邮件形式在远程不见面开标大厅发送各投标人签署电子《政府采购活动现场确认声明书》。</w:t>
      </w:r>
    </w:p>
    <w:p w14:paraId="7BB5413D">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2ED9C11">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62DC1A90">
      <w:pPr>
        <w:autoSpaceDE w:val="0"/>
        <w:autoSpaceDN w:val="0"/>
        <w:adjustRightInd w:val="0"/>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（6）开标结束。</w:t>
      </w:r>
    </w:p>
    <w:p w14:paraId="5F7EA4AB">
      <w:pPr>
        <w:autoSpaceDE w:val="0"/>
        <w:autoSpaceDN w:val="0"/>
        <w:adjustRightInd w:val="0"/>
        <w:spacing w:line="44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特别说明：如遇广西政府采购云平台电子化开标或评审程序调整的，按调整后执行。</w:t>
      </w:r>
    </w:p>
    <w:p w14:paraId="1D05A31F">
      <w:pPr>
        <w:pStyle w:val="25"/>
        <w:snapToGrid w:val="0"/>
        <w:spacing w:line="360" w:lineRule="auto"/>
        <w:ind w:left="689" w:leftChars="228" w:hanging="210" w:hangingChars="100"/>
        <w:rPr>
          <w:rFonts w:hAnsi="宋体"/>
          <w:color w:val="auto"/>
          <w:sz w:val="21"/>
          <w:highlight w:val="none"/>
        </w:rPr>
      </w:pPr>
    </w:p>
    <w:p w14:paraId="03DAA4C2">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五、资格审查</w:t>
      </w:r>
    </w:p>
    <w:p w14:paraId="5D733716">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25.资格审查</w:t>
      </w:r>
    </w:p>
    <w:p w14:paraId="5EB1E85C">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25.1</w:t>
      </w:r>
      <w:r>
        <w:rPr>
          <w:rFonts w:ascii="宋体" w:hAnsi="宋体"/>
          <w:color w:val="auto"/>
          <w:sz w:val="21"/>
          <w:szCs w:val="21"/>
          <w:highlight w:val="none"/>
        </w:rPr>
        <w:t>开标结束后，</w:t>
      </w:r>
      <w:r>
        <w:rPr>
          <w:rFonts w:hint="eastAsia" w:ascii="宋体" w:hAnsi="宋体"/>
          <w:color w:val="auto"/>
          <w:sz w:val="21"/>
          <w:szCs w:val="21"/>
          <w:highlight w:val="none"/>
        </w:rPr>
        <w:t>采购人或者采购代理机构</w:t>
      </w:r>
      <w:r>
        <w:rPr>
          <w:rFonts w:ascii="宋体" w:hAnsi="宋体"/>
          <w:color w:val="auto"/>
          <w:sz w:val="21"/>
          <w:szCs w:val="21"/>
          <w:highlight w:val="none"/>
        </w:rPr>
        <w:t>依法对投标人的资格进行审查。</w:t>
      </w:r>
    </w:p>
    <w:p w14:paraId="45919B02">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5F195E5F">
      <w:pPr>
        <w:pStyle w:val="6"/>
        <w:keepNext w:val="0"/>
        <w:keepLines w:val="0"/>
        <w:spacing w:before="0" w:after="0" w:line="360" w:lineRule="auto"/>
        <w:ind w:firstLine="420" w:firstLineChars="200"/>
        <w:rPr>
          <w:rFonts w:ascii="宋体" w:hAnsi="宋体"/>
          <w:color w:val="auto"/>
          <w:sz w:val="21"/>
          <w:szCs w:val="21"/>
          <w:highlight w:val="none"/>
        </w:rPr>
      </w:pPr>
      <w:bookmarkStart w:id="127" w:name="_25.3_投标人有下列情形之一的，资格审查不通过而导致其投标无效："/>
      <w:bookmarkEnd w:id="127"/>
      <w:r>
        <w:rPr>
          <w:rFonts w:hint="eastAsia" w:ascii="宋体" w:hAnsi="宋体"/>
          <w:color w:val="auto"/>
          <w:sz w:val="21"/>
          <w:szCs w:val="21"/>
          <w:highlight w:val="none"/>
        </w:rPr>
        <w:t>25.3 投标人有下列情形之一的，资格审查不通过，作无效投标处理：</w:t>
      </w:r>
    </w:p>
    <w:p w14:paraId="04F92963">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（1）未按招标文件规定的方式获取本招标文件的投标人；</w:t>
      </w:r>
    </w:p>
    <w:p w14:paraId="50260E7E">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（2）不具备招标文件中规定的资格要求的；</w:t>
      </w:r>
    </w:p>
    <w:p w14:paraId="080F124F">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4D83E543">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（4）同一合同项下的不同投标人，单位负责人为同一人或者存在直接控股、管理关系的；为本项目提供过整体设计、规范编制或者项目管理、监理、检测等服务的供应商，再参加该采购项目的其他采购活动的；</w:t>
      </w:r>
    </w:p>
    <w:p w14:paraId="41951202">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5</w:t>
      </w:r>
      <w:r>
        <w:rPr>
          <w:rFonts w:hint="eastAsia" w:hAnsi="宋体"/>
          <w:b/>
          <w:color w:val="auto"/>
          <w:sz w:val="21"/>
          <w:highlight w:val="none"/>
        </w:rPr>
        <w:t>）投标文件中的资格证明文件缺少任一项“投标人须知前附表”资格证明文件规定“必须提供”的文件资料的；</w:t>
      </w:r>
    </w:p>
    <w:p w14:paraId="66385B5F">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w:t>
      </w:r>
      <w:r>
        <w:rPr>
          <w:rFonts w:hAnsi="宋体"/>
          <w:b/>
          <w:color w:val="auto"/>
          <w:sz w:val="21"/>
          <w:highlight w:val="none"/>
        </w:rPr>
        <w:t>6</w:t>
      </w:r>
      <w:r>
        <w:rPr>
          <w:rFonts w:hint="eastAsia" w:hAnsi="宋体"/>
          <w:b/>
          <w:color w:val="auto"/>
          <w:sz w:val="21"/>
          <w:highlight w:val="none"/>
        </w:rPr>
        <w:t>）投标文件中的资格证明文件出现任一项不符合“投标人须知前附表”资格证明文件规定“必须提供”的文件资料要求或者无效的。</w:t>
      </w:r>
    </w:p>
    <w:p w14:paraId="422A74AD">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2AD91F26">
      <w:pPr>
        <w:pStyle w:val="25"/>
        <w:snapToGrid w:val="0"/>
        <w:spacing w:line="360" w:lineRule="auto"/>
        <w:ind w:left="689" w:leftChars="228" w:hanging="210" w:hangingChars="100"/>
        <w:rPr>
          <w:rFonts w:hAnsi="宋体"/>
          <w:color w:val="auto"/>
          <w:sz w:val="21"/>
          <w:highlight w:val="none"/>
        </w:rPr>
      </w:pPr>
    </w:p>
    <w:p w14:paraId="04214C24">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六、评   标</w:t>
      </w:r>
    </w:p>
    <w:p w14:paraId="5568FFB7">
      <w:pPr>
        <w:pStyle w:val="6"/>
        <w:keepNext w:val="0"/>
        <w:keepLines w:val="0"/>
        <w:spacing w:before="0" w:after="0" w:line="360" w:lineRule="auto"/>
        <w:ind w:left="420" w:leftChars="200"/>
        <w:rPr>
          <w:rFonts w:ascii="宋体" w:hAnsi="宋体"/>
          <w:color w:val="auto"/>
          <w:highlight w:val="none"/>
        </w:rPr>
      </w:pPr>
      <w:bookmarkStart w:id="128" w:name="_26.组建评标委员会"/>
      <w:bookmarkEnd w:id="128"/>
      <w:r>
        <w:rPr>
          <w:rFonts w:hint="eastAsia" w:ascii="宋体" w:hAnsi="宋体"/>
          <w:color w:val="auto"/>
          <w:highlight w:val="none"/>
        </w:rPr>
        <w:t>26.组建评标委员会</w:t>
      </w:r>
    </w:p>
    <w:p w14:paraId="1FFE607F">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评标委员会由采购人代表和评审专家组成，具体人数详见“投标人须知前附表”，其中评审专家不得少于成员总数的三分之二。</w:t>
      </w:r>
    </w:p>
    <w:p w14:paraId="333DEC78">
      <w:pPr>
        <w:pStyle w:val="25"/>
        <w:snapToGrid w:val="0"/>
        <w:spacing w:line="360" w:lineRule="auto"/>
        <w:ind w:left="2" w:leftChars="1" w:firstLine="420" w:firstLineChars="200"/>
        <w:rPr>
          <w:rFonts w:hAnsi="宋体"/>
          <w:color w:val="auto"/>
          <w:sz w:val="21"/>
          <w:highlight w:val="none"/>
        </w:rPr>
      </w:pPr>
      <w:r>
        <w:rPr>
          <w:rFonts w:hint="eastAsia" w:hAnsi="宋体"/>
          <w:color w:val="auto"/>
          <w:sz w:val="21"/>
          <w:highlight w:val="none"/>
        </w:rPr>
        <w:t>参加过采购项目前期咨询论证的专家，不得参加该采购项目的评审活动。</w:t>
      </w:r>
    </w:p>
    <w:p w14:paraId="0FBE2269">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27.评标的依据</w:t>
      </w:r>
    </w:p>
    <w:p w14:paraId="38272D15">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218A10A5">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28.评标原则</w:t>
      </w:r>
    </w:p>
    <w:p w14:paraId="7C35C442">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4C7E9E7">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28.2</w:t>
      </w:r>
      <w:bookmarkStart w:id="129" w:name="_28.3评标方法。本项目将按须知前附表规定的评标办法进行评标，具体评标"/>
      <w:bookmarkEnd w:id="129"/>
      <w:r>
        <w:rPr>
          <w:rFonts w:hint="eastAsia" w:hAnsi="宋体"/>
          <w:color w:val="auto"/>
          <w:sz w:val="21"/>
          <w:highlight w:val="none"/>
        </w:rPr>
        <w:t>评委表决。评标委员会成员对需要共同认定的事项存在争议的，应当按照少数服从多数的原则作出结论。</w:t>
      </w:r>
    </w:p>
    <w:p w14:paraId="4166828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67749F2">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评标过程的监控。本项目评标过程实行全程录音、录像监控，</w:t>
      </w:r>
      <w:r>
        <w:rPr>
          <w:rFonts w:hint="eastAsia" w:hAnsi="宋体"/>
          <w:b/>
          <w:bCs/>
          <w:color w:val="auto"/>
          <w:sz w:val="21"/>
          <w:highlight w:val="none"/>
        </w:rPr>
        <w:t>投标人在评标过程中所进行的试图影响评标结果的不公正活动，可能导致其投标无效</w:t>
      </w:r>
      <w:r>
        <w:rPr>
          <w:rFonts w:hint="eastAsia" w:hAnsi="宋体"/>
          <w:color w:val="auto"/>
          <w:sz w:val="21"/>
          <w:highlight w:val="none"/>
        </w:rPr>
        <w:t>。</w:t>
      </w:r>
    </w:p>
    <w:p w14:paraId="6E7FD2DD">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29.评标方法及中标候选人推荐</w:t>
      </w:r>
    </w:p>
    <w:p w14:paraId="1A6900D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72B29407">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9.2中标候选人推荐数量详见</w:t>
      </w:r>
      <w:r>
        <w:rPr>
          <w:rFonts w:hint="eastAsia" w:hAnsi="宋体"/>
          <w:color w:val="auto"/>
          <w:sz w:val="21"/>
          <w:highlight w:val="none"/>
        </w:rPr>
        <w:t>“投标人须知前附表”。</w:t>
      </w:r>
    </w:p>
    <w:p w14:paraId="73C11183">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w:t>
      </w:r>
      <w:r>
        <w:rPr>
          <w:rFonts w:hint="eastAsia" w:hAnsi="宋体"/>
          <w:color w:val="auto"/>
          <w:sz w:val="21"/>
          <w:highlight w:val="none"/>
        </w:rPr>
        <w:t>3</w:t>
      </w:r>
      <w:r>
        <w:rPr>
          <w:rFonts w:hAnsi="宋体"/>
          <w:color w:val="auto"/>
          <w:sz w:val="21"/>
          <w:highlight w:val="none"/>
        </w:rPr>
        <w:t>评标委员会</w:t>
      </w:r>
      <w:r>
        <w:rPr>
          <w:rFonts w:hint="eastAsia" w:hAnsi="宋体"/>
          <w:color w:val="auto"/>
          <w:sz w:val="21"/>
          <w:highlight w:val="none"/>
        </w:rPr>
        <w:t>将</w:t>
      </w:r>
      <w:r>
        <w:rPr>
          <w:rFonts w:hAnsi="宋体"/>
          <w:color w:val="auto"/>
          <w:sz w:val="21"/>
          <w:highlight w:val="none"/>
        </w:rPr>
        <w:t>按照</w:t>
      </w:r>
      <w:r>
        <w:rPr>
          <w:rFonts w:hint="eastAsia" w:hAnsi="宋体"/>
          <w:color w:val="auto"/>
          <w:sz w:val="21"/>
          <w:highlight w:val="none"/>
        </w:rPr>
        <w:t>“第四章 评标方法和评标标准”</w:t>
      </w:r>
      <w:r>
        <w:rPr>
          <w:rFonts w:hAnsi="宋体"/>
          <w:color w:val="auto"/>
          <w:sz w:val="21"/>
          <w:highlight w:val="none"/>
        </w:rPr>
        <w:t>规定的方法、评审因素、标准和程序对投标文件进行评审。</w:t>
      </w:r>
    </w:p>
    <w:p w14:paraId="76779D3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29.4电子交易活动的中止。采购过程中出现以下情形，导致电子交易平台无法正常运行，或者无法保证电子交易的公平、公正和安全时，采购代理机构可中止电子交易活动：</w:t>
      </w:r>
    </w:p>
    <w:p w14:paraId="793838D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（1）电子交易平台发生故障而无法登录访问的； </w:t>
      </w:r>
    </w:p>
    <w:p w14:paraId="64BE963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（2）电子交易平台应用或数据库出现错误，不能进行正常操作的；</w:t>
      </w:r>
    </w:p>
    <w:p w14:paraId="06EE1B88">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（3）电子交易平台发现严重安全漏洞，有潜在泄密危险的；</w:t>
      </w:r>
    </w:p>
    <w:p w14:paraId="60612E5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 xml:space="preserve">（4）病毒发作导致不能进行正常操作的； </w:t>
      </w:r>
    </w:p>
    <w:p w14:paraId="67333D72">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（4）其他无法保证电子交易的公平、公正和安全的情况。</w:t>
      </w:r>
    </w:p>
    <w:p w14:paraId="505472B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29.5出现以上情形，不影响采购公平、公正性的，采购代理机构可以待上述情形消除后继续组织电子交易活动；影响或可能影响采购公平、公正性的，经采购代理机构确认后，应当重新采购。</w:t>
      </w:r>
    </w:p>
    <w:p w14:paraId="37EB5B0C">
      <w:pPr>
        <w:pStyle w:val="25"/>
        <w:snapToGrid w:val="0"/>
        <w:spacing w:line="360" w:lineRule="auto"/>
        <w:rPr>
          <w:rFonts w:hAnsi="宋体"/>
          <w:color w:val="auto"/>
          <w:sz w:val="21"/>
          <w:highlight w:val="none"/>
        </w:rPr>
      </w:pPr>
    </w:p>
    <w:p w14:paraId="7115FC64">
      <w:pPr>
        <w:pStyle w:val="4"/>
        <w:keepNext w:val="0"/>
        <w:keepLines w:val="0"/>
        <w:jc w:val="center"/>
        <w:rPr>
          <w:rFonts w:ascii="宋体" w:hAnsi="宋体" w:eastAsia="宋体"/>
          <w:color w:val="auto"/>
          <w:highlight w:val="none"/>
        </w:rPr>
      </w:pPr>
      <w:bookmarkStart w:id="130" w:name="_Toc254970687"/>
      <w:bookmarkStart w:id="131" w:name="_Toc254970546"/>
      <w:r>
        <w:rPr>
          <w:rFonts w:hint="eastAsia" w:ascii="宋体" w:hAnsi="宋体" w:eastAsia="宋体"/>
          <w:color w:val="auto"/>
          <w:highlight w:val="none"/>
        </w:rPr>
        <w:t>七、</w:t>
      </w:r>
      <w:bookmarkEnd w:id="130"/>
      <w:bookmarkEnd w:id="131"/>
      <w:r>
        <w:rPr>
          <w:rFonts w:hint="eastAsia" w:ascii="宋体" w:hAnsi="宋体" w:eastAsia="宋体"/>
          <w:color w:val="auto"/>
          <w:highlight w:val="none"/>
        </w:rPr>
        <w:t>中标和合同</w:t>
      </w:r>
    </w:p>
    <w:p w14:paraId="4744D287">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30确定中标人</w:t>
      </w:r>
    </w:p>
    <w:p w14:paraId="47E0FA06">
      <w:pPr>
        <w:pStyle w:val="6"/>
        <w:keepNext w:val="0"/>
        <w:keepLines w:val="0"/>
        <w:spacing w:before="0" w:after="0" w:line="360" w:lineRule="auto"/>
        <w:ind w:firstLine="420" w:firstLineChars="200"/>
        <w:rPr>
          <w:rFonts w:ascii="宋体" w:hAnsi="宋体"/>
          <w:b/>
          <w:color w:val="auto"/>
          <w:sz w:val="21"/>
          <w:szCs w:val="21"/>
          <w:highlight w:val="none"/>
        </w:rPr>
      </w:pPr>
      <w:r>
        <w:rPr>
          <w:rFonts w:ascii="宋体" w:hAnsi="宋体"/>
          <w:color w:val="auto"/>
          <w:sz w:val="21"/>
          <w:szCs w:val="21"/>
          <w:highlight w:val="none"/>
        </w:rPr>
        <w:t>30.1</w:t>
      </w:r>
      <w:r>
        <w:rPr>
          <w:rFonts w:hint="eastAsia" w:ascii="宋体" w:hAnsi="宋体"/>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1218D3F">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157DD95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30.3出现下列情形之一的，应予废标：</w:t>
      </w:r>
    </w:p>
    <w:p w14:paraId="40A762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53AF016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（2）出现影响采购公正的违法、违规行为的；</w:t>
      </w:r>
    </w:p>
    <w:p w14:paraId="5DC962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4210D05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（4）因重大变故，采购任务取消的。</w:t>
      </w:r>
    </w:p>
    <w:p w14:paraId="75FF967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废标后，采购人应当将废标理由通知所有投标人。</w:t>
      </w:r>
    </w:p>
    <w:p w14:paraId="24C5E1E9">
      <w:pPr>
        <w:snapToGrid w:val="0"/>
        <w:spacing w:line="360" w:lineRule="auto"/>
        <w:ind w:firstLine="420" w:firstLineChars="200"/>
        <w:rPr>
          <w:rFonts w:ascii="宋体" w:hAnsi="宋体" w:cs="Courier New"/>
          <w:color w:val="auto"/>
          <w:szCs w:val="21"/>
          <w:highlight w:val="none"/>
        </w:rPr>
      </w:pPr>
      <w:r>
        <w:rPr>
          <w:rFonts w:ascii="宋体" w:hAnsi="宋体" w:cs="Courier New"/>
          <w:color w:val="auto"/>
          <w:szCs w:val="21"/>
          <w:highlight w:val="none"/>
        </w:rPr>
        <w:t>30.</w:t>
      </w:r>
      <w:r>
        <w:rPr>
          <w:rFonts w:hint="eastAsia" w:ascii="宋体" w:hAnsi="宋体" w:cs="Courier New"/>
          <w:color w:val="auto"/>
          <w:szCs w:val="21"/>
          <w:highlight w:val="none"/>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宋体" w:hAnsi="宋体" w:cs="Courier New"/>
          <w:color w:val="auto"/>
          <w:szCs w:val="21"/>
          <w:highlight w:val="none"/>
        </w:rPr>
        <w:t>拒绝签订政府采购合同的</w:t>
      </w:r>
      <w:r>
        <w:rPr>
          <w:rFonts w:hint="eastAsia" w:ascii="宋体" w:hAnsi="宋体" w:cs="Courier New"/>
          <w:color w:val="auto"/>
          <w:szCs w:val="21"/>
          <w:highlight w:val="none"/>
        </w:rPr>
        <w:t>中标人</w:t>
      </w:r>
      <w:r>
        <w:rPr>
          <w:rFonts w:ascii="宋体" w:hAnsi="宋体" w:cs="Courier New"/>
          <w:color w:val="auto"/>
          <w:szCs w:val="21"/>
          <w:highlight w:val="none"/>
        </w:rPr>
        <w:t>不得参加对该项目重新开展的采购活动。</w:t>
      </w:r>
    </w:p>
    <w:p w14:paraId="4142A409">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31. 结果公告</w:t>
      </w:r>
    </w:p>
    <w:p w14:paraId="3E429325">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1.1</w:t>
      </w:r>
      <w:r>
        <w:rPr>
          <w:rFonts w:hint="eastAsia" w:ascii="宋体" w:hAnsi="宋体"/>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471B6586">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3BA8B311">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32.发出中标通知书</w:t>
      </w:r>
    </w:p>
    <w:p w14:paraId="6E575DF9">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在公告中标结果的同时，采购代理机构向中标人发出中标通知书。对未通过资格审查的投标人，应当告知其未通过的原因；采用综合评分办法评审的，还应当告知未中标人本人的评审得分与排序。</w:t>
      </w:r>
    </w:p>
    <w:p w14:paraId="22E0E626">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33. 无义务解释未中标原因</w:t>
      </w:r>
    </w:p>
    <w:p w14:paraId="65221497">
      <w:pPr>
        <w:pStyle w:val="6"/>
        <w:keepNext w:val="0"/>
        <w:keepLines w:val="0"/>
        <w:spacing w:before="0" w:after="0" w:line="360" w:lineRule="auto"/>
        <w:ind w:left="420" w:leftChars="200"/>
        <w:rPr>
          <w:rFonts w:ascii="宋体" w:hAnsi="宋体"/>
          <w:b/>
          <w:color w:val="auto"/>
          <w:sz w:val="21"/>
          <w:szCs w:val="21"/>
          <w:highlight w:val="none"/>
        </w:rPr>
      </w:pPr>
      <w:r>
        <w:rPr>
          <w:rFonts w:hint="eastAsia" w:ascii="宋体" w:hAnsi="宋体"/>
          <w:color w:val="auto"/>
          <w:sz w:val="21"/>
          <w:szCs w:val="21"/>
          <w:highlight w:val="none"/>
        </w:rPr>
        <w:t>采购代理机构无义务向未中标的投标人解释未中标原因和退还投标文件。</w:t>
      </w:r>
    </w:p>
    <w:p w14:paraId="1031791A">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34.合同授予标准</w:t>
      </w:r>
    </w:p>
    <w:p w14:paraId="1EA768E7">
      <w:pPr>
        <w:snapToGrid w:val="0"/>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5403D51A">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35.履约保证金</w:t>
      </w:r>
    </w:p>
    <w:p w14:paraId="139CD9BC">
      <w:pPr>
        <w:pStyle w:val="6"/>
        <w:keepNext w:val="0"/>
        <w:keepLines w:val="0"/>
        <w:spacing w:before="0" w:after="0" w:line="360" w:lineRule="auto"/>
        <w:ind w:firstLine="315" w:firstLineChars="150"/>
        <w:rPr>
          <w:rFonts w:ascii="宋体" w:hAnsi="宋体"/>
          <w:color w:val="auto"/>
          <w:sz w:val="21"/>
          <w:szCs w:val="21"/>
          <w:highlight w:val="none"/>
        </w:rPr>
      </w:pPr>
      <w:bookmarkStart w:id="132" w:name="_39.1中标人须于签订合同前按本须知前附表规定的金额转账或电汇到指定账"/>
      <w:bookmarkEnd w:id="132"/>
      <w:r>
        <w:rPr>
          <w:rFonts w:hint="eastAsia" w:ascii="宋体" w:hAnsi="宋体"/>
          <w:color w:val="auto"/>
          <w:sz w:val="21"/>
          <w:szCs w:val="21"/>
          <w:highlight w:val="none"/>
        </w:rPr>
        <w:t>3</w:t>
      </w:r>
      <w:r>
        <w:rPr>
          <w:rFonts w:ascii="宋体" w:hAnsi="宋体"/>
          <w:color w:val="auto"/>
          <w:sz w:val="21"/>
          <w:szCs w:val="21"/>
          <w:highlight w:val="none"/>
        </w:rPr>
        <w:t>5</w:t>
      </w:r>
      <w:r>
        <w:rPr>
          <w:rFonts w:hint="eastAsia" w:ascii="宋体" w:hAnsi="宋体"/>
          <w:color w:val="auto"/>
          <w:sz w:val="21"/>
          <w:szCs w:val="21"/>
          <w:highlight w:val="none"/>
        </w:rPr>
        <w:t>.1 本项目不收取履约保证金。</w:t>
      </w:r>
    </w:p>
    <w:p w14:paraId="19D91708">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36.签订合同</w:t>
      </w:r>
    </w:p>
    <w:p w14:paraId="66661F95">
      <w:pPr>
        <w:pStyle w:val="6"/>
        <w:keepNext w:val="0"/>
        <w:keepLines w:val="0"/>
        <w:spacing w:before="0" w:after="0" w:line="360" w:lineRule="auto"/>
        <w:ind w:firstLine="315" w:firstLineChars="150"/>
        <w:rPr>
          <w:rFonts w:ascii="宋体" w:hAnsi="宋体"/>
          <w:b/>
          <w:bCs/>
          <w:color w:val="auto"/>
          <w:sz w:val="21"/>
          <w:szCs w:val="21"/>
          <w:highlight w:val="none"/>
        </w:rPr>
      </w:pPr>
      <w:bookmarkStart w:id="133" w:name="_40.1投标人接到中标通知书后，按须知前附表规定向采购人出示相关资格证"/>
      <w:bookmarkEnd w:id="133"/>
      <w:r>
        <w:rPr>
          <w:rFonts w:hint="eastAsia" w:ascii="宋体" w:hAnsi="宋体"/>
          <w:color w:val="auto"/>
          <w:sz w:val="21"/>
          <w:szCs w:val="21"/>
          <w:highlight w:val="none"/>
        </w:rPr>
        <w:t xml:space="preserve"> 36.1投标人领取中标通知书（书面或电子）后，按“投标人须知前附表”规定向采购人出示相关证明材料，经采购人核验合格后方可签订采购合同（书面或电子）。</w:t>
      </w:r>
      <w:r>
        <w:rPr>
          <w:rFonts w:hint="eastAsia" w:ascii="宋体" w:hAnsi="宋体"/>
          <w:bCs/>
          <w:color w:val="auto"/>
          <w:sz w:val="21"/>
          <w:szCs w:val="21"/>
          <w:highlight w:val="none"/>
        </w:rPr>
        <w:t>如中标人为联合体的，</w:t>
      </w:r>
      <w:r>
        <w:rPr>
          <w:rFonts w:ascii="宋体" w:hAnsi="宋体"/>
          <w:bCs/>
          <w:color w:val="auto"/>
          <w:sz w:val="21"/>
          <w:szCs w:val="21"/>
          <w:highlight w:val="none"/>
        </w:rPr>
        <w:t>联合体各方应当共同与采购人签订采购合同，就采购合同约定的事项对采购人承担连带责任。</w:t>
      </w:r>
    </w:p>
    <w:p w14:paraId="2C25C41E">
      <w:pPr>
        <w:pStyle w:val="6"/>
        <w:keepNext w:val="0"/>
        <w:keepLines w:val="0"/>
        <w:spacing w:before="0" w:after="0" w:line="360" w:lineRule="auto"/>
        <w:ind w:firstLine="420" w:firstLineChars="200"/>
        <w:rPr>
          <w:rFonts w:ascii="宋体" w:hAnsi="宋体"/>
          <w:b/>
          <w:color w:val="auto"/>
          <w:sz w:val="21"/>
          <w:szCs w:val="21"/>
          <w:highlight w:val="none"/>
        </w:rPr>
      </w:pPr>
      <w:r>
        <w:rPr>
          <w:rFonts w:hint="eastAsia" w:ascii="宋体" w:hAnsi="宋体"/>
          <w:color w:val="auto"/>
          <w:sz w:val="21"/>
          <w:szCs w:val="21"/>
          <w:highlight w:val="none"/>
        </w:rPr>
        <w:t>36.2签订合同时间：自中标通知书发出之日起25日内签订合同。</w:t>
      </w:r>
    </w:p>
    <w:p w14:paraId="2D36532F">
      <w:pPr>
        <w:pStyle w:val="6"/>
        <w:keepNext w:val="0"/>
        <w:keepLines w:val="0"/>
        <w:spacing w:before="0" w:after="0" w:line="360" w:lineRule="auto"/>
        <w:ind w:firstLine="315" w:firstLineChars="150"/>
        <w:rPr>
          <w:rFonts w:ascii="宋体" w:hAnsi="宋体"/>
          <w:b/>
          <w:color w:val="auto"/>
          <w:sz w:val="21"/>
          <w:szCs w:val="21"/>
          <w:highlight w:val="none"/>
        </w:rPr>
      </w:pPr>
      <w:r>
        <w:rPr>
          <w:rFonts w:hint="eastAsia" w:ascii="宋体" w:hAnsi="宋体"/>
          <w:color w:val="auto"/>
          <w:sz w:val="21"/>
          <w:szCs w:val="21"/>
          <w:highlight w:val="none"/>
        </w:rPr>
        <w:t xml:space="preserve"> 36.</w:t>
      </w:r>
      <w:r>
        <w:rPr>
          <w:rFonts w:ascii="宋体" w:hAnsi="宋体"/>
          <w:color w:val="auto"/>
          <w:sz w:val="21"/>
          <w:szCs w:val="21"/>
          <w:highlight w:val="none"/>
        </w:rPr>
        <w:t>3</w:t>
      </w:r>
      <w:r>
        <w:rPr>
          <w:rFonts w:hint="eastAsia" w:ascii="宋体" w:hAnsi="宋体"/>
          <w:color w:val="auto"/>
          <w:sz w:val="21"/>
          <w:szCs w:val="21"/>
          <w:highlight w:val="none"/>
        </w:rPr>
        <w:t>中标人拒绝与采购人签订合同的，按照本须知正文第3</w:t>
      </w:r>
      <w:r>
        <w:rPr>
          <w:rFonts w:ascii="宋体" w:hAnsi="宋体"/>
          <w:color w:val="auto"/>
          <w:sz w:val="21"/>
          <w:szCs w:val="21"/>
          <w:highlight w:val="none"/>
        </w:rPr>
        <w:t>0.4条</w:t>
      </w:r>
      <w:r>
        <w:rPr>
          <w:rFonts w:hint="eastAsia" w:ascii="宋体" w:hAnsi="宋体"/>
          <w:color w:val="auto"/>
          <w:sz w:val="21"/>
          <w:szCs w:val="21"/>
          <w:highlight w:val="none"/>
        </w:rPr>
        <w:t>的规定执行。</w:t>
      </w:r>
    </w:p>
    <w:p w14:paraId="0D78953D">
      <w:pPr>
        <w:pStyle w:val="6"/>
        <w:keepNext w:val="0"/>
        <w:keepLines w:val="0"/>
        <w:spacing w:before="0" w:after="0" w:line="360" w:lineRule="auto"/>
        <w:ind w:left="420" w:leftChars="200"/>
        <w:rPr>
          <w:rFonts w:ascii="宋体" w:hAnsi="宋体"/>
          <w:color w:val="auto"/>
          <w:highlight w:val="none"/>
        </w:rPr>
      </w:pPr>
      <w:bookmarkStart w:id="134" w:name="_41.政府采购合同公告"/>
      <w:bookmarkEnd w:id="134"/>
      <w:r>
        <w:rPr>
          <w:rFonts w:hint="eastAsia" w:ascii="宋体" w:hAnsi="宋体"/>
          <w:color w:val="auto"/>
          <w:highlight w:val="none"/>
        </w:rPr>
        <w:t>37.政府采购合同公告</w:t>
      </w:r>
    </w:p>
    <w:p w14:paraId="18BBF76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51F00DCD">
      <w:pPr>
        <w:pStyle w:val="6"/>
        <w:keepNext w:val="0"/>
        <w:keepLines w:val="0"/>
        <w:spacing w:before="0" w:after="0" w:line="360" w:lineRule="auto"/>
        <w:ind w:left="420" w:leftChars="200"/>
        <w:rPr>
          <w:rFonts w:ascii="宋体" w:hAnsi="宋体"/>
          <w:color w:val="auto"/>
          <w:highlight w:val="none"/>
        </w:rPr>
      </w:pPr>
      <w:r>
        <w:rPr>
          <w:rFonts w:hint="eastAsia" w:ascii="宋体" w:hAnsi="宋体"/>
          <w:color w:val="auto"/>
          <w:highlight w:val="none"/>
        </w:rPr>
        <w:t>3</w:t>
      </w:r>
      <w:r>
        <w:rPr>
          <w:rFonts w:ascii="宋体" w:hAnsi="宋体"/>
          <w:color w:val="auto"/>
          <w:highlight w:val="none"/>
        </w:rPr>
        <w:t>8.</w:t>
      </w:r>
      <w:r>
        <w:rPr>
          <w:rFonts w:hint="eastAsia" w:ascii="宋体" w:hAnsi="宋体"/>
          <w:color w:val="auto"/>
          <w:highlight w:val="none"/>
        </w:rPr>
        <w:t xml:space="preserve"> 询问、质疑和投诉</w:t>
      </w:r>
    </w:p>
    <w:p w14:paraId="4EE3B21F">
      <w:pPr>
        <w:pStyle w:val="14"/>
        <w:spacing w:line="360" w:lineRule="auto"/>
        <w:rPr>
          <w:rFonts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33E0E3E8">
      <w:pPr>
        <w:pStyle w:val="6"/>
        <w:keepNext w:val="0"/>
        <w:keepLines w:val="0"/>
        <w:spacing w:before="0" w:after="0" w:line="360" w:lineRule="auto"/>
        <w:ind w:firstLine="315" w:firstLineChars="150"/>
        <w:rPr>
          <w:rFonts w:ascii="宋体" w:hAnsi="宋体"/>
          <w:b/>
          <w:color w:val="auto"/>
          <w:sz w:val="21"/>
          <w:szCs w:val="21"/>
          <w:highlight w:val="none"/>
        </w:rPr>
      </w:pPr>
      <w:r>
        <w:rPr>
          <w:rFonts w:ascii="宋体" w:hAnsi="宋体"/>
          <w:color w:val="auto"/>
          <w:sz w:val="21"/>
          <w:szCs w:val="21"/>
          <w:highlight w:val="none"/>
        </w:rPr>
        <w:t>38</w:t>
      </w: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5DF4B32C">
      <w:pPr>
        <w:pStyle w:val="2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6263BF42">
      <w:pPr>
        <w:pStyle w:val="2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408F2F6A">
      <w:pPr>
        <w:pStyle w:val="25"/>
        <w:snapToGrid w:val="0"/>
        <w:spacing w:line="360" w:lineRule="auto"/>
        <w:ind w:firstLine="420" w:firstLineChars="200"/>
        <w:rPr>
          <w:rFonts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1516EB9C">
      <w:pPr>
        <w:pStyle w:val="6"/>
        <w:keepNext w:val="0"/>
        <w:keepLines w:val="0"/>
        <w:spacing w:before="0" w:after="0" w:line="360" w:lineRule="auto"/>
        <w:ind w:firstLine="315" w:firstLineChars="150"/>
        <w:rPr>
          <w:rFonts w:ascii="宋体" w:hAnsi="宋体"/>
          <w:b/>
          <w:color w:val="auto"/>
          <w:sz w:val="21"/>
          <w:szCs w:val="21"/>
          <w:highlight w:val="none"/>
        </w:rPr>
      </w:pPr>
      <w:r>
        <w:rPr>
          <w:rFonts w:ascii="宋体" w:hAnsi="宋体"/>
          <w:color w:val="auto"/>
          <w:sz w:val="21"/>
          <w:szCs w:val="21"/>
          <w:highlight w:val="none"/>
        </w:rPr>
        <w:t>38</w:t>
      </w:r>
      <w:r>
        <w:rPr>
          <w:rFonts w:hint="eastAsia" w:ascii="宋体" w:hAnsi="宋体"/>
          <w:color w:val="auto"/>
          <w:sz w:val="21"/>
          <w:szCs w:val="21"/>
          <w:highlight w:val="none"/>
        </w:rPr>
        <w:t>.</w:t>
      </w:r>
      <w:r>
        <w:rPr>
          <w:rFonts w:ascii="宋体" w:hAnsi="宋体"/>
          <w:color w:val="auto"/>
          <w:sz w:val="21"/>
          <w:szCs w:val="21"/>
          <w:highlight w:val="none"/>
        </w:rPr>
        <w:t>3</w:t>
      </w:r>
      <w:r>
        <w:rPr>
          <w:rFonts w:ascii="宋体" w:hAnsi="宋体"/>
          <w:bCs/>
          <w:color w:val="auto"/>
          <w:sz w:val="21"/>
          <w:highlight w:val="none"/>
        </w:rPr>
        <w:t>供应商提出质疑应当提交质疑函和必要的证明材料</w:t>
      </w:r>
      <w:r>
        <w:rPr>
          <w:rFonts w:hint="eastAsia" w:ascii="宋体" w:hAnsi="宋体"/>
          <w:bCs/>
          <w:color w:val="auto"/>
          <w:sz w:val="21"/>
          <w:highlight w:val="none"/>
        </w:rPr>
        <w:t>，</w:t>
      </w:r>
      <w:r>
        <w:rPr>
          <w:rFonts w:ascii="宋体" w:hAnsi="宋体"/>
          <w:bCs/>
          <w:color w:val="auto"/>
          <w:sz w:val="21"/>
          <w:highlight w:val="none"/>
        </w:rPr>
        <w:t>针对同一采购程序环节的质疑</w:t>
      </w:r>
      <w:r>
        <w:rPr>
          <w:rFonts w:hint="eastAsia" w:ascii="宋体" w:hAnsi="宋体"/>
          <w:bCs/>
          <w:color w:val="auto"/>
          <w:sz w:val="21"/>
          <w:highlight w:val="none"/>
        </w:rPr>
        <w:t>必须</w:t>
      </w:r>
      <w:r>
        <w:rPr>
          <w:rFonts w:ascii="宋体" w:hAnsi="宋体"/>
          <w:bCs/>
          <w:color w:val="auto"/>
          <w:sz w:val="21"/>
          <w:highlight w:val="none"/>
        </w:rPr>
        <w:t>在法定质疑期内一次性提出。质疑函应当包括下列内容</w:t>
      </w:r>
      <w:r>
        <w:rPr>
          <w:rFonts w:hint="eastAsia" w:ascii="宋体" w:hAnsi="宋体"/>
          <w:bCs/>
          <w:color w:val="auto"/>
          <w:sz w:val="21"/>
          <w:highlight w:val="none"/>
        </w:rPr>
        <w:t>（质疑函格式后附）</w:t>
      </w:r>
      <w:r>
        <w:rPr>
          <w:rFonts w:ascii="宋体" w:hAnsi="宋体"/>
          <w:bCs/>
          <w:color w:val="auto"/>
          <w:sz w:val="21"/>
          <w:highlight w:val="none"/>
        </w:rPr>
        <w:t>：</w:t>
      </w:r>
    </w:p>
    <w:p w14:paraId="14F97A4A">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398649F1">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3B16D5D4">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3F7FB22E">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3A8A1F88">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2DE91095">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0B2B54F4">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2537A5D1">
      <w:pPr>
        <w:pStyle w:val="6"/>
        <w:keepNext w:val="0"/>
        <w:keepLines w:val="0"/>
        <w:snapToGrid w:val="0"/>
        <w:spacing w:before="0" w:after="0" w:line="360" w:lineRule="auto"/>
        <w:ind w:firstLine="420" w:firstLineChars="200"/>
        <w:rPr>
          <w:rFonts w:ascii="宋体" w:hAnsi="宋体"/>
          <w:b/>
          <w:bCs/>
          <w:color w:val="auto"/>
          <w:sz w:val="21"/>
          <w:szCs w:val="21"/>
          <w:highlight w:val="none"/>
        </w:rPr>
      </w:pPr>
      <w:r>
        <w:rPr>
          <w:rFonts w:ascii="宋体" w:hAnsi="宋体"/>
          <w:color w:val="auto"/>
          <w:sz w:val="21"/>
          <w:szCs w:val="21"/>
          <w:highlight w:val="none"/>
        </w:rPr>
        <w:t>3</w:t>
      </w:r>
      <w:r>
        <w:rPr>
          <w:rFonts w:ascii="宋体" w:hAnsi="宋体"/>
          <w:bCs/>
          <w:color w:val="auto"/>
          <w:sz w:val="21"/>
          <w:szCs w:val="21"/>
          <w:highlight w:val="none"/>
        </w:rPr>
        <w:t>8.4</w:t>
      </w:r>
      <w:r>
        <w:rPr>
          <w:rFonts w:hint="eastAsia" w:ascii="宋体" w:hAnsi="宋体"/>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565DAB18">
      <w:pPr>
        <w:pStyle w:val="25"/>
        <w:snapToGrid w:val="0"/>
        <w:spacing w:line="360" w:lineRule="auto"/>
        <w:rPr>
          <w:rFonts w:hAnsi="宋体"/>
          <w:bCs/>
          <w:color w:val="auto"/>
          <w:sz w:val="21"/>
          <w:highlight w:val="none"/>
        </w:rPr>
      </w:pPr>
      <w:r>
        <w:rPr>
          <w:rFonts w:hint="eastAsia" w:hAnsi="宋体"/>
          <w:bCs/>
          <w:color w:val="auto"/>
          <w:sz w:val="21"/>
          <w:highlight w:val="none"/>
        </w:rPr>
        <w:t>　　（1）对招标文件提出的质疑，依法通过澄清或者修改可以继续开展采购活动的，澄清或者修改招标文件后继续开展采购活动；否则应当修改招标文件后重新开展采购活动。</w:t>
      </w:r>
    </w:p>
    <w:p w14:paraId="16DF07AE">
      <w:pPr>
        <w:pStyle w:val="25"/>
        <w:snapToGrid w:val="0"/>
        <w:spacing w:line="360" w:lineRule="auto"/>
        <w:rPr>
          <w:rFonts w:hAnsi="宋体"/>
          <w:bCs/>
          <w:color w:val="auto"/>
          <w:sz w:val="21"/>
          <w:highlight w:val="none"/>
        </w:rPr>
      </w:pPr>
      <w:r>
        <w:rPr>
          <w:rFonts w:hint="eastAsia" w:hAnsi="宋体"/>
          <w:bCs/>
          <w:color w:val="auto"/>
          <w:sz w:val="21"/>
          <w:highlight w:val="none"/>
        </w:rPr>
        <w:t>　　（2）对采购过程、中标结果提出的质疑，合格供应商符合法定数量时，可以从合格的中标候选人中另行确定中标供应商的，应当依法另行确定中标供应商；否则应当重新开展采购活动。</w:t>
      </w:r>
    </w:p>
    <w:p w14:paraId="6A4A3ABD">
      <w:pPr>
        <w:pStyle w:val="25"/>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309763B3">
      <w:pPr>
        <w:pStyle w:val="25"/>
        <w:snapToGrid w:val="0"/>
        <w:spacing w:line="360" w:lineRule="auto"/>
        <w:ind w:firstLine="420" w:firstLineChars="200"/>
        <w:rPr>
          <w:rFonts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5" w:name="_八、其他事项"/>
      <w:bookmarkEnd w:id="135"/>
    </w:p>
    <w:p w14:paraId="5A946B16">
      <w:pPr>
        <w:pStyle w:val="25"/>
        <w:snapToGrid w:val="0"/>
        <w:spacing w:line="360" w:lineRule="auto"/>
        <w:ind w:firstLine="400" w:firstLineChars="200"/>
        <w:rPr>
          <w:rFonts w:hAnsi="宋体"/>
          <w:color w:val="auto"/>
          <w:highlight w:val="none"/>
        </w:rPr>
      </w:pPr>
    </w:p>
    <w:p w14:paraId="4B8F46EA">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八、其他事项</w:t>
      </w:r>
    </w:p>
    <w:p w14:paraId="5716E540">
      <w:pPr>
        <w:pStyle w:val="6"/>
        <w:keepNext w:val="0"/>
        <w:keepLines w:val="0"/>
        <w:spacing w:before="0" w:after="0" w:line="360" w:lineRule="auto"/>
        <w:ind w:left="420" w:leftChars="200"/>
        <w:rPr>
          <w:rFonts w:ascii="宋体" w:hAnsi="宋体"/>
          <w:color w:val="auto"/>
          <w:highlight w:val="none"/>
        </w:rPr>
      </w:pPr>
      <w:bookmarkStart w:id="136" w:name="_42.代理服务费"/>
      <w:bookmarkEnd w:id="136"/>
      <w:r>
        <w:rPr>
          <w:rFonts w:hint="eastAsia" w:ascii="宋体" w:hAnsi="宋体"/>
          <w:color w:val="auto"/>
          <w:highlight w:val="none"/>
        </w:rPr>
        <w:t>3</w:t>
      </w:r>
      <w:r>
        <w:rPr>
          <w:rFonts w:ascii="宋体" w:hAnsi="宋体"/>
          <w:color w:val="auto"/>
          <w:highlight w:val="none"/>
        </w:rPr>
        <w:t>9</w:t>
      </w:r>
      <w:r>
        <w:rPr>
          <w:rFonts w:hint="eastAsia" w:ascii="宋体" w:hAnsi="宋体"/>
          <w:color w:val="auto"/>
          <w:highlight w:val="none"/>
        </w:rPr>
        <w:t>.代理服务费</w:t>
      </w:r>
    </w:p>
    <w:p w14:paraId="656058E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.1代理服务收取标准及缴费账户详见“投标人须知前附表”，投标人为联合体的，可以由联合体中的一方或者多方共同交纳代理服务费。</w:t>
      </w:r>
    </w:p>
    <w:p w14:paraId="17399DBC">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w:t>
      </w:r>
      <w:r>
        <w:rPr>
          <w:rFonts w:hAnsi="宋体"/>
          <w:color w:val="auto"/>
          <w:sz w:val="21"/>
          <w:highlight w:val="none"/>
        </w:rPr>
        <w:t>9</w:t>
      </w:r>
      <w:r>
        <w:rPr>
          <w:rFonts w:hint="eastAsia" w:hAnsi="宋体"/>
          <w:color w:val="auto"/>
          <w:sz w:val="21"/>
          <w:highlight w:val="none"/>
        </w:rPr>
        <w:t>.2代理服务收费标准：</w:t>
      </w:r>
    </w:p>
    <w:p w14:paraId="63308DB8">
      <w:pPr>
        <w:pStyle w:val="25"/>
        <w:snapToGrid w:val="0"/>
        <w:spacing w:line="360" w:lineRule="auto"/>
        <w:ind w:firstLine="420" w:firstLineChars="200"/>
        <w:rPr>
          <w:rFonts w:hAnsi="宋体"/>
          <w:color w:val="auto"/>
          <w:sz w:val="21"/>
          <w:highlight w:val="none"/>
        </w:rPr>
      </w:pPr>
    </w:p>
    <w:tbl>
      <w:tblPr>
        <w:tblStyle w:val="4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289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0BE274D3">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649E59AF">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5976A8B2">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68BAB282">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63561E78">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2158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E6FEA5">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Pr>
          <w:p w14:paraId="0CDA03F9">
            <w:pPr>
              <w:spacing w:line="360" w:lineRule="auto"/>
              <w:rPr>
                <w:rFonts w:ascii="宋体" w:hAnsi="宋体"/>
                <w:color w:val="auto"/>
                <w:szCs w:val="21"/>
                <w:highlight w:val="none"/>
              </w:rPr>
            </w:pPr>
            <w:r>
              <w:rPr>
                <w:rFonts w:ascii="宋体" w:hAnsi="宋体" w:cs="宋体"/>
                <w:color w:val="auto"/>
                <w:kern w:val="0"/>
                <w:szCs w:val="21"/>
                <w:highlight w:val="none"/>
              </w:rPr>
              <w:t xml:space="preserve">1.5% </w:t>
            </w:r>
          </w:p>
        </w:tc>
        <w:tc>
          <w:tcPr>
            <w:tcW w:w="1687" w:type="dxa"/>
          </w:tcPr>
          <w:p w14:paraId="572BB8C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1892081F">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1.0% </w:t>
            </w:r>
          </w:p>
        </w:tc>
      </w:tr>
      <w:tr w14:paraId="42B3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18EE946">
            <w:pPr>
              <w:spacing w:line="360" w:lineRule="auto"/>
              <w:rPr>
                <w:rFonts w:ascii="宋体" w:hAnsi="宋体"/>
                <w:color w:val="auto"/>
                <w:szCs w:val="21"/>
                <w:highlight w:val="none"/>
              </w:rPr>
            </w:pPr>
            <w:r>
              <w:rPr>
                <w:rFonts w:hint="eastAsia" w:ascii="宋体" w:hAnsi="宋体"/>
                <w:color w:val="auto"/>
                <w:szCs w:val="21"/>
                <w:highlight w:val="none"/>
              </w:rPr>
              <w:t>100～500万元</w:t>
            </w:r>
          </w:p>
        </w:tc>
        <w:tc>
          <w:tcPr>
            <w:tcW w:w="1659" w:type="dxa"/>
          </w:tcPr>
          <w:p w14:paraId="7506BE4B">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p>
        </w:tc>
        <w:tc>
          <w:tcPr>
            <w:tcW w:w="1687" w:type="dxa"/>
          </w:tcPr>
          <w:p w14:paraId="4256A39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0129EF19">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0.7% </w:t>
            </w:r>
          </w:p>
        </w:tc>
      </w:tr>
      <w:tr w14:paraId="09C7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5FFE0D">
            <w:pPr>
              <w:spacing w:line="360" w:lineRule="auto"/>
              <w:rPr>
                <w:rFonts w:ascii="宋体" w:hAnsi="宋体"/>
                <w:color w:val="auto"/>
                <w:szCs w:val="21"/>
                <w:highlight w:val="none"/>
              </w:rPr>
            </w:pPr>
            <w:r>
              <w:rPr>
                <w:rFonts w:hint="eastAsia" w:ascii="宋体" w:hAnsi="宋体"/>
                <w:color w:val="auto"/>
                <w:szCs w:val="21"/>
                <w:highlight w:val="none"/>
              </w:rPr>
              <w:t>500～1000万元</w:t>
            </w:r>
          </w:p>
        </w:tc>
        <w:tc>
          <w:tcPr>
            <w:tcW w:w="1659" w:type="dxa"/>
          </w:tcPr>
          <w:p w14:paraId="08B1D9DD">
            <w:pPr>
              <w:spacing w:line="360" w:lineRule="auto"/>
              <w:rPr>
                <w:rFonts w:ascii="宋体" w:hAnsi="宋体"/>
                <w:color w:val="auto"/>
                <w:szCs w:val="21"/>
                <w:highlight w:val="none"/>
              </w:rPr>
            </w:pPr>
            <w:r>
              <w:rPr>
                <w:rFonts w:ascii="宋体" w:hAnsi="宋体" w:cs="宋体"/>
                <w:color w:val="auto"/>
                <w:kern w:val="0"/>
                <w:szCs w:val="21"/>
                <w:highlight w:val="none"/>
              </w:rPr>
              <w:t xml:space="preserve">0.8% </w:t>
            </w:r>
          </w:p>
        </w:tc>
        <w:tc>
          <w:tcPr>
            <w:tcW w:w="1687" w:type="dxa"/>
          </w:tcPr>
          <w:p w14:paraId="7E0CC35A">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5A7D942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4286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70AC109">
            <w:pPr>
              <w:spacing w:line="360" w:lineRule="auto"/>
              <w:rPr>
                <w:rFonts w:ascii="宋体" w:hAnsi="宋体"/>
                <w:color w:val="auto"/>
                <w:szCs w:val="21"/>
                <w:highlight w:val="none"/>
              </w:rPr>
            </w:pPr>
            <w:r>
              <w:rPr>
                <w:rFonts w:hint="eastAsia" w:ascii="宋体" w:hAnsi="宋体"/>
                <w:color w:val="auto"/>
                <w:szCs w:val="21"/>
                <w:highlight w:val="none"/>
              </w:rPr>
              <w:t>1000～5000万元</w:t>
            </w:r>
          </w:p>
        </w:tc>
        <w:tc>
          <w:tcPr>
            <w:tcW w:w="1659" w:type="dxa"/>
          </w:tcPr>
          <w:p w14:paraId="4DF00C7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p>
        </w:tc>
        <w:tc>
          <w:tcPr>
            <w:tcW w:w="1687" w:type="dxa"/>
          </w:tcPr>
          <w:p w14:paraId="649BE4E8">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71C3C76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0.35% </w:t>
            </w:r>
          </w:p>
        </w:tc>
      </w:tr>
      <w:tr w14:paraId="2DE2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684CE9B">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Pr>
          <w:p w14:paraId="74BB568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0.25% </w:t>
            </w:r>
          </w:p>
        </w:tc>
        <w:tc>
          <w:tcPr>
            <w:tcW w:w="1687" w:type="dxa"/>
          </w:tcPr>
          <w:p w14:paraId="52BB9474">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6A1BFF5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05A9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993CCC0">
            <w:pPr>
              <w:spacing w:line="360" w:lineRule="auto"/>
              <w:rPr>
                <w:rFonts w:ascii="宋体" w:hAnsi="宋体"/>
                <w:color w:val="auto"/>
                <w:szCs w:val="21"/>
                <w:highlight w:val="none"/>
              </w:rPr>
            </w:pPr>
            <w:r>
              <w:rPr>
                <w:rFonts w:hint="eastAsia" w:ascii="宋体" w:hAnsi="宋体"/>
                <w:color w:val="auto"/>
                <w:szCs w:val="21"/>
                <w:highlight w:val="none"/>
              </w:rPr>
              <w:t>1～5亿元</w:t>
            </w:r>
          </w:p>
        </w:tc>
        <w:tc>
          <w:tcPr>
            <w:tcW w:w="1659" w:type="dxa"/>
          </w:tcPr>
          <w:p w14:paraId="07A2D313">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0.05%</w:t>
            </w:r>
          </w:p>
        </w:tc>
        <w:tc>
          <w:tcPr>
            <w:tcW w:w="1687" w:type="dxa"/>
          </w:tcPr>
          <w:p w14:paraId="3B6A3AF7">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Pr>
          <w:p w14:paraId="3F403D03">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3B36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64F5A00">
            <w:pPr>
              <w:spacing w:line="360" w:lineRule="auto"/>
              <w:rPr>
                <w:rFonts w:ascii="宋体" w:hAnsi="宋体"/>
                <w:color w:val="auto"/>
                <w:szCs w:val="21"/>
                <w:highlight w:val="none"/>
              </w:rPr>
            </w:pPr>
            <w:r>
              <w:rPr>
                <w:rFonts w:hint="eastAsia" w:ascii="宋体" w:hAnsi="宋体"/>
                <w:color w:val="auto"/>
                <w:szCs w:val="21"/>
                <w:highlight w:val="none"/>
              </w:rPr>
              <w:t>5～10亿元</w:t>
            </w:r>
          </w:p>
        </w:tc>
        <w:tc>
          <w:tcPr>
            <w:tcW w:w="1659" w:type="dxa"/>
          </w:tcPr>
          <w:p w14:paraId="76758E13">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c>
          <w:tcPr>
            <w:tcW w:w="1687" w:type="dxa"/>
          </w:tcPr>
          <w:p w14:paraId="1302F6A5">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Pr>
          <w:p w14:paraId="233696A4">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1735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F0EDBC7">
            <w:pPr>
              <w:spacing w:line="360" w:lineRule="auto"/>
              <w:rPr>
                <w:rFonts w:ascii="宋体" w:hAnsi="宋体"/>
                <w:color w:val="auto"/>
                <w:szCs w:val="21"/>
                <w:highlight w:val="none"/>
              </w:rPr>
            </w:pPr>
            <w:r>
              <w:rPr>
                <w:rFonts w:hint="eastAsia" w:ascii="宋体" w:hAnsi="宋体"/>
                <w:color w:val="auto"/>
                <w:szCs w:val="21"/>
                <w:highlight w:val="none"/>
              </w:rPr>
              <w:t>10～50亿元</w:t>
            </w:r>
          </w:p>
        </w:tc>
        <w:tc>
          <w:tcPr>
            <w:tcW w:w="1659" w:type="dxa"/>
          </w:tcPr>
          <w:p w14:paraId="469E007C">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c>
          <w:tcPr>
            <w:tcW w:w="1687" w:type="dxa"/>
          </w:tcPr>
          <w:p w14:paraId="1CC0A536">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7923A903">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7812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B61ADA5">
            <w:pPr>
              <w:spacing w:line="360" w:lineRule="auto"/>
              <w:rPr>
                <w:rFonts w:ascii="宋体" w:hAnsi="宋体"/>
                <w:color w:val="auto"/>
                <w:szCs w:val="21"/>
                <w:highlight w:val="none"/>
              </w:rPr>
            </w:pPr>
            <w:r>
              <w:rPr>
                <w:rFonts w:hint="eastAsia" w:ascii="宋体" w:hAnsi="宋体"/>
                <w:color w:val="auto"/>
                <w:szCs w:val="21"/>
                <w:highlight w:val="none"/>
              </w:rPr>
              <w:t>50～100亿元</w:t>
            </w:r>
          </w:p>
        </w:tc>
        <w:tc>
          <w:tcPr>
            <w:tcW w:w="1659" w:type="dxa"/>
          </w:tcPr>
          <w:p w14:paraId="5A7E582E">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Pr>
          <w:p w14:paraId="114185BE">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2CC17C70">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30F1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E150093">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tcPr>
          <w:p w14:paraId="457EE6A4">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Pr>
          <w:p w14:paraId="03EAF53F">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00F385B3">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08540264">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p>
    <w:p w14:paraId="16389D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68708D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0B5AF60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18B1DC8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0165C57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3D4EDA59">
      <w:pPr>
        <w:pStyle w:val="25"/>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0.8＝ 2.3（万元）</w:t>
      </w:r>
    </w:p>
    <w:p w14:paraId="16F80F93">
      <w:pP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39.3代理服务费交纳</w:t>
      </w:r>
      <w:r>
        <w:rPr>
          <w:rFonts w:ascii="宋体" w:hAnsi="宋体" w:cs="宋体"/>
          <w:color w:val="auto"/>
          <w:szCs w:val="21"/>
          <w:highlight w:val="none"/>
        </w:rPr>
        <w:t>银行帐号信息</w:t>
      </w:r>
      <w:r>
        <w:rPr>
          <w:rFonts w:hint="eastAsia" w:ascii="宋体" w:hAnsi="宋体" w:cs="宋体"/>
          <w:color w:val="auto"/>
          <w:szCs w:val="21"/>
          <w:highlight w:val="none"/>
        </w:rPr>
        <w:t>：详见投标须知前附表</w:t>
      </w:r>
    </w:p>
    <w:p w14:paraId="1871BBE1">
      <w:pPr>
        <w:spacing w:line="360" w:lineRule="auto"/>
        <w:ind w:firstLine="480" w:firstLineChars="200"/>
        <w:rPr>
          <w:rFonts w:ascii="宋体" w:hAnsi="宋体"/>
          <w:color w:val="auto"/>
          <w:sz w:val="24"/>
          <w:highlight w:val="none"/>
        </w:rPr>
      </w:pPr>
      <w:r>
        <w:rPr>
          <w:rFonts w:ascii="宋体" w:hAnsi="宋体"/>
          <w:color w:val="auto"/>
          <w:sz w:val="24"/>
          <w:highlight w:val="none"/>
        </w:rPr>
        <w:t>40. 需要补充的其他内容</w:t>
      </w:r>
    </w:p>
    <w:p w14:paraId="45D3C6C8">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40.1本招标文件解释规则详见“投标人须知前附表”。</w:t>
      </w:r>
    </w:p>
    <w:p w14:paraId="744B94BE">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40.2 其他事项详见“投标人须知前附表”。</w:t>
      </w:r>
    </w:p>
    <w:p w14:paraId="3C1610B3">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40.3</w:t>
      </w:r>
      <w:bookmarkStart w:id="137" w:name="_Hlk65857140"/>
      <w:r>
        <w:rPr>
          <w:rFonts w:hint="eastAsia" w:hAnsi="宋体" w:cs="宋体"/>
          <w:color w:val="auto"/>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26CEDEC6">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24824626">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27E16090">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C3BA82F">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66440A0">
      <w:pPr>
        <w:pStyle w:val="25"/>
        <w:spacing w:before="120" w:after="120"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bookmarkEnd w:id="137"/>
    </w:p>
    <w:p w14:paraId="68B247DD">
      <w:pPr>
        <w:pStyle w:val="19"/>
        <w:ind w:left="449" w:leftChars="114" w:hanging="210" w:hangingChars="100"/>
        <w:rPr>
          <w:rFonts w:ascii="宋体" w:hAnsi="宋体"/>
          <w:color w:val="auto"/>
          <w:highlight w:val="none"/>
        </w:rPr>
      </w:pPr>
      <w:r>
        <w:rPr>
          <w:rFonts w:ascii="宋体" w:hAnsi="宋体"/>
          <w:color w:val="auto"/>
          <w:highlight w:val="none"/>
        </w:rPr>
        <w:br w:type="page"/>
      </w:r>
    </w:p>
    <w:p w14:paraId="6690ADFC">
      <w:pPr>
        <w:pStyle w:val="19"/>
        <w:ind w:left="449" w:leftChars="114" w:hanging="210" w:hangingChars="100"/>
        <w:rPr>
          <w:rFonts w:ascii="宋体" w:hAnsi="宋体"/>
          <w:color w:val="auto"/>
          <w:highlight w:val="none"/>
        </w:rPr>
      </w:pPr>
    </w:p>
    <w:p w14:paraId="1CFE2564">
      <w:pPr>
        <w:pStyle w:val="19"/>
        <w:ind w:left="449" w:leftChars="114" w:hanging="210" w:hangingChars="100"/>
        <w:rPr>
          <w:rFonts w:ascii="宋体" w:hAnsi="宋体"/>
          <w:color w:val="auto"/>
          <w:highlight w:val="none"/>
        </w:rPr>
      </w:pPr>
    </w:p>
    <w:p w14:paraId="16EA69DC">
      <w:pPr>
        <w:pStyle w:val="19"/>
        <w:ind w:left="449" w:leftChars="114" w:hanging="210" w:hangingChars="100"/>
        <w:rPr>
          <w:rFonts w:ascii="宋体" w:hAnsi="宋体"/>
          <w:color w:val="auto"/>
          <w:highlight w:val="none"/>
        </w:rPr>
      </w:pPr>
    </w:p>
    <w:p w14:paraId="52024F97">
      <w:pPr>
        <w:pStyle w:val="25"/>
        <w:snapToGrid w:val="0"/>
        <w:spacing w:before="120" w:after="120"/>
        <w:rPr>
          <w:rFonts w:hAnsi="宋体"/>
          <w:color w:val="auto"/>
          <w:highlight w:val="none"/>
        </w:rPr>
      </w:pPr>
    </w:p>
    <w:p w14:paraId="48DCEC66">
      <w:pPr>
        <w:pStyle w:val="25"/>
        <w:snapToGrid w:val="0"/>
        <w:spacing w:before="120" w:after="120"/>
        <w:rPr>
          <w:rFonts w:hAnsi="宋体"/>
          <w:color w:val="auto"/>
          <w:highlight w:val="none"/>
        </w:rPr>
      </w:pPr>
    </w:p>
    <w:p w14:paraId="6DFADC68">
      <w:pPr>
        <w:pStyle w:val="25"/>
        <w:snapToGrid w:val="0"/>
        <w:spacing w:before="120" w:after="120"/>
        <w:rPr>
          <w:rFonts w:hAnsi="宋体"/>
          <w:color w:val="auto"/>
          <w:highlight w:val="none"/>
        </w:rPr>
      </w:pPr>
    </w:p>
    <w:p w14:paraId="0556480D">
      <w:pPr>
        <w:pStyle w:val="25"/>
        <w:snapToGrid w:val="0"/>
        <w:spacing w:before="120" w:after="120"/>
        <w:rPr>
          <w:rFonts w:hAnsi="宋体"/>
          <w:color w:val="auto"/>
          <w:highlight w:val="none"/>
        </w:rPr>
      </w:pPr>
    </w:p>
    <w:p w14:paraId="080C5028">
      <w:pPr>
        <w:pStyle w:val="25"/>
        <w:snapToGrid w:val="0"/>
        <w:spacing w:before="120" w:after="120"/>
        <w:rPr>
          <w:rFonts w:hAnsi="宋体"/>
          <w:color w:val="auto"/>
          <w:highlight w:val="none"/>
        </w:rPr>
      </w:pPr>
    </w:p>
    <w:p w14:paraId="2F8CCB20">
      <w:pPr>
        <w:pStyle w:val="25"/>
        <w:snapToGrid w:val="0"/>
        <w:spacing w:before="120" w:after="120"/>
        <w:rPr>
          <w:rFonts w:hAnsi="宋体"/>
          <w:color w:val="auto"/>
          <w:highlight w:val="none"/>
        </w:rPr>
      </w:pPr>
    </w:p>
    <w:p w14:paraId="4C848A54">
      <w:pPr>
        <w:pStyle w:val="25"/>
        <w:snapToGrid w:val="0"/>
        <w:spacing w:before="120" w:after="120"/>
        <w:rPr>
          <w:rFonts w:hAnsi="宋体"/>
          <w:color w:val="auto"/>
          <w:highlight w:val="none"/>
        </w:rPr>
      </w:pPr>
    </w:p>
    <w:p w14:paraId="23D9A136">
      <w:pPr>
        <w:pStyle w:val="25"/>
        <w:snapToGrid w:val="0"/>
        <w:spacing w:before="120" w:after="120"/>
        <w:rPr>
          <w:rFonts w:hAnsi="宋体"/>
          <w:color w:val="auto"/>
          <w:highlight w:val="none"/>
        </w:rPr>
      </w:pPr>
    </w:p>
    <w:p w14:paraId="68F48179">
      <w:pPr>
        <w:pStyle w:val="25"/>
        <w:snapToGrid w:val="0"/>
        <w:spacing w:before="120" w:after="120"/>
        <w:rPr>
          <w:rFonts w:hAnsi="宋体"/>
          <w:color w:val="auto"/>
          <w:highlight w:val="none"/>
        </w:rPr>
      </w:pPr>
    </w:p>
    <w:p w14:paraId="5F15F91B">
      <w:pPr>
        <w:pStyle w:val="2"/>
        <w:jc w:val="center"/>
        <w:rPr>
          <w:rFonts w:ascii="宋体" w:hAnsi="宋体" w:eastAsia="宋体"/>
          <w:color w:val="auto"/>
          <w:highlight w:val="none"/>
        </w:rPr>
      </w:pPr>
      <w:bookmarkStart w:id="138" w:name="_Toc254970689"/>
      <w:bookmarkStart w:id="139" w:name="_Toc330456896"/>
      <w:bookmarkStart w:id="140" w:name="_Toc17795"/>
      <w:bookmarkStart w:id="141" w:name="_Toc254970548"/>
      <w:r>
        <w:rPr>
          <w:rFonts w:hint="eastAsia" w:ascii="宋体" w:hAnsi="宋体" w:eastAsia="宋体"/>
          <w:color w:val="auto"/>
          <w:highlight w:val="none"/>
        </w:rPr>
        <w:t>第四章  评标方法及评标标准</w:t>
      </w:r>
      <w:bookmarkEnd w:id="138"/>
      <w:bookmarkEnd w:id="139"/>
      <w:bookmarkEnd w:id="140"/>
      <w:bookmarkEnd w:id="141"/>
    </w:p>
    <w:p w14:paraId="4A055117">
      <w:pPr>
        <w:pStyle w:val="25"/>
        <w:spacing w:before="120" w:after="120"/>
        <w:outlineLvl w:val="0"/>
        <w:rPr>
          <w:rFonts w:hAnsi="宋体"/>
          <w:b/>
          <w:color w:val="auto"/>
          <w:highlight w:val="none"/>
        </w:rPr>
      </w:pPr>
      <w:bookmarkStart w:id="142" w:name="_Toc254970549"/>
      <w:bookmarkStart w:id="143" w:name="_Toc254970690"/>
    </w:p>
    <w:bookmarkEnd w:id="142"/>
    <w:bookmarkEnd w:id="143"/>
    <w:p w14:paraId="39EFC2A2">
      <w:pPr>
        <w:pStyle w:val="25"/>
        <w:spacing w:before="120" w:after="120"/>
        <w:outlineLvl w:val="0"/>
        <w:rPr>
          <w:rFonts w:hAnsi="宋体"/>
          <w:bCs/>
          <w:color w:val="auto"/>
          <w:sz w:val="32"/>
          <w:szCs w:val="32"/>
          <w:highlight w:val="none"/>
        </w:rPr>
      </w:pPr>
    </w:p>
    <w:p w14:paraId="6FB82FAE">
      <w:pPr>
        <w:pStyle w:val="25"/>
        <w:spacing w:before="120" w:after="120"/>
        <w:outlineLvl w:val="0"/>
        <w:rPr>
          <w:rFonts w:hAnsi="宋体"/>
          <w:bCs/>
          <w:color w:val="auto"/>
          <w:sz w:val="32"/>
          <w:szCs w:val="32"/>
          <w:highlight w:val="none"/>
        </w:rPr>
      </w:pPr>
    </w:p>
    <w:p w14:paraId="69E1B779">
      <w:pPr>
        <w:pStyle w:val="25"/>
        <w:spacing w:before="120" w:after="120"/>
        <w:outlineLvl w:val="0"/>
        <w:rPr>
          <w:rFonts w:hAnsi="宋体"/>
          <w:bCs/>
          <w:color w:val="auto"/>
          <w:sz w:val="32"/>
          <w:szCs w:val="32"/>
          <w:highlight w:val="none"/>
        </w:rPr>
      </w:pPr>
    </w:p>
    <w:p w14:paraId="170E8E5D">
      <w:pPr>
        <w:spacing w:beforeLines="50" w:afterLines="50" w:line="400" w:lineRule="exact"/>
        <w:rPr>
          <w:rFonts w:ascii="宋体" w:hAnsi="宋体"/>
          <w:b/>
          <w:color w:val="auto"/>
          <w:sz w:val="24"/>
          <w:highlight w:val="none"/>
        </w:rPr>
      </w:pPr>
    </w:p>
    <w:p w14:paraId="2F4F024C">
      <w:pPr>
        <w:spacing w:beforeLines="50" w:afterLines="50" w:line="400" w:lineRule="exact"/>
        <w:rPr>
          <w:rFonts w:ascii="宋体" w:hAnsi="宋体"/>
          <w:b/>
          <w:color w:val="auto"/>
          <w:sz w:val="24"/>
          <w:highlight w:val="none"/>
        </w:rPr>
      </w:pPr>
    </w:p>
    <w:p w14:paraId="5B951833">
      <w:pPr>
        <w:spacing w:beforeLines="50" w:afterLines="50" w:line="400" w:lineRule="exact"/>
        <w:rPr>
          <w:rFonts w:ascii="宋体" w:hAnsi="宋体"/>
          <w:b/>
          <w:color w:val="auto"/>
          <w:sz w:val="24"/>
          <w:highlight w:val="none"/>
        </w:rPr>
      </w:pPr>
    </w:p>
    <w:p w14:paraId="57B96BB2">
      <w:pPr>
        <w:spacing w:beforeLines="50" w:afterLines="50" w:line="400" w:lineRule="exact"/>
        <w:rPr>
          <w:rFonts w:ascii="宋体" w:hAnsi="宋体"/>
          <w:b/>
          <w:color w:val="auto"/>
          <w:sz w:val="24"/>
          <w:highlight w:val="none"/>
        </w:rPr>
      </w:pPr>
    </w:p>
    <w:p w14:paraId="517EA643">
      <w:pPr>
        <w:spacing w:beforeLines="50" w:afterLines="50" w:line="400" w:lineRule="exact"/>
        <w:rPr>
          <w:rFonts w:ascii="宋体" w:hAnsi="宋体"/>
          <w:b/>
          <w:color w:val="auto"/>
          <w:sz w:val="24"/>
          <w:highlight w:val="none"/>
        </w:rPr>
      </w:pPr>
    </w:p>
    <w:p w14:paraId="41C5EFBF">
      <w:pPr>
        <w:spacing w:beforeLines="50" w:afterLines="50" w:line="400" w:lineRule="exact"/>
        <w:rPr>
          <w:rFonts w:ascii="宋体" w:hAnsi="宋体"/>
          <w:b/>
          <w:color w:val="auto"/>
          <w:sz w:val="24"/>
          <w:highlight w:val="none"/>
        </w:rPr>
      </w:pPr>
    </w:p>
    <w:p w14:paraId="3017150F">
      <w:pPr>
        <w:spacing w:beforeLines="50" w:afterLines="50" w:line="400" w:lineRule="exact"/>
        <w:rPr>
          <w:rFonts w:ascii="宋体" w:hAnsi="宋体"/>
          <w:b/>
          <w:color w:val="auto"/>
          <w:sz w:val="24"/>
          <w:highlight w:val="none"/>
        </w:rPr>
      </w:pPr>
    </w:p>
    <w:p w14:paraId="287219D6">
      <w:pPr>
        <w:pStyle w:val="25"/>
        <w:spacing w:line="360" w:lineRule="exact"/>
        <w:rPr>
          <w:rFonts w:hAnsi="宋体"/>
          <w:b/>
          <w:color w:val="auto"/>
          <w:sz w:val="24"/>
          <w:highlight w:val="none"/>
        </w:rPr>
      </w:pPr>
    </w:p>
    <w:p w14:paraId="3205F216">
      <w:pPr>
        <w:pStyle w:val="4"/>
        <w:keepNext w:val="0"/>
        <w:keepLines w:val="0"/>
        <w:jc w:val="center"/>
        <w:rPr>
          <w:rFonts w:ascii="宋体" w:hAnsi="宋体" w:eastAsia="宋体"/>
          <w:color w:val="auto"/>
          <w:sz w:val="30"/>
          <w:szCs w:val="30"/>
          <w:highlight w:val="none"/>
        </w:rPr>
      </w:pPr>
      <w:r>
        <w:rPr>
          <w:rFonts w:ascii="宋体" w:hAnsi="宋体" w:eastAsia="宋体"/>
          <w:color w:val="auto"/>
          <w:sz w:val="30"/>
          <w:szCs w:val="30"/>
          <w:highlight w:val="none"/>
        </w:rPr>
        <w:br w:type="page"/>
      </w:r>
      <w:r>
        <w:rPr>
          <w:rFonts w:hint="eastAsia" w:ascii="宋体" w:hAnsi="宋体" w:eastAsia="宋体"/>
          <w:color w:val="auto"/>
          <w:sz w:val="30"/>
          <w:szCs w:val="30"/>
          <w:highlight w:val="none"/>
        </w:rPr>
        <w:t>一、评标方法</w:t>
      </w:r>
    </w:p>
    <w:p w14:paraId="2E51D452">
      <w:pPr>
        <w:pStyle w:val="25"/>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18F640C8">
      <w:pPr>
        <w:pStyle w:val="25"/>
        <w:spacing w:line="360" w:lineRule="auto"/>
        <w:ind w:firstLine="420"/>
        <w:rPr>
          <w:rFonts w:hAnsi="宋体"/>
          <w:color w:val="auto"/>
          <w:sz w:val="21"/>
          <w:highlight w:val="none"/>
        </w:rPr>
      </w:pPr>
      <w:r>
        <w:rPr>
          <w:rFonts w:hint="eastAsia" w:hAnsi="宋体"/>
          <w:color w:val="auto"/>
          <w:sz w:val="21"/>
          <w:highlight w:val="none"/>
        </w:rPr>
        <w:t>最低评标价法，是指投标文件满足招标文件全部实质性要求，且投标报价最低的投标人为中标候选人的评标方法。</w:t>
      </w:r>
    </w:p>
    <w:p w14:paraId="608F655C">
      <w:pPr>
        <w:pStyle w:val="4"/>
        <w:keepNext w:val="0"/>
        <w:keepLines w:val="0"/>
        <w:jc w:val="center"/>
        <w:rPr>
          <w:rFonts w:ascii="宋体" w:hAnsi="宋体" w:eastAsia="宋体"/>
          <w:color w:val="auto"/>
          <w:sz w:val="30"/>
          <w:szCs w:val="30"/>
          <w:highlight w:val="none"/>
        </w:rPr>
      </w:pPr>
      <w:r>
        <w:rPr>
          <w:rFonts w:hint="eastAsia" w:ascii="宋体" w:hAnsi="宋体" w:eastAsia="宋体"/>
          <w:color w:val="auto"/>
          <w:sz w:val="30"/>
          <w:szCs w:val="30"/>
          <w:highlight w:val="none"/>
        </w:rPr>
        <w:t>二、评标程序</w:t>
      </w:r>
    </w:p>
    <w:p w14:paraId="396E9A1E">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1.符合性审查</w:t>
      </w:r>
    </w:p>
    <w:p w14:paraId="75D113B2">
      <w:pPr>
        <w:pStyle w:val="25"/>
        <w:snapToGrid w:val="0"/>
        <w:spacing w:line="360" w:lineRule="auto"/>
        <w:ind w:left="1" w:firstLine="420"/>
        <w:rPr>
          <w:rFonts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2C024235">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7F0185A3">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26B75C02">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2B0D6A83">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未提供“投标人须知前附表”第13.1条规定中“必须提供”的文件资料的；</w:t>
      </w:r>
    </w:p>
    <w:p w14:paraId="0AC5A45F">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36D6C34">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39C0AFAC">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009C374">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修正后的报价，投标人不确认的；</w:t>
      </w:r>
    </w:p>
    <w:p w14:paraId="319EDDE9">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1A163E9A">
      <w:pPr>
        <w:pStyle w:val="14"/>
        <w:numPr>
          <w:ilvl w:val="0"/>
          <w:numId w:val="2"/>
        </w:numPr>
        <w:spacing w:line="360" w:lineRule="auto"/>
        <w:ind w:firstLine="422"/>
        <w:rPr>
          <w:rFonts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3D30E6AA">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580F6ACF">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投标文件未按招标文件要求签署、盖章的；</w:t>
      </w:r>
    </w:p>
    <w:p w14:paraId="25884D29">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7D11C498">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5FA9CDCC">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09FB5A32">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316F3252">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173CE46C">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30CFF45D">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4057C588">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696E90D8">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11709C9B">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35306C9C">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未响应招标文件实质性要求的；</w:t>
      </w:r>
    </w:p>
    <w:p w14:paraId="6FAF75B5">
      <w:pPr>
        <w:numPr>
          <w:ilvl w:val="0"/>
          <w:numId w:val="3"/>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A3A1B7C">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629CB7BC">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（1）技术要求评审允许负偏离的条款数超过“投标人须知前附表”规定项数的；</w:t>
      </w:r>
    </w:p>
    <w:p w14:paraId="5AFBD2B0">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（2）投标文件未提供“投标人须知前附表”第13.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条规定中“必须提供”的文件资料的；</w:t>
      </w:r>
    </w:p>
    <w:p w14:paraId="397E9E4B">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（3）虚假投标，或者出现其他情形而导致被评标委员会认定无效的；</w:t>
      </w:r>
    </w:p>
    <w:p w14:paraId="6763AC1E">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（4）</w:t>
      </w:r>
      <w:bookmarkStart w:id="144" w:name="_Hlk71706244"/>
      <w:r>
        <w:rPr>
          <w:rFonts w:hint="eastAsia" w:ascii="宋体" w:hAnsi="宋体"/>
          <w:b/>
          <w:color w:val="auto"/>
          <w:szCs w:val="21"/>
          <w:highlight w:val="none"/>
        </w:rPr>
        <w:t>招标文件未载明允许提供备选（替代）投标方案或明确不允许提供备选（替代）投标方案时，投标人提供了备选（替代）投标方案的；</w:t>
      </w:r>
      <w:bookmarkEnd w:id="144"/>
    </w:p>
    <w:p w14:paraId="5B2DEB19">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（5）未响应招标文件实质性要求的。</w:t>
      </w:r>
    </w:p>
    <w:p w14:paraId="4BC68AAC">
      <w:pPr>
        <w:pStyle w:val="20"/>
        <w:snapToGrid w:val="0"/>
        <w:spacing w:line="360" w:lineRule="auto"/>
        <w:ind w:firstLine="413" w:firstLineChars="196"/>
        <w:rPr>
          <w:rFonts w:ascii="宋体" w:hAnsi="宋体"/>
          <w:b/>
          <w:color w:val="auto"/>
          <w:szCs w:val="21"/>
          <w:highlight w:val="none"/>
        </w:rPr>
      </w:pPr>
      <w:r>
        <w:rPr>
          <w:rFonts w:hint="eastAsia" w:ascii="宋体" w:hAnsi="宋体"/>
          <w:b/>
          <w:color w:val="auto"/>
          <w:szCs w:val="21"/>
          <w:highlight w:val="none"/>
        </w:rPr>
        <w:t>2.4通过符合性审查的投标人不足3家，评标委员会不得继续评标，并出具评标报告。</w:t>
      </w:r>
    </w:p>
    <w:p w14:paraId="2FB1558C">
      <w:pPr>
        <w:pStyle w:val="6"/>
        <w:keepNext w:val="0"/>
        <w:keepLines w:val="0"/>
        <w:spacing w:before="0" w:after="0" w:line="360" w:lineRule="auto"/>
        <w:ind w:left="420" w:leftChars="200"/>
        <w:rPr>
          <w:rFonts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01557960">
      <w:pPr>
        <w:snapToGrid w:val="0"/>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对投标文件中含义不明确、同类问题表述不一致或者有明显文字和计算错误的内容，评标委员会以</w:t>
      </w:r>
      <w:r>
        <w:rPr>
          <w:rFonts w:hint="eastAsia" w:ascii="宋体" w:hAnsi="宋体" w:cs="宋体"/>
          <w:color w:val="auto"/>
          <w:szCs w:val="21"/>
          <w:highlight w:val="none"/>
        </w:rPr>
        <w:t>电子澄清函形式</w:t>
      </w:r>
      <w:r>
        <w:rPr>
          <w:rFonts w:hint="eastAsia" w:ascii="宋体" w:hAnsi="宋体" w:cs="Courier New"/>
          <w:color w:val="auto"/>
          <w:szCs w:val="21"/>
          <w:highlight w:val="none"/>
        </w:rPr>
        <w:t>要求投标人在规定时间内作出必要的澄清、说明或者纠正。投标人的澄清、说明或者补正必须采用</w:t>
      </w:r>
      <w:r>
        <w:rPr>
          <w:rFonts w:hint="eastAsia" w:ascii="宋体" w:hAnsi="宋体" w:cs="宋体"/>
          <w:color w:val="auto"/>
          <w:szCs w:val="21"/>
          <w:highlight w:val="none"/>
        </w:rPr>
        <w:t>电子回函形式</w:t>
      </w:r>
      <w:r>
        <w:rPr>
          <w:rFonts w:hint="eastAsia" w:ascii="宋体" w:hAnsi="宋体" w:cs="Courier New"/>
          <w:color w:val="auto"/>
          <w:szCs w:val="21"/>
          <w:highlight w:val="none"/>
        </w:rPr>
        <w:t>，并加盖投标人公章，或者由法定代表人或者其授权的代表签字。投标人的澄清、说明或者补正不得超出投标文件的范围或者改变投标文件的实质性内容。</w:t>
      </w:r>
    </w:p>
    <w:p w14:paraId="30C9FD2C">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1F486372">
      <w:pPr>
        <w:pStyle w:val="6"/>
        <w:keepNext w:val="0"/>
        <w:keepLines w:val="0"/>
        <w:spacing w:before="0" w:after="0" w:line="360" w:lineRule="auto"/>
        <w:ind w:left="420" w:leftChars="200"/>
        <w:rPr>
          <w:rFonts w:ascii="宋体" w:hAnsi="宋体"/>
          <w:b/>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 xml:space="preserve">.1投标文件报价出现前后不一致的，按照下列规定修正： </w:t>
      </w:r>
    </w:p>
    <w:p w14:paraId="2468843E">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1A39CE04">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5A05F7AC">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075F00EF">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6713FA3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79CB4A61">
      <w:pPr>
        <w:pStyle w:val="6"/>
        <w:keepNext w:val="0"/>
        <w:keepLines w:val="0"/>
        <w:spacing w:before="0" w:after="0" w:line="360" w:lineRule="auto"/>
        <w:rPr>
          <w:rFonts w:ascii="宋体" w:hAnsi="宋体"/>
          <w:b/>
          <w:color w:val="auto"/>
          <w:sz w:val="21"/>
          <w:szCs w:val="21"/>
          <w:highlight w:val="none"/>
        </w:rPr>
      </w:pPr>
      <w:r>
        <w:rPr>
          <w:rFonts w:ascii="宋体" w:hAnsi="宋体"/>
          <w:color w:val="auto"/>
          <w:sz w:val="21"/>
          <w:szCs w:val="21"/>
          <w:highlight w:val="none"/>
        </w:rPr>
        <w:t xml:space="preserve">    4</w:t>
      </w:r>
      <w:r>
        <w:rPr>
          <w:rFonts w:hint="eastAsia" w:ascii="宋体" w:hAnsi="宋体"/>
          <w:color w:val="auto"/>
          <w:sz w:val="21"/>
          <w:szCs w:val="21"/>
          <w:highlight w:val="none"/>
        </w:rPr>
        <w:t>.2经投标人确认修正后的报价若超过采购预算金额或者最高限价，投标人的投标文件作无效投标处理。</w:t>
      </w:r>
    </w:p>
    <w:p w14:paraId="3C73A839">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C5955CD">
      <w:pPr>
        <w:pStyle w:val="6"/>
        <w:keepNext w:val="0"/>
        <w:keepLines w:val="0"/>
        <w:spacing w:before="0" w:after="0" w:line="360" w:lineRule="auto"/>
        <w:ind w:left="420" w:leftChars="200"/>
        <w:rPr>
          <w:rFonts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1018F44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5.1采用综合评分法的</w:t>
      </w:r>
    </w:p>
    <w:p w14:paraId="0A9A4B6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0A14581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53E736EB">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r>
        <w:rPr>
          <w:rFonts w:hint="eastAsia" w:ascii="宋体" w:hAnsi="宋体"/>
          <w:color w:val="auto"/>
          <w:szCs w:val="21"/>
          <w:highlight w:val="none"/>
        </w:rPr>
        <w:t>。</w:t>
      </w:r>
    </w:p>
    <w:p w14:paraId="59B6E79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53BC1CE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72A0280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66A5033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E4015C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5.2采用</w:t>
      </w:r>
      <w:r>
        <w:rPr>
          <w:rFonts w:hint="eastAsia" w:ascii="宋体" w:hAnsi="宋体"/>
          <w:color w:val="auto"/>
          <w:highlight w:val="none"/>
        </w:rPr>
        <w:t>最低评标价法</w:t>
      </w:r>
      <w:r>
        <w:rPr>
          <w:rFonts w:hint="eastAsia" w:ascii="宋体" w:hAnsi="宋体"/>
          <w:color w:val="auto"/>
          <w:szCs w:val="21"/>
          <w:highlight w:val="none"/>
        </w:rPr>
        <w:t>的</w:t>
      </w:r>
    </w:p>
    <w:p w14:paraId="7EA5801A">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（1）评标委员会按照招标文件中规定的评标方法及评标标准，对符合性审查合格的投标文件报价进行比较。</w:t>
      </w:r>
    </w:p>
    <w:p w14:paraId="218C9EB5">
      <w:pPr>
        <w:snapToGrid w:val="0"/>
        <w:spacing w:line="360" w:lineRule="auto"/>
        <w:ind w:firstLine="399" w:firstLineChars="202"/>
        <w:jc w:val="left"/>
        <w:rPr>
          <w:rFonts w:ascii="宋体" w:hAnsi="宋体"/>
          <w:color w:val="auto"/>
          <w:spacing w:val="-6"/>
          <w:szCs w:val="21"/>
          <w:highlight w:val="none"/>
        </w:rPr>
      </w:pPr>
      <w:r>
        <w:rPr>
          <w:rFonts w:hint="eastAsia" w:ascii="宋体" w:hAnsi="宋体"/>
          <w:color w:val="auto"/>
          <w:spacing w:val="-6"/>
          <w:szCs w:val="21"/>
          <w:highlight w:val="none"/>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pacing w:val="-6"/>
          <w:szCs w:val="21"/>
          <w:highlight w:val="none"/>
        </w:rPr>
        <w:t>投标人不能证明其报价合理性的，评标委员会将其作为无效投标处理</w:t>
      </w:r>
      <w:r>
        <w:rPr>
          <w:rFonts w:hint="eastAsia" w:ascii="宋体" w:hAnsi="宋体"/>
          <w:color w:val="auto"/>
          <w:spacing w:val="-6"/>
          <w:szCs w:val="21"/>
          <w:highlight w:val="none"/>
        </w:rPr>
        <w:t>。</w:t>
      </w:r>
    </w:p>
    <w:p w14:paraId="442892FD">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（3）评标委员会按照招标文件中的规定推荐中标候选人。</w:t>
      </w:r>
    </w:p>
    <w:p w14:paraId="6551C5EE">
      <w:pPr>
        <w:snapToGrid w:val="0"/>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C3F167F">
      <w:pPr>
        <w:snapToGrid w:val="0"/>
        <w:spacing w:line="360" w:lineRule="auto"/>
        <w:jc w:val="center"/>
        <w:rPr>
          <w:rFonts w:ascii="宋体" w:hAnsi="宋体"/>
          <w:color w:val="auto"/>
          <w:highlight w:val="none"/>
        </w:rPr>
      </w:pPr>
      <w:r>
        <w:rPr>
          <w:rFonts w:ascii="宋体" w:hAnsi="宋体"/>
          <w:color w:val="auto"/>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580169C7">
      <w:pPr>
        <w:pStyle w:val="4"/>
        <w:keepNext w:val="0"/>
        <w:keepLines w:val="0"/>
        <w:jc w:val="center"/>
        <w:rPr>
          <w:rFonts w:ascii="宋体" w:hAnsi="宋体" w:eastAsia="宋体"/>
          <w:color w:val="auto"/>
          <w:highlight w:val="none"/>
        </w:rPr>
      </w:pPr>
      <w:r>
        <w:rPr>
          <w:rFonts w:hint="eastAsia" w:ascii="宋体" w:hAnsi="宋体" w:eastAsia="宋体"/>
          <w:color w:val="auto"/>
          <w:highlight w:val="none"/>
        </w:rPr>
        <w:t>综合评分法</w:t>
      </w:r>
    </w:p>
    <w:p w14:paraId="05E2A011">
      <w:pPr>
        <w:adjustRightInd w:val="0"/>
        <w:snapToGrid w:val="0"/>
        <w:spacing w:line="570" w:lineRule="exact"/>
        <w:ind w:firstLine="420" w:firstLineChars="200"/>
        <w:rPr>
          <w:rFonts w:ascii="宋体" w:hAnsi="宋体"/>
          <w:color w:val="auto"/>
          <w:szCs w:val="21"/>
          <w:highlight w:val="none"/>
        </w:rPr>
      </w:pPr>
      <w:r>
        <w:rPr>
          <w:rFonts w:hint="eastAsia" w:ascii="宋体" w:hAnsi="宋体"/>
          <w:color w:val="auto"/>
          <w:szCs w:val="21"/>
          <w:highlight w:val="none"/>
        </w:rPr>
        <w:t>评定方法：</w:t>
      </w:r>
    </w:p>
    <w:p w14:paraId="267D7DED">
      <w:pPr>
        <w:adjustRightInd w:val="0"/>
        <w:snapToGrid w:val="0"/>
        <w:spacing w:line="57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（一）对进入详评的，采用百分制综合评分法。</w:t>
      </w:r>
    </w:p>
    <w:p w14:paraId="28DB55F8">
      <w:pPr>
        <w:adjustRightInd w:val="0"/>
        <w:snapToGrid w:val="0"/>
        <w:spacing w:line="570" w:lineRule="exact"/>
        <w:ind w:firstLine="420" w:firstLineChars="200"/>
        <w:rPr>
          <w:rFonts w:hint="eastAsia" w:ascii="宋体" w:hAnsi="宋体"/>
          <w:color w:val="auto"/>
          <w:szCs w:val="21"/>
          <w:highlight w:val="none"/>
        </w:rPr>
      </w:pPr>
      <w:r>
        <w:rPr>
          <w:rFonts w:hint="eastAsia" w:hAnsi="宋体"/>
          <w:color w:val="auto"/>
          <w:highlight w:val="none"/>
        </w:rPr>
        <w:t>（二）计分办法（按四舍五入取至百分位）：</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1460"/>
        <w:gridCol w:w="2083"/>
        <w:gridCol w:w="5728"/>
      </w:tblGrid>
      <w:tr w14:paraId="30FD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37" w:type="pct"/>
            <w:gridSpan w:val="2"/>
            <w:noWrap w:val="0"/>
            <w:vAlign w:val="center"/>
          </w:tcPr>
          <w:p w14:paraId="28285AF2">
            <w:pPr>
              <w:adjustRightInd w:val="0"/>
              <w:spacing w:after="0" w:line="360" w:lineRule="exact"/>
              <w:jc w:val="center"/>
              <w:textAlignment w:val="baseline"/>
              <w:rPr>
                <w:rFonts w:ascii="宋体" w:hAnsi="宋体" w:cs="Times New Roman"/>
                <w:b/>
                <w:color w:val="auto"/>
                <w:szCs w:val="21"/>
                <w:highlight w:val="none"/>
              </w:rPr>
            </w:pPr>
            <w:r>
              <w:rPr>
                <w:rFonts w:hint="eastAsia" w:ascii="宋体" w:hAnsi="宋体" w:cs="Times New Roman"/>
                <w:b/>
                <w:color w:val="auto"/>
                <w:szCs w:val="21"/>
                <w:highlight w:val="none"/>
              </w:rPr>
              <w:t>序号</w:t>
            </w:r>
          </w:p>
        </w:tc>
        <w:tc>
          <w:tcPr>
            <w:tcW w:w="1057" w:type="pct"/>
            <w:noWrap w:val="0"/>
            <w:vAlign w:val="center"/>
          </w:tcPr>
          <w:p w14:paraId="2EBABCFC">
            <w:pPr>
              <w:adjustRightInd w:val="0"/>
              <w:spacing w:after="0" w:line="360" w:lineRule="exact"/>
              <w:jc w:val="center"/>
              <w:textAlignment w:val="baseline"/>
              <w:rPr>
                <w:rFonts w:ascii="宋体" w:hAnsi="宋体" w:cs="Times New Roman"/>
                <w:b/>
                <w:color w:val="auto"/>
                <w:szCs w:val="21"/>
                <w:highlight w:val="none"/>
              </w:rPr>
            </w:pPr>
            <w:r>
              <w:rPr>
                <w:rFonts w:hint="eastAsia" w:ascii="宋体" w:hAnsi="宋体" w:cs="Times New Roman"/>
                <w:b/>
                <w:color w:val="auto"/>
                <w:szCs w:val="21"/>
                <w:highlight w:val="none"/>
              </w:rPr>
              <w:t>评审因素</w:t>
            </w:r>
          </w:p>
        </w:tc>
        <w:tc>
          <w:tcPr>
            <w:tcW w:w="2906" w:type="pct"/>
            <w:noWrap w:val="0"/>
            <w:vAlign w:val="center"/>
          </w:tcPr>
          <w:p w14:paraId="06E2AECA">
            <w:pPr>
              <w:adjustRightInd w:val="0"/>
              <w:spacing w:after="0" w:line="360" w:lineRule="exact"/>
              <w:jc w:val="center"/>
              <w:textAlignment w:val="baseline"/>
              <w:rPr>
                <w:rFonts w:ascii="宋体" w:hAnsi="宋体" w:cs="Times New Roman"/>
                <w:b/>
                <w:color w:val="auto"/>
                <w:szCs w:val="21"/>
                <w:highlight w:val="none"/>
              </w:rPr>
            </w:pPr>
            <w:r>
              <w:rPr>
                <w:rFonts w:hint="eastAsia" w:ascii="宋体" w:hAnsi="宋体" w:cs="Times New Roman"/>
                <w:b/>
                <w:color w:val="auto"/>
                <w:szCs w:val="21"/>
                <w:highlight w:val="none"/>
              </w:rPr>
              <w:t>评标标准</w:t>
            </w:r>
          </w:p>
        </w:tc>
      </w:tr>
      <w:tr w14:paraId="4B6B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noWrap w:val="0"/>
            <w:vAlign w:val="center"/>
          </w:tcPr>
          <w:p w14:paraId="4C07898A">
            <w:pPr>
              <w:adjustRightInd w:val="0"/>
              <w:spacing w:after="0" w:line="360" w:lineRule="exact"/>
              <w:jc w:val="center"/>
              <w:textAlignment w:val="baseline"/>
              <w:rPr>
                <w:rFonts w:ascii="宋体" w:hAnsi="宋体" w:cs="Times New Roman"/>
                <w:color w:val="auto"/>
                <w:szCs w:val="21"/>
                <w:highlight w:val="none"/>
              </w:rPr>
            </w:pPr>
            <w:r>
              <w:rPr>
                <w:rFonts w:hint="eastAsia" w:ascii="宋体" w:hAnsi="宋体" w:cs="Times New Roman"/>
                <w:color w:val="auto"/>
                <w:szCs w:val="21"/>
                <w:highlight w:val="none"/>
              </w:rPr>
              <w:t>1</w:t>
            </w:r>
          </w:p>
        </w:tc>
        <w:tc>
          <w:tcPr>
            <w:tcW w:w="741" w:type="pct"/>
            <w:noWrap w:val="0"/>
            <w:vAlign w:val="center"/>
          </w:tcPr>
          <w:p w14:paraId="3E1613E3">
            <w:pPr>
              <w:adjustRightInd w:val="0"/>
              <w:spacing w:after="0" w:line="360" w:lineRule="exact"/>
              <w:jc w:val="center"/>
              <w:textAlignment w:val="baseline"/>
              <w:rPr>
                <w:rFonts w:ascii="宋体" w:hAnsi="宋体" w:cs="Times New Roman"/>
                <w:b/>
                <w:bCs/>
                <w:color w:val="auto"/>
                <w:szCs w:val="21"/>
                <w:highlight w:val="none"/>
              </w:rPr>
            </w:pPr>
            <w:r>
              <w:rPr>
                <w:rFonts w:hint="eastAsia" w:ascii="宋体" w:hAnsi="宋体" w:cs="Times New Roman"/>
                <w:b/>
                <w:bCs/>
                <w:color w:val="auto"/>
                <w:szCs w:val="21"/>
                <w:highlight w:val="none"/>
              </w:rPr>
              <w:t>价格分</w:t>
            </w:r>
          </w:p>
          <w:p w14:paraId="3CC8C37D">
            <w:pPr>
              <w:adjustRightInd w:val="0"/>
              <w:spacing w:after="0" w:line="360" w:lineRule="exact"/>
              <w:jc w:val="center"/>
              <w:textAlignment w:val="baseline"/>
              <w:rPr>
                <w:rFonts w:ascii="宋体" w:hAnsi="宋体" w:cs="Times New Roman"/>
                <w:b/>
                <w:bCs/>
                <w:color w:val="auto"/>
                <w:szCs w:val="21"/>
                <w:highlight w:val="none"/>
              </w:rPr>
            </w:pPr>
            <w:r>
              <w:rPr>
                <w:rFonts w:hint="eastAsia" w:ascii="宋体" w:hAnsi="宋体" w:cs="Times New Roman"/>
                <w:b/>
                <w:bCs/>
                <w:color w:val="auto"/>
                <w:szCs w:val="21"/>
                <w:highlight w:val="none"/>
              </w:rPr>
              <w:t>（满分</w:t>
            </w:r>
            <w:r>
              <w:rPr>
                <w:rFonts w:hint="eastAsia" w:ascii="宋体" w:hAnsi="宋体" w:cs="Times New Roman"/>
                <w:b/>
                <w:bCs/>
                <w:color w:val="auto"/>
                <w:szCs w:val="21"/>
                <w:highlight w:val="none"/>
                <w:u w:val="single"/>
              </w:rPr>
              <w:t>10</w:t>
            </w:r>
            <w:r>
              <w:rPr>
                <w:rFonts w:hint="eastAsia" w:ascii="宋体" w:hAnsi="宋体" w:cs="Times New Roman"/>
                <w:b/>
                <w:bCs/>
                <w:color w:val="auto"/>
                <w:szCs w:val="21"/>
                <w:highlight w:val="none"/>
              </w:rPr>
              <w:t>分）</w:t>
            </w:r>
          </w:p>
        </w:tc>
        <w:tc>
          <w:tcPr>
            <w:tcW w:w="1057" w:type="pct"/>
            <w:noWrap w:val="0"/>
            <w:vAlign w:val="center"/>
          </w:tcPr>
          <w:p w14:paraId="30FD869C">
            <w:pPr>
              <w:adjustRightInd w:val="0"/>
              <w:spacing w:after="0" w:line="360" w:lineRule="exact"/>
              <w:jc w:val="center"/>
              <w:textAlignment w:val="baseline"/>
              <w:rPr>
                <w:rFonts w:ascii="宋体" w:hAnsi="宋体" w:cs="Times New Roman"/>
                <w:bCs/>
                <w:color w:val="auto"/>
                <w:szCs w:val="21"/>
                <w:highlight w:val="none"/>
              </w:rPr>
            </w:pPr>
            <w:r>
              <w:rPr>
                <w:rFonts w:hint="eastAsia" w:ascii="宋体" w:hAnsi="宋体" w:cs="Times New Roman"/>
                <w:bCs/>
                <w:color w:val="auto"/>
                <w:szCs w:val="21"/>
                <w:highlight w:val="none"/>
              </w:rPr>
              <w:t>投标报价</w:t>
            </w:r>
            <w:r>
              <w:rPr>
                <w:rFonts w:hint="eastAsia" w:ascii="宋体" w:hAnsi="宋体" w:cs="Times New Roman"/>
                <w:bCs/>
                <w:color w:val="auto"/>
                <w:szCs w:val="21"/>
                <w:highlight w:val="none"/>
                <w:lang w:val="en-US" w:eastAsia="zh-CN"/>
              </w:rPr>
              <w:t>分</w:t>
            </w:r>
            <w:r>
              <w:rPr>
                <w:rFonts w:hint="eastAsia" w:ascii="宋体" w:hAnsi="宋体" w:cs="Times New Roman"/>
                <w:bCs/>
                <w:color w:val="auto"/>
                <w:szCs w:val="21"/>
                <w:highlight w:val="none"/>
              </w:rPr>
              <w:t>（满分</w:t>
            </w:r>
            <w:r>
              <w:rPr>
                <w:rFonts w:hint="eastAsia" w:ascii="宋体" w:hAnsi="宋体" w:cs="Times New Roman"/>
                <w:bCs/>
                <w:color w:val="auto"/>
                <w:szCs w:val="21"/>
                <w:highlight w:val="none"/>
                <w:u w:val="single"/>
              </w:rPr>
              <w:t>10</w:t>
            </w:r>
            <w:r>
              <w:rPr>
                <w:rFonts w:hint="eastAsia" w:ascii="宋体" w:hAnsi="宋体" w:cs="Times New Roman"/>
                <w:bCs/>
                <w:color w:val="auto"/>
                <w:szCs w:val="21"/>
                <w:highlight w:val="none"/>
              </w:rPr>
              <w:t>分）</w:t>
            </w:r>
          </w:p>
        </w:tc>
        <w:tc>
          <w:tcPr>
            <w:tcW w:w="2906" w:type="pct"/>
            <w:noWrap w:val="0"/>
            <w:vAlign w:val="center"/>
          </w:tcPr>
          <w:p w14:paraId="3B6C41FB">
            <w:pPr>
              <w:snapToGrid w:val="0"/>
              <w:spacing w:after="0" w:line="360" w:lineRule="exact"/>
              <w:ind w:firstLine="233" w:firstLineChars="111"/>
              <w:rPr>
                <w:rFonts w:ascii="宋体" w:hAnsi="宋体" w:cs="Times New Roman"/>
                <w:bCs/>
                <w:color w:val="auto"/>
                <w:szCs w:val="21"/>
                <w:highlight w:val="none"/>
              </w:rPr>
            </w:pPr>
            <w:r>
              <w:rPr>
                <w:rFonts w:hint="eastAsia" w:ascii="宋体" w:hAnsi="宋体" w:cs="Times New Roman"/>
                <w:bCs/>
                <w:color w:val="auto"/>
                <w:szCs w:val="21"/>
                <w:highlight w:val="none"/>
              </w:rPr>
              <w:t>（1）评标报价为投标人的投标报价进行政策性扣除后的价格，评标报价只是作为评标时使用。最终中标人的中标金额等于投标报价。</w:t>
            </w:r>
          </w:p>
          <w:p w14:paraId="45261B44">
            <w:pPr>
              <w:snapToGrid w:val="0"/>
              <w:spacing w:after="0" w:line="360" w:lineRule="exact"/>
              <w:ind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（2）政策性扣除计算方法。</w:t>
            </w:r>
          </w:p>
          <w:p w14:paraId="24272696">
            <w:pPr>
              <w:snapToGrid w:val="0"/>
              <w:spacing w:after="0" w:line="360" w:lineRule="exact"/>
              <w:ind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除上述情况外，评标报价=投标报价。</w:t>
            </w:r>
          </w:p>
          <w:p w14:paraId="0E3BA4F0">
            <w:pPr>
              <w:snapToGrid w:val="0"/>
              <w:spacing w:after="0" w:line="360" w:lineRule="exact"/>
              <w:ind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2A9F29CE">
            <w:pPr>
              <w:snapToGrid w:val="0"/>
              <w:spacing w:after="0" w:line="360" w:lineRule="exact"/>
              <w:ind w:firstLine="233" w:firstLineChars="111"/>
              <w:rPr>
                <w:rFonts w:ascii="宋体" w:hAnsi="宋体" w:cs="Times New Roman"/>
                <w:bCs/>
                <w:color w:val="auto"/>
                <w:szCs w:val="21"/>
                <w:highlight w:val="none"/>
              </w:rPr>
            </w:pPr>
            <w:r>
              <w:rPr>
                <w:rFonts w:hint="eastAsia" w:ascii="宋体" w:hAnsi="宋体" w:cs="Times New Roman"/>
                <w:bCs/>
                <w:color w:val="auto"/>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06B64A8">
            <w:pPr>
              <w:snapToGrid w:val="0"/>
              <w:spacing w:after="0" w:line="360" w:lineRule="exact"/>
              <w:ind w:firstLine="233" w:firstLineChars="111"/>
              <w:rPr>
                <w:rFonts w:hint="eastAsia" w:ascii="宋体" w:hAnsi="宋体" w:cs="Times New Roman"/>
                <w:bCs/>
                <w:color w:val="auto"/>
                <w:szCs w:val="21"/>
                <w:highlight w:val="none"/>
              </w:rPr>
            </w:pPr>
            <w:r>
              <w:rPr>
                <w:rFonts w:hint="eastAsia" w:ascii="宋体" w:hAnsi="宋体" w:cs="Times New Roman"/>
                <w:bCs/>
                <w:color w:val="auto"/>
                <w:szCs w:val="21"/>
                <w:highlight w:val="none"/>
              </w:rPr>
              <w:t>（5）满足招标文件要求且评标报价最低的评标报价为评标基准价，其价格分为满分。</w:t>
            </w:r>
          </w:p>
          <w:p w14:paraId="3110F155">
            <w:pPr>
              <w:spacing w:after="0" w:line="360" w:lineRule="exact"/>
              <w:ind w:firstLine="233" w:firstLineChars="111"/>
              <w:rPr>
                <w:rFonts w:ascii="宋体" w:hAnsi="宋体" w:cs="Times New Roman"/>
                <w:bCs/>
                <w:color w:val="auto"/>
                <w:szCs w:val="21"/>
                <w:highlight w:val="none"/>
              </w:rPr>
            </w:pPr>
            <w:r>
              <w:rPr>
                <w:rFonts w:hint="eastAsia" w:ascii="宋体" w:hAnsi="宋体" w:cs="Times New Roman"/>
                <w:bCs/>
                <w:color w:val="auto"/>
                <w:szCs w:val="21"/>
                <w:highlight w:val="none"/>
              </w:rPr>
              <w:t>（6）价格分计算公式：</w:t>
            </w:r>
          </w:p>
          <w:p w14:paraId="5BAAB2D7">
            <w:pPr>
              <w:spacing w:after="0" w:line="360" w:lineRule="exact"/>
              <w:ind w:firstLine="233" w:firstLineChars="111"/>
              <w:rPr>
                <w:rFonts w:hint="eastAsia" w:ascii="宋体" w:hAnsi="宋体" w:cs="Courier New"/>
                <w:bCs/>
                <w:color w:val="auto"/>
                <w:szCs w:val="21"/>
                <w:highlight w:val="none"/>
              </w:rPr>
            </w:pPr>
            <w:r>
              <w:rPr>
                <w:rFonts w:hint="eastAsia" w:ascii="宋体" w:hAnsi="宋体" w:cs="Times New Roman"/>
                <w:bCs/>
                <w:color w:val="auto"/>
                <w:szCs w:val="21"/>
                <w:highlight w:val="none"/>
              </w:rPr>
              <w:t>价格分</w:t>
            </w:r>
            <w:r>
              <w:rPr>
                <w:rFonts w:hint="eastAsia" w:ascii="宋体" w:hAnsi="宋体" w:cs="Courier New"/>
                <w:bCs/>
                <w:color w:val="auto"/>
                <w:szCs w:val="21"/>
                <w:highlight w:val="none"/>
              </w:rPr>
              <w:t>=（评标基准价/评标报价）×10分</w:t>
            </w:r>
          </w:p>
        </w:tc>
      </w:tr>
      <w:tr w14:paraId="0E29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Merge w:val="restart"/>
            <w:noWrap w:val="0"/>
            <w:vAlign w:val="center"/>
          </w:tcPr>
          <w:p w14:paraId="3754BACC">
            <w:pPr>
              <w:adjustRightInd w:val="0"/>
              <w:snapToGrid w:val="0"/>
              <w:spacing w:after="0" w:line="360" w:lineRule="exact"/>
              <w:jc w:val="center"/>
              <w:textAlignment w:val="baseline"/>
              <w:rPr>
                <w:rFonts w:ascii="宋体" w:hAnsi="宋体" w:cs="Times New Roman"/>
                <w:color w:val="auto"/>
                <w:szCs w:val="21"/>
                <w:highlight w:val="none"/>
              </w:rPr>
            </w:pPr>
            <w:r>
              <w:rPr>
                <w:rFonts w:hint="eastAsia" w:ascii="宋体" w:hAnsi="宋体" w:cs="Times New Roman"/>
                <w:color w:val="auto"/>
                <w:szCs w:val="21"/>
                <w:highlight w:val="none"/>
              </w:rPr>
              <w:t>2</w:t>
            </w:r>
          </w:p>
        </w:tc>
        <w:tc>
          <w:tcPr>
            <w:tcW w:w="741" w:type="pct"/>
            <w:vMerge w:val="restart"/>
            <w:noWrap w:val="0"/>
            <w:vAlign w:val="center"/>
          </w:tcPr>
          <w:p w14:paraId="787DD0D7">
            <w:pPr>
              <w:adjustRightInd w:val="0"/>
              <w:snapToGrid w:val="0"/>
              <w:spacing w:after="0" w:line="360" w:lineRule="exact"/>
              <w:ind w:left="-105" w:leftChars="-50" w:right="-105" w:rightChars="-50"/>
              <w:jc w:val="center"/>
              <w:textAlignment w:val="baseline"/>
              <w:rPr>
                <w:rFonts w:ascii="宋体" w:hAnsi="宋体" w:cs="Times New Roman"/>
                <w:b/>
                <w:color w:val="auto"/>
                <w:spacing w:val="-18"/>
                <w:szCs w:val="21"/>
                <w:highlight w:val="none"/>
              </w:rPr>
            </w:pPr>
            <w:r>
              <w:rPr>
                <w:rFonts w:hint="eastAsia" w:ascii="宋体" w:hAnsi="宋体" w:cs="Times New Roman"/>
                <w:b/>
                <w:bCs/>
                <w:color w:val="auto"/>
                <w:szCs w:val="21"/>
                <w:highlight w:val="none"/>
              </w:rPr>
              <w:t>技术分（满分40分）</w:t>
            </w:r>
          </w:p>
        </w:tc>
        <w:tc>
          <w:tcPr>
            <w:tcW w:w="1057" w:type="pct"/>
            <w:noWrap w:val="0"/>
            <w:vAlign w:val="center"/>
          </w:tcPr>
          <w:p w14:paraId="162D3E5F">
            <w:pPr>
              <w:snapToGrid w:val="0"/>
              <w:spacing w:after="0" w:line="360" w:lineRule="exact"/>
              <w:jc w:val="center"/>
              <w:rPr>
                <w:rFonts w:hint="eastAsia" w:ascii="宋体" w:hAnsi="宋体" w:cs="Times New Roman"/>
                <w:color w:val="auto"/>
                <w:szCs w:val="21"/>
                <w:highlight w:val="none"/>
              </w:rPr>
            </w:pPr>
            <w:r>
              <w:rPr>
                <w:rFonts w:hint="eastAsia" w:ascii="宋体" w:hAnsi="宋体" w:cs="Times New Roman"/>
                <w:color w:val="auto"/>
                <w:szCs w:val="21"/>
                <w:highlight w:val="none"/>
              </w:rPr>
              <w:t>技术服务方案</w:t>
            </w:r>
            <w:r>
              <w:rPr>
                <w:rFonts w:hint="eastAsia" w:ascii="宋体" w:hAnsi="宋体" w:cs="Times New Roman"/>
                <w:color w:val="auto"/>
                <w:szCs w:val="21"/>
                <w:highlight w:val="none"/>
                <w:lang w:val="en-US" w:eastAsia="zh-CN"/>
              </w:rPr>
              <w:t>分</w:t>
            </w:r>
            <w:r>
              <w:rPr>
                <w:rFonts w:hint="eastAsia" w:ascii="宋体" w:hAnsi="宋体" w:cs="Times New Roman"/>
                <w:color w:val="auto"/>
                <w:szCs w:val="21"/>
                <w:highlight w:val="none"/>
              </w:rPr>
              <w:t>（满分20分）</w:t>
            </w:r>
          </w:p>
        </w:tc>
        <w:tc>
          <w:tcPr>
            <w:tcW w:w="2906" w:type="pct"/>
            <w:noWrap w:val="0"/>
            <w:vAlign w:val="center"/>
          </w:tcPr>
          <w:p w14:paraId="10E366B9">
            <w:pPr>
              <w:spacing w:after="0" w:line="360" w:lineRule="exact"/>
              <w:ind w:firstLine="420"/>
              <w:rPr>
                <w:rFonts w:ascii="宋体" w:hAnsi="宋体" w:cs="Times New Roman"/>
                <w:bCs/>
                <w:color w:val="auto"/>
                <w:szCs w:val="21"/>
                <w:highlight w:val="none"/>
              </w:rPr>
            </w:pPr>
            <w:r>
              <w:rPr>
                <w:rFonts w:hint="eastAsia" w:ascii="宋体" w:hAnsi="宋体" w:cs="Times New Roman"/>
                <w:bCs/>
                <w:color w:val="auto"/>
                <w:szCs w:val="21"/>
                <w:highlight w:val="none"/>
              </w:rPr>
              <w:t>由评委</w:t>
            </w:r>
            <w:r>
              <w:rPr>
                <w:rFonts w:hint="eastAsia" w:ascii="宋体" w:hAnsi="宋体" w:cs="Times New Roman"/>
                <w:bCs/>
                <w:color w:val="auto"/>
                <w:szCs w:val="21"/>
                <w:highlight w:val="none"/>
                <w:lang w:val="en-US" w:eastAsia="zh-CN"/>
              </w:rPr>
              <w:t>对投标人提供的技术服务方案</w:t>
            </w:r>
            <w:r>
              <w:rPr>
                <w:rFonts w:hint="eastAsia" w:ascii="宋体" w:hAnsi="宋体" w:cs="Times New Roman"/>
                <w:bCs/>
                <w:color w:val="auto"/>
                <w:szCs w:val="21"/>
                <w:highlight w:val="none"/>
              </w:rPr>
              <w:t>进行评定（满分</w:t>
            </w:r>
            <w:r>
              <w:rPr>
                <w:rFonts w:hint="eastAsia" w:ascii="宋体" w:hAnsi="宋体" w:cs="Times New Roman"/>
                <w:bCs/>
                <w:color w:val="auto"/>
                <w:szCs w:val="21"/>
                <w:highlight w:val="none"/>
                <w:lang w:val="en-US" w:eastAsia="zh-CN"/>
              </w:rPr>
              <w:t>20</w:t>
            </w:r>
            <w:r>
              <w:rPr>
                <w:rFonts w:hint="eastAsia" w:ascii="宋体" w:hAnsi="宋体" w:cs="Times New Roman"/>
                <w:bCs/>
                <w:color w:val="auto"/>
                <w:szCs w:val="21"/>
                <w:highlight w:val="none"/>
              </w:rPr>
              <w:t>分）：</w:t>
            </w:r>
          </w:p>
          <w:p w14:paraId="180B9F2C">
            <w:pPr>
              <w:spacing w:after="0" w:line="360" w:lineRule="exact"/>
              <w:ind w:firstLine="420"/>
              <w:rPr>
                <w:rFonts w:ascii="宋体" w:hAnsi="宋体" w:cs="Times New Roman"/>
                <w:bCs/>
                <w:color w:val="auto"/>
                <w:szCs w:val="21"/>
                <w:highlight w:val="none"/>
              </w:rPr>
            </w:pPr>
            <w:r>
              <w:rPr>
                <w:rFonts w:hint="eastAsia" w:ascii="宋体" w:hAnsi="宋体" w:cs="Times New Roman"/>
                <w:bCs/>
                <w:color w:val="auto"/>
                <w:szCs w:val="21"/>
                <w:highlight w:val="none"/>
              </w:rPr>
              <w:t>一档（</w:t>
            </w:r>
            <w:r>
              <w:rPr>
                <w:rFonts w:hint="eastAsia" w:ascii="宋体" w:hAnsi="宋体" w:cs="Times New Roman"/>
                <w:bCs/>
                <w:color w:val="auto"/>
                <w:szCs w:val="21"/>
                <w:highlight w:val="none"/>
                <w:lang w:val="en-US" w:eastAsia="zh-CN"/>
              </w:rPr>
              <w:t>10</w:t>
            </w:r>
            <w:r>
              <w:rPr>
                <w:rFonts w:hint="eastAsia" w:ascii="宋体" w:hAnsi="宋体" w:cs="Times New Roman"/>
                <w:bCs/>
                <w:color w:val="auto"/>
                <w:szCs w:val="21"/>
                <w:highlight w:val="none"/>
              </w:rPr>
              <w:t>分）：能提供基本技术服务方案，包括例行检查方案、技术培训方案</w:t>
            </w:r>
            <w:r>
              <w:rPr>
                <w:rFonts w:hint="eastAsia" w:ascii="宋体" w:hAnsi="宋体" w:cs="Times New Roman"/>
                <w:bCs/>
                <w:color w:val="auto"/>
                <w:szCs w:val="21"/>
                <w:highlight w:val="none"/>
                <w:lang w:eastAsia="zh"/>
              </w:rPr>
              <w:t>，</w:t>
            </w:r>
            <w:r>
              <w:rPr>
                <w:rFonts w:hint="eastAsia" w:ascii="宋体" w:hAnsi="宋体" w:cs="Times New Roman"/>
                <w:bCs/>
                <w:color w:val="auto"/>
                <w:szCs w:val="21"/>
                <w:highlight w:val="none"/>
              </w:rPr>
              <w:t>且投标人提供有本地化服务措施，对本项目配置有专门的项目经理或技术负责人（附人员信息，如姓名、电话等）</w:t>
            </w:r>
            <w:r>
              <w:rPr>
                <w:rFonts w:hint="eastAsia" w:ascii="宋体" w:hAnsi="宋体" w:cs="Courier New"/>
                <w:color w:val="auto"/>
                <w:szCs w:val="21"/>
                <w:highlight w:val="none"/>
              </w:rPr>
              <w:t>；</w:t>
            </w:r>
          </w:p>
          <w:p w14:paraId="562FEF14">
            <w:pPr>
              <w:spacing w:after="0" w:line="360" w:lineRule="exact"/>
              <w:ind w:firstLine="420"/>
              <w:rPr>
                <w:rFonts w:ascii="宋体" w:hAnsi="宋体" w:cs="Times New Roman"/>
                <w:bCs/>
                <w:color w:val="auto"/>
                <w:szCs w:val="21"/>
                <w:highlight w:val="none"/>
              </w:rPr>
            </w:pPr>
            <w:r>
              <w:rPr>
                <w:rFonts w:hint="eastAsia" w:ascii="宋体" w:hAnsi="宋体" w:cs="Times New Roman"/>
                <w:bCs/>
                <w:color w:val="auto"/>
                <w:szCs w:val="21"/>
                <w:highlight w:val="none"/>
              </w:rPr>
              <w:t>二档（1</w:t>
            </w:r>
            <w:r>
              <w:rPr>
                <w:rFonts w:hint="eastAsia" w:ascii="宋体" w:hAnsi="宋体" w:cs="Times New Roman"/>
                <w:bCs/>
                <w:color w:val="auto"/>
                <w:szCs w:val="21"/>
                <w:highlight w:val="none"/>
                <w:lang w:val="en-US" w:eastAsia="zh-CN"/>
              </w:rPr>
              <w:t>5</w:t>
            </w:r>
            <w:r>
              <w:rPr>
                <w:rFonts w:hint="eastAsia" w:ascii="宋体" w:hAnsi="宋体" w:cs="Times New Roman"/>
                <w:bCs/>
                <w:color w:val="auto"/>
                <w:szCs w:val="21"/>
                <w:highlight w:val="none"/>
              </w:rPr>
              <w:t>分）：满足一档的基础上，能对系统及采购人实际情况进行分析，并针对性的提供故障技术解决方案，包括系统故障排查处理方法等，具体且明确，能细化至每一环节、每一步骤；</w:t>
            </w:r>
          </w:p>
          <w:p w14:paraId="29758741">
            <w:pPr>
              <w:spacing w:after="0" w:line="360" w:lineRule="exact"/>
              <w:ind w:firstLine="420"/>
              <w:rPr>
                <w:rFonts w:ascii="宋体" w:hAnsi="宋体" w:cs="Times New Roman"/>
                <w:bCs/>
                <w:color w:val="auto"/>
                <w:szCs w:val="21"/>
                <w:highlight w:val="none"/>
              </w:rPr>
            </w:pPr>
            <w:r>
              <w:rPr>
                <w:rFonts w:hint="eastAsia" w:ascii="宋体" w:hAnsi="宋体" w:cs="Times New Roman"/>
                <w:bCs/>
                <w:color w:val="auto"/>
                <w:szCs w:val="21"/>
                <w:highlight w:val="none"/>
              </w:rPr>
              <w:t>三档（</w:t>
            </w:r>
            <w:r>
              <w:rPr>
                <w:rFonts w:hint="eastAsia" w:ascii="宋体" w:hAnsi="宋体" w:cs="Times New Roman"/>
                <w:bCs/>
                <w:color w:val="auto"/>
                <w:szCs w:val="21"/>
                <w:highlight w:val="none"/>
                <w:lang w:val="en-US" w:eastAsia="zh-CN"/>
              </w:rPr>
              <w:t>20</w:t>
            </w:r>
            <w:r>
              <w:rPr>
                <w:rFonts w:hint="eastAsia" w:ascii="宋体" w:hAnsi="宋体" w:cs="Times New Roman"/>
                <w:bCs/>
                <w:color w:val="auto"/>
                <w:szCs w:val="21"/>
                <w:highlight w:val="none"/>
              </w:rPr>
              <w:t>分）：满足二档的基础上，</w:t>
            </w:r>
            <w:r>
              <w:rPr>
                <w:rFonts w:hint="eastAsia" w:ascii="宋体" w:hAnsi="宋体" w:cs="宋体"/>
                <w:bCs/>
                <w:color w:val="auto"/>
                <w:szCs w:val="21"/>
                <w:highlight w:val="none"/>
              </w:rPr>
              <w:t>能针对本项目系统特点提供有针对性的应急预案，</w:t>
            </w:r>
            <w:r>
              <w:rPr>
                <w:rFonts w:hint="eastAsia" w:ascii="宋体" w:hAnsi="宋体" w:cs="Times New Roman"/>
                <w:bCs/>
                <w:color w:val="auto"/>
                <w:szCs w:val="21"/>
                <w:highlight w:val="none"/>
              </w:rPr>
              <w:t>包括</w:t>
            </w:r>
            <w:r>
              <w:rPr>
                <w:rFonts w:hint="eastAsia" w:ascii="宋体" w:hAnsi="宋体" w:cs="宋体"/>
                <w:bCs/>
                <w:color w:val="auto"/>
                <w:szCs w:val="21"/>
                <w:highlight w:val="none"/>
              </w:rPr>
              <w:t>重大节假日保障应急预案、系统升级应急预案等，保障系统出现问题时能及时修复</w:t>
            </w:r>
            <w:r>
              <w:rPr>
                <w:rFonts w:hint="eastAsia" w:ascii="宋体" w:hAnsi="宋体" w:cs="Times New Roman"/>
                <w:bCs/>
                <w:color w:val="auto"/>
                <w:szCs w:val="21"/>
                <w:highlight w:val="none"/>
              </w:rPr>
              <w:t>。</w:t>
            </w:r>
          </w:p>
          <w:p w14:paraId="77254B32">
            <w:pPr>
              <w:widowControl/>
              <w:snapToGrid w:val="0"/>
              <w:spacing w:after="0" w:line="360" w:lineRule="exact"/>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注：不符合最低入档要求的不得分</w:t>
            </w:r>
            <w:r>
              <w:rPr>
                <w:rFonts w:hint="eastAsia" w:ascii="宋体" w:hAnsi="宋体" w:cs="Courier New"/>
                <w:bCs/>
                <w:color w:val="auto"/>
                <w:szCs w:val="21"/>
                <w:highlight w:val="none"/>
              </w:rPr>
              <w:t>。</w:t>
            </w:r>
          </w:p>
        </w:tc>
      </w:tr>
      <w:tr w14:paraId="65F6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Merge w:val="continue"/>
            <w:noWrap w:val="0"/>
            <w:vAlign w:val="center"/>
          </w:tcPr>
          <w:p w14:paraId="67FFB5AF">
            <w:pPr>
              <w:adjustRightInd w:val="0"/>
              <w:snapToGrid w:val="0"/>
              <w:spacing w:after="0" w:line="360" w:lineRule="exact"/>
              <w:jc w:val="center"/>
              <w:textAlignment w:val="baseline"/>
              <w:rPr>
                <w:rFonts w:hint="eastAsia" w:ascii="宋体" w:hAnsi="宋体" w:cs="Times New Roman"/>
                <w:color w:val="auto"/>
                <w:szCs w:val="21"/>
                <w:highlight w:val="none"/>
              </w:rPr>
            </w:pPr>
          </w:p>
        </w:tc>
        <w:tc>
          <w:tcPr>
            <w:tcW w:w="741" w:type="pct"/>
            <w:vMerge w:val="continue"/>
            <w:noWrap w:val="0"/>
            <w:vAlign w:val="center"/>
          </w:tcPr>
          <w:p w14:paraId="20FE279C">
            <w:pPr>
              <w:adjustRightInd w:val="0"/>
              <w:snapToGrid w:val="0"/>
              <w:spacing w:after="0" w:line="360" w:lineRule="exact"/>
              <w:ind w:left="-105" w:leftChars="-50" w:right="-105" w:rightChars="-50"/>
              <w:jc w:val="center"/>
              <w:textAlignment w:val="baseline"/>
              <w:rPr>
                <w:rFonts w:hint="eastAsia" w:ascii="宋体" w:hAnsi="宋体" w:cs="Times New Roman"/>
                <w:b/>
                <w:bCs/>
                <w:color w:val="auto"/>
                <w:szCs w:val="21"/>
                <w:highlight w:val="none"/>
              </w:rPr>
            </w:pPr>
          </w:p>
        </w:tc>
        <w:tc>
          <w:tcPr>
            <w:tcW w:w="1057" w:type="pct"/>
            <w:noWrap w:val="0"/>
            <w:vAlign w:val="center"/>
          </w:tcPr>
          <w:p w14:paraId="68DA6B61">
            <w:pPr>
              <w:snapToGrid w:val="0"/>
              <w:spacing w:after="0" w:line="360" w:lineRule="exact"/>
              <w:jc w:val="center"/>
              <w:rPr>
                <w:rFonts w:hint="eastAsia" w:ascii="宋体" w:hAnsi="宋体" w:cs="Times New Roman"/>
                <w:color w:val="auto"/>
                <w:szCs w:val="21"/>
                <w:highlight w:val="none"/>
              </w:rPr>
            </w:pPr>
            <w:r>
              <w:rPr>
                <w:rFonts w:hint="eastAsia" w:ascii="宋体" w:hAnsi="宋体" w:cs="微软雅黑"/>
                <w:color w:val="auto"/>
                <w:szCs w:val="21"/>
                <w:highlight w:val="none"/>
              </w:rPr>
              <w:t>实施方案分（满分20分）</w:t>
            </w:r>
          </w:p>
        </w:tc>
        <w:tc>
          <w:tcPr>
            <w:tcW w:w="2906" w:type="pct"/>
            <w:noWrap w:val="0"/>
            <w:vAlign w:val="center"/>
          </w:tcPr>
          <w:p w14:paraId="79E98EAA">
            <w:pPr>
              <w:spacing w:after="0" w:line="360" w:lineRule="exact"/>
              <w:ind w:firstLine="420"/>
              <w:rPr>
                <w:rFonts w:ascii="宋体" w:hAnsi="宋体" w:cs="Times New Roman"/>
                <w:bCs/>
                <w:color w:val="auto"/>
                <w:szCs w:val="21"/>
                <w:highlight w:val="none"/>
              </w:rPr>
            </w:pPr>
            <w:r>
              <w:rPr>
                <w:rFonts w:hint="eastAsia" w:ascii="宋体" w:hAnsi="宋体" w:cs="Times New Roman"/>
                <w:bCs/>
                <w:color w:val="auto"/>
                <w:szCs w:val="21"/>
                <w:highlight w:val="none"/>
              </w:rPr>
              <w:t>由评委</w:t>
            </w:r>
            <w:r>
              <w:rPr>
                <w:rFonts w:hint="eastAsia" w:ascii="宋体" w:hAnsi="宋体" w:cs="Times New Roman"/>
                <w:bCs/>
                <w:color w:val="auto"/>
                <w:szCs w:val="21"/>
                <w:highlight w:val="none"/>
                <w:lang w:val="en-US" w:eastAsia="zh-CN"/>
              </w:rPr>
              <w:t>对投标人提供的实施方案</w:t>
            </w:r>
            <w:r>
              <w:rPr>
                <w:rFonts w:hint="eastAsia" w:ascii="宋体" w:hAnsi="宋体" w:cs="Times New Roman"/>
                <w:bCs/>
                <w:color w:val="auto"/>
                <w:szCs w:val="21"/>
                <w:highlight w:val="none"/>
              </w:rPr>
              <w:t>进行评定（满分</w:t>
            </w:r>
            <w:r>
              <w:rPr>
                <w:rFonts w:hint="eastAsia" w:ascii="宋体" w:hAnsi="宋体" w:cs="Times New Roman"/>
                <w:bCs/>
                <w:color w:val="auto"/>
                <w:szCs w:val="21"/>
                <w:highlight w:val="none"/>
                <w:lang w:val="en-US" w:eastAsia="zh-CN"/>
              </w:rPr>
              <w:t>20</w:t>
            </w:r>
            <w:r>
              <w:rPr>
                <w:rFonts w:hint="eastAsia" w:ascii="宋体" w:hAnsi="宋体" w:cs="Times New Roman"/>
                <w:bCs/>
                <w:color w:val="auto"/>
                <w:szCs w:val="21"/>
                <w:highlight w:val="none"/>
              </w:rPr>
              <w:t>分）：</w:t>
            </w:r>
          </w:p>
          <w:p w14:paraId="3108AB51">
            <w:pPr>
              <w:spacing w:after="0" w:line="360" w:lineRule="exact"/>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一档（</w:t>
            </w:r>
            <w:r>
              <w:rPr>
                <w:rFonts w:hint="eastAsia" w:ascii="宋体" w:hAnsi="宋体" w:cs="Times New Roman"/>
                <w:color w:val="auto"/>
                <w:szCs w:val="21"/>
                <w:highlight w:val="none"/>
                <w:lang w:val="en-US" w:eastAsia="zh-CN"/>
              </w:rPr>
              <w:t>10</w:t>
            </w:r>
            <w:r>
              <w:rPr>
                <w:rFonts w:hint="eastAsia" w:ascii="宋体" w:hAnsi="宋体" w:cs="Times New Roman"/>
                <w:color w:val="auto"/>
                <w:szCs w:val="21"/>
                <w:highlight w:val="none"/>
              </w:rPr>
              <w:t>分）：对ETC门架系统运维服务措施、响应时间等有描述，实施方案能结合项目实际情况编写。</w:t>
            </w:r>
          </w:p>
          <w:p w14:paraId="442EF14C">
            <w:pPr>
              <w:spacing w:after="0" w:line="360" w:lineRule="exact"/>
              <w:ind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二档（1</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分）：满足一档基础上，详细描述驻场服务、远程技术支持服务、日常运维服务、现场技术支持服务、定期巡检服务、备份与恢复服务、文档管理等各项服务的实现方式；</w:t>
            </w:r>
          </w:p>
          <w:p w14:paraId="6E66BFED">
            <w:pPr>
              <w:widowControl/>
              <w:snapToGrid w:val="0"/>
              <w:spacing w:after="0" w:line="36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三档（</w:t>
            </w:r>
            <w:r>
              <w:rPr>
                <w:rFonts w:hint="eastAsia" w:ascii="宋体" w:hAnsi="宋体" w:cs="Times New Roman"/>
                <w:bCs/>
                <w:color w:val="auto"/>
                <w:szCs w:val="21"/>
                <w:highlight w:val="none"/>
                <w:lang w:val="en-US" w:eastAsia="zh-CN"/>
              </w:rPr>
              <w:t>20</w:t>
            </w:r>
            <w:r>
              <w:rPr>
                <w:rFonts w:hint="eastAsia" w:ascii="宋体" w:hAnsi="宋体" w:cs="Times New Roman"/>
                <w:color w:val="auto"/>
                <w:szCs w:val="21"/>
                <w:highlight w:val="none"/>
              </w:rPr>
              <w:t>分）：满足二档的基础上，方案包含运维服务管理流程，具有人员保障预案、资源协调预案，有运维</w:t>
            </w:r>
            <w:r>
              <w:rPr>
                <w:rFonts w:hint="eastAsia" w:ascii="宋体" w:hAnsi="宋体" w:cs="宋体"/>
                <w:color w:val="auto"/>
                <w:szCs w:val="21"/>
                <w:highlight w:val="none"/>
                <w:lang w:bidi="ar"/>
              </w:rPr>
              <w:t>记录表（包含报修时间、响应时间、完成时间、维护人、维护原因、解决办法、报障人信息）和</w:t>
            </w:r>
            <w:r>
              <w:rPr>
                <w:rFonts w:hint="eastAsia" w:ascii="宋体" w:hAnsi="宋体" w:cs="Times New Roman"/>
                <w:color w:val="auto"/>
                <w:szCs w:val="21"/>
                <w:highlight w:val="none"/>
              </w:rPr>
              <w:t>详细的服务工作记录单（包含客户服务报告、服务质量考核、满意度调查和回访记录单等），能够保障服务实施质量。</w:t>
            </w:r>
          </w:p>
          <w:p w14:paraId="0434D6A4">
            <w:pPr>
              <w:spacing w:after="0" w:line="360" w:lineRule="exact"/>
              <w:ind w:firstLine="420"/>
              <w:rPr>
                <w:rFonts w:hint="eastAsia" w:ascii="宋体" w:hAnsi="宋体" w:cs="Times New Roman"/>
                <w:color w:val="auto"/>
                <w:szCs w:val="21"/>
                <w:highlight w:val="none"/>
              </w:rPr>
            </w:pPr>
            <w:bookmarkStart w:id="145" w:name="OLE_LINK12"/>
            <w:r>
              <w:rPr>
                <w:rFonts w:hint="eastAsia" w:ascii="宋体" w:hAnsi="宋体" w:cs="Times New Roman"/>
                <w:color w:val="auto"/>
                <w:szCs w:val="21"/>
                <w:highlight w:val="none"/>
              </w:rPr>
              <w:t>注：不符合最低入档要求的不得分</w:t>
            </w:r>
            <w:bookmarkEnd w:id="145"/>
            <w:r>
              <w:rPr>
                <w:rFonts w:hint="eastAsia" w:ascii="宋体" w:hAnsi="宋体" w:cs="Times New Roman"/>
                <w:color w:val="auto"/>
                <w:szCs w:val="21"/>
                <w:highlight w:val="none"/>
              </w:rPr>
              <w:t>。</w:t>
            </w:r>
          </w:p>
        </w:tc>
      </w:tr>
      <w:tr w14:paraId="37EC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Merge w:val="restart"/>
            <w:noWrap w:val="0"/>
            <w:vAlign w:val="center"/>
          </w:tcPr>
          <w:p w14:paraId="6245EFA0">
            <w:pPr>
              <w:snapToGrid w:val="0"/>
              <w:spacing w:after="0" w:line="360" w:lineRule="exact"/>
              <w:jc w:val="center"/>
              <w:rPr>
                <w:rFonts w:ascii="宋体" w:hAnsi="宋体" w:cs="Times New Roman"/>
                <w:color w:val="auto"/>
                <w:szCs w:val="21"/>
                <w:highlight w:val="none"/>
              </w:rPr>
            </w:pPr>
            <w:r>
              <w:rPr>
                <w:rFonts w:hint="eastAsia" w:ascii="宋体" w:hAnsi="宋体" w:cs="Times New Roman"/>
                <w:color w:val="auto"/>
                <w:szCs w:val="21"/>
                <w:highlight w:val="none"/>
              </w:rPr>
              <w:t>3</w:t>
            </w:r>
          </w:p>
        </w:tc>
        <w:tc>
          <w:tcPr>
            <w:tcW w:w="741" w:type="pct"/>
            <w:vMerge w:val="restart"/>
            <w:noWrap w:val="0"/>
            <w:vAlign w:val="center"/>
          </w:tcPr>
          <w:p w14:paraId="2F45A83B">
            <w:pPr>
              <w:snapToGrid w:val="0"/>
              <w:spacing w:after="0" w:line="360" w:lineRule="exact"/>
              <w:jc w:val="center"/>
              <w:rPr>
                <w:rFonts w:ascii="宋体" w:hAnsi="宋体" w:cs="Times New Roman"/>
                <w:b/>
                <w:color w:val="auto"/>
                <w:szCs w:val="21"/>
                <w:highlight w:val="none"/>
              </w:rPr>
            </w:pPr>
            <w:r>
              <w:rPr>
                <w:rFonts w:hint="eastAsia" w:ascii="宋体" w:hAnsi="宋体" w:cs="Times New Roman"/>
                <w:b/>
                <w:color w:val="auto"/>
                <w:szCs w:val="21"/>
                <w:highlight w:val="none"/>
              </w:rPr>
              <w:t>商务分</w:t>
            </w:r>
            <w:r>
              <w:rPr>
                <w:rFonts w:hint="eastAsia" w:ascii="宋体" w:hAnsi="宋体" w:cs="Times New Roman"/>
                <w:b/>
                <w:bCs/>
                <w:color w:val="auto"/>
                <w:szCs w:val="21"/>
                <w:highlight w:val="none"/>
              </w:rPr>
              <w:t>（</w:t>
            </w:r>
            <w:r>
              <w:rPr>
                <w:rFonts w:hint="eastAsia" w:ascii="宋体" w:hAnsi="宋体" w:cs="Times New Roman"/>
                <w:b/>
                <w:color w:val="auto"/>
                <w:szCs w:val="21"/>
                <w:highlight w:val="none"/>
              </w:rPr>
              <w:t>满分</w:t>
            </w:r>
            <w:r>
              <w:rPr>
                <w:rFonts w:hint="eastAsia" w:ascii="宋体" w:hAnsi="宋体" w:cs="Times New Roman"/>
                <w:b/>
                <w:color w:val="auto"/>
                <w:szCs w:val="21"/>
                <w:highlight w:val="none"/>
                <w:u w:val="single"/>
              </w:rPr>
              <w:t>50</w:t>
            </w:r>
            <w:r>
              <w:rPr>
                <w:rFonts w:hint="eastAsia" w:ascii="宋体" w:hAnsi="宋体" w:cs="Times New Roman"/>
                <w:b/>
                <w:color w:val="auto"/>
                <w:szCs w:val="21"/>
                <w:highlight w:val="none"/>
              </w:rPr>
              <w:t>分</w:t>
            </w:r>
            <w:r>
              <w:rPr>
                <w:rFonts w:hint="eastAsia" w:ascii="宋体" w:hAnsi="宋体" w:cs="Times New Roman"/>
                <w:b/>
                <w:bCs/>
                <w:color w:val="auto"/>
                <w:szCs w:val="21"/>
                <w:highlight w:val="none"/>
              </w:rPr>
              <w:t>）</w:t>
            </w:r>
          </w:p>
        </w:tc>
        <w:tc>
          <w:tcPr>
            <w:tcW w:w="1057" w:type="pct"/>
            <w:noWrap w:val="0"/>
            <w:vAlign w:val="center"/>
          </w:tcPr>
          <w:p w14:paraId="16C3C927">
            <w:pPr>
              <w:widowControl/>
              <w:spacing w:after="0"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人员</w:t>
            </w:r>
            <w:r>
              <w:rPr>
                <w:rFonts w:ascii="宋体" w:hAnsi="宋体" w:cs="Tahoma"/>
                <w:color w:val="auto"/>
                <w:kern w:val="0"/>
                <w:szCs w:val="21"/>
                <w:highlight w:val="none"/>
              </w:rPr>
              <w:t>配置</w:t>
            </w:r>
            <w:r>
              <w:rPr>
                <w:rFonts w:hint="eastAsia" w:ascii="宋体" w:hAnsi="宋体" w:cs="Tahoma"/>
                <w:color w:val="auto"/>
                <w:kern w:val="0"/>
                <w:szCs w:val="21"/>
                <w:highlight w:val="none"/>
              </w:rPr>
              <w:t>分（满分</w:t>
            </w:r>
            <w:r>
              <w:rPr>
                <w:rFonts w:hint="eastAsia" w:ascii="宋体" w:hAnsi="宋体" w:cs="Tahoma"/>
                <w:color w:val="auto"/>
                <w:kern w:val="0"/>
                <w:szCs w:val="21"/>
                <w:highlight w:val="none"/>
                <w:lang w:val="en-US" w:eastAsia="zh-CN"/>
              </w:rPr>
              <w:t>18</w:t>
            </w:r>
            <w:r>
              <w:rPr>
                <w:rFonts w:hint="eastAsia" w:ascii="宋体" w:hAnsi="宋体" w:cs="Tahoma"/>
                <w:color w:val="auto"/>
                <w:kern w:val="0"/>
                <w:szCs w:val="21"/>
                <w:highlight w:val="none"/>
              </w:rPr>
              <w:t>分）</w:t>
            </w:r>
          </w:p>
        </w:tc>
        <w:tc>
          <w:tcPr>
            <w:tcW w:w="2906" w:type="pct"/>
            <w:noWrap w:val="0"/>
            <w:vAlign w:val="top"/>
          </w:tcPr>
          <w:p w14:paraId="428D6C3B">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（1）投标人拟投入的项目经理或技术负责人具有人力资源和社会保障部门或其下属机构颁发的计算机、电子或通信相关专业高级或以上职称的，</w:t>
            </w:r>
            <w:r>
              <w:rPr>
                <w:rFonts w:hint="eastAsia" w:ascii="宋体" w:hAnsi="宋体" w:cs="宋体"/>
                <w:color w:val="auto"/>
                <w:szCs w:val="21"/>
                <w:highlight w:val="none"/>
              </w:rPr>
              <w:t>每人</w:t>
            </w:r>
            <w:r>
              <w:rPr>
                <w:rFonts w:hint="eastAsia" w:ascii="宋体" w:hAnsi="宋体"/>
                <w:color w:val="auto"/>
                <w:szCs w:val="21"/>
                <w:highlight w:val="none"/>
              </w:rPr>
              <w:t>得3分，满分6分。</w:t>
            </w:r>
          </w:p>
          <w:p w14:paraId="703F1182">
            <w:pPr>
              <w:spacing w:after="0" w:line="360" w:lineRule="exact"/>
              <w:ind w:firstLine="420" w:firstLineChars="200"/>
              <w:rPr>
                <w:rFonts w:ascii="宋体" w:hAnsi="宋体"/>
                <w:color w:val="auto"/>
                <w:szCs w:val="21"/>
                <w:highlight w:val="none"/>
              </w:rPr>
            </w:pPr>
            <w:r>
              <w:rPr>
                <w:rFonts w:hint="eastAsia" w:ascii="宋体" w:hAnsi="宋体"/>
                <w:color w:val="auto"/>
                <w:szCs w:val="21"/>
                <w:highlight w:val="none"/>
              </w:rPr>
              <w:t>（2）投标人拟投入的运维人员具有人力资源和社会保障部门或其下属机构颁发的计算机、电子或通信相关专业中级或以上职称的，</w:t>
            </w:r>
            <w:r>
              <w:rPr>
                <w:rFonts w:hint="eastAsia" w:ascii="宋体" w:hAnsi="宋体" w:cs="宋体"/>
                <w:color w:val="auto"/>
                <w:szCs w:val="21"/>
                <w:highlight w:val="none"/>
              </w:rPr>
              <w:t>每人</w:t>
            </w:r>
            <w:r>
              <w:rPr>
                <w:rFonts w:hint="eastAsia" w:ascii="宋体" w:hAnsi="宋体"/>
                <w:color w:val="auto"/>
                <w:szCs w:val="21"/>
                <w:highlight w:val="none"/>
              </w:rPr>
              <w:t>得</w:t>
            </w:r>
            <w:r>
              <w:rPr>
                <w:rFonts w:hint="eastAsia" w:ascii="宋体" w:hAnsi="宋体"/>
                <w:color w:val="auto"/>
                <w:szCs w:val="21"/>
                <w:highlight w:val="none"/>
                <w:lang w:val="en-US" w:eastAsia="zh-CN"/>
              </w:rPr>
              <w:t>1.5</w:t>
            </w:r>
            <w:r>
              <w:rPr>
                <w:rFonts w:hint="eastAsia" w:ascii="宋体" w:hAnsi="宋体"/>
                <w:color w:val="auto"/>
                <w:szCs w:val="21"/>
                <w:highlight w:val="none"/>
              </w:rPr>
              <w:t>分，满分</w:t>
            </w:r>
            <w:r>
              <w:rPr>
                <w:rFonts w:hint="eastAsia" w:ascii="宋体" w:hAnsi="宋体"/>
                <w:color w:val="auto"/>
                <w:szCs w:val="21"/>
                <w:highlight w:val="none"/>
                <w:lang w:val="en-US" w:eastAsia="zh-CN"/>
              </w:rPr>
              <w:t>12</w:t>
            </w:r>
            <w:r>
              <w:rPr>
                <w:rFonts w:hint="eastAsia" w:ascii="宋体" w:hAnsi="宋体"/>
                <w:color w:val="auto"/>
                <w:szCs w:val="21"/>
                <w:highlight w:val="none"/>
              </w:rPr>
              <w:t>分。</w:t>
            </w:r>
          </w:p>
          <w:p w14:paraId="40134551">
            <w:pPr>
              <w:spacing w:after="0" w:line="360" w:lineRule="exact"/>
              <w:ind w:firstLine="422" w:firstLineChars="200"/>
              <w:rPr>
                <w:rFonts w:hint="eastAsia" w:ascii="宋体" w:hAnsi="宋体" w:cs="Times New Roman"/>
                <w:b/>
                <w:bCs/>
                <w:color w:val="auto"/>
                <w:szCs w:val="21"/>
                <w:highlight w:val="none"/>
              </w:rPr>
            </w:pPr>
            <w:r>
              <w:rPr>
                <w:rFonts w:hint="eastAsia" w:ascii="宋体" w:hAnsi="宋体"/>
                <w:b/>
                <w:bCs/>
                <w:color w:val="auto"/>
                <w:szCs w:val="21"/>
                <w:highlight w:val="none"/>
              </w:rPr>
              <w:t>注：上述（1）（2）项，</w:t>
            </w:r>
            <w:r>
              <w:rPr>
                <w:rFonts w:hint="eastAsia" w:ascii="宋体" w:hAnsi="宋体"/>
                <w:b/>
                <w:bCs/>
                <w:color w:val="auto"/>
                <w:szCs w:val="21"/>
                <w:highlight w:val="none"/>
                <w:lang w:val="en-US" w:eastAsia="zh-CN"/>
              </w:rPr>
              <w:t>需提供</w:t>
            </w:r>
            <w:r>
              <w:rPr>
                <w:rFonts w:hint="eastAsia" w:ascii="宋体" w:hAnsi="宋体"/>
                <w:b/>
                <w:bCs/>
                <w:color w:val="auto"/>
                <w:szCs w:val="21"/>
                <w:highlight w:val="none"/>
              </w:rPr>
              <w:t>投标人为其缴纳的投标截止时间前半年内的任意一个月的社保证明、或劳动合同、或投标人为其发放工资的银行流水证明、或投标人代缴其个人所得税证明复印件，未按要求提供的不得分。项目经理或技术负责人与运维人员不得为同一人，</w:t>
            </w:r>
            <w:r>
              <w:rPr>
                <w:rFonts w:hint="eastAsia" w:ascii="宋体" w:hAnsi="宋体"/>
                <w:b/>
                <w:bCs/>
                <w:color w:val="auto"/>
                <w:highlight w:val="none"/>
              </w:rPr>
              <w:t>一人具有多项职称、资格证书的不重复计分</w:t>
            </w:r>
            <w:r>
              <w:rPr>
                <w:rFonts w:hint="eastAsia" w:ascii="宋体" w:hAnsi="宋体"/>
                <w:b/>
                <w:bCs/>
                <w:color w:val="auto"/>
                <w:szCs w:val="21"/>
                <w:highlight w:val="none"/>
              </w:rPr>
              <w:t>。</w:t>
            </w:r>
          </w:p>
        </w:tc>
      </w:tr>
      <w:tr w14:paraId="3C71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 w:type="pct"/>
            <w:vMerge w:val="continue"/>
            <w:noWrap w:val="0"/>
            <w:vAlign w:val="center"/>
          </w:tcPr>
          <w:p w14:paraId="7049A8B0">
            <w:pPr>
              <w:snapToGrid w:val="0"/>
              <w:spacing w:after="0" w:line="360" w:lineRule="exact"/>
              <w:jc w:val="center"/>
              <w:rPr>
                <w:rFonts w:hint="eastAsia" w:ascii="宋体" w:hAnsi="宋体" w:cs="Times New Roman"/>
                <w:color w:val="auto"/>
                <w:szCs w:val="21"/>
                <w:highlight w:val="none"/>
              </w:rPr>
            </w:pPr>
          </w:p>
        </w:tc>
        <w:tc>
          <w:tcPr>
            <w:tcW w:w="741" w:type="pct"/>
            <w:vMerge w:val="continue"/>
            <w:noWrap w:val="0"/>
            <w:vAlign w:val="center"/>
          </w:tcPr>
          <w:p w14:paraId="46260A20">
            <w:pPr>
              <w:snapToGrid w:val="0"/>
              <w:spacing w:after="0" w:line="360" w:lineRule="exact"/>
              <w:jc w:val="center"/>
              <w:rPr>
                <w:rFonts w:hint="eastAsia" w:ascii="宋体" w:hAnsi="宋体" w:cs="Times New Roman"/>
                <w:b/>
                <w:color w:val="auto"/>
                <w:szCs w:val="21"/>
                <w:highlight w:val="none"/>
              </w:rPr>
            </w:pPr>
          </w:p>
        </w:tc>
        <w:tc>
          <w:tcPr>
            <w:tcW w:w="1057" w:type="pct"/>
            <w:noWrap w:val="0"/>
            <w:vAlign w:val="center"/>
          </w:tcPr>
          <w:p w14:paraId="183221DE">
            <w:pPr>
              <w:widowControl/>
              <w:spacing w:after="0" w:line="360" w:lineRule="exact"/>
              <w:jc w:val="center"/>
              <w:rPr>
                <w:rFonts w:ascii="宋体" w:hAnsi="宋体" w:cs="Tahoma"/>
                <w:color w:val="auto"/>
                <w:kern w:val="0"/>
                <w:szCs w:val="21"/>
                <w:highlight w:val="none"/>
              </w:rPr>
            </w:pPr>
            <w:r>
              <w:rPr>
                <w:rFonts w:hint="eastAsia" w:ascii="宋体" w:hAnsi="宋体" w:cs="Times New Roman"/>
                <w:bCs/>
                <w:color w:val="auto"/>
                <w:szCs w:val="21"/>
                <w:highlight w:val="none"/>
              </w:rPr>
              <w:t>信誉及业绩</w:t>
            </w:r>
            <w:r>
              <w:rPr>
                <w:rFonts w:hint="eastAsia" w:ascii="宋体" w:hAnsi="宋体" w:cs="Times New Roman"/>
                <w:bCs/>
                <w:color w:val="auto"/>
                <w:szCs w:val="21"/>
                <w:highlight w:val="none"/>
                <w:lang w:val="en-US" w:eastAsia="zh-CN"/>
              </w:rPr>
              <w:t>分</w:t>
            </w:r>
            <w:r>
              <w:rPr>
                <w:rFonts w:hint="eastAsia" w:ascii="宋体" w:hAnsi="宋体" w:cs="Times New Roman"/>
                <w:bCs/>
                <w:color w:val="auto"/>
                <w:szCs w:val="21"/>
                <w:highlight w:val="none"/>
              </w:rPr>
              <w:t>（满分</w:t>
            </w:r>
            <w:r>
              <w:rPr>
                <w:rFonts w:hint="eastAsia" w:ascii="宋体" w:hAnsi="宋体" w:cs="Times New Roman"/>
                <w:bCs/>
                <w:color w:val="auto"/>
                <w:szCs w:val="21"/>
                <w:highlight w:val="none"/>
                <w:lang w:val="en-US" w:eastAsia="zh-CN"/>
              </w:rPr>
              <w:t>32</w:t>
            </w:r>
            <w:r>
              <w:rPr>
                <w:rFonts w:hint="eastAsia" w:ascii="宋体" w:hAnsi="宋体" w:cs="Times New Roman"/>
                <w:bCs/>
                <w:color w:val="auto"/>
                <w:szCs w:val="21"/>
                <w:highlight w:val="none"/>
              </w:rPr>
              <w:t>分）</w:t>
            </w:r>
          </w:p>
        </w:tc>
        <w:tc>
          <w:tcPr>
            <w:tcW w:w="2906" w:type="pct"/>
            <w:noWrap w:val="0"/>
            <w:vAlign w:val="top"/>
          </w:tcPr>
          <w:p w14:paraId="1B90BA60">
            <w:pPr>
              <w:spacing w:after="0" w:line="360" w:lineRule="exact"/>
              <w:ind w:firstLine="420" w:firstLineChars="200"/>
              <w:rPr>
                <w:rFonts w:ascii="宋体" w:hAnsi="宋体" w:cs="宋体"/>
                <w:color w:val="auto"/>
                <w:szCs w:val="21"/>
                <w:highlight w:val="none"/>
              </w:rPr>
            </w:pPr>
            <w:r>
              <w:rPr>
                <w:rFonts w:hint="eastAsia" w:ascii="宋体" w:hAnsi="宋体" w:cs="Times New Roman"/>
                <w:color w:val="auto"/>
                <w:szCs w:val="21"/>
                <w:highlight w:val="none"/>
              </w:rPr>
              <w:t>（1）投标人具有</w:t>
            </w:r>
            <w:r>
              <w:rPr>
                <w:rFonts w:hint="eastAsia" w:ascii="宋体" w:hAnsi="宋体" w:cs="Times New Roman"/>
                <w:color w:val="auto"/>
                <w:szCs w:val="21"/>
                <w:highlight w:val="none"/>
                <w:lang w:val="en-US" w:eastAsia="zh-CN"/>
              </w:rPr>
              <w:t>有效的</w:t>
            </w:r>
            <w:r>
              <w:rPr>
                <w:rFonts w:hint="eastAsia" w:ascii="宋体" w:hAnsi="宋体" w:cs="Times New Roman"/>
                <w:color w:val="auto"/>
                <w:szCs w:val="21"/>
                <w:highlight w:val="none"/>
              </w:rPr>
              <w:t>ISO9001质量管理体系认证证书、ISO20000信息技术服务管理体系证书、ISO27001信息安全管理体系证书的，每提供一项得2分，满分6分。投标</w:t>
            </w:r>
            <w:r>
              <w:rPr>
                <w:rFonts w:hint="eastAsia" w:ascii="宋体" w:hAnsi="宋体" w:cs="宋体"/>
                <w:color w:val="auto"/>
                <w:szCs w:val="21"/>
                <w:highlight w:val="none"/>
              </w:rPr>
              <w:t>文件中需提供有效期内的证书复印件。</w:t>
            </w:r>
          </w:p>
          <w:p w14:paraId="7D6B8F02">
            <w:pPr>
              <w:widowControl/>
              <w:spacing w:after="0" w:line="360" w:lineRule="exact"/>
              <w:ind w:firstLine="420" w:firstLineChars="200"/>
              <w:jc w:val="left"/>
              <w:rPr>
                <w:rFonts w:ascii="宋体" w:hAnsi="宋体" w:cs="Times New Roman"/>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）投标人自202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年1月1日起获得过各级人民政府颁发的信息化类科学技术奖，每提供一个得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分，满分6分。</w:t>
            </w:r>
            <w:r>
              <w:rPr>
                <w:rFonts w:hint="eastAsia" w:ascii="宋体" w:hAnsi="宋体" w:cs="Times New Roman"/>
                <w:color w:val="auto"/>
                <w:szCs w:val="21"/>
                <w:highlight w:val="none"/>
              </w:rPr>
              <w:t>投标</w:t>
            </w:r>
            <w:r>
              <w:rPr>
                <w:rFonts w:hint="eastAsia" w:ascii="宋体" w:hAnsi="宋体" w:cs="宋体"/>
                <w:color w:val="auto"/>
                <w:szCs w:val="21"/>
                <w:highlight w:val="none"/>
              </w:rPr>
              <w:t>文件中需提供有效期内的证明材料复印件。</w:t>
            </w:r>
          </w:p>
          <w:p w14:paraId="6C7A39F8">
            <w:pPr>
              <w:spacing w:after="0" w:line="360" w:lineRule="exact"/>
              <w:ind w:firstLine="420" w:firstLineChars="200"/>
              <w:rPr>
                <w:rFonts w:ascii="宋体" w:hAnsi="宋体" w:cs="Times New Roman"/>
                <w:color w:val="auto"/>
                <w:szCs w:val="21"/>
                <w:highlight w:val="none"/>
              </w:rPr>
            </w:pP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rPr>
              <w:t>）投标人</w:t>
            </w:r>
            <w:bookmarkStart w:id="146" w:name="OLE_LINK25"/>
            <w:r>
              <w:rPr>
                <w:rFonts w:hint="eastAsia" w:ascii="宋体" w:hAnsi="宋体" w:cs="Times New Roman"/>
                <w:color w:val="auto"/>
                <w:szCs w:val="21"/>
                <w:highlight w:val="none"/>
                <w:lang w:val="en-US" w:eastAsia="zh-CN"/>
              </w:rPr>
              <w:t>提供</w:t>
            </w:r>
            <w:r>
              <w:rPr>
                <w:rFonts w:hint="eastAsia" w:ascii="宋体" w:hAnsi="宋体" w:cs="Times New Roman"/>
                <w:color w:val="auto"/>
                <w:szCs w:val="21"/>
                <w:highlight w:val="none"/>
              </w:rPr>
              <w:t>信息化运维系统</w:t>
            </w:r>
            <w:bookmarkEnd w:id="146"/>
            <w:r>
              <w:rPr>
                <w:rFonts w:hint="eastAsia" w:ascii="宋体" w:hAnsi="宋体" w:cs="Times New Roman"/>
                <w:color w:val="auto"/>
                <w:szCs w:val="21"/>
                <w:highlight w:val="none"/>
              </w:rPr>
              <w:t>类计算机软件著作权登记证书的，每提供一个得</w:t>
            </w:r>
            <w:r>
              <w:rPr>
                <w:rFonts w:hint="eastAsia" w:ascii="宋体" w:hAnsi="宋体" w:cs="Times New Roman"/>
                <w:color w:val="auto"/>
                <w:szCs w:val="21"/>
                <w:highlight w:val="none"/>
                <w:lang w:val="en-US" w:eastAsia="zh-CN"/>
              </w:rPr>
              <w:t>2</w:t>
            </w:r>
            <w:r>
              <w:rPr>
                <w:rFonts w:hint="eastAsia" w:ascii="宋体" w:hAnsi="宋体" w:cs="Times New Roman"/>
                <w:color w:val="auto"/>
                <w:szCs w:val="21"/>
                <w:highlight w:val="none"/>
              </w:rPr>
              <w:t>分，满分</w:t>
            </w:r>
            <w:r>
              <w:rPr>
                <w:rFonts w:hint="eastAsia" w:ascii="宋体" w:hAnsi="宋体" w:cs="Times New Roman"/>
                <w:color w:val="auto"/>
                <w:szCs w:val="21"/>
                <w:highlight w:val="none"/>
                <w:lang w:val="en-US" w:eastAsia="zh-CN"/>
              </w:rPr>
              <w:t>12</w:t>
            </w:r>
            <w:r>
              <w:rPr>
                <w:rFonts w:hint="eastAsia" w:ascii="宋体" w:hAnsi="宋体" w:cs="Times New Roman"/>
                <w:color w:val="auto"/>
                <w:szCs w:val="21"/>
                <w:highlight w:val="none"/>
              </w:rPr>
              <w:t>分。投标文件中需提供有效的证明材料复印件。</w:t>
            </w:r>
          </w:p>
          <w:p w14:paraId="7AADDC98">
            <w:pPr>
              <w:spacing w:after="0" w:line="360" w:lineRule="exact"/>
              <w:ind w:firstLine="420" w:firstLineChars="200"/>
              <w:rPr>
                <w:rFonts w:hint="eastAsia" w:ascii="宋体" w:hAnsi="宋体" w:cs="Times New Roman"/>
                <w:b/>
                <w:bCs/>
                <w:color w:val="auto"/>
                <w:szCs w:val="21"/>
                <w:highlight w:val="none"/>
              </w:rPr>
            </w:pP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4</w:t>
            </w:r>
            <w:r>
              <w:rPr>
                <w:rFonts w:hint="eastAsia" w:ascii="宋体" w:hAnsi="宋体" w:cs="Times New Roman"/>
                <w:color w:val="auto"/>
                <w:szCs w:val="21"/>
                <w:highlight w:val="none"/>
              </w:rPr>
              <w:t>）投标人具有202</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rPr>
              <w:t>年1月1日至</w:t>
            </w:r>
            <w:r>
              <w:rPr>
                <w:rFonts w:hint="eastAsia" w:ascii="宋体" w:hAnsi="宋体" w:cs="宋体"/>
                <w:color w:val="auto"/>
                <w:szCs w:val="21"/>
                <w:highlight w:val="none"/>
              </w:rPr>
              <w:t>提交投标文件截止时间止，承担</w:t>
            </w:r>
            <w:r>
              <w:rPr>
                <w:rFonts w:hint="eastAsia" w:ascii="宋体" w:hAnsi="宋体" w:cs="Times New Roman"/>
                <w:color w:val="auto"/>
                <w:szCs w:val="21"/>
                <w:highlight w:val="none"/>
              </w:rPr>
              <w:t>过类似信息化系统运维项目业绩的，</w:t>
            </w:r>
            <w:r>
              <w:rPr>
                <w:rFonts w:hint="eastAsia" w:ascii="宋体" w:hAnsi="宋体" w:cs="宋体"/>
                <w:color w:val="auto"/>
                <w:szCs w:val="21"/>
                <w:highlight w:val="none"/>
              </w:rPr>
              <w:t>每提供一个</w:t>
            </w:r>
            <w:r>
              <w:rPr>
                <w:rFonts w:hint="eastAsia" w:ascii="宋体" w:hAnsi="宋体" w:cs="Times New Roman"/>
                <w:color w:val="auto"/>
                <w:szCs w:val="21"/>
                <w:highlight w:val="none"/>
              </w:rPr>
              <w:t>得2分，满分8分。（注：</w:t>
            </w:r>
            <w:r>
              <w:rPr>
                <w:rFonts w:hint="eastAsia" w:ascii="宋体" w:hAnsi="宋体" w:cs="Times New Roman"/>
                <w:color w:val="auto"/>
                <w:szCs w:val="21"/>
                <w:highlight w:val="none"/>
                <w:lang w:val="en-US" w:eastAsia="zh-CN"/>
              </w:rPr>
              <w:t>以合同签订时间为准，</w:t>
            </w:r>
            <w:r>
              <w:rPr>
                <w:rFonts w:hint="eastAsia" w:ascii="宋体" w:hAnsi="宋体" w:cs="Times New Roman"/>
                <w:color w:val="auto"/>
                <w:szCs w:val="21"/>
                <w:highlight w:val="none"/>
              </w:rPr>
              <w:t>投标人</w:t>
            </w:r>
            <w:r>
              <w:rPr>
                <w:rFonts w:hint="eastAsia" w:ascii="宋体" w:hAnsi="宋体" w:cs="宋体"/>
                <w:color w:val="auto"/>
                <w:szCs w:val="21"/>
                <w:highlight w:val="none"/>
              </w:rPr>
              <w:t>需在</w:t>
            </w:r>
            <w:r>
              <w:rPr>
                <w:rFonts w:hint="eastAsia" w:ascii="宋体" w:hAnsi="宋体" w:cs="Times New Roman"/>
                <w:color w:val="auto"/>
                <w:szCs w:val="21"/>
                <w:highlight w:val="none"/>
              </w:rPr>
              <w:t>投标</w:t>
            </w:r>
            <w:r>
              <w:rPr>
                <w:rFonts w:hint="eastAsia" w:ascii="宋体" w:hAnsi="宋体" w:cs="宋体"/>
                <w:color w:val="auto"/>
                <w:szCs w:val="21"/>
                <w:highlight w:val="none"/>
              </w:rPr>
              <w:t>文件中提供</w:t>
            </w:r>
            <w:r>
              <w:rPr>
                <w:rFonts w:hint="eastAsia" w:ascii="宋体" w:hAnsi="宋体" w:cs="Times New Roman"/>
                <w:color w:val="auto"/>
                <w:szCs w:val="21"/>
                <w:highlight w:val="none"/>
              </w:rPr>
              <w:t>类似项目业绩的合同复印件并加盖投标人电子公章，未按要求提供的不得分）</w:t>
            </w:r>
          </w:p>
        </w:tc>
      </w:tr>
      <w:tr w14:paraId="6F51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000" w:type="pct"/>
            <w:gridSpan w:val="4"/>
            <w:noWrap w:val="0"/>
            <w:vAlign w:val="center"/>
          </w:tcPr>
          <w:p w14:paraId="2A28860F">
            <w:pPr>
              <w:widowControl w:val="0"/>
              <w:snapToGrid w:val="0"/>
              <w:spacing w:line="360" w:lineRule="exact"/>
              <w:jc w:val="both"/>
              <w:rPr>
                <w:rFonts w:hint="eastAsia"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总得分=1+2+3</w:t>
            </w:r>
          </w:p>
          <w:p w14:paraId="59C6FB07">
            <w:pPr>
              <w:widowControl w:val="0"/>
              <w:snapToGrid w:val="0"/>
              <w:spacing w:line="360" w:lineRule="exact"/>
              <w:jc w:val="both"/>
              <w:rPr>
                <w:rFonts w:ascii="宋体" w:hAnsi="宋体" w:eastAsia="宋体" w:cs="Times New Roman"/>
                <w:b/>
                <w:bCs/>
                <w:color w:val="auto"/>
                <w:kern w:val="0"/>
                <w:sz w:val="21"/>
                <w:szCs w:val="21"/>
                <w:highlight w:val="none"/>
                <w:lang w:val="en-US" w:eastAsia="zh-CN" w:bidi="ar-SA"/>
              </w:rPr>
            </w:pPr>
            <w:r>
              <w:rPr>
                <w:rFonts w:hint="eastAsia" w:ascii="宋体" w:hAnsi="宋体" w:eastAsia="宋体" w:cs="Times New Roman"/>
                <w:b/>
                <w:bCs/>
                <w:color w:val="auto"/>
                <w:kern w:val="0"/>
                <w:sz w:val="21"/>
                <w:szCs w:val="21"/>
                <w:highlight w:val="none"/>
                <w:lang w:val="en-US" w:eastAsia="zh-CN" w:bidi="ar-SA"/>
              </w:rPr>
              <w:t>备注：本项目为服务类项目，不涉及节能环保政策考核。</w:t>
            </w:r>
          </w:p>
        </w:tc>
      </w:tr>
    </w:tbl>
    <w:p w14:paraId="48B98F38">
      <w:pPr>
        <w:pStyle w:val="25"/>
        <w:spacing w:line="440" w:lineRule="exact"/>
        <w:ind w:firstLine="420"/>
        <w:rPr>
          <w:rFonts w:hint="eastAsia" w:hAnsi="宋体"/>
          <w:color w:val="auto"/>
          <w:highlight w:val="none"/>
        </w:rPr>
      </w:pPr>
    </w:p>
    <w:p w14:paraId="4378AF9F">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评标中出现下列情形之一的，评标委员会应当启动异常低价投标（响应）审查程序： </w:t>
      </w:r>
    </w:p>
    <w:p w14:paraId="4AB8E247">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1.投标（响应）报价低于全部通过符合性审查供应商投标（响应）报价平均值50%的，即投标（响应）报价&lt;全部通过符合性审查供应商投标（响应）报价平均值×50%； </w:t>
      </w:r>
    </w:p>
    <w:p w14:paraId="5BC059B1">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2.投标（响应）报价低于通过符合性审查的次低报价供应商投标（响应）报价50%的，即投标（响应）报价&lt;通过符合性审查的次低报价供应商投标（响应）报价×50%； </w:t>
      </w:r>
    </w:p>
    <w:p w14:paraId="1E8DA825">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 xml:space="preserve">3.投标（响应）报价低于采购项目最高限价45%的，即投标（响应）报价&lt;采购项目最高限价×45%； </w:t>
      </w:r>
    </w:p>
    <w:p w14:paraId="59309244">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4.评标委员会基于专业判断，认为投标人报价过低，有可能影响产品质量或者不能诚信履约的其他情形。</w:t>
      </w:r>
    </w:p>
    <w:p w14:paraId="359D7F8A">
      <w:pPr>
        <w:widowControl w:val="0"/>
        <w:spacing w:after="0" w:line="360" w:lineRule="auto"/>
        <w:ind w:firstLine="420"/>
        <w:jc w:val="both"/>
        <w:rPr>
          <w:rFonts w:hint="eastAsia" w:ascii="宋体" w:hAnsi="宋体" w:eastAsia="宋体" w:cs="Times New Roman"/>
          <w:bCs/>
          <w:kern w:val="0"/>
          <w:sz w:val="21"/>
          <w:szCs w:val="21"/>
          <w:highlight w:val="none"/>
          <w:lang w:val="en-US" w:eastAsia="zh-CN" w:bidi="ar-SA"/>
        </w:rPr>
      </w:pPr>
      <w:r>
        <w:rPr>
          <w:rFonts w:hint="eastAsia" w:ascii="宋体" w:hAnsi="宋体" w:eastAsia="宋体" w:cs="Times New Roman"/>
          <w:bCs/>
          <w:kern w:val="0"/>
          <w:sz w:val="21"/>
          <w:szCs w:val="21"/>
          <w:highlight w:val="none"/>
          <w:lang w:val="en-US" w:eastAsia="zh-CN" w:bidi="ar-SA"/>
        </w:rPr>
        <w:t>评标委员会启动异常低价投标（响应）审查后，属于前述第1项至第4项情形的，应当要求相关投标人在评标现场30分钟内对投标（响应）价格作出解释，提供项目具体成本测算等与报价合理性相关的书面说明及必要的证明材料，包括但不限于原材料成本、人工成本、制造费用等。其中，属于第3项情形，投标文件已随投标（响应）文件一并提交相关书面说明及必要的证明材料的，在评标现场可不再重复提交。</w:t>
      </w:r>
    </w:p>
    <w:p w14:paraId="6D2F4EE9">
      <w:pPr>
        <w:pStyle w:val="25"/>
        <w:spacing w:line="440" w:lineRule="exact"/>
        <w:ind w:firstLine="420"/>
        <w:rPr>
          <w:rFonts w:hAnsi="宋体"/>
          <w:bCs/>
          <w:color w:val="auto"/>
          <w:sz w:val="21"/>
          <w:highlight w:val="none"/>
        </w:rPr>
      </w:pPr>
      <w:r>
        <w:rPr>
          <w:rFonts w:hint="eastAsia" w:ascii="宋体" w:hAnsi="宋体" w:eastAsia="宋体" w:cs="Times New Roman"/>
          <w:bCs/>
          <w:kern w:val="0"/>
          <w:sz w:val="21"/>
          <w:szCs w:val="21"/>
          <w:highlight w:val="none"/>
          <w:lang w:val="en-US" w:eastAsia="zh-CN" w:bidi="ar-SA"/>
        </w:rPr>
        <w:t>评标委员会依据专业经验，参考同类项目中标（成交）价格、类似产品市场价格水平、行业人工费用标准、国家有关部门指导行业协会发布的行业平均成本等情况，对报价合理性进行判断。供应商在规定时间内不能提供书面说明、证明材料，或者提供的书面说明、证明材料不能证明其报价合理性的，评标委员会应当将其作为无效响应处理</w:t>
      </w:r>
      <w:r>
        <w:rPr>
          <w:rFonts w:hint="eastAsia" w:hAnsi="宋体" w:cs="宋体"/>
          <w:bCs/>
          <w:color w:val="auto"/>
          <w:kern w:val="2"/>
          <w:sz w:val="21"/>
          <w:highlight w:val="none"/>
        </w:rPr>
        <w:t>。</w:t>
      </w:r>
    </w:p>
    <w:p w14:paraId="39CFD166">
      <w:pPr>
        <w:pStyle w:val="25"/>
        <w:spacing w:line="360" w:lineRule="auto"/>
        <w:ind w:firstLine="420"/>
        <w:rPr>
          <w:rFonts w:hAnsi="宋体"/>
          <w:bCs/>
          <w:color w:val="auto"/>
          <w:sz w:val="21"/>
          <w:highlight w:val="none"/>
        </w:rPr>
      </w:pPr>
      <w:r>
        <w:rPr>
          <w:rFonts w:hint="eastAsia" w:hAnsi="宋体"/>
          <w:bCs/>
          <w:color w:val="auto"/>
          <w:sz w:val="21"/>
          <w:highlight w:val="none"/>
        </w:rPr>
        <w:t>注：1.计分方法按四舍五入取至百分位；</w:t>
      </w:r>
    </w:p>
    <w:p w14:paraId="6004DD09">
      <w:pPr>
        <w:pStyle w:val="25"/>
        <w:spacing w:line="360" w:lineRule="auto"/>
        <w:ind w:firstLine="420"/>
        <w:rPr>
          <w:rFonts w:hAnsi="宋体"/>
          <w:bCs/>
          <w:color w:val="auto"/>
          <w:sz w:val="21"/>
          <w:highlight w:val="none"/>
        </w:rPr>
      </w:pPr>
      <w:r>
        <w:rPr>
          <w:rFonts w:hint="eastAsia" w:hAnsi="宋体"/>
          <w:bCs/>
          <w:color w:val="auto"/>
          <w:sz w:val="21"/>
          <w:highlight w:val="none"/>
        </w:rPr>
        <w:t xml:space="preserve">    2.因落实政府采购政策进行价格调整的，以调整后的价格计算评标基准价和投标报价。</w:t>
      </w:r>
    </w:p>
    <w:p w14:paraId="0DD9A998">
      <w:pPr>
        <w:pStyle w:val="4"/>
        <w:keepNext w:val="0"/>
        <w:keepLines w:val="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四、中标候选人推荐原则</w:t>
      </w:r>
    </w:p>
    <w:p w14:paraId="311E9A14">
      <w:pPr>
        <w:pStyle w:val="25"/>
        <w:spacing w:line="360" w:lineRule="auto"/>
        <w:contextualSpacing/>
        <w:rPr>
          <w:rFonts w:hAnsi="宋体"/>
          <w:b/>
          <w:bCs/>
          <w:color w:val="auto"/>
          <w:sz w:val="24"/>
          <w:szCs w:val="24"/>
          <w:highlight w:val="none"/>
        </w:rPr>
      </w:pPr>
      <w:r>
        <w:rPr>
          <w:rFonts w:hint="eastAsia" w:hAnsi="宋体"/>
          <w:b/>
          <w:bCs/>
          <w:color w:val="auto"/>
          <w:sz w:val="24"/>
          <w:szCs w:val="24"/>
          <w:highlight w:val="none"/>
        </w:rPr>
        <w:t>（一）综合评分法</w:t>
      </w:r>
    </w:p>
    <w:p w14:paraId="084A2BB2">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评标委员会将根据总得分由高到低排列次序并推荐中标候选人。</w:t>
      </w:r>
      <w:r>
        <w:rPr>
          <w:rFonts w:hAnsi="宋体"/>
          <w:color w:val="auto"/>
          <w:sz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2A30052B">
      <w:pPr>
        <w:pStyle w:val="25"/>
        <w:spacing w:line="360" w:lineRule="auto"/>
        <w:contextualSpacing/>
        <w:rPr>
          <w:rFonts w:hAnsi="宋体"/>
          <w:b/>
          <w:bCs/>
          <w:color w:val="auto"/>
          <w:sz w:val="24"/>
          <w:szCs w:val="24"/>
          <w:highlight w:val="none"/>
        </w:rPr>
      </w:pPr>
      <w:r>
        <w:rPr>
          <w:rFonts w:hint="eastAsia" w:hAnsi="宋体"/>
          <w:b/>
          <w:bCs/>
          <w:color w:val="auto"/>
          <w:sz w:val="24"/>
          <w:szCs w:val="24"/>
          <w:highlight w:val="none"/>
        </w:rPr>
        <w:t>（二）最低评标价法</w:t>
      </w:r>
    </w:p>
    <w:p w14:paraId="43CF9B9A">
      <w:pPr>
        <w:spacing w:line="360" w:lineRule="auto"/>
        <w:ind w:firstLine="420" w:firstLineChars="200"/>
        <w:contextualSpacing/>
        <w:rPr>
          <w:rFonts w:ascii="宋体" w:hAnsi="宋体"/>
          <w:b/>
          <w:color w:val="auto"/>
          <w:sz w:val="24"/>
          <w:highlight w:val="none"/>
        </w:rPr>
      </w:pPr>
      <w:r>
        <w:rPr>
          <w:rFonts w:hint="eastAsia" w:ascii="宋体" w:hAnsi="宋体"/>
          <w:color w:val="auto"/>
          <w:highlight w:val="none"/>
        </w:rPr>
        <w:t>评标委员会按照评标价从低到高排序并推荐中标候选人，评标价</w:t>
      </w:r>
      <w:r>
        <w:rPr>
          <w:rFonts w:ascii="宋体" w:hAnsi="宋体"/>
          <w:color w:val="auto"/>
          <w:highlight w:val="none"/>
        </w:rPr>
        <w:t>相同的并列。投标文件满足招标文件全部实质性要求且</w:t>
      </w:r>
      <w:r>
        <w:rPr>
          <w:rFonts w:hint="eastAsia" w:ascii="宋体" w:hAnsi="宋体"/>
          <w:color w:val="auto"/>
          <w:highlight w:val="none"/>
        </w:rPr>
        <w:t>评标价</w:t>
      </w:r>
      <w:r>
        <w:rPr>
          <w:rFonts w:ascii="宋体" w:hAnsi="宋体"/>
          <w:color w:val="auto"/>
          <w:highlight w:val="none"/>
        </w:rPr>
        <w:t>最低的投标人为排名第一的中标候选人。</w:t>
      </w:r>
    </w:p>
    <w:p w14:paraId="608DCF82">
      <w:pPr>
        <w:spacing w:beforeLines="50" w:afterLines="50" w:line="400" w:lineRule="exact"/>
        <w:rPr>
          <w:rFonts w:ascii="宋体" w:hAnsi="宋体"/>
          <w:b/>
          <w:color w:val="auto"/>
          <w:sz w:val="24"/>
          <w:highlight w:val="none"/>
        </w:rPr>
      </w:pPr>
    </w:p>
    <w:p w14:paraId="0746F9DF">
      <w:pPr>
        <w:rPr>
          <w:rFonts w:ascii="宋体" w:hAnsi="宋体"/>
          <w:color w:val="auto"/>
          <w:highlight w:val="none"/>
        </w:rPr>
      </w:pPr>
    </w:p>
    <w:p w14:paraId="5F07EA8E">
      <w:pPr>
        <w:rPr>
          <w:rFonts w:ascii="宋体" w:hAnsi="宋体"/>
          <w:color w:val="auto"/>
          <w:highlight w:val="none"/>
        </w:rPr>
      </w:pPr>
    </w:p>
    <w:p w14:paraId="0ED6C2A4">
      <w:pPr>
        <w:rPr>
          <w:rFonts w:ascii="宋体" w:hAnsi="宋体"/>
          <w:color w:val="auto"/>
          <w:highlight w:val="none"/>
        </w:rPr>
      </w:pPr>
    </w:p>
    <w:p w14:paraId="17197A96">
      <w:pPr>
        <w:rPr>
          <w:rFonts w:ascii="宋体" w:hAnsi="宋体"/>
          <w:color w:val="auto"/>
          <w:highlight w:val="none"/>
        </w:rPr>
      </w:pPr>
    </w:p>
    <w:p w14:paraId="4A92D77F">
      <w:pPr>
        <w:rPr>
          <w:rFonts w:ascii="宋体" w:hAnsi="宋体"/>
          <w:color w:val="auto"/>
          <w:highlight w:val="none"/>
        </w:rPr>
      </w:pPr>
    </w:p>
    <w:p w14:paraId="08D700E9">
      <w:pPr>
        <w:pStyle w:val="47"/>
        <w:ind w:firstLine="240"/>
        <w:rPr>
          <w:color w:val="auto"/>
          <w:highlight w:val="none"/>
        </w:rPr>
      </w:pPr>
    </w:p>
    <w:p w14:paraId="047772C6">
      <w:pPr>
        <w:pStyle w:val="48"/>
        <w:rPr>
          <w:color w:val="auto"/>
          <w:highlight w:val="none"/>
        </w:rPr>
      </w:pPr>
    </w:p>
    <w:p w14:paraId="228D4B7B">
      <w:pPr>
        <w:rPr>
          <w:color w:val="auto"/>
          <w:highlight w:val="none"/>
        </w:rPr>
      </w:pPr>
    </w:p>
    <w:p w14:paraId="3CE3E97B">
      <w:pPr>
        <w:rPr>
          <w:color w:val="auto"/>
          <w:highlight w:val="none"/>
        </w:rPr>
      </w:pPr>
    </w:p>
    <w:p w14:paraId="0E34AA11">
      <w:pPr>
        <w:rPr>
          <w:color w:val="auto"/>
          <w:highlight w:val="none"/>
        </w:rPr>
      </w:pPr>
    </w:p>
    <w:p w14:paraId="4E14F4B2">
      <w:pPr>
        <w:rPr>
          <w:color w:val="auto"/>
          <w:highlight w:val="none"/>
        </w:rPr>
      </w:pPr>
    </w:p>
    <w:p w14:paraId="2FDCBF5E">
      <w:pPr>
        <w:rPr>
          <w:color w:val="auto"/>
          <w:highlight w:val="none"/>
        </w:rPr>
      </w:pPr>
    </w:p>
    <w:p w14:paraId="22755E7F">
      <w:pPr>
        <w:rPr>
          <w:color w:val="auto"/>
          <w:highlight w:val="none"/>
        </w:rPr>
      </w:pPr>
    </w:p>
    <w:p w14:paraId="7DC43C0A">
      <w:pPr>
        <w:rPr>
          <w:color w:val="auto"/>
          <w:highlight w:val="none"/>
        </w:rPr>
      </w:pPr>
    </w:p>
    <w:p w14:paraId="45952AAC">
      <w:pPr>
        <w:rPr>
          <w:color w:val="auto"/>
          <w:highlight w:val="none"/>
        </w:rPr>
      </w:pPr>
    </w:p>
    <w:p w14:paraId="58072AA8">
      <w:pPr>
        <w:rPr>
          <w:color w:val="auto"/>
          <w:highlight w:val="none"/>
        </w:rPr>
      </w:pPr>
    </w:p>
    <w:p w14:paraId="31028C0F">
      <w:pPr>
        <w:rPr>
          <w:color w:val="auto"/>
          <w:highlight w:val="none"/>
        </w:rPr>
      </w:pPr>
    </w:p>
    <w:p w14:paraId="1A373507">
      <w:pPr>
        <w:rPr>
          <w:color w:val="auto"/>
          <w:highlight w:val="none"/>
        </w:rPr>
      </w:pPr>
    </w:p>
    <w:p w14:paraId="2EE33E83">
      <w:pPr>
        <w:rPr>
          <w:color w:val="auto"/>
          <w:highlight w:val="none"/>
        </w:rPr>
      </w:pPr>
    </w:p>
    <w:p w14:paraId="66A5FF83">
      <w:pPr>
        <w:rPr>
          <w:color w:val="auto"/>
          <w:highlight w:val="none"/>
        </w:rPr>
      </w:pPr>
    </w:p>
    <w:p w14:paraId="7AD031EC">
      <w:pPr>
        <w:rPr>
          <w:color w:val="auto"/>
          <w:highlight w:val="none"/>
        </w:rPr>
      </w:pPr>
    </w:p>
    <w:p w14:paraId="43B5C0DB">
      <w:pPr>
        <w:rPr>
          <w:color w:val="auto"/>
          <w:highlight w:val="none"/>
        </w:rPr>
      </w:pPr>
    </w:p>
    <w:p w14:paraId="2E4157F8">
      <w:pPr>
        <w:rPr>
          <w:color w:val="auto"/>
          <w:highlight w:val="none"/>
        </w:rPr>
      </w:pPr>
    </w:p>
    <w:p w14:paraId="6762AF71">
      <w:pPr>
        <w:rPr>
          <w:color w:val="auto"/>
          <w:highlight w:val="none"/>
        </w:rPr>
      </w:pPr>
    </w:p>
    <w:p w14:paraId="1091C284">
      <w:pPr>
        <w:rPr>
          <w:color w:val="auto"/>
          <w:highlight w:val="none"/>
        </w:rPr>
      </w:pPr>
    </w:p>
    <w:p w14:paraId="3F9B1119">
      <w:pPr>
        <w:rPr>
          <w:color w:val="auto"/>
          <w:highlight w:val="none"/>
        </w:rPr>
      </w:pPr>
    </w:p>
    <w:p w14:paraId="63CF2979">
      <w:pPr>
        <w:rPr>
          <w:color w:val="auto"/>
          <w:highlight w:val="none"/>
        </w:rPr>
      </w:pPr>
    </w:p>
    <w:p w14:paraId="0CB8E731">
      <w:pPr>
        <w:rPr>
          <w:color w:val="auto"/>
          <w:highlight w:val="none"/>
        </w:rPr>
      </w:pPr>
    </w:p>
    <w:p w14:paraId="4448ADE4">
      <w:pPr>
        <w:rPr>
          <w:color w:val="auto"/>
          <w:highlight w:val="none"/>
        </w:rPr>
      </w:pPr>
    </w:p>
    <w:p w14:paraId="5E540345">
      <w:pPr>
        <w:rPr>
          <w:color w:val="auto"/>
          <w:highlight w:val="none"/>
        </w:rPr>
      </w:pPr>
    </w:p>
    <w:p w14:paraId="61562463">
      <w:pPr>
        <w:rPr>
          <w:color w:val="auto"/>
          <w:highlight w:val="none"/>
        </w:rPr>
      </w:pPr>
    </w:p>
    <w:p w14:paraId="673748CB">
      <w:pPr>
        <w:rPr>
          <w:color w:val="auto"/>
          <w:highlight w:val="none"/>
        </w:rPr>
      </w:pPr>
    </w:p>
    <w:p w14:paraId="3C218359">
      <w:pPr>
        <w:rPr>
          <w:color w:val="auto"/>
          <w:highlight w:val="none"/>
        </w:rPr>
      </w:pPr>
    </w:p>
    <w:p w14:paraId="1AE376F6">
      <w:pPr>
        <w:pStyle w:val="2"/>
      </w:pPr>
    </w:p>
    <w:p w14:paraId="756A4AFA">
      <w:pPr>
        <w:pStyle w:val="2"/>
        <w:jc w:val="center"/>
        <w:rPr>
          <w:rFonts w:ascii="宋体" w:hAnsi="宋体" w:eastAsia="宋体"/>
          <w:color w:val="auto"/>
          <w:highlight w:val="none"/>
        </w:rPr>
      </w:pPr>
      <w:bookmarkStart w:id="147" w:name="_Toc614"/>
      <w:r>
        <w:rPr>
          <w:rFonts w:hint="eastAsia" w:ascii="宋体" w:hAnsi="宋体" w:eastAsia="宋体"/>
          <w:color w:val="auto"/>
          <w:highlight w:val="none"/>
        </w:rPr>
        <w:t>第五章  拟签订的合同文本</w:t>
      </w:r>
      <w:bookmarkEnd w:id="147"/>
    </w:p>
    <w:p w14:paraId="358699CC">
      <w:pPr>
        <w:snapToGrid w:val="0"/>
        <w:spacing w:line="400" w:lineRule="exact"/>
        <w:jc w:val="center"/>
        <w:rPr>
          <w:rFonts w:ascii="宋体" w:hAnsi="宋体"/>
          <w:b/>
          <w:bCs/>
          <w:color w:val="auto"/>
          <w:sz w:val="30"/>
          <w:szCs w:val="30"/>
          <w:highlight w:val="none"/>
        </w:rPr>
      </w:pPr>
      <w:bookmarkStart w:id="148" w:name="_Hlk55381736"/>
      <w:r>
        <w:rPr>
          <w:rFonts w:hint="eastAsia" w:ascii="宋体" w:hAnsi="宋体"/>
          <w:b/>
          <w:bCs/>
          <w:color w:val="auto"/>
          <w:sz w:val="30"/>
          <w:szCs w:val="30"/>
          <w:highlight w:val="none"/>
        </w:rPr>
        <w:t>广西壮族自治区政府采购合同</w:t>
      </w:r>
    </w:p>
    <w:p w14:paraId="5819F2CD">
      <w:pPr>
        <w:snapToGrid w:val="0"/>
        <w:spacing w:line="400" w:lineRule="exact"/>
        <w:ind w:right="480"/>
        <w:jc w:val="center"/>
        <w:rPr>
          <w:rFonts w:ascii="宋体" w:hAnsi="宋体"/>
          <w:b/>
          <w:bCs/>
          <w:color w:val="auto"/>
          <w:sz w:val="28"/>
          <w:szCs w:val="28"/>
          <w:highlight w:val="none"/>
        </w:rPr>
      </w:pPr>
      <w:r>
        <w:rPr>
          <w:rFonts w:hint="eastAsia" w:ascii="宋体" w:hAnsi="宋体"/>
          <w:b/>
          <w:bCs/>
          <w:color w:val="auto"/>
          <w:sz w:val="28"/>
          <w:szCs w:val="28"/>
          <w:highlight w:val="none"/>
        </w:rPr>
        <w:t>合同格式</w:t>
      </w:r>
    </w:p>
    <w:p w14:paraId="436A24AE">
      <w:pPr>
        <w:snapToGrid w:val="0"/>
        <w:spacing w:line="360" w:lineRule="exact"/>
        <w:ind w:right="480"/>
        <w:rPr>
          <w:rFonts w:ascii="宋体" w:hAnsi="宋体"/>
          <w:bCs/>
          <w:color w:val="auto"/>
          <w:sz w:val="24"/>
          <w:highlight w:val="none"/>
          <w:u w:val="single"/>
        </w:rPr>
      </w:pPr>
      <w:r>
        <w:rPr>
          <w:rFonts w:hint="eastAsia" w:ascii="宋体" w:hAnsi="宋体"/>
          <w:bCs/>
          <w:color w:val="auto"/>
          <w:sz w:val="24"/>
          <w:highlight w:val="none"/>
        </w:rPr>
        <w:t>合同编号：</w:t>
      </w:r>
    </w:p>
    <w:p w14:paraId="72BC9DE3">
      <w:pPr>
        <w:snapToGrid w:val="0"/>
        <w:spacing w:line="360" w:lineRule="exact"/>
        <w:rPr>
          <w:rFonts w:ascii="宋体" w:hAnsi="宋体"/>
          <w:color w:val="auto"/>
          <w:sz w:val="24"/>
          <w:highlight w:val="none"/>
        </w:rPr>
      </w:pPr>
      <w:r>
        <w:rPr>
          <w:rFonts w:hint="eastAsia" w:ascii="宋体" w:hAnsi="宋体"/>
          <w:color w:val="auto"/>
          <w:sz w:val="24"/>
          <w:highlight w:val="none"/>
        </w:rPr>
        <w:t>采购单位（甲方）</w:t>
      </w:r>
      <w:r>
        <w:rPr>
          <w:rFonts w:hint="eastAsia" w:ascii="宋体" w:hAnsi="宋体"/>
          <w:color w:val="auto"/>
          <w:spacing w:val="-20"/>
          <w:sz w:val="24"/>
          <w:highlight w:val="none"/>
        </w:rPr>
        <w:t>采 购 计 划 号</w:t>
      </w:r>
    </w:p>
    <w:p w14:paraId="64A3DCBA">
      <w:pPr>
        <w:snapToGrid w:val="0"/>
        <w:spacing w:line="360" w:lineRule="exact"/>
        <w:rPr>
          <w:rFonts w:ascii="宋体" w:hAnsi="宋体"/>
          <w:color w:val="auto"/>
          <w:sz w:val="24"/>
          <w:highlight w:val="none"/>
        </w:rPr>
      </w:pPr>
      <w:r>
        <w:rPr>
          <w:rFonts w:hint="eastAsia" w:ascii="宋体" w:hAnsi="宋体"/>
          <w:color w:val="auto"/>
          <w:sz w:val="24"/>
          <w:highlight w:val="none"/>
        </w:rPr>
        <w:t>供 应 商（乙方）</w:t>
      </w:r>
      <w:r>
        <w:rPr>
          <w:rFonts w:hint="eastAsia" w:ascii="宋体" w:hAnsi="宋体"/>
          <w:color w:val="auto"/>
          <w:spacing w:val="-20"/>
          <w:sz w:val="24"/>
          <w:highlight w:val="none"/>
        </w:rPr>
        <w:t xml:space="preserve">项目编号 </w:t>
      </w:r>
    </w:p>
    <w:p w14:paraId="751A61D5">
      <w:pPr>
        <w:snapToGrid w:val="0"/>
        <w:spacing w:line="360" w:lineRule="exact"/>
        <w:rPr>
          <w:rFonts w:ascii="宋体" w:hAnsi="宋体"/>
          <w:color w:val="auto"/>
          <w:sz w:val="24"/>
          <w:highlight w:val="none"/>
          <w:u w:val="single"/>
        </w:rPr>
      </w:pPr>
      <w:r>
        <w:rPr>
          <w:rFonts w:hint="eastAsia" w:ascii="宋体" w:hAnsi="宋体"/>
          <w:color w:val="auto"/>
          <w:sz w:val="24"/>
          <w:highlight w:val="none"/>
        </w:rPr>
        <w:t>签  订  地  点          签订时间</w:t>
      </w:r>
    </w:p>
    <w:p w14:paraId="4ACF118B">
      <w:pPr>
        <w:snapToGrid w:val="0"/>
        <w:spacing w:line="360" w:lineRule="exact"/>
        <w:ind w:firstLine="480" w:firstLineChars="200"/>
        <w:rPr>
          <w:rFonts w:ascii="宋体" w:hAnsi="宋体"/>
          <w:color w:val="auto"/>
          <w:sz w:val="24"/>
          <w:highlight w:val="none"/>
        </w:rPr>
      </w:pPr>
    </w:p>
    <w:p w14:paraId="7228B0DD">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根据《中华人民共和国政府采购法》、《中华人民共和国民法典》等法律、法规规定，按照采购文件、响应文件规定条款和中标人承诺，甲乙双方签订本合同。</w:t>
      </w:r>
    </w:p>
    <w:p w14:paraId="621E8227">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一、合同标的：</w:t>
      </w:r>
    </w:p>
    <w:p w14:paraId="0559AE35">
      <w:pPr>
        <w:tabs>
          <w:tab w:val="left" w:pos="3081"/>
        </w:tabs>
        <w:snapToGrid w:val="0"/>
        <w:spacing w:line="360" w:lineRule="exact"/>
        <w:rPr>
          <w:rFonts w:ascii="宋体" w:hAnsi="宋体"/>
          <w:color w:val="auto"/>
          <w:sz w:val="24"/>
          <w:highlight w:val="none"/>
        </w:rPr>
      </w:pPr>
      <w:r>
        <w:rPr>
          <w:rFonts w:hint="eastAsia" w:ascii="宋体" w:hAnsi="宋体"/>
          <w:color w:val="auto"/>
          <w:sz w:val="24"/>
          <w:highlight w:val="none"/>
        </w:rPr>
        <w:t>服务内容一览表</w:t>
      </w:r>
      <w:r>
        <w:rPr>
          <w:rFonts w:ascii="宋体" w:hAnsi="宋体"/>
          <w:color w:val="auto"/>
          <w:sz w:val="24"/>
          <w:highlight w:val="none"/>
        </w:rPr>
        <w:tab/>
      </w:r>
    </w:p>
    <w:tbl>
      <w:tblPr>
        <w:tblStyle w:val="4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1800"/>
        <w:gridCol w:w="1260"/>
        <w:gridCol w:w="1260"/>
        <w:gridCol w:w="1440"/>
        <w:gridCol w:w="1260"/>
      </w:tblGrid>
      <w:tr w14:paraId="30D6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vAlign w:val="center"/>
          </w:tcPr>
          <w:p w14:paraId="0907D598">
            <w:pPr>
              <w:snapToGrid w:val="0"/>
              <w:spacing w:line="360" w:lineRule="exact"/>
              <w:rPr>
                <w:rFonts w:ascii="宋体" w:hAnsi="宋体"/>
                <w:color w:val="auto"/>
                <w:sz w:val="24"/>
                <w:highlight w:val="none"/>
              </w:rPr>
            </w:pPr>
            <w:r>
              <w:rPr>
                <w:rFonts w:hint="eastAsia" w:ascii="宋体" w:hAnsi="宋体"/>
                <w:color w:val="auto"/>
                <w:sz w:val="24"/>
                <w:highlight w:val="none"/>
              </w:rPr>
              <w:t>序号</w:t>
            </w:r>
          </w:p>
        </w:tc>
        <w:tc>
          <w:tcPr>
            <w:tcW w:w="1620" w:type="dxa"/>
            <w:vAlign w:val="center"/>
          </w:tcPr>
          <w:p w14:paraId="4AB092AA">
            <w:pPr>
              <w:snapToGrid w:val="0"/>
              <w:spacing w:line="360" w:lineRule="exact"/>
              <w:rPr>
                <w:rFonts w:ascii="宋体" w:hAnsi="宋体"/>
                <w:color w:val="auto"/>
                <w:sz w:val="24"/>
                <w:highlight w:val="none"/>
              </w:rPr>
            </w:pPr>
            <w:r>
              <w:rPr>
                <w:rFonts w:hint="eastAsia" w:ascii="宋体" w:hAnsi="宋体"/>
                <w:color w:val="auto"/>
                <w:sz w:val="24"/>
                <w:highlight w:val="none"/>
              </w:rPr>
              <w:t>服务项目</w:t>
            </w:r>
          </w:p>
        </w:tc>
        <w:tc>
          <w:tcPr>
            <w:tcW w:w="1800" w:type="dxa"/>
            <w:vAlign w:val="center"/>
          </w:tcPr>
          <w:p w14:paraId="48B9A3AB">
            <w:pPr>
              <w:snapToGrid w:val="0"/>
              <w:spacing w:line="360" w:lineRule="exact"/>
              <w:rPr>
                <w:rFonts w:ascii="宋体" w:hAnsi="宋体"/>
                <w:color w:val="auto"/>
                <w:sz w:val="24"/>
                <w:highlight w:val="none"/>
              </w:rPr>
            </w:pPr>
            <w:r>
              <w:rPr>
                <w:rFonts w:hint="eastAsia" w:ascii="宋体" w:hAnsi="宋体"/>
                <w:color w:val="auto"/>
                <w:sz w:val="24"/>
                <w:highlight w:val="none"/>
              </w:rPr>
              <w:t>服务内容、标准</w:t>
            </w:r>
          </w:p>
        </w:tc>
        <w:tc>
          <w:tcPr>
            <w:tcW w:w="1260" w:type="dxa"/>
            <w:vAlign w:val="center"/>
          </w:tcPr>
          <w:p w14:paraId="6AD3D367">
            <w:pPr>
              <w:snapToGrid w:val="0"/>
              <w:spacing w:line="360" w:lineRule="exact"/>
              <w:rPr>
                <w:rFonts w:ascii="宋体" w:hAnsi="宋体"/>
                <w:color w:val="auto"/>
                <w:sz w:val="24"/>
                <w:highlight w:val="none"/>
              </w:rPr>
            </w:pPr>
            <w:r>
              <w:rPr>
                <w:rFonts w:hint="eastAsia" w:ascii="宋体" w:hAnsi="宋体"/>
                <w:color w:val="auto"/>
                <w:sz w:val="24"/>
                <w:highlight w:val="none"/>
              </w:rPr>
              <w:t>数量</w:t>
            </w:r>
          </w:p>
        </w:tc>
        <w:tc>
          <w:tcPr>
            <w:tcW w:w="1260" w:type="dxa"/>
            <w:vAlign w:val="center"/>
          </w:tcPr>
          <w:p w14:paraId="558B1A3F">
            <w:pPr>
              <w:snapToGrid w:val="0"/>
              <w:spacing w:line="360" w:lineRule="exact"/>
              <w:rPr>
                <w:rFonts w:ascii="宋体" w:hAnsi="宋体"/>
                <w:color w:val="auto"/>
                <w:sz w:val="24"/>
                <w:highlight w:val="none"/>
              </w:rPr>
            </w:pPr>
            <w:r>
              <w:rPr>
                <w:rFonts w:hint="eastAsia" w:ascii="宋体" w:hAnsi="宋体"/>
                <w:color w:val="auto"/>
                <w:sz w:val="24"/>
                <w:highlight w:val="none"/>
              </w:rPr>
              <w:t>单位</w:t>
            </w:r>
          </w:p>
        </w:tc>
        <w:tc>
          <w:tcPr>
            <w:tcW w:w="1440" w:type="dxa"/>
            <w:vAlign w:val="center"/>
          </w:tcPr>
          <w:p w14:paraId="22420A55">
            <w:pPr>
              <w:snapToGrid w:val="0"/>
              <w:spacing w:line="360" w:lineRule="exact"/>
              <w:rPr>
                <w:rFonts w:ascii="宋体" w:hAnsi="宋体"/>
                <w:color w:val="auto"/>
                <w:sz w:val="24"/>
                <w:highlight w:val="none"/>
              </w:rPr>
            </w:pPr>
            <w:r>
              <w:rPr>
                <w:rFonts w:hint="eastAsia" w:ascii="宋体" w:hAnsi="宋体"/>
                <w:color w:val="auto"/>
                <w:sz w:val="24"/>
                <w:highlight w:val="none"/>
              </w:rPr>
              <w:t>单  价</w:t>
            </w:r>
          </w:p>
          <w:p w14:paraId="68D2A86B">
            <w:pPr>
              <w:snapToGrid w:val="0"/>
              <w:spacing w:line="360" w:lineRule="exact"/>
              <w:rPr>
                <w:rFonts w:ascii="宋体" w:hAnsi="宋体"/>
                <w:color w:val="auto"/>
                <w:sz w:val="24"/>
                <w:highlight w:val="none"/>
              </w:rPr>
            </w:pPr>
            <w:r>
              <w:rPr>
                <w:rFonts w:hint="eastAsia" w:ascii="宋体" w:hAnsi="宋体"/>
                <w:color w:val="auto"/>
                <w:sz w:val="24"/>
                <w:highlight w:val="none"/>
              </w:rPr>
              <w:t>（元）</w:t>
            </w:r>
          </w:p>
        </w:tc>
        <w:tc>
          <w:tcPr>
            <w:tcW w:w="1260" w:type="dxa"/>
            <w:vAlign w:val="center"/>
          </w:tcPr>
          <w:p w14:paraId="6B3113A8">
            <w:pPr>
              <w:snapToGrid w:val="0"/>
              <w:spacing w:line="360" w:lineRule="exact"/>
              <w:rPr>
                <w:rFonts w:ascii="宋体" w:hAnsi="宋体"/>
                <w:color w:val="auto"/>
                <w:sz w:val="24"/>
                <w:highlight w:val="none"/>
              </w:rPr>
            </w:pPr>
            <w:r>
              <w:rPr>
                <w:rFonts w:hint="eastAsia" w:ascii="宋体" w:hAnsi="宋体"/>
                <w:color w:val="auto"/>
                <w:sz w:val="24"/>
                <w:highlight w:val="none"/>
              </w:rPr>
              <w:t>金  额</w:t>
            </w:r>
          </w:p>
          <w:p w14:paraId="17910CD1">
            <w:pPr>
              <w:snapToGrid w:val="0"/>
              <w:spacing w:line="360" w:lineRule="exact"/>
              <w:rPr>
                <w:rFonts w:ascii="宋体" w:hAnsi="宋体"/>
                <w:color w:val="auto"/>
                <w:sz w:val="24"/>
                <w:highlight w:val="none"/>
              </w:rPr>
            </w:pPr>
            <w:r>
              <w:rPr>
                <w:rFonts w:hint="eastAsia" w:ascii="宋体" w:hAnsi="宋体"/>
                <w:color w:val="auto"/>
                <w:sz w:val="24"/>
                <w:highlight w:val="none"/>
              </w:rPr>
              <w:t>（元）</w:t>
            </w:r>
          </w:p>
        </w:tc>
      </w:tr>
      <w:tr w14:paraId="5DE3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14:paraId="73AB8F76">
            <w:pPr>
              <w:snapToGrid w:val="0"/>
              <w:spacing w:line="360" w:lineRule="exact"/>
              <w:rPr>
                <w:rFonts w:ascii="宋体" w:hAnsi="宋体"/>
                <w:color w:val="auto"/>
                <w:sz w:val="24"/>
                <w:highlight w:val="none"/>
              </w:rPr>
            </w:pPr>
          </w:p>
        </w:tc>
        <w:tc>
          <w:tcPr>
            <w:tcW w:w="1620" w:type="dxa"/>
            <w:vAlign w:val="center"/>
          </w:tcPr>
          <w:p w14:paraId="72DBF406">
            <w:pPr>
              <w:snapToGrid w:val="0"/>
              <w:spacing w:line="360" w:lineRule="exact"/>
              <w:rPr>
                <w:rFonts w:ascii="宋体" w:hAnsi="宋体"/>
                <w:color w:val="auto"/>
                <w:sz w:val="24"/>
                <w:highlight w:val="none"/>
              </w:rPr>
            </w:pPr>
          </w:p>
        </w:tc>
        <w:tc>
          <w:tcPr>
            <w:tcW w:w="1800" w:type="dxa"/>
            <w:vAlign w:val="center"/>
          </w:tcPr>
          <w:p w14:paraId="3D2919CD">
            <w:pPr>
              <w:snapToGrid w:val="0"/>
              <w:spacing w:line="360" w:lineRule="exact"/>
              <w:rPr>
                <w:rFonts w:ascii="宋体" w:hAnsi="宋体"/>
                <w:color w:val="auto"/>
                <w:sz w:val="24"/>
                <w:highlight w:val="none"/>
              </w:rPr>
            </w:pPr>
          </w:p>
        </w:tc>
        <w:tc>
          <w:tcPr>
            <w:tcW w:w="1260" w:type="dxa"/>
          </w:tcPr>
          <w:p w14:paraId="0DB2C854">
            <w:pPr>
              <w:snapToGrid w:val="0"/>
              <w:spacing w:line="360" w:lineRule="exact"/>
              <w:rPr>
                <w:rFonts w:ascii="宋体" w:hAnsi="宋体"/>
                <w:color w:val="auto"/>
                <w:sz w:val="24"/>
                <w:highlight w:val="none"/>
              </w:rPr>
            </w:pPr>
          </w:p>
        </w:tc>
        <w:tc>
          <w:tcPr>
            <w:tcW w:w="1260" w:type="dxa"/>
          </w:tcPr>
          <w:p w14:paraId="1125C3A3">
            <w:pPr>
              <w:snapToGrid w:val="0"/>
              <w:spacing w:line="360" w:lineRule="exact"/>
              <w:rPr>
                <w:rFonts w:ascii="宋体" w:hAnsi="宋体"/>
                <w:color w:val="auto"/>
                <w:sz w:val="24"/>
                <w:highlight w:val="none"/>
              </w:rPr>
            </w:pPr>
          </w:p>
        </w:tc>
        <w:tc>
          <w:tcPr>
            <w:tcW w:w="1440" w:type="dxa"/>
            <w:vAlign w:val="center"/>
          </w:tcPr>
          <w:p w14:paraId="2C43D5C2">
            <w:pPr>
              <w:snapToGrid w:val="0"/>
              <w:spacing w:line="360" w:lineRule="exact"/>
              <w:rPr>
                <w:rFonts w:ascii="宋体" w:hAnsi="宋体"/>
                <w:color w:val="auto"/>
                <w:sz w:val="24"/>
                <w:highlight w:val="none"/>
              </w:rPr>
            </w:pPr>
          </w:p>
        </w:tc>
        <w:tc>
          <w:tcPr>
            <w:tcW w:w="1260" w:type="dxa"/>
            <w:vAlign w:val="center"/>
          </w:tcPr>
          <w:p w14:paraId="792BEF96">
            <w:pPr>
              <w:snapToGrid w:val="0"/>
              <w:spacing w:line="360" w:lineRule="exact"/>
              <w:rPr>
                <w:rFonts w:ascii="宋体" w:hAnsi="宋体"/>
                <w:color w:val="auto"/>
                <w:sz w:val="24"/>
                <w:highlight w:val="none"/>
              </w:rPr>
            </w:pPr>
          </w:p>
        </w:tc>
      </w:tr>
      <w:tr w14:paraId="0DE31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Align w:val="center"/>
          </w:tcPr>
          <w:p w14:paraId="663CAA1F">
            <w:pPr>
              <w:snapToGrid w:val="0"/>
              <w:spacing w:line="360" w:lineRule="exact"/>
              <w:rPr>
                <w:rFonts w:ascii="宋体" w:hAnsi="宋体"/>
                <w:color w:val="auto"/>
                <w:sz w:val="24"/>
                <w:highlight w:val="none"/>
              </w:rPr>
            </w:pPr>
          </w:p>
        </w:tc>
        <w:tc>
          <w:tcPr>
            <w:tcW w:w="1620" w:type="dxa"/>
            <w:vAlign w:val="center"/>
          </w:tcPr>
          <w:p w14:paraId="70B6D5B0">
            <w:pPr>
              <w:snapToGrid w:val="0"/>
              <w:spacing w:line="360" w:lineRule="exact"/>
              <w:rPr>
                <w:rFonts w:ascii="宋体" w:hAnsi="宋体"/>
                <w:color w:val="auto"/>
                <w:sz w:val="24"/>
                <w:highlight w:val="none"/>
              </w:rPr>
            </w:pPr>
          </w:p>
        </w:tc>
        <w:tc>
          <w:tcPr>
            <w:tcW w:w="1800" w:type="dxa"/>
            <w:vAlign w:val="center"/>
          </w:tcPr>
          <w:p w14:paraId="77F71ADC">
            <w:pPr>
              <w:snapToGrid w:val="0"/>
              <w:spacing w:line="360" w:lineRule="exact"/>
              <w:rPr>
                <w:rFonts w:ascii="宋体" w:hAnsi="宋体"/>
                <w:color w:val="auto"/>
                <w:sz w:val="24"/>
                <w:highlight w:val="none"/>
              </w:rPr>
            </w:pPr>
          </w:p>
        </w:tc>
        <w:tc>
          <w:tcPr>
            <w:tcW w:w="1260" w:type="dxa"/>
          </w:tcPr>
          <w:p w14:paraId="429D69DB">
            <w:pPr>
              <w:snapToGrid w:val="0"/>
              <w:spacing w:line="360" w:lineRule="exact"/>
              <w:rPr>
                <w:rFonts w:ascii="宋体" w:hAnsi="宋体"/>
                <w:color w:val="auto"/>
                <w:sz w:val="24"/>
                <w:highlight w:val="none"/>
              </w:rPr>
            </w:pPr>
          </w:p>
        </w:tc>
        <w:tc>
          <w:tcPr>
            <w:tcW w:w="1260" w:type="dxa"/>
          </w:tcPr>
          <w:p w14:paraId="6BA98577">
            <w:pPr>
              <w:snapToGrid w:val="0"/>
              <w:spacing w:line="360" w:lineRule="exact"/>
              <w:rPr>
                <w:rFonts w:ascii="宋体" w:hAnsi="宋体"/>
                <w:color w:val="auto"/>
                <w:sz w:val="24"/>
                <w:highlight w:val="none"/>
              </w:rPr>
            </w:pPr>
          </w:p>
        </w:tc>
        <w:tc>
          <w:tcPr>
            <w:tcW w:w="1440" w:type="dxa"/>
            <w:vAlign w:val="center"/>
          </w:tcPr>
          <w:p w14:paraId="6F123C89">
            <w:pPr>
              <w:snapToGrid w:val="0"/>
              <w:spacing w:line="360" w:lineRule="exact"/>
              <w:rPr>
                <w:rFonts w:ascii="宋体" w:hAnsi="宋体"/>
                <w:color w:val="auto"/>
                <w:sz w:val="24"/>
                <w:highlight w:val="none"/>
              </w:rPr>
            </w:pPr>
          </w:p>
        </w:tc>
        <w:tc>
          <w:tcPr>
            <w:tcW w:w="1260" w:type="dxa"/>
            <w:vAlign w:val="center"/>
          </w:tcPr>
          <w:p w14:paraId="21ECCD51">
            <w:pPr>
              <w:snapToGrid w:val="0"/>
              <w:spacing w:line="360" w:lineRule="exact"/>
              <w:rPr>
                <w:rFonts w:ascii="宋体" w:hAnsi="宋体"/>
                <w:color w:val="auto"/>
                <w:sz w:val="24"/>
                <w:highlight w:val="none"/>
              </w:rPr>
            </w:pPr>
          </w:p>
        </w:tc>
      </w:tr>
      <w:tr w14:paraId="2C938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360" w:type="dxa"/>
            <w:gridSpan w:val="7"/>
            <w:vAlign w:val="center"/>
          </w:tcPr>
          <w:p w14:paraId="0C73DF73">
            <w:pPr>
              <w:snapToGrid w:val="0"/>
              <w:spacing w:line="360" w:lineRule="exact"/>
              <w:rPr>
                <w:rFonts w:ascii="宋体" w:hAnsi="宋体"/>
                <w:color w:val="auto"/>
                <w:sz w:val="24"/>
                <w:highlight w:val="none"/>
              </w:rPr>
            </w:pPr>
            <w:r>
              <w:rPr>
                <w:rFonts w:hint="eastAsia" w:ascii="宋体" w:hAnsi="宋体"/>
                <w:color w:val="auto"/>
                <w:sz w:val="24"/>
                <w:highlight w:val="none"/>
              </w:rPr>
              <w:t xml:space="preserve">人民币合计金额（大写）                          （小写）                 </w:t>
            </w:r>
          </w:p>
        </w:tc>
      </w:tr>
    </w:tbl>
    <w:p w14:paraId="476946AF">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二、项目内容及要求</w:t>
      </w:r>
    </w:p>
    <w:p w14:paraId="3B3AC24F">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1、甲、乙双方应将采购文件、响应文件项目内容等作为本条款的基础。</w:t>
      </w:r>
    </w:p>
    <w:p w14:paraId="7CAB5833">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2、乙方作为承担本项目的服务商，应按响应文件承诺的内容开展本项目相关业务。 </w:t>
      </w:r>
    </w:p>
    <w:p w14:paraId="6A4AE3F5">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三、合同金额：合同的总金额为（大写）（￥）人民币。</w:t>
      </w:r>
    </w:p>
    <w:p w14:paraId="5707344E">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四、合同履行期限、地点：</w:t>
      </w:r>
    </w:p>
    <w:p w14:paraId="3D45368A">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合同履行期限：</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；地点：</w:t>
      </w:r>
      <w:r>
        <w:rPr>
          <w:rFonts w:ascii="宋体" w:hAnsi="宋体"/>
          <w:color w:val="auto"/>
          <w:sz w:val="24"/>
          <w:highlight w:val="none"/>
        </w:rPr>
        <w:t>采购单位指定地点。</w:t>
      </w:r>
    </w:p>
    <w:p w14:paraId="6A79D1F0">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五、项目付款方式</w:t>
      </w:r>
    </w:p>
    <w:p w14:paraId="1AA7592C">
      <w:pPr>
        <w:snapToGrid w:val="0"/>
        <w:spacing w:line="360" w:lineRule="exact"/>
        <w:ind w:firstLine="480" w:firstLineChars="200"/>
        <w:rPr>
          <w:rFonts w:ascii="宋体" w:hAnsi="宋体"/>
          <w:color w:val="auto"/>
          <w:sz w:val="24"/>
          <w:highlight w:val="none"/>
          <w:u w:val="single"/>
        </w:rPr>
      </w:pPr>
      <w:r>
        <w:rPr>
          <w:rFonts w:hint="eastAsia" w:ascii="宋体" w:hAnsi="宋体"/>
          <w:color w:val="auto"/>
          <w:sz w:val="24"/>
          <w:highlight w:val="none"/>
        </w:rPr>
        <w:t>1、资金性质：</w:t>
      </w:r>
      <w:r>
        <w:rPr>
          <w:rFonts w:hint="eastAsia" w:ascii="宋体" w:hAnsi="宋体"/>
          <w:color w:val="auto"/>
          <w:sz w:val="24"/>
          <w:highlight w:val="none"/>
          <w:u w:val="single"/>
        </w:rPr>
        <w:t xml:space="preserve">        。</w:t>
      </w:r>
    </w:p>
    <w:p w14:paraId="49DD0FEB">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2、付款方式：详见</w:t>
      </w:r>
      <w:r>
        <w:rPr>
          <w:rFonts w:hint="eastAsia" w:ascii="宋体" w:hAnsi="宋体"/>
          <w:color w:val="auto"/>
          <w:sz w:val="24"/>
          <w:highlight w:val="none"/>
          <w:lang w:val="en-US" w:eastAsia="zh-CN"/>
        </w:rPr>
        <w:t>招标</w:t>
      </w:r>
      <w:r>
        <w:rPr>
          <w:rFonts w:hint="eastAsia" w:ascii="宋体" w:hAnsi="宋体"/>
          <w:color w:val="auto"/>
          <w:sz w:val="24"/>
          <w:highlight w:val="none"/>
        </w:rPr>
        <w:t>文件“第二章  采购需求”中的“付款条件”。</w:t>
      </w:r>
    </w:p>
    <w:p w14:paraId="3BC0AC19">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六、税费本合同执行中相关的一切税费均由乙方负担。</w:t>
      </w:r>
    </w:p>
    <w:p w14:paraId="31B28888">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七、违约责任</w:t>
      </w:r>
    </w:p>
    <w:p w14:paraId="49665606">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1、甲方违约，造成乙方损失的，甲方应按《中华人民共和国民法典》有关规定向乙方赔偿损失。</w:t>
      </w:r>
    </w:p>
    <w:p w14:paraId="2DAB55AC">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2、乙方违约，甲方视乙方违约情况，甲方采用其他方式追究乙方的违约责任，直至终止合同。</w:t>
      </w:r>
    </w:p>
    <w:p w14:paraId="7308F296">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八、不可抗力事件处理</w:t>
      </w:r>
    </w:p>
    <w:p w14:paraId="0C60C406">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1、在合同有效期内，任何一方因不可抗力事件导致不能履行合同，则合同履行期可延长，其延长期与不可抗力影响期相同。</w:t>
      </w:r>
    </w:p>
    <w:p w14:paraId="150667ED">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2、不可抗力事件发生后，应立即通知对方，并寄送有关权威机构出具的证明。</w:t>
      </w:r>
    </w:p>
    <w:p w14:paraId="4CA6935B">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3、不可抗力事件延续120天以上，双方应通过友好协商，确定是否继续履行合同。</w:t>
      </w:r>
    </w:p>
    <w:p w14:paraId="1FB63927">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九、合同争议解决</w:t>
      </w:r>
    </w:p>
    <w:p w14:paraId="6CEB8357">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1、因服务问题发生争议的，应邀请国家认可的质量检测机构对服务质量进行鉴定。服务符合标准的，鉴定费由甲方承担；服务不符合标准的，鉴定费由乙方承担。</w:t>
      </w:r>
    </w:p>
    <w:p w14:paraId="5DCA2054">
      <w:pPr>
        <w:snapToGrid w:val="0"/>
        <w:spacing w:before="120" w:after="120" w:line="360" w:lineRule="exact"/>
        <w:ind w:firstLine="480" w:firstLineChars="200"/>
        <w:rPr>
          <w:rFonts w:ascii="宋体" w:hAnsi="宋体"/>
          <w:color w:val="auto"/>
          <w:sz w:val="24"/>
          <w:highlight w:val="none"/>
        </w:rPr>
      </w:pPr>
      <w:r>
        <w:rPr>
          <w:rFonts w:hint="eastAsia" w:ascii="宋体" w:hAnsi="宋体"/>
          <w:color w:val="auto"/>
          <w:sz w:val="24"/>
          <w:highlight w:val="none"/>
        </w:rPr>
        <w:t>2、因履行本合同引起的或与本合同有关的争议，甲乙双方应首先通过友好协商解决，如果协商不能解决，可向甲方所在地人民法院提起诉讼。</w:t>
      </w:r>
    </w:p>
    <w:p w14:paraId="09914FFC">
      <w:pPr>
        <w:snapToGrid w:val="0"/>
        <w:spacing w:before="120" w:after="120" w:line="360" w:lineRule="exact"/>
        <w:ind w:firstLine="480" w:firstLineChars="200"/>
        <w:rPr>
          <w:rFonts w:ascii="宋体" w:hAnsi="宋体"/>
          <w:color w:val="auto"/>
          <w:sz w:val="24"/>
          <w:highlight w:val="none"/>
        </w:rPr>
      </w:pPr>
      <w:bookmarkStart w:id="149" w:name="_Hlk138094802"/>
      <w:r>
        <w:rPr>
          <w:rFonts w:hint="eastAsia" w:ascii="宋体" w:hAnsi="宋体"/>
          <w:color w:val="auto"/>
          <w:sz w:val="24"/>
          <w:highlight w:val="none"/>
        </w:rPr>
        <w:t>3、诉讼期间，本合同继续履行。</w:t>
      </w:r>
    </w:p>
    <w:bookmarkEnd w:id="149"/>
    <w:p w14:paraId="168BE76A">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十、诉讼</w:t>
      </w:r>
    </w:p>
    <w:p w14:paraId="34F2CDD8">
      <w:pPr>
        <w:snapToGrid w:val="0"/>
        <w:spacing w:before="120" w:after="120" w:line="360" w:lineRule="exact"/>
        <w:ind w:left="1"/>
        <w:rPr>
          <w:rFonts w:ascii="宋体" w:hAnsi="宋体"/>
          <w:color w:val="auto"/>
          <w:sz w:val="24"/>
          <w:highlight w:val="none"/>
        </w:rPr>
      </w:pPr>
      <w:r>
        <w:rPr>
          <w:rFonts w:hint="eastAsia" w:ascii="宋体" w:hAnsi="宋体"/>
          <w:color w:val="auto"/>
          <w:sz w:val="24"/>
          <w:highlight w:val="none"/>
        </w:rPr>
        <w:t xml:space="preserve">    双方在执行合同中所发生的一切争议，应通过协商解决。如果协商不能解决，可向甲方所在地人民法院提起诉讼。</w:t>
      </w:r>
    </w:p>
    <w:p w14:paraId="432BBC82">
      <w:pPr>
        <w:snapToGrid w:val="0"/>
        <w:spacing w:before="120" w:after="120" w:line="360" w:lineRule="exact"/>
        <w:ind w:left="561" w:leftChars="267"/>
        <w:rPr>
          <w:rFonts w:ascii="宋体" w:hAnsi="宋体"/>
          <w:color w:val="auto"/>
          <w:sz w:val="24"/>
          <w:highlight w:val="none"/>
        </w:rPr>
      </w:pPr>
      <w:r>
        <w:rPr>
          <w:rFonts w:hint="eastAsia" w:ascii="宋体" w:hAnsi="宋体"/>
          <w:color w:val="auto"/>
          <w:sz w:val="24"/>
          <w:highlight w:val="none"/>
        </w:rPr>
        <w:t>十一、合同生效及其它</w:t>
      </w:r>
    </w:p>
    <w:p w14:paraId="08B9FA7C">
      <w:pPr>
        <w:snapToGrid w:val="0"/>
        <w:spacing w:before="120" w:after="120" w:line="360" w:lineRule="exact"/>
        <w:ind w:left="561" w:leftChars="267"/>
        <w:rPr>
          <w:rFonts w:ascii="宋体" w:hAnsi="宋体"/>
          <w:color w:val="auto"/>
          <w:sz w:val="24"/>
          <w:highlight w:val="none"/>
        </w:rPr>
      </w:pPr>
      <w:r>
        <w:rPr>
          <w:rFonts w:hint="eastAsia" w:ascii="宋体" w:hAnsi="宋体"/>
          <w:color w:val="auto"/>
          <w:sz w:val="24"/>
          <w:highlight w:val="none"/>
        </w:rPr>
        <w:t>1、合同经双方法定代表人或授权代表签字并加盖单位公章后生效。</w:t>
      </w:r>
    </w:p>
    <w:p w14:paraId="1B5D8018">
      <w:pPr>
        <w:snapToGrid w:val="0"/>
        <w:spacing w:before="120" w:after="120" w:line="360" w:lineRule="exact"/>
        <w:ind w:left="561" w:leftChars="267"/>
        <w:rPr>
          <w:rFonts w:ascii="宋体" w:hAnsi="宋体"/>
          <w:color w:val="auto"/>
          <w:sz w:val="24"/>
          <w:highlight w:val="none"/>
        </w:rPr>
      </w:pPr>
      <w:r>
        <w:rPr>
          <w:rFonts w:hint="eastAsia" w:ascii="宋体" w:hAnsi="宋体"/>
          <w:color w:val="auto"/>
          <w:sz w:val="24"/>
          <w:highlight w:val="none"/>
        </w:rPr>
        <w:t>2、本合同未尽事宜，遵照</w:t>
      </w:r>
      <w:r>
        <w:rPr>
          <w:rFonts w:hint="eastAsia" w:ascii="宋体" w:hAnsi="宋体"/>
          <w:color w:val="auto"/>
          <w:sz w:val="24"/>
          <w:szCs w:val="20"/>
          <w:highlight w:val="none"/>
        </w:rPr>
        <w:t>《中华人民共和国民法典》</w:t>
      </w:r>
      <w:r>
        <w:rPr>
          <w:rFonts w:hint="eastAsia" w:ascii="宋体" w:hAnsi="宋体"/>
          <w:color w:val="auto"/>
          <w:sz w:val="24"/>
          <w:highlight w:val="none"/>
        </w:rPr>
        <w:t>有关条文执行。</w:t>
      </w:r>
    </w:p>
    <w:p w14:paraId="74881120">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十二、合同的变更、终止与转让</w:t>
      </w:r>
    </w:p>
    <w:p w14:paraId="2A42CCDC">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1、除《中华人民共和国政府采购法》第50条规定的情形外，本合同一经签订，甲乙双方不得擅自变更、中止或终止。</w:t>
      </w:r>
    </w:p>
    <w:p w14:paraId="212620B9">
      <w:pPr>
        <w:snapToGrid w:val="0"/>
        <w:spacing w:before="120" w:after="120" w:line="360" w:lineRule="exact"/>
        <w:ind w:firstLine="470" w:firstLineChars="196"/>
        <w:rPr>
          <w:rFonts w:ascii="宋体" w:hAnsi="宋体"/>
          <w:b/>
          <w:color w:val="auto"/>
          <w:sz w:val="24"/>
          <w:highlight w:val="none"/>
        </w:rPr>
      </w:pPr>
      <w:r>
        <w:rPr>
          <w:rFonts w:hint="eastAsia" w:ascii="宋体" w:hAnsi="宋体"/>
          <w:color w:val="auto"/>
          <w:sz w:val="24"/>
          <w:highlight w:val="none"/>
        </w:rPr>
        <w:t>2、乙方不得擅自转让其应履行的合同义务。</w:t>
      </w:r>
    </w:p>
    <w:p w14:paraId="6402EB1C">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十三、签订本合同依据</w:t>
      </w:r>
    </w:p>
    <w:p w14:paraId="301B31D5">
      <w:pPr>
        <w:snapToGrid w:val="0"/>
        <w:spacing w:line="360" w:lineRule="exact"/>
        <w:ind w:firstLine="480" w:firstLineChars="200"/>
        <w:rPr>
          <w:rFonts w:ascii="宋体" w:hAnsi="宋体"/>
          <w:color w:val="auto"/>
          <w:sz w:val="24"/>
          <w:highlight w:val="none"/>
          <w:u w:val="single"/>
        </w:rPr>
      </w:pPr>
      <w:r>
        <w:rPr>
          <w:rFonts w:hint="eastAsia" w:ascii="宋体" w:hAnsi="宋体"/>
          <w:color w:val="auto"/>
          <w:sz w:val="24"/>
          <w:highlight w:val="none"/>
        </w:rPr>
        <w:t>1、政府采购采购文件；2、乙方提供的投标文件；3、投标承诺书；4、中标或成交通知书。</w:t>
      </w:r>
    </w:p>
    <w:p w14:paraId="740E8E3F">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十四、本合同一式5份，具有同等法律效力，采购代理机构一份，甲乙双方各两份（可根据需要另增加）。</w:t>
      </w:r>
    </w:p>
    <w:p w14:paraId="2E36C82D">
      <w:pPr>
        <w:snapToGrid w:val="0"/>
        <w:spacing w:line="360" w:lineRule="exact"/>
        <w:ind w:firstLine="480" w:firstLineChars="200"/>
        <w:rPr>
          <w:rFonts w:ascii="宋体" w:hAnsi="宋体"/>
          <w:color w:val="auto"/>
          <w:sz w:val="24"/>
          <w:highlight w:val="none"/>
        </w:rPr>
      </w:pPr>
      <w:r>
        <w:rPr>
          <w:rFonts w:hint="eastAsia" w:ascii="宋体" w:hAnsi="宋体"/>
          <w:color w:val="auto"/>
          <w:sz w:val="24"/>
          <w:highlight w:val="none"/>
        </w:rPr>
        <w:t>本合同甲乙双方签字盖章后生效，自签订之日起两个工作日内，采购人或采购代理机构应当将合同进行网上公示。</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5FE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vAlign w:val="center"/>
          </w:tcPr>
          <w:p w14:paraId="50FB45BF">
            <w:pPr>
              <w:snapToGrid w:val="0"/>
              <w:spacing w:line="400" w:lineRule="exact"/>
              <w:rPr>
                <w:rFonts w:ascii="宋体" w:hAnsi="宋体"/>
                <w:color w:val="auto"/>
                <w:sz w:val="24"/>
                <w:highlight w:val="none"/>
              </w:rPr>
            </w:pPr>
            <w:r>
              <w:rPr>
                <w:rFonts w:hint="eastAsia" w:ascii="宋体" w:hAnsi="宋体"/>
                <w:color w:val="auto"/>
                <w:sz w:val="24"/>
                <w:highlight w:val="none"/>
              </w:rPr>
              <w:t xml:space="preserve">甲方（章）           </w:t>
            </w:r>
          </w:p>
          <w:p w14:paraId="6168A866">
            <w:pPr>
              <w:snapToGrid w:val="0"/>
              <w:spacing w:line="400" w:lineRule="exact"/>
              <w:rPr>
                <w:rFonts w:ascii="宋体" w:hAnsi="宋体"/>
                <w:color w:val="auto"/>
                <w:sz w:val="24"/>
                <w:highlight w:val="none"/>
              </w:rPr>
            </w:pPr>
          </w:p>
          <w:p w14:paraId="5C3DF010">
            <w:pPr>
              <w:snapToGrid w:val="0"/>
              <w:spacing w:line="400" w:lineRule="exact"/>
              <w:ind w:firstLine="1080" w:firstLineChars="450"/>
              <w:jc w:val="right"/>
              <w:rPr>
                <w:rFonts w:ascii="宋体" w:hAnsi="宋体"/>
                <w:color w:val="auto"/>
                <w:sz w:val="24"/>
                <w:highlight w:val="none"/>
              </w:rPr>
            </w:pPr>
            <w:r>
              <w:rPr>
                <w:rFonts w:hint="eastAsia" w:ascii="宋体" w:hAnsi="宋体"/>
                <w:color w:val="auto"/>
                <w:sz w:val="24"/>
                <w:highlight w:val="none"/>
              </w:rPr>
              <w:t>年   月   日</w:t>
            </w:r>
          </w:p>
        </w:tc>
        <w:tc>
          <w:tcPr>
            <w:tcW w:w="4517" w:type="dxa"/>
            <w:vAlign w:val="center"/>
          </w:tcPr>
          <w:p w14:paraId="249EC88B">
            <w:pPr>
              <w:snapToGrid w:val="0"/>
              <w:spacing w:line="400" w:lineRule="exact"/>
              <w:rPr>
                <w:rFonts w:ascii="宋体" w:hAnsi="宋体"/>
                <w:color w:val="auto"/>
                <w:sz w:val="24"/>
                <w:highlight w:val="none"/>
              </w:rPr>
            </w:pPr>
            <w:r>
              <w:rPr>
                <w:rFonts w:hint="eastAsia" w:ascii="宋体" w:hAnsi="宋体"/>
                <w:color w:val="auto"/>
                <w:sz w:val="24"/>
                <w:highlight w:val="none"/>
              </w:rPr>
              <w:t xml:space="preserve">乙方（章）              </w:t>
            </w:r>
          </w:p>
          <w:p w14:paraId="67CC8155">
            <w:pPr>
              <w:snapToGrid w:val="0"/>
              <w:spacing w:line="400" w:lineRule="exact"/>
              <w:rPr>
                <w:rFonts w:ascii="宋体" w:hAnsi="宋体"/>
                <w:color w:val="auto"/>
                <w:sz w:val="24"/>
                <w:highlight w:val="none"/>
              </w:rPr>
            </w:pPr>
          </w:p>
          <w:p w14:paraId="7B9A9B3F">
            <w:pPr>
              <w:snapToGrid w:val="0"/>
              <w:spacing w:line="400" w:lineRule="exact"/>
              <w:jc w:val="right"/>
              <w:rPr>
                <w:rFonts w:ascii="宋体" w:hAnsi="宋体"/>
                <w:color w:val="auto"/>
                <w:sz w:val="24"/>
                <w:highlight w:val="none"/>
              </w:rPr>
            </w:pPr>
            <w:r>
              <w:rPr>
                <w:rFonts w:hint="eastAsia" w:ascii="宋体" w:hAnsi="宋体"/>
                <w:color w:val="auto"/>
                <w:sz w:val="24"/>
                <w:highlight w:val="none"/>
              </w:rPr>
              <w:t xml:space="preserve"> 年   月   日</w:t>
            </w:r>
          </w:p>
        </w:tc>
      </w:tr>
      <w:tr w14:paraId="4F3F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vAlign w:val="center"/>
          </w:tcPr>
          <w:p w14:paraId="7993369A">
            <w:pPr>
              <w:snapToGrid w:val="0"/>
              <w:spacing w:line="400" w:lineRule="exact"/>
              <w:rPr>
                <w:rFonts w:ascii="宋体" w:hAnsi="宋体"/>
                <w:color w:val="auto"/>
                <w:sz w:val="24"/>
                <w:highlight w:val="none"/>
              </w:rPr>
            </w:pPr>
            <w:r>
              <w:rPr>
                <w:rFonts w:hint="eastAsia" w:ascii="宋体" w:hAnsi="宋体"/>
                <w:color w:val="auto"/>
                <w:sz w:val="24"/>
                <w:highlight w:val="none"/>
              </w:rPr>
              <w:t>单位地址：</w:t>
            </w:r>
          </w:p>
        </w:tc>
        <w:tc>
          <w:tcPr>
            <w:tcW w:w="4517" w:type="dxa"/>
            <w:vAlign w:val="center"/>
          </w:tcPr>
          <w:p w14:paraId="159D2F00">
            <w:pPr>
              <w:snapToGrid w:val="0"/>
              <w:spacing w:line="400" w:lineRule="exact"/>
              <w:rPr>
                <w:rFonts w:ascii="宋体" w:hAnsi="宋体"/>
                <w:color w:val="auto"/>
                <w:sz w:val="24"/>
                <w:highlight w:val="none"/>
              </w:rPr>
            </w:pPr>
            <w:r>
              <w:rPr>
                <w:rFonts w:hint="eastAsia" w:ascii="宋体" w:hAnsi="宋体"/>
                <w:color w:val="auto"/>
                <w:sz w:val="24"/>
                <w:highlight w:val="none"/>
              </w:rPr>
              <w:t>单位地址：</w:t>
            </w:r>
          </w:p>
        </w:tc>
      </w:tr>
      <w:tr w14:paraId="6CFB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vAlign w:val="center"/>
          </w:tcPr>
          <w:p w14:paraId="3A843E82">
            <w:pPr>
              <w:snapToGrid w:val="0"/>
              <w:spacing w:line="400" w:lineRule="exact"/>
              <w:rPr>
                <w:rFonts w:ascii="宋体" w:hAnsi="宋体"/>
                <w:color w:val="auto"/>
                <w:sz w:val="24"/>
                <w:highlight w:val="none"/>
              </w:rPr>
            </w:pPr>
            <w:r>
              <w:rPr>
                <w:rFonts w:hint="eastAsia" w:ascii="宋体" w:hAnsi="宋体"/>
                <w:color w:val="auto"/>
                <w:sz w:val="24"/>
                <w:highlight w:val="none"/>
              </w:rPr>
              <w:t>法定代表人：</w:t>
            </w:r>
          </w:p>
        </w:tc>
        <w:tc>
          <w:tcPr>
            <w:tcW w:w="4517" w:type="dxa"/>
            <w:vAlign w:val="center"/>
          </w:tcPr>
          <w:p w14:paraId="320B1853">
            <w:pPr>
              <w:snapToGrid w:val="0"/>
              <w:spacing w:line="400" w:lineRule="exact"/>
              <w:rPr>
                <w:rFonts w:ascii="宋体" w:hAnsi="宋体"/>
                <w:color w:val="auto"/>
                <w:sz w:val="24"/>
                <w:highlight w:val="none"/>
              </w:rPr>
            </w:pPr>
            <w:r>
              <w:rPr>
                <w:rFonts w:hint="eastAsia" w:ascii="宋体" w:hAnsi="宋体"/>
                <w:color w:val="auto"/>
                <w:sz w:val="24"/>
                <w:highlight w:val="none"/>
              </w:rPr>
              <w:t>法定代表人：</w:t>
            </w:r>
          </w:p>
        </w:tc>
      </w:tr>
      <w:tr w14:paraId="43FA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vAlign w:val="center"/>
          </w:tcPr>
          <w:p w14:paraId="50D1F420">
            <w:pPr>
              <w:snapToGrid w:val="0"/>
              <w:spacing w:line="400" w:lineRule="exact"/>
              <w:rPr>
                <w:rFonts w:ascii="宋体" w:hAnsi="宋体"/>
                <w:color w:val="auto"/>
                <w:sz w:val="24"/>
                <w:highlight w:val="none"/>
              </w:rPr>
            </w:pPr>
            <w:r>
              <w:rPr>
                <w:rFonts w:hint="eastAsia" w:ascii="宋体" w:hAnsi="宋体"/>
                <w:color w:val="auto"/>
                <w:sz w:val="24"/>
                <w:highlight w:val="none"/>
              </w:rPr>
              <w:t>授权代表：</w:t>
            </w:r>
          </w:p>
        </w:tc>
        <w:tc>
          <w:tcPr>
            <w:tcW w:w="4517" w:type="dxa"/>
            <w:vAlign w:val="center"/>
          </w:tcPr>
          <w:p w14:paraId="0F27D21A">
            <w:pPr>
              <w:snapToGrid w:val="0"/>
              <w:spacing w:line="400" w:lineRule="exact"/>
              <w:rPr>
                <w:rFonts w:ascii="宋体" w:hAnsi="宋体"/>
                <w:color w:val="auto"/>
                <w:sz w:val="24"/>
                <w:highlight w:val="none"/>
              </w:rPr>
            </w:pPr>
            <w:r>
              <w:rPr>
                <w:rFonts w:hint="eastAsia" w:ascii="宋体" w:hAnsi="宋体"/>
                <w:color w:val="auto"/>
                <w:sz w:val="24"/>
                <w:highlight w:val="none"/>
              </w:rPr>
              <w:t>授权代表</w:t>
            </w:r>
          </w:p>
        </w:tc>
      </w:tr>
      <w:tr w14:paraId="188F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vAlign w:val="center"/>
          </w:tcPr>
          <w:p w14:paraId="34860917">
            <w:pPr>
              <w:snapToGrid w:val="0"/>
              <w:spacing w:line="400" w:lineRule="exact"/>
              <w:rPr>
                <w:rFonts w:ascii="宋体" w:hAnsi="宋体"/>
                <w:color w:val="auto"/>
                <w:sz w:val="24"/>
                <w:highlight w:val="none"/>
              </w:rPr>
            </w:pPr>
            <w:r>
              <w:rPr>
                <w:rFonts w:hint="eastAsia" w:ascii="宋体" w:hAnsi="宋体"/>
                <w:color w:val="auto"/>
                <w:sz w:val="24"/>
                <w:highlight w:val="none"/>
              </w:rPr>
              <w:t>电话：</w:t>
            </w:r>
          </w:p>
        </w:tc>
        <w:tc>
          <w:tcPr>
            <w:tcW w:w="4517" w:type="dxa"/>
            <w:vAlign w:val="center"/>
          </w:tcPr>
          <w:p w14:paraId="402B3E11">
            <w:pPr>
              <w:snapToGrid w:val="0"/>
              <w:spacing w:line="400" w:lineRule="exact"/>
              <w:rPr>
                <w:rFonts w:ascii="宋体" w:hAnsi="宋体"/>
                <w:color w:val="auto"/>
                <w:sz w:val="24"/>
                <w:highlight w:val="none"/>
              </w:rPr>
            </w:pPr>
            <w:r>
              <w:rPr>
                <w:rFonts w:hint="eastAsia" w:ascii="宋体" w:hAnsi="宋体"/>
                <w:color w:val="auto"/>
                <w:sz w:val="24"/>
                <w:highlight w:val="none"/>
              </w:rPr>
              <w:t>电话：</w:t>
            </w:r>
          </w:p>
        </w:tc>
      </w:tr>
      <w:tr w14:paraId="56D7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vAlign w:val="center"/>
          </w:tcPr>
          <w:p w14:paraId="658A317B">
            <w:pPr>
              <w:snapToGrid w:val="0"/>
              <w:spacing w:line="400" w:lineRule="exact"/>
              <w:rPr>
                <w:rFonts w:ascii="宋体" w:hAnsi="宋体"/>
                <w:color w:val="auto"/>
                <w:sz w:val="24"/>
                <w:highlight w:val="none"/>
              </w:rPr>
            </w:pPr>
            <w:r>
              <w:rPr>
                <w:rFonts w:hint="eastAsia" w:ascii="宋体" w:hAnsi="宋体"/>
                <w:color w:val="auto"/>
                <w:sz w:val="24"/>
                <w:highlight w:val="none"/>
              </w:rPr>
              <w:t>电子邮箱：</w:t>
            </w:r>
          </w:p>
        </w:tc>
        <w:tc>
          <w:tcPr>
            <w:tcW w:w="4517" w:type="dxa"/>
            <w:vAlign w:val="center"/>
          </w:tcPr>
          <w:p w14:paraId="3764FA97">
            <w:pPr>
              <w:snapToGrid w:val="0"/>
              <w:spacing w:line="400" w:lineRule="exact"/>
              <w:rPr>
                <w:rFonts w:ascii="宋体" w:hAnsi="宋体"/>
                <w:color w:val="auto"/>
                <w:sz w:val="24"/>
                <w:highlight w:val="none"/>
              </w:rPr>
            </w:pPr>
            <w:r>
              <w:rPr>
                <w:rFonts w:hint="eastAsia" w:ascii="宋体" w:hAnsi="宋体"/>
                <w:color w:val="auto"/>
                <w:sz w:val="24"/>
                <w:highlight w:val="none"/>
              </w:rPr>
              <w:t>电子邮箱：</w:t>
            </w:r>
          </w:p>
        </w:tc>
      </w:tr>
      <w:tr w14:paraId="6359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vAlign w:val="center"/>
          </w:tcPr>
          <w:p w14:paraId="539FA7B3">
            <w:pPr>
              <w:snapToGrid w:val="0"/>
              <w:spacing w:line="400" w:lineRule="exact"/>
              <w:rPr>
                <w:rFonts w:ascii="宋体" w:hAnsi="宋体"/>
                <w:color w:val="auto"/>
                <w:sz w:val="24"/>
                <w:highlight w:val="none"/>
              </w:rPr>
            </w:pPr>
            <w:r>
              <w:rPr>
                <w:rFonts w:hint="eastAsia" w:ascii="宋体" w:hAnsi="宋体"/>
                <w:color w:val="auto"/>
                <w:sz w:val="24"/>
                <w:highlight w:val="none"/>
              </w:rPr>
              <w:t>开户银行：</w:t>
            </w:r>
          </w:p>
        </w:tc>
        <w:tc>
          <w:tcPr>
            <w:tcW w:w="4517" w:type="dxa"/>
            <w:vAlign w:val="center"/>
          </w:tcPr>
          <w:p w14:paraId="33889FE4">
            <w:pPr>
              <w:snapToGrid w:val="0"/>
              <w:spacing w:line="400" w:lineRule="exact"/>
              <w:rPr>
                <w:rFonts w:ascii="宋体" w:hAnsi="宋体"/>
                <w:color w:val="auto"/>
                <w:sz w:val="24"/>
                <w:highlight w:val="none"/>
              </w:rPr>
            </w:pPr>
            <w:r>
              <w:rPr>
                <w:rFonts w:hint="eastAsia" w:ascii="宋体" w:hAnsi="宋体"/>
                <w:color w:val="auto"/>
                <w:sz w:val="24"/>
                <w:highlight w:val="none"/>
              </w:rPr>
              <w:t>开户银行：</w:t>
            </w:r>
          </w:p>
        </w:tc>
      </w:tr>
      <w:tr w14:paraId="58EE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vAlign w:val="center"/>
          </w:tcPr>
          <w:p w14:paraId="677ACEEB">
            <w:pPr>
              <w:snapToGrid w:val="0"/>
              <w:spacing w:line="400" w:lineRule="exact"/>
              <w:rPr>
                <w:rFonts w:ascii="宋体" w:hAnsi="宋体"/>
                <w:color w:val="auto"/>
                <w:sz w:val="24"/>
                <w:highlight w:val="none"/>
              </w:rPr>
            </w:pPr>
            <w:r>
              <w:rPr>
                <w:rFonts w:hint="eastAsia" w:ascii="宋体" w:hAnsi="宋体"/>
                <w:color w:val="auto"/>
                <w:sz w:val="24"/>
                <w:highlight w:val="none"/>
              </w:rPr>
              <w:t>账号：</w:t>
            </w:r>
          </w:p>
        </w:tc>
        <w:tc>
          <w:tcPr>
            <w:tcW w:w="4517" w:type="dxa"/>
            <w:vAlign w:val="center"/>
          </w:tcPr>
          <w:p w14:paraId="436D7E42">
            <w:pPr>
              <w:snapToGrid w:val="0"/>
              <w:spacing w:line="400" w:lineRule="exact"/>
              <w:rPr>
                <w:rFonts w:ascii="宋体" w:hAnsi="宋体"/>
                <w:color w:val="auto"/>
                <w:sz w:val="24"/>
                <w:highlight w:val="none"/>
              </w:rPr>
            </w:pPr>
            <w:r>
              <w:rPr>
                <w:rFonts w:hint="eastAsia" w:ascii="宋体" w:hAnsi="宋体"/>
                <w:color w:val="auto"/>
                <w:sz w:val="24"/>
                <w:highlight w:val="none"/>
              </w:rPr>
              <w:t>账号：</w:t>
            </w:r>
          </w:p>
        </w:tc>
      </w:tr>
      <w:tr w14:paraId="4885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vAlign w:val="center"/>
          </w:tcPr>
          <w:p w14:paraId="75CF3D26">
            <w:pPr>
              <w:snapToGrid w:val="0"/>
              <w:spacing w:line="400" w:lineRule="exact"/>
              <w:rPr>
                <w:rFonts w:ascii="宋体" w:hAnsi="宋体"/>
                <w:color w:val="auto"/>
                <w:sz w:val="24"/>
                <w:highlight w:val="none"/>
              </w:rPr>
            </w:pPr>
            <w:r>
              <w:rPr>
                <w:rFonts w:hint="eastAsia" w:ascii="宋体" w:hAnsi="宋体"/>
                <w:color w:val="auto"/>
                <w:sz w:val="24"/>
                <w:highlight w:val="none"/>
              </w:rPr>
              <w:t>邮政编码：</w:t>
            </w:r>
          </w:p>
        </w:tc>
        <w:tc>
          <w:tcPr>
            <w:tcW w:w="4517" w:type="dxa"/>
            <w:vAlign w:val="center"/>
          </w:tcPr>
          <w:p w14:paraId="146932F3">
            <w:pPr>
              <w:snapToGrid w:val="0"/>
              <w:spacing w:line="400" w:lineRule="exact"/>
              <w:rPr>
                <w:rFonts w:ascii="宋体" w:hAnsi="宋体"/>
                <w:color w:val="auto"/>
                <w:sz w:val="24"/>
                <w:highlight w:val="none"/>
              </w:rPr>
            </w:pPr>
            <w:r>
              <w:rPr>
                <w:rFonts w:hint="eastAsia" w:ascii="宋体" w:hAnsi="宋体"/>
                <w:color w:val="auto"/>
                <w:sz w:val="24"/>
                <w:highlight w:val="none"/>
              </w:rPr>
              <w:t>邮政编码：</w:t>
            </w:r>
          </w:p>
        </w:tc>
      </w:tr>
      <w:tr w14:paraId="792B0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9033" w:type="dxa"/>
            <w:gridSpan w:val="2"/>
          </w:tcPr>
          <w:p w14:paraId="30D2CC6C">
            <w:pPr>
              <w:wordWrap w:val="0"/>
              <w:snapToGrid w:val="0"/>
              <w:spacing w:line="400" w:lineRule="exact"/>
              <w:ind w:right="240"/>
              <w:jc w:val="right"/>
              <w:rPr>
                <w:rFonts w:ascii="宋体" w:hAnsi="宋体"/>
                <w:color w:val="auto"/>
                <w:sz w:val="24"/>
                <w:highlight w:val="none"/>
              </w:rPr>
            </w:pPr>
            <w:r>
              <w:rPr>
                <w:rFonts w:hint="eastAsia" w:ascii="宋体" w:hAnsi="宋体"/>
                <w:color w:val="auto"/>
                <w:sz w:val="24"/>
                <w:highlight w:val="none"/>
              </w:rPr>
              <w:t>经办人：                                                 年    月    日</w:t>
            </w:r>
          </w:p>
        </w:tc>
      </w:tr>
    </w:tbl>
    <w:p w14:paraId="4D73376A">
      <w:pPr>
        <w:snapToGrid w:val="0"/>
        <w:ind w:left="480" w:hanging="480" w:hangingChars="200"/>
        <w:rPr>
          <w:rFonts w:ascii="宋体" w:hAnsi="宋体"/>
          <w:color w:val="auto"/>
          <w:sz w:val="24"/>
          <w:highlight w:val="none"/>
        </w:rPr>
      </w:pPr>
    </w:p>
    <w:p w14:paraId="23999B26">
      <w:pPr>
        <w:snapToGrid w:val="0"/>
        <w:spacing w:line="360" w:lineRule="auto"/>
        <w:jc w:val="center"/>
        <w:rPr>
          <w:rFonts w:ascii="宋体" w:hAnsi="宋体"/>
          <w:b/>
          <w:color w:val="auto"/>
          <w:sz w:val="24"/>
          <w:highlight w:val="none"/>
        </w:rPr>
      </w:pPr>
    </w:p>
    <w:p w14:paraId="31FADD12">
      <w:pPr>
        <w:snapToGrid w:val="0"/>
        <w:spacing w:line="360" w:lineRule="auto"/>
        <w:jc w:val="center"/>
        <w:rPr>
          <w:rFonts w:ascii="宋体" w:hAnsi="宋体"/>
          <w:b/>
          <w:color w:val="auto"/>
          <w:sz w:val="24"/>
          <w:highlight w:val="none"/>
        </w:rPr>
      </w:pPr>
      <w:r>
        <w:rPr>
          <w:rFonts w:hint="eastAsia" w:ascii="宋体" w:hAnsi="宋体"/>
          <w:b/>
          <w:color w:val="auto"/>
          <w:sz w:val="24"/>
          <w:highlight w:val="none"/>
        </w:rPr>
        <w:t>合 同 附 件</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4860"/>
      </w:tblGrid>
      <w:tr w14:paraId="0197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68205DBA">
            <w:pPr>
              <w:snapToGrid w:val="0"/>
              <w:ind w:firstLine="482"/>
              <w:rPr>
                <w:rFonts w:ascii="宋体" w:hAnsi="宋体"/>
                <w:color w:val="auto"/>
                <w:sz w:val="24"/>
                <w:highlight w:val="none"/>
              </w:rPr>
            </w:pPr>
            <w:r>
              <w:rPr>
                <w:rFonts w:hint="eastAsia" w:ascii="宋体" w:hAnsi="宋体"/>
                <w:color w:val="auto"/>
                <w:sz w:val="24"/>
                <w:highlight w:val="none"/>
              </w:rPr>
              <w:t>1.供应商承诺具体事项：</w:t>
            </w:r>
          </w:p>
        </w:tc>
      </w:tr>
      <w:tr w14:paraId="3013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108" w:type="dxa"/>
            <w:gridSpan w:val="2"/>
            <w:tcBorders>
              <w:left w:val="single" w:color="auto" w:sz="4" w:space="0"/>
              <w:right w:val="single" w:color="auto" w:sz="4" w:space="0"/>
            </w:tcBorders>
            <w:vAlign w:val="center"/>
          </w:tcPr>
          <w:p w14:paraId="5CADFAFA">
            <w:pPr>
              <w:snapToGrid w:val="0"/>
              <w:ind w:firstLine="482"/>
              <w:rPr>
                <w:rFonts w:ascii="宋体" w:hAnsi="宋体"/>
                <w:color w:val="auto"/>
                <w:sz w:val="24"/>
                <w:highlight w:val="none"/>
              </w:rPr>
            </w:pPr>
          </w:p>
        </w:tc>
      </w:tr>
      <w:tr w14:paraId="250B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44BC24B7">
            <w:pPr>
              <w:snapToGrid w:val="0"/>
              <w:ind w:firstLine="482"/>
              <w:rPr>
                <w:rFonts w:ascii="宋体" w:hAnsi="宋体"/>
                <w:color w:val="auto"/>
                <w:sz w:val="24"/>
                <w:highlight w:val="none"/>
              </w:rPr>
            </w:pPr>
            <w:r>
              <w:rPr>
                <w:rFonts w:hint="eastAsia" w:ascii="宋体" w:hAnsi="宋体"/>
                <w:color w:val="auto"/>
                <w:sz w:val="24"/>
                <w:highlight w:val="none"/>
              </w:rPr>
              <w:t>2.售后服务具体事项：</w:t>
            </w:r>
          </w:p>
        </w:tc>
      </w:tr>
      <w:tr w14:paraId="77E1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9108" w:type="dxa"/>
            <w:gridSpan w:val="2"/>
            <w:tcBorders>
              <w:left w:val="single" w:color="auto" w:sz="4" w:space="0"/>
              <w:bottom w:val="single" w:color="auto" w:sz="4" w:space="0"/>
              <w:right w:val="single" w:color="auto" w:sz="4" w:space="0"/>
            </w:tcBorders>
            <w:vAlign w:val="center"/>
          </w:tcPr>
          <w:p w14:paraId="606A8EF4">
            <w:pPr>
              <w:snapToGrid w:val="0"/>
              <w:ind w:firstLine="482"/>
              <w:rPr>
                <w:rFonts w:ascii="宋体" w:hAnsi="宋体"/>
                <w:color w:val="auto"/>
                <w:sz w:val="24"/>
                <w:highlight w:val="none"/>
              </w:rPr>
            </w:pPr>
          </w:p>
        </w:tc>
      </w:tr>
      <w:tr w14:paraId="3237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08" w:type="dxa"/>
            <w:gridSpan w:val="2"/>
            <w:tcBorders>
              <w:top w:val="single" w:color="auto" w:sz="4" w:space="0"/>
              <w:left w:val="single" w:color="auto" w:sz="4" w:space="0"/>
              <w:right w:val="single" w:color="auto" w:sz="4" w:space="0"/>
            </w:tcBorders>
            <w:vAlign w:val="center"/>
          </w:tcPr>
          <w:p w14:paraId="0FDBCE8B">
            <w:pPr>
              <w:snapToGrid w:val="0"/>
              <w:ind w:firstLine="482"/>
              <w:rPr>
                <w:rFonts w:ascii="宋体" w:hAnsi="宋体"/>
                <w:color w:val="auto"/>
                <w:sz w:val="24"/>
                <w:highlight w:val="none"/>
              </w:rPr>
            </w:pPr>
            <w:r>
              <w:rPr>
                <w:rFonts w:hint="eastAsia" w:ascii="宋体" w:hAnsi="宋体"/>
                <w:color w:val="auto"/>
                <w:sz w:val="24"/>
                <w:highlight w:val="none"/>
              </w:rPr>
              <w:t>3.其他具体事项：</w:t>
            </w:r>
          </w:p>
        </w:tc>
      </w:tr>
      <w:tr w14:paraId="741C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108" w:type="dxa"/>
            <w:gridSpan w:val="2"/>
            <w:tcBorders>
              <w:left w:val="single" w:color="auto" w:sz="4" w:space="0"/>
              <w:right w:val="single" w:color="auto" w:sz="4" w:space="0"/>
            </w:tcBorders>
            <w:vAlign w:val="center"/>
          </w:tcPr>
          <w:p w14:paraId="77D0F9F7">
            <w:pPr>
              <w:snapToGrid w:val="0"/>
              <w:ind w:firstLine="482"/>
              <w:rPr>
                <w:rFonts w:ascii="宋体" w:hAnsi="宋体"/>
                <w:color w:val="auto"/>
                <w:sz w:val="24"/>
                <w:highlight w:val="none"/>
              </w:rPr>
            </w:pPr>
          </w:p>
        </w:tc>
      </w:tr>
      <w:tr w14:paraId="1B71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4248" w:type="dxa"/>
            <w:tcBorders>
              <w:top w:val="single" w:color="auto" w:sz="4" w:space="0"/>
              <w:left w:val="single" w:color="auto" w:sz="4" w:space="0"/>
              <w:bottom w:val="single" w:color="auto" w:sz="4" w:space="0"/>
              <w:right w:val="single" w:color="auto" w:sz="4" w:space="0"/>
            </w:tcBorders>
            <w:vAlign w:val="center"/>
          </w:tcPr>
          <w:p w14:paraId="1626FFEF">
            <w:pPr>
              <w:snapToGrid w:val="0"/>
              <w:ind w:firstLine="482"/>
              <w:rPr>
                <w:rFonts w:ascii="宋体" w:hAnsi="宋体"/>
                <w:color w:val="auto"/>
                <w:sz w:val="24"/>
                <w:highlight w:val="none"/>
              </w:rPr>
            </w:pPr>
            <w:r>
              <w:rPr>
                <w:rFonts w:hint="eastAsia" w:ascii="宋体" w:hAnsi="宋体"/>
                <w:color w:val="auto"/>
                <w:sz w:val="24"/>
                <w:highlight w:val="none"/>
              </w:rPr>
              <w:t>甲方（章）</w:t>
            </w:r>
          </w:p>
          <w:p w14:paraId="27A5EA7F">
            <w:pPr>
              <w:snapToGrid w:val="0"/>
              <w:ind w:firstLine="482"/>
              <w:rPr>
                <w:rFonts w:ascii="宋体" w:hAnsi="宋体"/>
                <w:color w:val="auto"/>
                <w:sz w:val="24"/>
                <w:highlight w:val="none"/>
              </w:rPr>
            </w:pPr>
          </w:p>
          <w:p w14:paraId="210C1745">
            <w:pPr>
              <w:snapToGrid w:val="0"/>
              <w:ind w:firstLine="482"/>
              <w:rPr>
                <w:rFonts w:ascii="宋体" w:hAnsi="宋体"/>
                <w:color w:val="auto"/>
                <w:sz w:val="24"/>
                <w:highlight w:val="none"/>
              </w:rPr>
            </w:pPr>
          </w:p>
          <w:p w14:paraId="5499FE5E">
            <w:pPr>
              <w:snapToGrid w:val="0"/>
              <w:ind w:firstLine="482"/>
              <w:rPr>
                <w:rFonts w:ascii="宋体" w:hAnsi="宋体"/>
                <w:color w:val="auto"/>
                <w:sz w:val="24"/>
                <w:highlight w:val="none"/>
              </w:rPr>
            </w:pPr>
          </w:p>
          <w:p w14:paraId="26D3644C">
            <w:pPr>
              <w:snapToGrid w:val="0"/>
              <w:ind w:firstLine="482"/>
              <w:rPr>
                <w:rFonts w:ascii="宋体" w:hAnsi="宋体"/>
                <w:color w:val="auto"/>
                <w:sz w:val="24"/>
                <w:highlight w:val="none"/>
              </w:rPr>
            </w:pPr>
          </w:p>
          <w:p w14:paraId="0DADA7E7">
            <w:pPr>
              <w:snapToGrid w:val="0"/>
              <w:ind w:firstLine="482"/>
              <w:rPr>
                <w:rFonts w:ascii="宋体" w:hAnsi="宋体"/>
                <w:color w:val="auto"/>
                <w:sz w:val="24"/>
                <w:highlight w:val="none"/>
              </w:rPr>
            </w:pPr>
          </w:p>
          <w:p w14:paraId="1AB97913">
            <w:pPr>
              <w:snapToGrid w:val="0"/>
              <w:ind w:firstLine="482"/>
              <w:rPr>
                <w:rFonts w:ascii="宋体" w:hAnsi="宋体"/>
                <w:color w:val="auto"/>
                <w:sz w:val="24"/>
                <w:highlight w:val="none"/>
              </w:rPr>
            </w:pPr>
            <w:r>
              <w:rPr>
                <w:rFonts w:hint="eastAsia" w:ascii="宋体" w:hAnsi="宋体"/>
                <w:color w:val="auto"/>
                <w:sz w:val="24"/>
                <w:highlight w:val="none"/>
              </w:rPr>
              <w:t xml:space="preserve">                 年   月   日 </w:t>
            </w:r>
          </w:p>
        </w:tc>
        <w:tc>
          <w:tcPr>
            <w:tcW w:w="4860" w:type="dxa"/>
            <w:tcBorders>
              <w:top w:val="single" w:color="auto" w:sz="4" w:space="0"/>
              <w:left w:val="single" w:color="auto" w:sz="4" w:space="0"/>
              <w:bottom w:val="single" w:color="auto" w:sz="4" w:space="0"/>
              <w:right w:val="single" w:color="auto" w:sz="4" w:space="0"/>
            </w:tcBorders>
            <w:vAlign w:val="center"/>
          </w:tcPr>
          <w:p w14:paraId="52ECE818">
            <w:pPr>
              <w:snapToGrid w:val="0"/>
              <w:ind w:firstLine="482"/>
              <w:rPr>
                <w:rFonts w:ascii="宋体" w:hAnsi="宋体"/>
                <w:color w:val="auto"/>
                <w:sz w:val="24"/>
                <w:highlight w:val="none"/>
              </w:rPr>
            </w:pPr>
            <w:r>
              <w:rPr>
                <w:rFonts w:hint="eastAsia" w:ascii="宋体" w:hAnsi="宋体"/>
                <w:color w:val="auto"/>
                <w:sz w:val="24"/>
                <w:highlight w:val="none"/>
              </w:rPr>
              <w:t>乙方（章）</w:t>
            </w:r>
          </w:p>
          <w:p w14:paraId="4DC16D53">
            <w:pPr>
              <w:snapToGrid w:val="0"/>
              <w:ind w:firstLine="482"/>
              <w:rPr>
                <w:rFonts w:ascii="宋体" w:hAnsi="宋体"/>
                <w:color w:val="auto"/>
                <w:sz w:val="24"/>
                <w:highlight w:val="none"/>
              </w:rPr>
            </w:pPr>
          </w:p>
          <w:p w14:paraId="57AD6302">
            <w:pPr>
              <w:snapToGrid w:val="0"/>
              <w:ind w:firstLine="482"/>
              <w:rPr>
                <w:rFonts w:ascii="宋体" w:hAnsi="宋体"/>
                <w:color w:val="auto"/>
                <w:sz w:val="24"/>
                <w:highlight w:val="none"/>
              </w:rPr>
            </w:pPr>
          </w:p>
          <w:p w14:paraId="2651CDF7">
            <w:pPr>
              <w:snapToGrid w:val="0"/>
              <w:ind w:firstLine="482"/>
              <w:rPr>
                <w:rFonts w:ascii="宋体" w:hAnsi="宋体"/>
                <w:color w:val="auto"/>
                <w:sz w:val="24"/>
                <w:highlight w:val="none"/>
              </w:rPr>
            </w:pPr>
          </w:p>
          <w:p w14:paraId="1E097112">
            <w:pPr>
              <w:snapToGrid w:val="0"/>
              <w:ind w:firstLine="482"/>
              <w:rPr>
                <w:rFonts w:ascii="宋体" w:hAnsi="宋体"/>
                <w:color w:val="auto"/>
                <w:sz w:val="24"/>
                <w:highlight w:val="none"/>
              </w:rPr>
            </w:pPr>
          </w:p>
          <w:p w14:paraId="51DBBE03">
            <w:pPr>
              <w:snapToGrid w:val="0"/>
              <w:ind w:firstLine="482"/>
              <w:rPr>
                <w:rFonts w:ascii="宋体" w:hAnsi="宋体"/>
                <w:color w:val="auto"/>
                <w:sz w:val="24"/>
                <w:highlight w:val="none"/>
              </w:rPr>
            </w:pPr>
          </w:p>
          <w:p w14:paraId="35767689">
            <w:pPr>
              <w:snapToGrid w:val="0"/>
              <w:ind w:firstLine="482"/>
              <w:rPr>
                <w:rFonts w:ascii="宋体" w:hAnsi="宋体"/>
                <w:color w:val="auto"/>
                <w:sz w:val="24"/>
                <w:highlight w:val="none"/>
              </w:rPr>
            </w:pPr>
            <w:r>
              <w:rPr>
                <w:rFonts w:hint="eastAsia" w:ascii="宋体" w:hAnsi="宋体"/>
                <w:color w:val="auto"/>
                <w:sz w:val="24"/>
                <w:highlight w:val="none"/>
              </w:rPr>
              <w:t xml:space="preserve">                年   月   日</w:t>
            </w:r>
          </w:p>
        </w:tc>
      </w:tr>
    </w:tbl>
    <w:p w14:paraId="0F5A0319">
      <w:pPr>
        <w:snapToGrid w:val="0"/>
        <w:rPr>
          <w:rFonts w:ascii="宋体" w:hAnsi="宋体"/>
          <w:color w:val="auto"/>
          <w:sz w:val="24"/>
          <w:highlight w:val="none"/>
        </w:rPr>
      </w:pPr>
      <w:r>
        <w:rPr>
          <w:rFonts w:hint="eastAsia" w:ascii="宋体" w:hAnsi="宋体"/>
          <w:color w:val="auto"/>
          <w:sz w:val="24"/>
          <w:highlight w:val="none"/>
        </w:rPr>
        <w:t xml:space="preserve">  注：售后服务事项填不下时可另加附页</w:t>
      </w:r>
    </w:p>
    <w:p w14:paraId="6C7CC117">
      <w:pPr>
        <w:snapToGrid w:val="0"/>
        <w:jc w:val="center"/>
        <w:rPr>
          <w:rFonts w:ascii="宋体" w:hAnsi="宋体"/>
          <w:bCs/>
          <w:color w:val="auto"/>
          <w:sz w:val="32"/>
          <w:szCs w:val="32"/>
          <w:highlight w:val="none"/>
        </w:rPr>
      </w:pPr>
      <w:r>
        <w:rPr>
          <w:rFonts w:ascii="宋体" w:hAnsi="宋体"/>
          <w:b/>
          <w:color w:val="auto"/>
          <w:sz w:val="32"/>
          <w:szCs w:val="32"/>
          <w:highlight w:val="none"/>
        </w:rPr>
        <w:br w:type="page"/>
      </w:r>
    </w:p>
    <w:bookmarkEnd w:id="148"/>
    <w:p w14:paraId="6E22DDEA">
      <w:pPr>
        <w:snapToGrid w:val="0"/>
        <w:spacing w:line="480" w:lineRule="auto"/>
        <w:rPr>
          <w:rFonts w:ascii="宋体" w:hAnsi="宋体"/>
          <w:bCs/>
          <w:color w:val="auto"/>
          <w:sz w:val="32"/>
          <w:szCs w:val="32"/>
          <w:highlight w:val="none"/>
        </w:rPr>
      </w:pPr>
    </w:p>
    <w:p w14:paraId="51CA81E3">
      <w:pPr>
        <w:snapToGrid w:val="0"/>
        <w:jc w:val="center"/>
        <w:rPr>
          <w:rFonts w:ascii="宋体" w:hAnsi="宋体"/>
          <w:bCs/>
          <w:color w:val="auto"/>
          <w:sz w:val="32"/>
          <w:szCs w:val="32"/>
          <w:highlight w:val="none"/>
        </w:rPr>
      </w:pPr>
    </w:p>
    <w:p w14:paraId="65371879">
      <w:pPr>
        <w:snapToGrid w:val="0"/>
        <w:jc w:val="center"/>
        <w:rPr>
          <w:rFonts w:ascii="宋体" w:hAnsi="宋体"/>
          <w:bCs/>
          <w:color w:val="auto"/>
          <w:sz w:val="32"/>
          <w:szCs w:val="32"/>
          <w:highlight w:val="none"/>
        </w:rPr>
      </w:pPr>
    </w:p>
    <w:p w14:paraId="53D61061">
      <w:pPr>
        <w:snapToGrid w:val="0"/>
        <w:jc w:val="center"/>
        <w:rPr>
          <w:rFonts w:ascii="宋体" w:hAnsi="宋体"/>
          <w:bCs/>
          <w:color w:val="auto"/>
          <w:sz w:val="32"/>
          <w:szCs w:val="32"/>
          <w:highlight w:val="none"/>
        </w:rPr>
      </w:pPr>
    </w:p>
    <w:p w14:paraId="65F989A2">
      <w:pPr>
        <w:snapToGrid w:val="0"/>
        <w:jc w:val="center"/>
        <w:rPr>
          <w:rFonts w:ascii="宋体" w:hAnsi="宋体"/>
          <w:bCs/>
          <w:color w:val="auto"/>
          <w:sz w:val="32"/>
          <w:szCs w:val="32"/>
          <w:highlight w:val="none"/>
        </w:rPr>
      </w:pPr>
    </w:p>
    <w:p w14:paraId="1CBB4588">
      <w:pPr>
        <w:snapToGrid w:val="0"/>
        <w:jc w:val="center"/>
        <w:rPr>
          <w:rFonts w:ascii="宋体" w:hAnsi="宋体"/>
          <w:bCs/>
          <w:color w:val="auto"/>
          <w:sz w:val="32"/>
          <w:szCs w:val="32"/>
          <w:highlight w:val="none"/>
        </w:rPr>
      </w:pPr>
    </w:p>
    <w:p w14:paraId="230F0672">
      <w:pPr>
        <w:snapToGrid w:val="0"/>
        <w:jc w:val="center"/>
        <w:rPr>
          <w:rFonts w:ascii="宋体" w:hAnsi="宋体"/>
          <w:bCs/>
          <w:color w:val="auto"/>
          <w:sz w:val="32"/>
          <w:szCs w:val="32"/>
          <w:highlight w:val="none"/>
        </w:rPr>
      </w:pPr>
    </w:p>
    <w:p w14:paraId="3F66F5A2">
      <w:pPr>
        <w:snapToGrid w:val="0"/>
        <w:jc w:val="center"/>
        <w:rPr>
          <w:rFonts w:ascii="宋体" w:hAnsi="宋体"/>
          <w:bCs/>
          <w:color w:val="auto"/>
          <w:sz w:val="32"/>
          <w:szCs w:val="32"/>
          <w:highlight w:val="none"/>
        </w:rPr>
      </w:pPr>
    </w:p>
    <w:p w14:paraId="3B2B070E">
      <w:pPr>
        <w:snapToGrid w:val="0"/>
        <w:jc w:val="center"/>
        <w:rPr>
          <w:rFonts w:ascii="宋体" w:hAnsi="宋体"/>
          <w:bCs/>
          <w:color w:val="auto"/>
          <w:sz w:val="32"/>
          <w:szCs w:val="32"/>
          <w:highlight w:val="none"/>
        </w:rPr>
      </w:pPr>
    </w:p>
    <w:p w14:paraId="2522DB03">
      <w:pPr>
        <w:snapToGrid w:val="0"/>
        <w:jc w:val="center"/>
        <w:rPr>
          <w:rFonts w:ascii="宋体" w:hAnsi="宋体"/>
          <w:bCs/>
          <w:color w:val="auto"/>
          <w:sz w:val="32"/>
          <w:szCs w:val="32"/>
          <w:highlight w:val="none"/>
        </w:rPr>
      </w:pPr>
    </w:p>
    <w:p w14:paraId="1A0546F1">
      <w:pPr>
        <w:snapToGrid w:val="0"/>
        <w:jc w:val="center"/>
        <w:rPr>
          <w:rFonts w:ascii="宋体" w:hAnsi="宋体"/>
          <w:bCs/>
          <w:color w:val="auto"/>
          <w:sz w:val="32"/>
          <w:szCs w:val="32"/>
          <w:highlight w:val="none"/>
        </w:rPr>
      </w:pPr>
    </w:p>
    <w:p w14:paraId="44D1B9A2">
      <w:pPr>
        <w:snapToGrid w:val="0"/>
        <w:jc w:val="center"/>
        <w:rPr>
          <w:rFonts w:ascii="宋体" w:hAnsi="宋体"/>
          <w:bCs/>
          <w:color w:val="auto"/>
          <w:sz w:val="32"/>
          <w:szCs w:val="32"/>
          <w:highlight w:val="none"/>
        </w:rPr>
      </w:pPr>
    </w:p>
    <w:p w14:paraId="5DD8E279">
      <w:pPr>
        <w:pStyle w:val="2"/>
        <w:jc w:val="center"/>
        <w:rPr>
          <w:rFonts w:ascii="宋体" w:hAnsi="宋体" w:eastAsia="宋体"/>
          <w:color w:val="auto"/>
          <w:highlight w:val="none"/>
        </w:rPr>
      </w:pPr>
      <w:bookmarkStart w:id="150" w:name="_Toc18213"/>
      <w:r>
        <w:rPr>
          <w:rFonts w:hint="eastAsia" w:ascii="宋体" w:hAnsi="宋体" w:eastAsia="宋体"/>
          <w:color w:val="auto"/>
          <w:highlight w:val="none"/>
        </w:rPr>
        <w:t>第六章　投标文件格式</w:t>
      </w:r>
      <w:bookmarkEnd w:id="150"/>
    </w:p>
    <w:p w14:paraId="16824EEF">
      <w:pPr>
        <w:snapToGrid w:val="0"/>
        <w:spacing w:before="50" w:after="50"/>
        <w:outlineLvl w:val="1"/>
        <w:rPr>
          <w:rFonts w:ascii="宋体" w:hAnsi="宋体"/>
          <w:color w:val="auto"/>
          <w:sz w:val="32"/>
          <w:szCs w:val="20"/>
          <w:highlight w:val="none"/>
        </w:rPr>
      </w:pPr>
    </w:p>
    <w:p w14:paraId="1F08C190">
      <w:pPr>
        <w:snapToGrid w:val="0"/>
        <w:spacing w:before="50" w:after="50"/>
        <w:outlineLvl w:val="1"/>
        <w:rPr>
          <w:rFonts w:ascii="宋体" w:hAnsi="宋体"/>
          <w:color w:val="auto"/>
          <w:sz w:val="32"/>
          <w:szCs w:val="20"/>
          <w:highlight w:val="none"/>
        </w:rPr>
      </w:pPr>
    </w:p>
    <w:p w14:paraId="7C033A09">
      <w:pPr>
        <w:snapToGrid w:val="0"/>
        <w:spacing w:before="50" w:after="50"/>
        <w:outlineLvl w:val="1"/>
        <w:rPr>
          <w:rFonts w:ascii="宋体" w:hAnsi="宋体"/>
          <w:color w:val="auto"/>
          <w:sz w:val="32"/>
          <w:szCs w:val="20"/>
          <w:highlight w:val="none"/>
        </w:rPr>
      </w:pPr>
    </w:p>
    <w:p w14:paraId="1F12F775">
      <w:pPr>
        <w:snapToGrid w:val="0"/>
        <w:spacing w:before="50" w:after="50"/>
        <w:outlineLvl w:val="1"/>
        <w:rPr>
          <w:rFonts w:ascii="宋体" w:hAnsi="宋体"/>
          <w:color w:val="auto"/>
          <w:sz w:val="32"/>
          <w:szCs w:val="20"/>
          <w:highlight w:val="none"/>
        </w:rPr>
      </w:pPr>
    </w:p>
    <w:p w14:paraId="7A9B6963">
      <w:pPr>
        <w:snapToGrid w:val="0"/>
        <w:spacing w:before="50" w:after="50"/>
        <w:outlineLvl w:val="1"/>
        <w:rPr>
          <w:rFonts w:ascii="宋体" w:hAnsi="宋体"/>
          <w:color w:val="auto"/>
          <w:sz w:val="32"/>
          <w:szCs w:val="20"/>
          <w:highlight w:val="none"/>
        </w:rPr>
      </w:pPr>
    </w:p>
    <w:p w14:paraId="647D7BB4">
      <w:pPr>
        <w:snapToGrid w:val="0"/>
        <w:spacing w:before="50" w:after="50"/>
        <w:outlineLvl w:val="1"/>
        <w:rPr>
          <w:rFonts w:ascii="宋体" w:hAnsi="宋体"/>
          <w:color w:val="auto"/>
          <w:sz w:val="32"/>
          <w:szCs w:val="20"/>
          <w:highlight w:val="none"/>
        </w:rPr>
      </w:pPr>
    </w:p>
    <w:p w14:paraId="714DF8CB">
      <w:pPr>
        <w:snapToGrid w:val="0"/>
        <w:spacing w:before="50" w:after="50"/>
        <w:outlineLvl w:val="1"/>
        <w:rPr>
          <w:rFonts w:ascii="宋体" w:hAnsi="宋体"/>
          <w:color w:val="auto"/>
          <w:sz w:val="32"/>
          <w:szCs w:val="20"/>
          <w:highlight w:val="none"/>
        </w:rPr>
      </w:pPr>
    </w:p>
    <w:p w14:paraId="61CDF6CA">
      <w:pPr>
        <w:snapToGrid w:val="0"/>
        <w:spacing w:before="50" w:after="50"/>
        <w:outlineLvl w:val="1"/>
        <w:rPr>
          <w:rFonts w:ascii="宋体" w:hAnsi="宋体"/>
          <w:color w:val="auto"/>
          <w:sz w:val="32"/>
          <w:szCs w:val="20"/>
          <w:highlight w:val="none"/>
        </w:rPr>
      </w:pPr>
    </w:p>
    <w:p w14:paraId="365ED802">
      <w:pPr>
        <w:snapToGrid w:val="0"/>
        <w:spacing w:before="50" w:after="50"/>
        <w:outlineLvl w:val="1"/>
        <w:rPr>
          <w:rFonts w:ascii="宋体" w:hAnsi="宋体"/>
          <w:color w:val="auto"/>
          <w:sz w:val="32"/>
          <w:szCs w:val="20"/>
          <w:highlight w:val="none"/>
        </w:rPr>
      </w:pPr>
    </w:p>
    <w:p w14:paraId="4E1567E9">
      <w:pPr>
        <w:snapToGrid w:val="0"/>
        <w:spacing w:before="50" w:after="50"/>
        <w:outlineLvl w:val="1"/>
        <w:rPr>
          <w:rFonts w:ascii="宋体" w:hAnsi="宋体"/>
          <w:color w:val="auto"/>
          <w:sz w:val="32"/>
          <w:szCs w:val="20"/>
          <w:highlight w:val="none"/>
        </w:rPr>
      </w:pPr>
    </w:p>
    <w:p w14:paraId="3C8EC676">
      <w:pPr>
        <w:snapToGrid w:val="0"/>
        <w:spacing w:before="50" w:after="50"/>
        <w:outlineLvl w:val="1"/>
        <w:rPr>
          <w:rFonts w:ascii="宋体" w:hAnsi="宋体"/>
          <w:color w:val="auto"/>
          <w:sz w:val="32"/>
          <w:szCs w:val="20"/>
          <w:highlight w:val="none"/>
        </w:rPr>
      </w:pPr>
    </w:p>
    <w:p w14:paraId="61AFEF23">
      <w:pPr>
        <w:snapToGrid w:val="0"/>
        <w:spacing w:beforeLines="50" w:after="50"/>
        <w:jc w:val="center"/>
        <w:outlineLvl w:val="1"/>
        <w:rPr>
          <w:rFonts w:ascii="宋体" w:hAnsi="宋体"/>
          <w:color w:val="auto"/>
          <w:highlight w:val="none"/>
        </w:rPr>
      </w:pPr>
    </w:p>
    <w:p w14:paraId="35FB0980">
      <w:pPr>
        <w:rPr>
          <w:rFonts w:ascii="宋体" w:hAnsi="宋体"/>
          <w:b/>
          <w:color w:val="auto"/>
          <w:sz w:val="28"/>
          <w:szCs w:val="28"/>
          <w:highlight w:val="none"/>
        </w:rPr>
      </w:pPr>
      <w:bookmarkStart w:id="151" w:name="_Toc19686836"/>
      <w:bookmarkStart w:id="152" w:name="_Toc254970557"/>
      <w:bookmarkStart w:id="153" w:name="_Toc254970698"/>
      <w:r>
        <w:rPr>
          <w:rFonts w:ascii="宋体" w:hAnsi="宋体"/>
          <w:b/>
          <w:color w:val="auto"/>
          <w:sz w:val="28"/>
          <w:szCs w:val="28"/>
          <w:highlight w:val="none"/>
        </w:rPr>
        <w:br w:type="page"/>
      </w:r>
      <w:r>
        <w:rPr>
          <w:rFonts w:hint="eastAsia" w:ascii="宋体" w:hAnsi="宋体"/>
          <w:b/>
          <w:color w:val="auto"/>
          <w:sz w:val="28"/>
          <w:szCs w:val="28"/>
          <w:highlight w:val="none"/>
        </w:rPr>
        <w:t>一、报价文件格式</w:t>
      </w:r>
      <w:bookmarkEnd w:id="151"/>
    </w:p>
    <w:p w14:paraId="764828BC">
      <w:pPr>
        <w:snapToGrid w:val="0"/>
        <w:spacing w:beforeLines="50" w:after="50" w:line="360" w:lineRule="auto"/>
        <w:ind w:left="142"/>
        <w:jc w:val="left"/>
        <w:rPr>
          <w:rFonts w:ascii="宋体" w:hAnsi="宋体"/>
          <w:color w:val="auto"/>
          <w:sz w:val="24"/>
          <w:szCs w:val="20"/>
          <w:highlight w:val="none"/>
        </w:rPr>
      </w:pPr>
      <w:r>
        <w:rPr>
          <w:rFonts w:hint="eastAsia" w:ascii="宋体" w:hAnsi="宋体"/>
          <w:b/>
          <w:color w:val="auto"/>
          <w:sz w:val="24"/>
          <w:highlight w:val="none"/>
        </w:rPr>
        <w:t xml:space="preserve">1. 报价文件封面格式： </w:t>
      </w:r>
    </w:p>
    <w:p w14:paraId="129A04E8">
      <w:pPr>
        <w:snapToGrid w:val="0"/>
        <w:spacing w:beforeLines="50" w:after="50" w:line="400" w:lineRule="exact"/>
        <w:rPr>
          <w:rFonts w:ascii="宋体" w:hAnsi="宋体"/>
          <w:bCs/>
          <w:color w:val="auto"/>
          <w:sz w:val="32"/>
          <w:szCs w:val="20"/>
          <w:highlight w:val="none"/>
        </w:rPr>
      </w:pPr>
    </w:p>
    <w:p w14:paraId="30592101">
      <w:pPr>
        <w:snapToGrid w:val="0"/>
        <w:spacing w:beforeLines="50" w:after="50" w:line="400" w:lineRule="exact"/>
        <w:jc w:val="center"/>
        <w:rPr>
          <w:rFonts w:ascii="宋体" w:hAnsi="宋体"/>
          <w:bCs/>
          <w:color w:val="auto"/>
          <w:sz w:val="24"/>
          <w:szCs w:val="20"/>
          <w:highlight w:val="none"/>
        </w:rPr>
      </w:pPr>
    </w:p>
    <w:p w14:paraId="4FAC9434">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2570DB23">
      <w:pPr>
        <w:snapToGrid w:val="0"/>
        <w:spacing w:beforeLines="50" w:after="50" w:line="400" w:lineRule="exact"/>
        <w:jc w:val="center"/>
        <w:rPr>
          <w:rFonts w:ascii="宋体" w:hAnsi="宋体"/>
          <w:bCs/>
          <w:color w:val="auto"/>
          <w:sz w:val="32"/>
          <w:szCs w:val="32"/>
          <w:highlight w:val="none"/>
        </w:rPr>
      </w:pPr>
    </w:p>
    <w:p w14:paraId="0F14EB41">
      <w:pPr>
        <w:snapToGrid w:val="0"/>
        <w:spacing w:beforeLines="50" w:after="50" w:line="400" w:lineRule="exact"/>
        <w:jc w:val="center"/>
        <w:rPr>
          <w:rFonts w:ascii="宋体" w:hAnsi="宋体" w:cs="方正小标宋简体"/>
          <w:color w:val="auto"/>
          <w:sz w:val="32"/>
          <w:szCs w:val="32"/>
          <w:highlight w:val="none"/>
        </w:rPr>
      </w:pPr>
      <w:r>
        <w:rPr>
          <w:rFonts w:hint="eastAsia" w:ascii="宋体" w:hAnsi="宋体" w:cs="方正小标宋简体"/>
          <w:color w:val="auto"/>
          <w:sz w:val="32"/>
          <w:szCs w:val="32"/>
          <w:highlight w:val="none"/>
        </w:rPr>
        <w:t>报  价  文  件</w:t>
      </w:r>
    </w:p>
    <w:p w14:paraId="16D3CA38">
      <w:pPr>
        <w:snapToGrid w:val="0"/>
        <w:spacing w:beforeLines="50" w:after="50" w:line="400" w:lineRule="exact"/>
        <w:rPr>
          <w:rFonts w:ascii="宋体" w:hAnsi="宋体"/>
          <w:bCs/>
          <w:color w:val="auto"/>
          <w:sz w:val="24"/>
          <w:szCs w:val="20"/>
          <w:highlight w:val="none"/>
        </w:rPr>
      </w:pPr>
    </w:p>
    <w:p w14:paraId="70E626F8">
      <w:pPr>
        <w:snapToGrid w:val="0"/>
        <w:spacing w:beforeLines="50" w:after="50" w:line="400" w:lineRule="exact"/>
        <w:rPr>
          <w:rFonts w:ascii="宋体" w:hAnsi="宋体"/>
          <w:bCs/>
          <w:color w:val="auto"/>
          <w:sz w:val="24"/>
          <w:szCs w:val="20"/>
          <w:highlight w:val="none"/>
        </w:rPr>
      </w:pPr>
    </w:p>
    <w:p w14:paraId="729F1B86">
      <w:pPr>
        <w:snapToGrid w:val="0"/>
        <w:spacing w:beforeLines="50" w:after="50" w:line="400" w:lineRule="exact"/>
        <w:rPr>
          <w:rFonts w:ascii="宋体" w:hAnsi="宋体"/>
          <w:bCs/>
          <w:color w:val="auto"/>
          <w:sz w:val="24"/>
          <w:szCs w:val="20"/>
          <w:highlight w:val="none"/>
        </w:rPr>
      </w:pPr>
    </w:p>
    <w:p w14:paraId="24F9F79D">
      <w:pPr>
        <w:snapToGrid w:val="0"/>
        <w:spacing w:beforeLines="50" w:after="50" w:line="400" w:lineRule="exact"/>
        <w:rPr>
          <w:rFonts w:ascii="宋体" w:hAnsi="宋体"/>
          <w:bCs/>
          <w:color w:val="auto"/>
          <w:sz w:val="24"/>
          <w:szCs w:val="20"/>
          <w:highlight w:val="none"/>
        </w:rPr>
      </w:pPr>
    </w:p>
    <w:p w14:paraId="0D87DCEC">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5118D487">
      <w:pPr>
        <w:snapToGrid w:val="0"/>
        <w:spacing w:beforeLines="50" w:after="50" w:line="400" w:lineRule="exact"/>
        <w:ind w:firstLine="360" w:firstLineChars="150"/>
        <w:rPr>
          <w:rFonts w:ascii="宋体" w:hAnsi="宋体"/>
          <w:bCs/>
          <w:color w:val="auto"/>
          <w:sz w:val="24"/>
          <w:highlight w:val="none"/>
        </w:rPr>
      </w:pPr>
    </w:p>
    <w:p w14:paraId="130651BE">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1A71FAD5">
      <w:pPr>
        <w:snapToGrid w:val="0"/>
        <w:spacing w:beforeLines="50" w:after="50" w:line="400" w:lineRule="exact"/>
        <w:ind w:firstLine="360" w:firstLineChars="150"/>
        <w:rPr>
          <w:rFonts w:ascii="宋体" w:hAnsi="宋体"/>
          <w:bCs/>
          <w:color w:val="auto"/>
          <w:sz w:val="24"/>
          <w:highlight w:val="none"/>
        </w:rPr>
      </w:pPr>
    </w:p>
    <w:p w14:paraId="60E175F2">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419CC932">
      <w:pPr>
        <w:snapToGrid w:val="0"/>
        <w:spacing w:beforeLines="50" w:after="50" w:line="400" w:lineRule="exact"/>
        <w:ind w:firstLine="360" w:firstLineChars="150"/>
        <w:rPr>
          <w:rFonts w:ascii="宋体" w:hAnsi="宋体"/>
          <w:bCs/>
          <w:color w:val="auto"/>
          <w:sz w:val="24"/>
          <w:highlight w:val="none"/>
        </w:rPr>
      </w:pPr>
    </w:p>
    <w:p w14:paraId="05E52CDB">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18997971">
      <w:pPr>
        <w:snapToGrid w:val="0"/>
        <w:spacing w:beforeLines="50" w:after="50" w:line="400" w:lineRule="exact"/>
        <w:ind w:firstLine="360" w:firstLineChars="150"/>
        <w:rPr>
          <w:rFonts w:ascii="宋体" w:hAnsi="宋体"/>
          <w:bCs/>
          <w:color w:val="auto"/>
          <w:sz w:val="24"/>
          <w:highlight w:val="none"/>
        </w:rPr>
      </w:pPr>
    </w:p>
    <w:p w14:paraId="080CA565">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7A230646">
      <w:pPr>
        <w:pStyle w:val="14"/>
        <w:snapToGrid w:val="0"/>
        <w:spacing w:before="50" w:after="50" w:line="400" w:lineRule="exact"/>
        <w:ind w:firstLine="960" w:firstLineChars="400"/>
        <w:rPr>
          <w:rFonts w:ascii="宋体" w:hAnsi="宋体"/>
          <w:bCs/>
          <w:color w:val="auto"/>
          <w:sz w:val="24"/>
          <w:szCs w:val="24"/>
          <w:highlight w:val="none"/>
        </w:rPr>
      </w:pPr>
    </w:p>
    <w:p w14:paraId="60AC158A">
      <w:pPr>
        <w:snapToGrid w:val="0"/>
        <w:spacing w:beforeLines="50" w:after="50" w:line="400" w:lineRule="exact"/>
        <w:rPr>
          <w:rFonts w:ascii="宋体" w:hAnsi="宋体"/>
          <w:color w:val="auto"/>
          <w:sz w:val="30"/>
          <w:szCs w:val="20"/>
          <w:highlight w:val="none"/>
        </w:rPr>
      </w:pPr>
      <w:r>
        <w:rPr>
          <w:rFonts w:hint="eastAsia" w:ascii="宋体" w:hAnsi="宋体"/>
          <w:color w:val="auto"/>
          <w:sz w:val="24"/>
          <w:highlight w:val="none"/>
        </w:rPr>
        <w:t xml:space="preserve">                                   年  月  日</w:t>
      </w:r>
    </w:p>
    <w:p w14:paraId="2D0A0E14">
      <w:pPr>
        <w:snapToGrid w:val="0"/>
        <w:spacing w:beforeLines="50" w:after="50" w:line="360" w:lineRule="auto"/>
        <w:jc w:val="left"/>
        <w:rPr>
          <w:rFonts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17E2AF6B">
      <w:pPr>
        <w:snapToGrid w:val="0"/>
        <w:spacing w:before="5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714E2D25">
      <w:pPr>
        <w:snapToGrid w:val="0"/>
        <w:spacing w:beforeLines="50" w:after="50"/>
        <w:rPr>
          <w:rFonts w:ascii="宋体" w:hAnsi="宋体"/>
          <w:b/>
          <w:color w:val="auto"/>
          <w:sz w:val="24"/>
          <w:highlight w:val="none"/>
        </w:rPr>
      </w:pPr>
    </w:p>
    <w:p w14:paraId="3BF51D45">
      <w:pPr>
        <w:snapToGrid w:val="0"/>
        <w:spacing w:beforeLines="50" w:after="50"/>
        <w:rPr>
          <w:rFonts w:ascii="宋体" w:hAnsi="宋体"/>
          <w:b/>
          <w:color w:val="auto"/>
          <w:sz w:val="24"/>
          <w:highlight w:val="none"/>
        </w:rPr>
      </w:pPr>
    </w:p>
    <w:p w14:paraId="780D3520">
      <w:pPr>
        <w:snapToGrid w:val="0"/>
        <w:spacing w:beforeLines="50" w:after="50"/>
        <w:rPr>
          <w:rFonts w:ascii="宋体" w:hAnsi="宋体"/>
          <w:b/>
          <w:color w:val="auto"/>
          <w:sz w:val="24"/>
          <w:highlight w:val="none"/>
        </w:rPr>
      </w:pPr>
    </w:p>
    <w:p w14:paraId="2FE16FE0">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048BFEC9">
      <w:pPr>
        <w:snapToGrid w:val="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 标 函</w:t>
      </w:r>
    </w:p>
    <w:p w14:paraId="783CE605">
      <w:pPr>
        <w:spacing w:line="440" w:lineRule="exact"/>
        <w:contextualSpacing/>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p>
    <w:p w14:paraId="7863DC59">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（项目编号：）的招标公告，签字代表______（姓名）经正式授权并代表投标人（投标人名称）提交投标文件。</w:t>
      </w:r>
    </w:p>
    <w:p w14:paraId="7BA3DDE4">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据此函，我方宣布同意如下：</w:t>
      </w:r>
    </w:p>
    <w:p w14:paraId="2B016914">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62C7C016">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5CDE3FFB">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3.本投标有效期自投标截止之日起日。</w:t>
      </w:r>
    </w:p>
    <w:p w14:paraId="04A30F56">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064D62AD">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1F31E800">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7303B6E8">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3744A160">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C937010">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5FCEA03E">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p>
    <w:p w14:paraId="68B3EAE5">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9.与本投标有关的一切正式往来信函请寄：</w:t>
      </w:r>
    </w:p>
    <w:p w14:paraId="07BF8A09">
      <w:pPr>
        <w:spacing w:line="440" w:lineRule="exact"/>
        <w:ind w:firstLine="480" w:firstLineChars="200"/>
        <w:contextualSpacing/>
        <w:rPr>
          <w:rFonts w:ascii="宋体" w:hAnsi="宋体"/>
          <w:color w:val="auto"/>
          <w:sz w:val="24"/>
          <w:highlight w:val="none"/>
          <w:u w:val="single"/>
        </w:rPr>
      </w:pPr>
      <w:r>
        <w:rPr>
          <w:rFonts w:hint="eastAsia" w:ascii="宋体" w:hAnsi="宋体"/>
          <w:color w:val="auto"/>
          <w:sz w:val="24"/>
          <w:highlight w:val="none"/>
        </w:rPr>
        <w:t>地址：邮编：</w:t>
      </w:r>
    </w:p>
    <w:p w14:paraId="4736E02C">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电话：传真：</w:t>
      </w:r>
    </w:p>
    <w:p w14:paraId="262B5B0C">
      <w:pPr>
        <w:spacing w:line="440" w:lineRule="exact"/>
        <w:ind w:firstLine="480" w:firstLineChars="200"/>
        <w:contextualSpacing/>
        <w:rPr>
          <w:rFonts w:ascii="宋体" w:hAnsi="宋体"/>
          <w:color w:val="auto"/>
          <w:sz w:val="24"/>
          <w:highlight w:val="none"/>
        </w:rPr>
      </w:pPr>
      <w:r>
        <w:rPr>
          <w:rFonts w:hint="eastAsia" w:ascii="宋体" w:hAnsi="宋体"/>
          <w:color w:val="auto"/>
          <w:sz w:val="24"/>
          <w:highlight w:val="none"/>
        </w:rPr>
        <w:t>投标人名称:</w:t>
      </w:r>
    </w:p>
    <w:p w14:paraId="36DB4438">
      <w:pPr>
        <w:spacing w:line="44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开户银行：   银行帐号：</w:t>
      </w:r>
    </w:p>
    <w:p w14:paraId="2DCA9D9C">
      <w:pPr>
        <w:spacing w:line="44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 xml:space="preserve">法定代表人或者委托代理人签字:___________ </w:t>
      </w:r>
    </w:p>
    <w:p w14:paraId="521D3442">
      <w:pPr>
        <w:pStyle w:val="25"/>
        <w:spacing w:line="440" w:lineRule="exact"/>
        <w:contextualSpacing/>
        <w:jc w:val="center"/>
        <w:rPr>
          <w:rFonts w:hAnsi="宋体"/>
          <w:color w:val="auto"/>
          <w:sz w:val="24"/>
          <w:szCs w:val="24"/>
          <w:highlight w:val="none"/>
          <w:u w:val="single"/>
        </w:rPr>
      </w:pPr>
      <w:r>
        <w:rPr>
          <w:rFonts w:hint="eastAsia" w:hAnsi="宋体"/>
          <w:color w:val="auto"/>
          <w:sz w:val="24"/>
          <w:highlight w:val="none"/>
        </w:rPr>
        <w:t>投标人（盖公章）：</w:t>
      </w:r>
    </w:p>
    <w:p w14:paraId="2011AA1C">
      <w:pPr>
        <w:pStyle w:val="25"/>
        <w:spacing w:line="440" w:lineRule="exact"/>
        <w:contextualSpacing/>
        <w:rPr>
          <w:rFonts w:hAnsi="宋体"/>
          <w:color w:val="auto"/>
          <w:sz w:val="24"/>
          <w:highlight w:val="none"/>
        </w:rPr>
      </w:pPr>
      <w:r>
        <w:rPr>
          <w:rFonts w:hint="eastAsia" w:hAnsi="宋体"/>
          <w:color w:val="auto"/>
          <w:sz w:val="24"/>
          <w:szCs w:val="24"/>
          <w:highlight w:val="none"/>
        </w:rPr>
        <w:t>年月日</w:t>
      </w:r>
    </w:p>
    <w:p w14:paraId="4782A7EA">
      <w:pPr>
        <w:snapToGrid w:val="0"/>
        <w:spacing w:beforeLines="50" w:after="50" w:line="440" w:lineRule="exact"/>
        <w:jc w:val="left"/>
        <w:rPr>
          <w:rFonts w:ascii="宋体" w:hAnsi="宋体"/>
          <w:b/>
          <w:color w:val="auto"/>
          <w:sz w:val="24"/>
          <w:szCs w:val="20"/>
          <w:highlight w:val="none"/>
        </w:rPr>
      </w:pPr>
      <w:r>
        <w:rPr>
          <w:rFonts w:ascii="宋体" w:hAnsi="宋体"/>
          <w:color w:val="auto"/>
          <w:highlight w:val="none"/>
          <w:u w:val="single"/>
        </w:rPr>
        <w:br w:type="page"/>
      </w:r>
      <w:r>
        <w:rPr>
          <w:rFonts w:hint="eastAsia" w:ascii="宋体" w:hAnsi="宋体"/>
          <w:b/>
          <w:color w:val="auto"/>
          <w:sz w:val="24"/>
          <w:highlight w:val="none"/>
        </w:rPr>
        <w:t>4. 开标一览表</w:t>
      </w:r>
    </w:p>
    <w:p w14:paraId="04104B5B">
      <w:pPr>
        <w:snapToGrid w:val="0"/>
        <w:spacing w:before="50" w:after="50"/>
        <w:jc w:val="center"/>
        <w:rPr>
          <w:rFonts w:ascii="宋体" w:hAnsi="宋体"/>
          <w:b/>
          <w:color w:val="auto"/>
          <w:sz w:val="30"/>
          <w:highlight w:val="none"/>
        </w:rPr>
      </w:pPr>
      <w:r>
        <w:rPr>
          <w:rFonts w:hint="eastAsia" w:ascii="宋体" w:hAnsi="宋体"/>
          <w:b/>
          <w:color w:val="auto"/>
          <w:sz w:val="30"/>
          <w:highlight w:val="none"/>
        </w:rPr>
        <w:t>开标一览表</w:t>
      </w:r>
    </w:p>
    <w:p w14:paraId="66ABCEB7">
      <w:pPr>
        <w:snapToGrid w:val="0"/>
        <w:spacing w:before="50" w:after="50"/>
        <w:jc w:val="center"/>
        <w:rPr>
          <w:rFonts w:ascii="宋体" w:hAnsi="宋体"/>
          <w:b/>
          <w:color w:val="auto"/>
          <w:sz w:val="30"/>
          <w:szCs w:val="20"/>
          <w:highlight w:val="none"/>
        </w:rPr>
      </w:pPr>
    </w:p>
    <w:p w14:paraId="5150F41A">
      <w:pPr>
        <w:snapToGrid w:val="0"/>
        <w:spacing w:before="50" w:after="50" w:line="360" w:lineRule="auto"/>
        <w:rPr>
          <w:rFonts w:ascii="宋体" w:hAnsi="宋体"/>
          <w:color w:val="auto"/>
          <w:sz w:val="24"/>
          <w:highlight w:val="none"/>
          <w:u w:val="single"/>
        </w:rPr>
      </w:pPr>
      <w:r>
        <w:rPr>
          <w:rFonts w:hint="eastAsia" w:ascii="宋体" w:hAnsi="宋体"/>
          <w:color w:val="auto"/>
          <w:sz w:val="24"/>
          <w:highlight w:val="none"/>
        </w:rPr>
        <w:t xml:space="preserve">项目名称：      项目编号：        </w:t>
      </w:r>
    </w:p>
    <w:p w14:paraId="53A40A73">
      <w:pPr>
        <w:snapToGrid w:val="0"/>
        <w:spacing w:before="50" w:after="50" w:line="360" w:lineRule="auto"/>
        <w:rPr>
          <w:rFonts w:ascii="宋体" w:hAnsi="宋体" w:cs="仿宋_GB2312"/>
          <w:color w:val="auto"/>
          <w:sz w:val="24"/>
          <w:highlight w:val="none"/>
        </w:rPr>
      </w:pPr>
      <w:r>
        <w:rPr>
          <w:rFonts w:hint="eastAsia" w:ascii="宋体" w:hAnsi="宋体"/>
          <w:color w:val="auto"/>
          <w:sz w:val="24"/>
          <w:highlight w:val="none"/>
        </w:rPr>
        <w:t>投标人名称：                       单位：元</w:t>
      </w:r>
    </w:p>
    <w:p w14:paraId="0CECE550">
      <w:pPr>
        <w:snapToGrid w:val="0"/>
        <w:spacing w:before="50" w:after="50" w:line="360" w:lineRule="auto"/>
        <w:rPr>
          <w:rFonts w:ascii="宋体" w:hAnsi="宋体"/>
          <w:color w:val="auto"/>
          <w:sz w:val="24"/>
          <w:highlight w:val="none"/>
        </w:rPr>
      </w:pPr>
      <w:r>
        <w:rPr>
          <w:rFonts w:hint="eastAsia" w:ascii="宋体" w:hAnsi="宋体" w:cs="仿宋_GB2312"/>
          <w:color w:val="auto"/>
          <w:sz w:val="24"/>
          <w:highlight w:val="none"/>
        </w:rPr>
        <w:t xml:space="preserve">分标：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47"/>
        <w:gridCol w:w="1521"/>
        <w:gridCol w:w="1418"/>
        <w:gridCol w:w="1673"/>
        <w:gridCol w:w="1184"/>
      </w:tblGrid>
      <w:tr w14:paraId="2B29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1DEE6AAF">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44197CFE">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51298E68">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0F4AF676">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25D7FC1C">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5F7D87EF">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6D33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2902FF6E">
            <w:pPr>
              <w:spacing w:line="360" w:lineRule="auto"/>
              <w:jc w:val="center"/>
              <w:rPr>
                <w:rFonts w:ascii="宋体" w:hAnsi="宋体" w:cs="仿宋_GB2312"/>
                <w:color w:val="auto"/>
                <w:sz w:val="24"/>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6D399859">
            <w:pPr>
              <w:spacing w:line="360" w:lineRule="auto"/>
              <w:jc w:val="center"/>
              <w:rPr>
                <w:rFonts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14:paraId="194C443D">
            <w:pPr>
              <w:spacing w:line="360" w:lineRule="auto"/>
              <w:jc w:val="center"/>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2944DE2">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60989634">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9B0EF29">
            <w:pPr>
              <w:spacing w:line="360" w:lineRule="auto"/>
              <w:rPr>
                <w:rFonts w:ascii="宋体" w:hAnsi="宋体" w:cs="仿宋_GB2312"/>
                <w:color w:val="auto"/>
                <w:sz w:val="24"/>
                <w:highlight w:val="none"/>
              </w:rPr>
            </w:pPr>
          </w:p>
        </w:tc>
      </w:tr>
      <w:tr w14:paraId="73F0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580F6DA9">
            <w:pPr>
              <w:spacing w:line="360" w:lineRule="auto"/>
              <w:jc w:val="center"/>
              <w:rPr>
                <w:rFonts w:ascii="宋体" w:hAnsi="宋体" w:cs="仿宋_GB2312"/>
                <w:color w:val="auto"/>
                <w:sz w:val="24"/>
                <w:highlight w:val="none"/>
              </w:rPr>
            </w:pPr>
          </w:p>
        </w:tc>
        <w:tc>
          <w:tcPr>
            <w:tcW w:w="2947" w:type="dxa"/>
            <w:tcBorders>
              <w:top w:val="single" w:color="auto" w:sz="4" w:space="0"/>
              <w:left w:val="single" w:color="auto" w:sz="4" w:space="0"/>
              <w:bottom w:val="single" w:color="auto" w:sz="4" w:space="0"/>
              <w:right w:val="single" w:color="auto" w:sz="4" w:space="0"/>
            </w:tcBorders>
            <w:vAlign w:val="center"/>
          </w:tcPr>
          <w:p w14:paraId="1BD810D2">
            <w:pPr>
              <w:spacing w:line="360" w:lineRule="auto"/>
              <w:jc w:val="center"/>
              <w:rPr>
                <w:rFonts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14:paraId="7AC5CDC6">
            <w:pPr>
              <w:spacing w:line="360" w:lineRule="auto"/>
              <w:jc w:val="center"/>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78694A8">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17A0A67E">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773C4DE0">
            <w:pPr>
              <w:spacing w:line="360" w:lineRule="auto"/>
              <w:rPr>
                <w:rFonts w:ascii="宋体" w:hAnsi="宋体" w:cs="仿宋_GB2312"/>
                <w:color w:val="auto"/>
                <w:sz w:val="24"/>
                <w:highlight w:val="none"/>
              </w:rPr>
            </w:pPr>
          </w:p>
        </w:tc>
      </w:tr>
      <w:tr w14:paraId="0B58E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15BD9E36">
            <w:pPr>
              <w:spacing w:line="360" w:lineRule="auto"/>
              <w:jc w:val="center"/>
              <w:rPr>
                <w:rFonts w:ascii="宋体" w:hAnsi="宋体" w:cs="仿宋_GB2312"/>
                <w:color w:val="auto"/>
                <w:sz w:val="24"/>
                <w:highlight w:val="none"/>
              </w:rPr>
            </w:pPr>
            <w:r>
              <w:rPr>
                <w:rFonts w:hint="eastAsia" w:ascii="宋体" w:hAnsi="宋体"/>
                <w:b/>
                <w:color w:val="auto"/>
                <w:sz w:val="24"/>
                <w:highlight w:val="none"/>
              </w:rPr>
              <w:t>……</w:t>
            </w:r>
          </w:p>
        </w:tc>
        <w:tc>
          <w:tcPr>
            <w:tcW w:w="2947" w:type="dxa"/>
            <w:tcBorders>
              <w:top w:val="single" w:color="auto" w:sz="4" w:space="0"/>
              <w:left w:val="single" w:color="auto" w:sz="4" w:space="0"/>
              <w:bottom w:val="single" w:color="auto" w:sz="4" w:space="0"/>
              <w:right w:val="single" w:color="auto" w:sz="4" w:space="0"/>
            </w:tcBorders>
            <w:vAlign w:val="center"/>
          </w:tcPr>
          <w:p w14:paraId="25C9DA10">
            <w:pPr>
              <w:spacing w:line="360" w:lineRule="auto"/>
              <w:jc w:val="center"/>
              <w:rPr>
                <w:rFonts w:ascii="宋体" w:hAnsi="宋体" w:cs="仿宋_GB2312"/>
                <w:color w:val="auto"/>
                <w:sz w:val="24"/>
                <w:highlight w:val="none"/>
              </w:rPr>
            </w:pPr>
            <w:r>
              <w:rPr>
                <w:rFonts w:hint="eastAsia" w:ascii="宋体" w:hAnsi="宋体"/>
                <w:b/>
                <w:color w:val="auto"/>
                <w:sz w:val="24"/>
                <w:highlight w:val="none"/>
              </w:rPr>
              <w:t>……</w:t>
            </w:r>
          </w:p>
        </w:tc>
        <w:tc>
          <w:tcPr>
            <w:tcW w:w="1521" w:type="dxa"/>
            <w:tcBorders>
              <w:top w:val="single" w:color="auto" w:sz="4" w:space="0"/>
              <w:left w:val="single" w:color="auto" w:sz="4" w:space="0"/>
              <w:bottom w:val="single" w:color="auto" w:sz="4" w:space="0"/>
              <w:right w:val="single" w:color="auto" w:sz="4" w:space="0"/>
            </w:tcBorders>
            <w:vAlign w:val="center"/>
          </w:tcPr>
          <w:p w14:paraId="53636BD0">
            <w:pPr>
              <w:spacing w:line="360" w:lineRule="auto"/>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44DE5DFF">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2350F9BC">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6197EBE">
            <w:pPr>
              <w:spacing w:line="360" w:lineRule="auto"/>
              <w:rPr>
                <w:rFonts w:ascii="宋体" w:hAnsi="宋体" w:cs="仿宋_GB2312"/>
                <w:color w:val="auto"/>
                <w:sz w:val="24"/>
                <w:highlight w:val="none"/>
              </w:rPr>
            </w:pPr>
          </w:p>
        </w:tc>
      </w:tr>
      <w:tr w14:paraId="0877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vAlign w:val="center"/>
          </w:tcPr>
          <w:p w14:paraId="7CDCE71C">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p>
        </w:tc>
      </w:tr>
      <w:tr w14:paraId="01DB1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vAlign w:val="center"/>
          </w:tcPr>
          <w:p w14:paraId="0D9B059F">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合同履行期限：</w:t>
            </w:r>
          </w:p>
        </w:tc>
      </w:tr>
    </w:tbl>
    <w:p w14:paraId="44B3F242">
      <w:pPr>
        <w:snapToGrid w:val="0"/>
        <w:spacing w:before="50" w:after="50" w:line="360" w:lineRule="auto"/>
        <w:jc w:val="left"/>
        <w:rPr>
          <w:rFonts w:ascii="宋体" w:hAnsi="宋体"/>
          <w:color w:val="auto"/>
          <w:sz w:val="24"/>
          <w:highlight w:val="none"/>
        </w:rPr>
      </w:pPr>
      <w:r>
        <w:rPr>
          <w:rFonts w:hint="eastAsia" w:ascii="宋体" w:hAnsi="宋体"/>
          <w:color w:val="auto"/>
          <w:sz w:val="24"/>
          <w:highlight w:val="none"/>
        </w:rPr>
        <w:t xml:space="preserve">注: </w:t>
      </w:r>
    </w:p>
    <w:p w14:paraId="429CCB41">
      <w:pPr>
        <w:snapToGrid w:val="0"/>
        <w:spacing w:before="50" w:after="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1.投标人的开标一览表必须加盖投标人公章并由</w:t>
      </w:r>
      <w:r>
        <w:rPr>
          <w:rFonts w:ascii="宋体" w:hAnsi="宋体"/>
          <w:color w:val="auto"/>
          <w:sz w:val="24"/>
          <w:highlight w:val="none"/>
        </w:rPr>
        <w:t>法定代表人或者委托代理人</w:t>
      </w:r>
      <w:r>
        <w:rPr>
          <w:rFonts w:hint="eastAsia" w:ascii="宋体" w:hAnsi="宋体"/>
          <w:color w:val="auto"/>
          <w:sz w:val="24"/>
          <w:highlight w:val="none"/>
        </w:rPr>
        <w:t>签字，</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21D0A63F">
      <w:pPr>
        <w:snapToGrid w:val="0"/>
        <w:spacing w:before="50" w:after="50" w:line="360" w:lineRule="auto"/>
        <w:ind w:firstLine="480" w:firstLineChars="200"/>
        <w:jc w:val="left"/>
        <w:rPr>
          <w:rFonts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报价一经涂改，应在涂改处加盖投标人公章或者由法定代表人或者委托代理人签字或者盖章</w:t>
      </w:r>
      <w:r>
        <w:rPr>
          <w:rFonts w:hint="eastAsia" w:ascii="宋体" w:hAnsi="宋体"/>
          <w:b/>
          <w:color w:val="auto"/>
          <w:sz w:val="24"/>
          <w:highlight w:val="none"/>
        </w:rPr>
        <w:t>，否则其投标作无效标处理。</w:t>
      </w:r>
    </w:p>
    <w:p w14:paraId="56A9D12B">
      <w:pPr>
        <w:snapToGrid w:val="0"/>
        <w:spacing w:before="50" w:after="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32E6785F">
      <w:pPr>
        <w:snapToGrid w:val="0"/>
        <w:spacing w:before="50" w:after="50" w:line="360" w:lineRule="auto"/>
        <w:ind w:firstLine="456" w:firstLineChars="200"/>
        <w:jc w:val="left"/>
        <w:rPr>
          <w:rFonts w:ascii="宋体" w:hAnsi="宋体"/>
          <w:color w:val="auto"/>
          <w:spacing w:val="-6"/>
          <w:sz w:val="24"/>
          <w:highlight w:val="none"/>
        </w:rPr>
      </w:pPr>
      <w:r>
        <w:rPr>
          <w:rFonts w:hint="eastAsia" w:ascii="宋体" w:hAnsi="宋体"/>
          <w:color w:val="auto"/>
          <w:spacing w:val="-6"/>
          <w:sz w:val="24"/>
          <w:highlight w:val="none"/>
        </w:rPr>
        <w:t>4.如为联合体投标，盖章处须加盖联合体各方公章，</w:t>
      </w:r>
      <w:r>
        <w:rPr>
          <w:rFonts w:hint="eastAsia" w:ascii="宋体" w:hAnsi="宋体"/>
          <w:b/>
          <w:color w:val="auto"/>
          <w:spacing w:val="-6"/>
          <w:sz w:val="24"/>
          <w:highlight w:val="none"/>
        </w:rPr>
        <w:t>否则其投标作无效标处理。</w:t>
      </w:r>
    </w:p>
    <w:p w14:paraId="4C82C249">
      <w:pPr>
        <w:snapToGrid w:val="0"/>
        <w:spacing w:before="50" w:after="50" w:line="360" w:lineRule="auto"/>
        <w:ind w:firstLine="480" w:firstLineChars="200"/>
        <w:rPr>
          <w:rFonts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1D4DB4F6">
      <w:pPr>
        <w:snapToGrid w:val="0"/>
        <w:spacing w:before="50" w:after="50" w:line="360" w:lineRule="auto"/>
        <w:ind w:firstLine="482" w:firstLineChars="200"/>
        <w:rPr>
          <w:rFonts w:ascii="宋体" w:hAnsi="宋体"/>
          <w:b/>
          <w:color w:val="auto"/>
          <w:sz w:val="24"/>
          <w:highlight w:val="none"/>
        </w:rPr>
      </w:pPr>
    </w:p>
    <w:p w14:paraId="4FFB048D">
      <w:pPr>
        <w:snapToGrid w:val="0"/>
        <w:spacing w:before="50" w:after="50"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法定代表人或者委托代理人（签字）：                    </w:t>
      </w:r>
    </w:p>
    <w:p w14:paraId="48B01713">
      <w:pPr>
        <w:snapToGrid w:val="0"/>
        <w:spacing w:before="50" w:after="50" w:line="360" w:lineRule="auto"/>
        <w:ind w:left="-3" w:leftChars="-15" w:right="-817" w:rightChars="-389" w:hanging="28" w:hangingChars="12"/>
        <w:rPr>
          <w:rFonts w:ascii="宋体" w:hAnsi="宋体"/>
          <w:color w:val="auto"/>
          <w:szCs w:val="21"/>
          <w:highlight w:val="none"/>
        </w:rPr>
      </w:pPr>
      <w:r>
        <w:rPr>
          <w:rFonts w:hint="eastAsia" w:ascii="宋体" w:hAnsi="宋体"/>
          <w:color w:val="auto"/>
          <w:sz w:val="24"/>
          <w:highlight w:val="none"/>
        </w:rPr>
        <w:t>投标人（盖公章）：                                 日期：    年   月   日</w:t>
      </w:r>
    </w:p>
    <w:p w14:paraId="61635DB5">
      <w:pPr>
        <w:snapToGrid w:val="0"/>
        <w:spacing w:before="50" w:after="50" w:line="360" w:lineRule="auto"/>
        <w:ind w:left="-6" w:leftChars="-15" w:right="-817" w:rightChars="-389" w:hanging="25" w:hangingChars="12"/>
        <w:rPr>
          <w:rFonts w:ascii="宋体" w:hAnsi="宋体"/>
          <w:color w:val="auto"/>
          <w:szCs w:val="21"/>
          <w:highlight w:val="none"/>
        </w:rPr>
      </w:pPr>
    </w:p>
    <w:p w14:paraId="6C8FF3EF">
      <w:pPr>
        <w:rPr>
          <w:rFonts w:ascii="宋体" w:hAnsi="宋体"/>
          <w:b/>
          <w:color w:val="auto"/>
          <w:sz w:val="28"/>
          <w:szCs w:val="28"/>
          <w:highlight w:val="none"/>
        </w:rPr>
      </w:pPr>
      <w:bookmarkStart w:id="154" w:name="_Toc19686837"/>
    </w:p>
    <w:p w14:paraId="41B1EE0D">
      <w:pPr>
        <w:rPr>
          <w:rFonts w:ascii="宋体" w:hAnsi="宋体"/>
          <w:b/>
          <w:color w:val="auto"/>
          <w:sz w:val="28"/>
          <w:szCs w:val="28"/>
          <w:highlight w:val="none"/>
        </w:rPr>
      </w:pPr>
    </w:p>
    <w:p w14:paraId="7B35ED6E">
      <w:pPr>
        <w:rPr>
          <w:rFonts w:ascii="宋体" w:hAnsi="宋体"/>
          <w:b/>
          <w:color w:val="auto"/>
          <w:sz w:val="28"/>
          <w:szCs w:val="28"/>
          <w:highlight w:val="none"/>
        </w:rPr>
      </w:pPr>
    </w:p>
    <w:p w14:paraId="6C24A79D">
      <w:pPr>
        <w:rPr>
          <w:rFonts w:ascii="宋体" w:hAnsi="宋体"/>
          <w:b/>
          <w:color w:val="auto"/>
          <w:sz w:val="28"/>
          <w:szCs w:val="28"/>
          <w:highlight w:val="none"/>
        </w:rPr>
      </w:pPr>
      <w:r>
        <w:rPr>
          <w:rFonts w:hint="eastAsia" w:ascii="宋体" w:hAnsi="宋体"/>
          <w:b/>
          <w:color w:val="auto"/>
          <w:sz w:val="28"/>
          <w:szCs w:val="28"/>
          <w:highlight w:val="none"/>
        </w:rPr>
        <w:t>二、资格证明文件格式</w:t>
      </w:r>
      <w:bookmarkEnd w:id="152"/>
      <w:bookmarkEnd w:id="153"/>
      <w:bookmarkEnd w:id="154"/>
    </w:p>
    <w:p w14:paraId="1E27725B">
      <w:pPr>
        <w:numPr>
          <w:ilvl w:val="2"/>
          <w:numId w:val="4"/>
        </w:numPr>
        <w:snapToGrid w:val="0"/>
        <w:spacing w:beforeLines="50" w:after="50" w:line="360" w:lineRule="auto"/>
        <w:ind w:left="0" w:firstLine="0"/>
        <w:jc w:val="left"/>
        <w:rPr>
          <w:rFonts w:ascii="宋体" w:hAnsi="宋体"/>
          <w:b/>
          <w:color w:val="auto"/>
          <w:sz w:val="24"/>
          <w:highlight w:val="none"/>
        </w:rPr>
      </w:pPr>
      <w:r>
        <w:rPr>
          <w:rFonts w:hint="eastAsia" w:ascii="宋体" w:hAnsi="宋体"/>
          <w:b/>
          <w:color w:val="auto"/>
          <w:sz w:val="24"/>
          <w:highlight w:val="none"/>
        </w:rPr>
        <w:t xml:space="preserve">资格证明文件封面格式： </w:t>
      </w:r>
    </w:p>
    <w:p w14:paraId="3F9BEBD4">
      <w:pPr>
        <w:snapToGrid w:val="0"/>
        <w:spacing w:beforeLines="50" w:after="50"/>
        <w:rPr>
          <w:rFonts w:ascii="宋体" w:hAnsi="宋体"/>
          <w:bCs/>
          <w:color w:val="auto"/>
          <w:sz w:val="32"/>
          <w:szCs w:val="20"/>
          <w:highlight w:val="none"/>
        </w:rPr>
      </w:pPr>
    </w:p>
    <w:p w14:paraId="12F8F6AB">
      <w:pPr>
        <w:snapToGrid w:val="0"/>
        <w:spacing w:beforeLines="50" w:after="50"/>
        <w:rPr>
          <w:rFonts w:ascii="宋体" w:hAnsi="宋体"/>
          <w:color w:val="auto"/>
          <w:sz w:val="24"/>
          <w:szCs w:val="20"/>
          <w:highlight w:val="none"/>
        </w:rPr>
      </w:pPr>
    </w:p>
    <w:p w14:paraId="64562E2E">
      <w:pPr>
        <w:snapToGrid w:val="0"/>
        <w:spacing w:beforeLines="50" w:after="50"/>
        <w:rPr>
          <w:rFonts w:ascii="宋体" w:hAnsi="宋体"/>
          <w:color w:val="auto"/>
          <w:sz w:val="24"/>
          <w:szCs w:val="20"/>
          <w:highlight w:val="none"/>
        </w:rPr>
      </w:pPr>
    </w:p>
    <w:p w14:paraId="563F8595">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2A21239B">
      <w:pPr>
        <w:snapToGrid w:val="0"/>
        <w:spacing w:beforeLines="50" w:after="50"/>
        <w:rPr>
          <w:rFonts w:ascii="宋体" w:hAnsi="宋体"/>
          <w:color w:val="auto"/>
          <w:sz w:val="24"/>
          <w:szCs w:val="20"/>
          <w:highlight w:val="none"/>
        </w:rPr>
      </w:pPr>
    </w:p>
    <w:p w14:paraId="5A712912">
      <w:pPr>
        <w:snapToGrid w:val="0"/>
        <w:spacing w:beforeLines="50" w:after="50"/>
        <w:rPr>
          <w:rFonts w:ascii="宋体" w:hAnsi="宋体"/>
          <w:color w:val="auto"/>
          <w:sz w:val="24"/>
          <w:szCs w:val="20"/>
          <w:highlight w:val="none"/>
        </w:rPr>
      </w:pPr>
    </w:p>
    <w:p w14:paraId="00505603">
      <w:pPr>
        <w:snapToGrid w:val="0"/>
        <w:spacing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 格 证 明 文 件</w:t>
      </w:r>
    </w:p>
    <w:p w14:paraId="40F0A3D0">
      <w:pPr>
        <w:snapToGrid w:val="0"/>
        <w:spacing w:beforeLines="50" w:after="50"/>
        <w:rPr>
          <w:rFonts w:ascii="宋体" w:hAnsi="宋体"/>
          <w:bCs/>
          <w:color w:val="auto"/>
          <w:sz w:val="24"/>
          <w:szCs w:val="20"/>
          <w:highlight w:val="none"/>
        </w:rPr>
      </w:pPr>
    </w:p>
    <w:p w14:paraId="374DE5F4">
      <w:pPr>
        <w:snapToGrid w:val="0"/>
        <w:spacing w:beforeLines="50" w:after="50"/>
        <w:rPr>
          <w:rFonts w:ascii="宋体" w:hAnsi="宋体"/>
          <w:bCs/>
          <w:color w:val="auto"/>
          <w:sz w:val="24"/>
          <w:szCs w:val="20"/>
          <w:highlight w:val="none"/>
        </w:rPr>
      </w:pPr>
    </w:p>
    <w:p w14:paraId="05F6AEE6">
      <w:pPr>
        <w:snapToGrid w:val="0"/>
        <w:spacing w:beforeLines="50" w:after="50"/>
        <w:rPr>
          <w:rFonts w:ascii="宋体" w:hAnsi="宋体"/>
          <w:bCs/>
          <w:color w:val="auto"/>
          <w:sz w:val="24"/>
          <w:szCs w:val="20"/>
          <w:highlight w:val="none"/>
        </w:rPr>
      </w:pPr>
    </w:p>
    <w:p w14:paraId="027A4A77">
      <w:pPr>
        <w:snapToGrid w:val="0"/>
        <w:spacing w:beforeLines="50" w:after="50"/>
        <w:rPr>
          <w:rFonts w:ascii="宋体" w:hAnsi="宋体"/>
          <w:bCs/>
          <w:color w:val="auto"/>
          <w:sz w:val="24"/>
          <w:szCs w:val="20"/>
          <w:highlight w:val="none"/>
        </w:rPr>
      </w:pPr>
    </w:p>
    <w:p w14:paraId="69EDF051">
      <w:pPr>
        <w:snapToGrid w:val="0"/>
        <w:spacing w:beforeLines="50" w:after="50"/>
        <w:rPr>
          <w:rFonts w:ascii="宋体" w:hAnsi="宋体"/>
          <w:bCs/>
          <w:color w:val="auto"/>
          <w:sz w:val="24"/>
          <w:szCs w:val="20"/>
          <w:highlight w:val="none"/>
        </w:rPr>
      </w:pPr>
    </w:p>
    <w:p w14:paraId="43BA78C3">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6408A231">
      <w:pPr>
        <w:snapToGrid w:val="0"/>
        <w:spacing w:beforeLines="50" w:after="50"/>
        <w:ind w:firstLine="540" w:firstLineChars="225"/>
        <w:rPr>
          <w:rFonts w:ascii="宋体" w:hAnsi="宋体"/>
          <w:bCs/>
          <w:color w:val="auto"/>
          <w:sz w:val="24"/>
          <w:szCs w:val="20"/>
          <w:highlight w:val="none"/>
        </w:rPr>
      </w:pPr>
    </w:p>
    <w:p w14:paraId="7C94DDF6">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7CF73117">
      <w:pPr>
        <w:snapToGrid w:val="0"/>
        <w:spacing w:beforeLines="50" w:after="50"/>
        <w:ind w:firstLine="540" w:firstLineChars="225"/>
        <w:rPr>
          <w:rFonts w:ascii="宋体" w:hAnsi="宋体"/>
          <w:bCs/>
          <w:color w:val="auto"/>
          <w:sz w:val="24"/>
          <w:szCs w:val="20"/>
          <w:highlight w:val="none"/>
        </w:rPr>
      </w:pPr>
    </w:p>
    <w:p w14:paraId="60567A13">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6EFA9A1C">
      <w:pPr>
        <w:pStyle w:val="14"/>
        <w:snapToGrid w:val="0"/>
        <w:spacing w:before="50" w:after="50"/>
        <w:ind w:firstLine="540" w:firstLineChars="225"/>
        <w:rPr>
          <w:rFonts w:ascii="宋体" w:hAnsi="宋体"/>
          <w:bCs/>
          <w:color w:val="auto"/>
          <w:sz w:val="24"/>
          <w:szCs w:val="24"/>
          <w:highlight w:val="none"/>
        </w:rPr>
      </w:pPr>
    </w:p>
    <w:p w14:paraId="4DBA7268">
      <w:pPr>
        <w:pStyle w:val="1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1A720DAC">
      <w:pPr>
        <w:pStyle w:val="14"/>
        <w:snapToGrid w:val="0"/>
        <w:spacing w:before="50" w:after="50"/>
        <w:ind w:firstLine="540" w:firstLineChars="225"/>
        <w:rPr>
          <w:rFonts w:ascii="宋体" w:hAnsi="宋体"/>
          <w:bCs/>
          <w:color w:val="auto"/>
          <w:sz w:val="24"/>
          <w:szCs w:val="24"/>
          <w:highlight w:val="none"/>
        </w:rPr>
      </w:pPr>
    </w:p>
    <w:p w14:paraId="2CA0344C">
      <w:pPr>
        <w:pStyle w:val="14"/>
        <w:snapToGrid w:val="0"/>
        <w:spacing w:before="50" w:after="50"/>
        <w:ind w:firstLine="960" w:firstLineChars="400"/>
        <w:rPr>
          <w:rFonts w:ascii="宋体" w:hAnsi="宋体"/>
          <w:bCs/>
          <w:color w:val="auto"/>
          <w:sz w:val="24"/>
          <w:szCs w:val="24"/>
          <w:highlight w:val="none"/>
        </w:rPr>
      </w:pPr>
    </w:p>
    <w:p w14:paraId="27166BEF">
      <w:pPr>
        <w:snapToGrid w:val="0"/>
        <w:spacing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05DB4D32">
      <w:pPr>
        <w:snapToGrid w:val="0"/>
        <w:spacing w:beforeLines="50" w:after="50"/>
        <w:rPr>
          <w:rFonts w:ascii="宋体" w:hAnsi="宋体"/>
          <w:color w:val="auto"/>
          <w:sz w:val="24"/>
          <w:szCs w:val="20"/>
          <w:highlight w:val="none"/>
        </w:rPr>
      </w:pPr>
    </w:p>
    <w:p w14:paraId="33472124">
      <w:pPr>
        <w:snapToGrid w:val="0"/>
        <w:spacing w:beforeLines="50" w:after="50"/>
        <w:rPr>
          <w:rFonts w:ascii="宋体" w:hAnsi="宋体"/>
          <w:color w:val="auto"/>
          <w:sz w:val="24"/>
          <w:szCs w:val="20"/>
          <w:highlight w:val="none"/>
        </w:rPr>
      </w:pPr>
    </w:p>
    <w:p w14:paraId="1F270A53">
      <w:pPr>
        <w:numPr>
          <w:ilvl w:val="2"/>
          <w:numId w:val="4"/>
        </w:numPr>
        <w:snapToGrid w:val="0"/>
        <w:spacing w:beforeLines="50" w:after="50" w:line="360" w:lineRule="auto"/>
        <w:ind w:left="0" w:firstLine="0"/>
        <w:jc w:val="left"/>
        <w:rPr>
          <w:rFonts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资格证明文件目录</w:t>
      </w:r>
    </w:p>
    <w:p w14:paraId="09D8CBE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2EF6804C">
      <w:pPr>
        <w:snapToGrid w:val="0"/>
        <w:spacing w:before="50" w:afterLines="50"/>
        <w:jc w:val="left"/>
        <w:rPr>
          <w:rFonts w:ascii="宋体" w:hAnsi="宋体"/>
          <w:color w:val="auto"/>
          <w:sz w:val="24"/>
          <w:highlight w:val="none"/>
        </w:rPr>
      </w:pPr>
    </w:p>
    <w:p w14:paraId="1E36E8D6">
      <w:pPr>
        <w:snapToGrid w:val="0"/>
        <w:spacing w:before="50" w:afterLines="50"/>
        <w:jc w:val="left"/>
        <w:rPr>
          <w:rFonts w:ascii="宋体" w:hAnsi="宋体"/>
          <w:color w:val="auto"/>
          <w:sz w:val="24"/>
          <w:highlight w:val="none"/>
        </w:rPr>
      </w:pPr>
    </w:p>
    <w:p w14:paraId="6DB6724F">
      <w:pPr>
        <w:numPr>
          <w:ilvl w:val="2"/>
          <w:numId w:val="4"/>
        </w:numPr>
        <w:snapToGrid w:val="0"/>
        <w:spacing w:beforeLines="50" w:after="50"/>
        <w:ind w:left="0" w:firstLine="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8"/>
          <w:szCs w:val="28"/>
          <w:highlight w:val="none"/>
        </w:rPr>
        <w:t>投标人直接控股、管理关系信息表</w:t>
      </w:r>
    </w:p>
    <w:p w14:paraId="28880B1F">
      <w:pPr>
        <w:snapToGrid w:val="0"/>
        <w:spacing w:before="50" w:afterLines="50"/>
        <w:jc w:val="center"/>
        <w:rPr>
          <w:rFonts w:ascii="宋体" w:hAnsi="宋体"/>
          <w:b/>
          <w:color w:val="auto"/>
          <w:sz w:val="28"/>
          <w:szCs w:val="28"/>
          <w:highlight w:val="none"/>
        </w:rPr>
      </w:pPr>
    </w:p>
    <w:p w14:paraId="07FD5DCE">
      <w:pPr>
        <w:snapToGrid w:val="0"/>
        <w:spacing w:before="50" w:afterLines="50"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9"/>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030F383">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BBAAA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9F881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7141A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817ABA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2A5E1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B13554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C403D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9C280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3E8D3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65E4C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6317C7">
            <w:pPr>
              <w:spacing w:line="360" w:lineRule="auto"/>
              <w:jc w:val="center"/>
              <w:rPr>
                <w:rFonts w:ascii="宋体" w:hAnsi="宋体" w:cs="宋体"/>
                <w:color w:val="auto"/>
                <w:kern w:val="0"/>
                <w:sz w:val="24"/>
                <w:highlight w:val="none"/>
              </w:rPr>
            </w:pPr>
          </w:p>
        </w:tc>
      </w:tr>
      <w:tr w14:paraId="2202982D">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9876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96520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C90CA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62E43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1052ED">
            <w:pPr>
              <w:spacing w:line="360" w:lineRule="auto"/>
              <w:jc w:val="center"/>
              <w:rPr>
                <w:rFonts w:ascii="宋体" w:hAnsi="宋体" w:cs="宋体"/>
                <w:color w:val="auto"/>
                <w:kern w:val="0"/>
                <w:sz w:val="24"/>
                <w:highlight w:val="none"/>
              </w:rPr>
            </w:pPr>
          </w:p>
        </w:tc>
      </w:tr>
      <w:tr w14:paraId="1C5BB62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861E9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75B853">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484C3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2B8E56">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5AF03A">
            <w:pPr>
              <w:spacing w:line="360" w:lineRule="auto"/>
              <w:jc w:val="center"/>
              <w:rPr>
                <w:rFonts w:ascii="宋体" w:hAnsi="宋体" w:cs="宋体"/>
                <w:color w:val="auto"/>
                <w:kern w:val="0"/>
                <w:sz w:val="24"/>
                <w:highlight w:val="none"/>
              </w:rPr>
            </w:pPr>
          </w:p>
        </w:tc>
      </w:tr>
      <w:tr w14:paraId="4F1BB86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931F4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D7B99F">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F6685F">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92398B">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83662D">
            <w:pPr>
              <w:spacing w:line="360" w:lineRule="auto"/>
              <w:jc w:val="center"/>
              <w:rPr>
                <w:rFonts w:ascii="宋体" w:hAnsi="宋体" w:cs="宋体"/>
                <w:color w:val="auto"/>
                <w:kern w:val="0"/>
                <w:sz w:val="24"/>
                <w:highlight w:val="none"/>
              </w:rPr>
            </w:pPr>
          </w:p>
        </w:tc>
      </w:tr>
    </w:tbl>
    <w:p w14:paraId="4E650B46">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35986280">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54298BE">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03AB2E61">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5FFA0C9A">
      <w:pPr>
        <w:snapToGrid w:val="0"/>
        <w:spacing w:line="360" w:lineRule="auto"/>
        <w:jc w:val="left"/>
        <w:rPr>
          <w:rFonts w:ascii="宋体" w:hAnsi="宋体"/>
          <w:color w:val="auto"/>
          <w:sz w:val="24"/>
          <w:highlight w:val="none"/>
        </w:rPr>
      </w:pPr>
    </w:p>
    <w:p w14:paraId="052752FC">
      <w:pPr>
        <w:snapToGrid w:val="0"/>
        <w:spacing w:line="360" w:lineRule="auto"/>
        <w:jc w:val="left"/>
        <w:rPr>
          <w:rFonts w:ascii="宋体" w:hAnsi="宋体"/>
          <w:color w:val="auto"/>
          <w:sz w:val="24"/>
          <w:highlight w:val="none"/>
        </w:rPr>
      </w:pPr>
    </w:p>
    <w:p w14:paraId="0CBBC544">
      <w:pPr>
        <w:snapToGrid w:val="0"/>
        <w:spacing w:line="360" w:lineRule="auto"/>
        <w:jc w:val="left"/>
        <w:rPr>
          <w:rFonts w:ascii="宋体" w:hAnsi="宋体"/>
          <w:color w:val="auto"/>
          <w:sz w:val="24"/>
          <w:highlight w:val="none"/>
        </w:rPr>
      </w:pPr>
    </w:p>
    <w:p w14:paraId="4F73867E">
      <w:pPr>
        <w:snapToGrid w:val="0"/>
        <w:spacing w:line="360" w:lineRule="auto"/>
        <w:jc w:val="left"/>
        <w:rPr>
          <w:rFonts w:ascii="宋体" w:hAnsi="宋体"/>
          <w:color w:val="auto"/>
          <w:sz w:val="24"/>
          <w:highlight w:val="none"/>
        </w:rPr>
      </w:pPr>
    </w:p>
    <w:p w14:paraId="77D426B9">
      <w:pPr>
        <w:snapToGrid w:val="0"/>
        <w:spacing w:line="360" w:lineRule="auto"/>
        <w:jc w:val="left"/>
        <w:rPr>
          <w:rFonts w:ascii="宋体" w:hAnsi="宋体"/>
          <w:color w:val="auto"/>
          <w:sz w:val="24"/>
          <w:highlight w:val="none"/>
        </w:rPr>
      </w:pPr>
    </w:p>
    <w:p w14:paraId="377677B5">
      <w:pPr>
        <w:snapToGrid w:val="0"/>
        <w:spacing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p>
    <w:p w14:paraId="2522F288">
      <w:pPr>
        <w:snapToGrid w:val="0"/>
        <w:spacing w:beforeLines="50" w:after="50" w:line="360" w:lineRule="auto"/>
        <w:ind w:right="480" w:firstLine="5520" w:firstLineChars="2300"/>
        <w:rPr>
          <w:rFonts w:ascii="宋体" w:hAnsi="宋体"/>
          <w:color w:val="auto"/>
          <w:sz w:val="24"/>
          <w:highlight w:val="none"/>
          <w:u w:val="single"/>
        </w:rPr>
      </w:pPr>
      <w:r>
        <w:rPr>
          <w:rFonts w:hint="eastAsia" w:ascii="宋体" w:hAnsi="宋体"/>
          <w:color w:val="auto"/>
          <w:sz w:val="24"/>
          <w:highlight w:val="none"/>
        </w:rPr>
        <w:t>投标人（盖公章）：</w:t>
      </w:r>
    </w:p>
    <w:p w14:paraId="5D55A98D">
      <w:pPr>
        <w:snapToGrid w:val="0"/>
        <w:spacing w:beforeLines="50" w:after="50" w:line="360" w:lineRule="auto"/>
        <w:ind w:right="480" w:firstLine="5520" w:firstLineChars="2300"/>
        <w:rPr>
          <w:rFonts w:ascii="宋体" w:hAnsi="宋体"/>
          <w:color w:val="auto"/>
          <w:szCs w:val="21"/>
          <w:highlight w:val="none"/>
        </w:rPr>
      </w:pPr>
      <w:r>
        <w:rPr>
          <w:rFonts w:hint="eastAsia" w:ascii="宋体" w:hAnsi="宋体"/>
          <w:color w:val="auto"/>
          <w:sz w:val="24"/>
          <w:highlight w:val="none"/>
        </w:rPr>
        <w:t>年    月    日</w:t>
      </w:r>
    </w:p>
    <w:p w14:paraId="606B3AF9">
      <w:pPr>
        <w:snapToGrid w:val="0"/>
        <w:jc w:val="center"/>
        <w:rPr>
          <w:rFonts w:ascii="宋体" w:hAnsi="宋体"/>
          <w:b/>
          <w:color w:val="auto"/>
          <w:sz w:val="28"/>
          <w:szCs w:val="28"/>
          <w:highlight w:val="none"/>
        </w:rPr>
      </w:pPr>
    </w:p>
    <w:p w14:paraId="14132281">
      <w:pPr>
        <w:snapToGrid w:val="0"/>
        <w:spacing w:line="360" w:lineRule="auto"/>
        <w:jc w:val="center"/>
        <w:rPr>
          <w:rFonts w:ascii="宋体" w:hAnsi="宋体"/>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投标人直接管理关系信息表</w:t>
      </w:r>
    </w:p>
    <w:tbl>
      <w:tblPr>
        <w:tblStyle w:val="49"/>
        <w:tblW w:w="0" w:type="auto"/>
        <w:tblInd w:w="0" w:type="dxa"/>
        <w:tblLayout w:type="fixed"/>
        <w:tblCellMar>
          <w:top w:w="0" w:type="dxa"/>
          <w:left w:w="0" w:type="dxa"/>
          <w:bottom w:w="0" w:type="dxa"/>
          <w:right w:w="0" w:type="dxa"/>
        </w:tblCellMar>
      </w:tblPr>
      <w:tblGrid>
        <w:gridCol w:w="1005"/>
        <w:gridCol w:w="2659"/>
        <w:gridCol w:w="3924"/>
        <w:gridCol w:w="2064"/>
      </w:tblGrid>
      <w:tr w14:paraId="1F53F5AC">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34203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7D2A0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DEC4C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DA36B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330FC8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1FF30C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6D95D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093D0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696409">
            <w:pPr>
              <w:spacing w:line="360" w:lineRule="auto"/>
              <w:jc w:val="center"/>
              <w:rPr>
                <w:rFonts w:ascii="宋体" w:hAnsi="宋体" w:cs="宋体"/>
                <w:color w:val="auto"/>
                <w:kern w:val="0"/>
                <w:sz w:val="24"/>
                <w:highlight w:val="none"/>
              </w:rPr>
            </w:pPr>
          </w:p>
        </w:tc>
      </w:tr>
      <w:tr w14:paraId="62C2D43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6A200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3A9FB7F">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16A2E2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781A32">
            <w:pPr>
              <w:spacing w:line="360" w:lineRule="auto"/>
              <w:jc w:val="center"/>
              <w:rPr>
                <w:rFonts w:ascii="宋体" w:hAnsi="宋体" w:cs="宋体"/>
                <w:color w:val="auto"/>
                <w:kern w:val="0"/>
                <w:sz w:val="24"/>
                <w:highlight w:val="none"/>
              </w:rPr>
            </w:pPr>
          </w:p>
        </w:tc>
      </w:tr>
      <w:tr w14:paraId="34B0552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F6C52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21F80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A6917F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9BC6781">
            <w:pPr>
              <w:spacing w:line="360" w:lineRule="auto"/>
              <w:jc w:val="center"/>
              <w:rPr>
                <w:rFonts w:ascii="宋体" w:hAnsi="宋体" w:cs="宋体"/>
                <w:color w:val="auto"/>
                <w:kern w:val="0"/>
                <w:sz w:val="24"/>
                <w:highlight w:val="none"/>
              </w:rPr>
            </w:pPr>
          </w:p>
        </w:tc>
      </w:tr>
      <w:tr w14:paraId="4DC5FB8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A773CE">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15E41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B51F2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C0971C">
            <w:pPr>
              <w:spacing w:line="360" w:lineRule="auto"/>
              <w:jc w:val="center"/>
              <w:rPr>
                <w:rFonts w:ascii="宋体" w:hAnsi="宋体" w:cs="宋体"/>
                <w:color w:val="auto"/>
                <w:kern w:val="0"/>
                <w:sz w:val="24"/>
                <w:highlight w:val="none"/>
              </w:rPr>
            </w:pPr>
          </w:p>
        </w:tc>
      </w:tr>
    </w:tbl>
    <w:p w14:paraId="2DCD31C0">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237F25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2283728">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2AFF01F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7F305507">
      <w:pPr>
        <w:snapToGrid w:val="0"/>
        <w:spacing w:line="360" w:lineRule="auto"/>
        <w:jc w:val="left"/>
        <w:rPr>
          <w:rFonts w:ascii="宋体" w:hAnsi="宋体"/>
          <w:color w:val="auto"/>
          <w:sz w:val="24"/>
          <w:highlight w:val="none"/>
        </w:rPr>
      </w:pPr>
    </w:p>
    <w:p w14:paraId="0D2BF7E5">
      <w:pPr>
        <w:snapToGrid w:val="0"/>
        <w:spacing w:line="360" w:lineRule="auto"/>
        <w:jc w:val="left"/>
        <w:rPr>
          <w:rFonts w:ascii="宋体" w:hAnsi="宋体"/>
          <w:color w:val="auto"/>
          <w:sz w:val="24"/>
          <w:highlight w:val="none"/>
        </w:rPr>
      </w:pPr>
    </w:p>
    <w:p w14:paraId="3791009E">
      <w:pPr>
        <w:snapToGrid w:val="0"/>
        <w:spacing w:line="360" w:lineRule="auto"/>
        <w:jc w:val="left"/>
        <w:rPr>
          <w:rFonts w:ascii="宋体" w:hAnsi="宋体"/>
          <w:color w:val="auto"/>
          <w:sz w:val="24"/>
          <w:highlight w:val="none"/>
        </w:rPr>
      </w:pPr>
    </w:p>
    <w:p w14:paraId="722A25D5">
      <w:pPr>
        <w:snapToGrid w:val="0"/>
        <w:spacing w:line="360" w:lineRule="auto"/>
        <w:jc w:val="left"/>
        <w:rPr>
          <w:rFonts w:ascii="宋体" w:hAnsi="宋体"/>
          <w:color w:val="auto"/>
          <w:sz w:val="24"/>
          <w:highlight w:val="none"/>
        </w:rPr>
      </w:pPr>
    </w:p>
    <w:p w14:paraId="24D03975">
      <w:pPr>
        <w:snapToGrid w:val="0"/>
        <w:spacing w:line="360" w:lineRule="auto"/>
        <w:jc w:val="left"/>
        <w:rPr>
          <w:rFonts w:ascii="宋体" w:hAnsi="宋体"/>
          <w:color w:val="auto"/>
          <w:sz w:val="24"/>
          <w:highlight w:val="none"/>
        </w:rPr>
      </w:pPr>
    </w:p>
    <w:p w14:paraId="020D954B">
      <w:pPr>
        <w:snapToGrid w:val="0"/>
        <w:spacing w:line="360" w:lineRule="auto"/>
        <w:jc w:val="left"/>
        <w:rPr>
          <w:rFonts w:ascii="宋体" w:hAnsi="宋体"/>
          <w:color w:val="auto"/>
          <w:sz w:val="24"/>
          <w:highlight w:val="none"/>
        </w:rPr>
      </w:pPr>
    </w:p>
    <w:p w14:paraId="2E7DF15D">
      <w:pPr>
        <w:snapToGrid w:val="0"/>
        <w:spacing w:line="360" w:lineRule="auto"/>
        <w:jc w:val="left"/>
        <w:rPr>
          <w:rFonts w:ascii="宋体" w:hAnsi="宋体"/>
          <w:color w:val="auto"/>
          <w:sz w:val="24"/>
          <w:highlight w:val="none"/>
        </w:rPr>
      </w:pPr>
    </w:p>
    <w:p w14:paraId="477012C5">
      <w:pPr>
        <w:snapToGrid w:val="0"/>
        <w:spacing w:beforeLines="50" w:line="360" w:lineRule="auto"/>
        <w:ind w:right="480" w:firstLine="3967" w:firstLineChars="1653"/>
        <w:rPr>
          <w:rFonts w:ascii="宋体" w:hAnsi="宋体"/>
          <w:color w:val="auto"/>
          <w:sz w:val="24"/>
          <w:highlight w:val="none"/>
          <w:u w:val="single"/>
        </w:rPr>
      </w:pPr>
      <w:r>
        <w:rPr>
          <w:rFonts w:hint="eastAsia" w:ascii="宋体" w:hAnsi="宋体"/>
          <w:color w:val="auto"/>
          <w:sz w:val="24"/>
          <w:highlight w:val="none"/>
        </w:rPr>
        <w:t>法定代表人或者委托代理人（签字）：</w:t>
      </w:r>
    </w:p>
    <w:p w14:paraId="183D83B4">
      <w:pPr>
        <w:snapToGrid w:val="0"/>
        <w:spacing w:beforeLines="50" w:after="50" w:line="360" w:lineRule="auto"/>
        <w:ind w:right="480" w:firstLine="5520" w:firstLineChars="2300"/>
        <w:rPr>
          <w:rFonts w:ascii="宋体" w:hAnsi="宋体"/>
          <w:color w:val="auto"/>
          <w:sz w:val="24"/>
          <w:highlight w:val="none"/>
        </w:rPr>
      </w:pPr>
      <w:r>
        <w:rPr>
          <w:rFonts w:hint="eastAsia" w:ascii="宋体" w:hAnsi="宋体"/>
          <w:color w:val="auto"/>
          <w:sz w:val="24"/>
          <w:highlight w:val="none"/>
        </w:rPr>
        <w:t>投标人（盖公章）：</w:t>
      </w:r>
    </w:p>
    <w:p w14:paraId="00D22B00">
      <w:pPr>
        <w:snapToGrid w:val="0"/>
        <w:spacing w:beforeLines="50" w:after="50" w:line="360" w:lineRule="auto"/>
        <w:ind w:right="480" w:firstLine="240" w:firstLineChars="100"/>
        <w:jc w:val="right"/>
        <w:rPr>
          <w:rFonts w:ascii="宋体" w:hAnsi="宋体"/>
          <w:color w:val="auto"/>
          <w:sz w:val="24"/>
          <w:highlight w:val="none"/>
        </w:rPr>
      </w:pPr>
      <w:r>
        <w:rPr>
          <w:rFonts w:hint="eastAsia" w:ascii="宋体" w:hAnsi="宋体"/>
          <w:color w:val="auto"/>
          <w:sz w:val="24"/>
          <w:highlight w:val="none"/>
        </w:rPr>
        <w:t xml:space="preserve"> 年    月    日</w:t>
      </w:r>
    </w:p>
    <w:p w14:paraId="25BDB2F1">
      <w:pPr>
        <w:snapToGrid w:val="0"/>
        <w:spacing w:before="50" w:afterLines="50"/>
        <w:jc w:val="left"/>
        <w:rPr>
          <w:rFonts w:ascii="宋体" w:hAnsi="宋体"/>
          <w:color w:val="auto"/>
          <w:szCs w:val="21"/>
          <w:highlight w:val="none"/>
        </w:rPr>
      </w:pPr>
    </w:p>
    <w:p w14:paraId="05C2D5D1">
      <w:pPr>
        <w:snapToGrid w:val="0"/>
        <w:spacing w:beforeLines="50" w:after="50"/>
        <w:jc w:val="left"/>
        <w:rPr>
          <w:rFonts w:ascii="宋体" w:hAnsi="宋体"/>
          <w:b/>
          <w:color w:val="auto"/>
          <w:sz w:val="24"/>
          <w:szCs w:val="20"/>
          <w:highlight w:val="none"/>
        </w:rPr>
      </w:pPr>
    </w:p>
    <w:p w14:paraId="2668C11F">
      <w:pPr>
        <w:numPr>
          <w:ilvl w:val="2"/>
          <w:numId w:val="4"/>
        </w:numPr>
        <w:snapToGrid w:val="0"/>
        <w:spacing w:beforeLines="50" w:after="50"/>
        <w:ind w:left="0" w:firstLine="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投标声明格式</w:t>
      </w:r>
    </w:p>
    <w:p w14:paraId="5F233A8D">
      <w:pPr>
        <w:snapToGrid w:val="0"/>
        <w:spacing w:before="50" w:afterLines="50"/>
        <w:jc w:val="left"/>
        <w:rPr>
          <w:rFonts w:ascii="宋体" w:hAnsi="宋体"/>
          <w:color w:val="auto"/>
          <w:highlight w:val="none"/>
        </w:rPr>
      </w:pPr>
    </w:p>
    <w:p w14:paraId="6E278297">
      <w:pPr>
        <w:snapToGrid w:val="0"/>
        <w:spacing w:before="50" w:afterLines="50"/>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投标声明</w:t>
      </w:r>
    </w:p>
    <w:p w14:paraId="7139DB8F">
      <w:pPr>
        <w:snapToGrid w:val="0"/>
        <w:spacing w:before="50" w:afterLines="50"/>
        <w:jc w:val="center"/>
        <w:rPr>
          <w:rFonts w:ascii="宋体" w:hAnsi="宋体" w:cs="方正小标宋简体"/>
          <w:bCs/>
          <w:color w:val="auto"/>
          <w:sz w:val="44"/>
          <w:szCs w:val="44"/>
          <w:highlight w:val="none"/>
        </w:rPr>
      </w:pPr>
    </w:p>
    <w:p w14:paraId="572783F4">
      <w:pPr>
        <w:spacing w:line="400" w:lineRule="exact"/>
        <w:contextualSpacing/>
        <w:jc w:val="left"/>
        <w:rPr>
          <w:rFonts w:ascii="宋体" w:hAnsi="宋体"/>
          <w:color w:val="auto"/>
          <w:sz w:val="24"/>
          <w:highlight w:val="none"/>
        </w:rPr>
      </w:pPr>
      <w:r>
        <w:rPr>
          <w:rFonts w:hint="eastAsia" w:ascii="宋体" w:hAnsi="宋体"/>
          <w:color w:val="auto"/>
          <w:sz w:val="24"/>
          <w:highlight w:val="none"/>
        </w:rPr>
        <w:t>（采购人名称）：</w:t>
      </w:r>
    </w:p>
    <w:p w14:paraId="160BD03F">
      <w:pPr>
        <w:spacing w:line="400" w:lineRule="exact"/>
        <w:ind w:firstLine="523" w:firstLineChars="218"/>
        <w:contextualSpacing/>
        <w:jc w:val="left"/>
        <w:rPr>
          <w:rFonts w:ascii="宋体" w:hAnsi="宋体"/>
          <w:color w:val="auto"/>
          <w:sz w:val="24"/>
          <w:highlight w:val="none"/>
        </w:rPr>
      </w:pPr>
      <w:r>
        <w:rPr>
          <w:rFonts w:hint="eastAsia" w:ascii="宋体" w:hAnsi="宋体"/>
          <w:color w:val="auto"/>
          <w:sz w:val="24"/>
          <w:highlight w:val="none"/>
        </w:rPr>
        <w:t>我方参加贵单位组织项目（项目编号：）的政府采购活动。我方在此郑重声明：</w:t>
      </w:r>
    </w:p>
    <w:p w14:paraId="31105D0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B4D1855">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17A32B24">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270D0300">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418FF99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15B9A900">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1A3C00E1">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15F6F3A9">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063795C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（六）法律、行政法规规定的其他条件。</w:t>
      </w:r>
    </w:p>
    <w:p w14:paraId="28EEDB12">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225C05DE">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1649F042">
      <w:pPr>
        <w:spacing w:line="400" w:lineRule="exact"/>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注：如为联合体投标，盖章处须加盖联合体各方公章并由联合体各方法定代表人分别签字，否则投标无效。</w:t>
      </w:r>
    </w:p>
    <w:p w14:paraId="6BF369DD">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法定代表人（签字或者盖章）：</w:t>
      </w:r>
    </w:p>
    <w:p w14:paraId="2C7835AB">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投标人（盖公章）：</w:t>
      </w:r>
    </w:p>
    <w:p w14:paraId="4F79F816">
      <w:pPr>
        <w:spacing w:line="400" w:lineRule="exact"/>
        <w:contextualSpacing/>
        <w:jc w:val="left"/>
        <w:rPr>
          <w:rFonts w:ascii="宋体" w:hAnsi="宋体"/>
          <w:color w:val="auto"/>
          <w:highlight w:val="none"/>
        </w:rPr>
      </w:pPr>
      <w:r>
        <w:rPr>
          <w:rFonts w:hint="eastAsia" w:ascii="宋体" w:hAnsi="宋体"/>
          <w:color w:val="auto"/>
          <w:sz w:val="24"/>
          <w:highlight w:val="none"/>
        </w:rPr>
        <w:t xml:space="preserve">                                                  年    月    日</w:t>
      </w:r>
    </w:p>
    <w:p w14:paraId="64011221">
      <w:pPr>
        <w:rPr>
          <w:rFonts w:ascii="宋体" w:hAnsi="宋体"/>
          <w:b/>
          <w:color w:val="auto"/>
          <w:sz w:val="28"/>
          <w:szCs w:val="28"/>
          <w:highlight w:val="none"/>
        </w:rPr>
      </w:pPr>
      <w:bookmarkStart w:id="155" w:name="_Toc19686838"/>
      <w:r>
        <w:rPr>
          <w:rFonts w:ascii="宋体" w:hAnsi="宋体"/>
          <w:b/>
          <w:color w:val="auto"/>
          <w:sz w:val="28"/>
          <w:szCs w:val="28"/>
          <w:highlight w:val="none"/>
        </w:rPr>
        <w:br w:type="page"/>
      </w:r>
      <w:r>
        <w:rPr>
          <w:rFonts w:hint="eastAsia" w:ascii="宋体" w:hAnsi="宋体"/>
          <w:b/>
          <w:color w:val="auto"/>
          <w:sz w:val="28"/>
          <w:szCs w:val="28"/>
          <w:highlight w:val="none"/>
        </w:rPr>
        <w:t>三、商务文件格式</w:t>
      </w:r>
      <w:bookmarkEnd w:id="155"/>
    </w:p>
    <w:p w14:paraId="26656336">
      <w:pPr>
        <w:snapToGrid w:val="0"/>
        <w:spacing w:beforeLines="50" w:after="50" w:line="360" w:lineRule="auto"/>
        <w:jc w:val="left"/>
        <w:rPr>
          <w:rFonts w:ascii="宋体" w:hAnsi="宋体"/>
          <w:b/>
          <w:color w:val="auto"/>
          <w:sz w:val="24"/>
          <w:highlight w:val="none"/>
        </w:rPr>
      </w:pPr>
      <w:r>
        <w:rPr>
          <w:rFonts w:hint="eastAsia" w:ascii="宋体" w:hAnsi="宋体"/>
          <w:b/>
          <w:color w:val="auto"/>
          <w:sz w:val="24"/>
          <w:highlight w:val="none"/>
        </w:rPr>
        <w:t xml:space="preserve">1.商务文件封面格式： </w:t>
      </w:r>
    </w:p>
    <w:p w14:paraId="72A30E05">
      <w:pPr>
        <w:snapToGrid w:val="0"/>
        <w:spacing w:beforeLines="50" w:after="50"/>
        <w:rPr>
          <w:rFonts w:ascii="宋体" w:hAnsi="宋体"/>
          <w:bCs/>
          <w:color w:val="auto"/>
          <w:sz w:val="32"/>
          <w:szCs w:val="20"/>
          <w:highlight w:val="none"/>
        </w:rPr>
      </w:pPr>
    </w:p>
    <w:p w14:paraId="2D6CBA7E">
      <w:pPr>
        <w:snapToGrid w:val="0"/>
        <w:spacing w:beforeLines="50" w:after="50"/>
        <w:rPr>
          <w:rFonts w:ascii="宋体" w:hAnsi="宋体"/>
          <w:color w:val="auto"/>
          <w:sz w:val="24"/>
          <w:szCs w:val="20"/>
          <w:highlight w:val="none"/>
        </w:rPr>
      </w:pPr>
    </w:p>
    <w:p w14:paraId="60B3B8B2">
      <w:pPr>
        <w:snapToGrid w:val="0"/>
        <w:spacing w:beforeLines="50" w:after="50"/>
        <w:rPr>
          <w:rFonts w:ascii="宋体" w:hAnsi="宋体"/>
          <w:color w:val="auto"/>
          <w:sz w:val="24"/>
          <w:szCs w:val="20"/>
          <w:highlight w:val="none"/>
        </w:rPr>
      </w:pPr>
    </w:p>
    <w:p w14:paraId="395732A8">
      <w:pPr>
        <w:snapToGrid w:val="0"/>
        <w:spacing w:beforeLines="50" w:after="50"/>
        <w:rPr>
          <w:rFonts w:ascii="宋体" w:hAnsi="宋体"/>
          <w:color w:val="auto"/>
          <w:sz w:val="24"/>
          <w:szCs w:val="20"/>
          <w:highlight w:val="none"/>
        </w:rPr>
      </w:pPr>
    </w:p>
    <w:p w14:paraId="33F2405C">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1BE5806F">
      <w:pPr>
        <w:snapToGrid w:val="0"/>
        <w:spacing w:beforeLines="50" w:after="50"/>
        <w:rPr>
          <w:rFonts w:ascii="宋体" w:hAnsi="宋体"/>
          <w:color w:val="auto"/>
          <w:sz w:val="24"/>
          <w:szCs w:val="20"/>
          <w:highlight w:val="none"/>
        </w:rPr>
      </w:pPr>
    </w:p>
    <w:p w14:paraId="36CFD49F">
      <w:pPr>
        <w:snapToGrid w:val="0"/>
        <w:spacing w:beforeLines="50" w:after="50"/>
        <w:rPr>
          <w:rFonts w:ascii="宋体" w:hAnsi="宋体"/>
          <w:color w:val="auto"/>
          <w:sz w:val="24"/>
          <w:szCs w:val="20"/>
          <w:highlight w:val="none"/>
        </w:rPr>
      </w:pPr>
    </w:p>
    <w:p w14:paraId="5DBFC521">
      <w:pPr>
        <w:snapToGrid w:val="0"/>
        <w:spacing w:beforeLines="50" w:after="50"/>
        <w:jc w:val="center"/>
        <w:rPr>
          <w:rFonts w:ascii="宋体" w:hAnsi="宋体" w:cs="方正小标宋简体"/>
          <w:bCs/>
          <w:color w:val="auto"/>
          <w:sz w:val="32"/>
          <w:szCs w:val="32"/>
          <w:highlight w:val="none"/>
        </w:rPr>
      </w:pPr>
      <w:r>
        <w:rPr>
          <w:rFonts w:hint="eastAsia" w:ascii="宋体" w:hAnsi="宋体" w:cs="方正小标宋简体"/>
          <w:bCs/>
          <w:color w:val="auto"/>
          <w:sz w:val="32"/>
          <w:szCs w:val="32"/>
          <w:highlight w:val="none"/>
        </w:rPr>
        <w:t>商  务  文  件</w:t>
      </w:r>
    </w:p>
    <w:p w14:paraId="0FF14BC3">
      <w:pPr>
        <w:snapToGrid w:val="0"/>
        <w:spacing w:beforeLines="50" w:after="50"/>
        <w:rPr>
          <w:rFonts w:ascii="宋体" w:hAnsi="宋体"/>
          <w:bCs/>
          <w:color w:val="auto"/>
          <w:sz w:val="24"/>
          <w:szCs w:val="20"/>
          <w:highlight w:val="none"/>
        </w:rPr>
      </w:pPr>
    </w:p>
    <w:p w14:paraId="558367CC">
      <w:pPr>
        <w:snapToGrid w:val="0"/>
        <w:spacing w:beforeLines="50" w:after="50"/>
        <w:ind w:firstLine="540" w:firstLineChars="225"/>
        <w:rPr>
          <w:rFonts w:ascii="宋体" w:hAnsi="宋体"/>
          <w:bCs/>
          <w:color w:val="auto"/>
          <w:sz w:val="24"/>
          <w:highlight w:val="none"/>
        </w:rPr>
      </w:pPr>
    </w:p>
    <w:p w14:paraId="478F601D">
      <w:pPr>
        <w:snapToGrid w:val="0"/>
        <w:spacing w:beforeLines="50" w:after="50"/>
        <w:ind w:firstLine="540" w:firstLineChars="225"/>
        <w:rPr>
          <w:rFonts w:ascii="宋体" w:hAnsi="宋体"/>
          <w:bCs/>
          <w:color w:val="auto"/>
          <w:sz w:val="24"/>
          <w:highlight w:val="none"/>
        </w:rPr>
      </w:pPr>
    </w:p>
    <w:p w14:paraId="09AE6CC7">
      <w:pPr>
        <w:snapToGrid w:val="0"/>
        <w:spacing w:beforeLines="50" w:after="50"/>
        <w:ind w:firstLine="540" w:firstLineChars="225"/>
        <w:rPr>
          <w:rFonts w:ascii="宋体" w:hAnsi="宋体"/>
          <w:bCs/>
          <w:color w:val="auto"/>
          <w:sz w:val="24"/>
          <w:highlight w:val="none"/>
        </w:rPr>
      </w:pPr>
    </w:p>
    <w:p w14:paraId="2A17DED1">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项目名称：</w:t>
      </w:r>
    </w:p>
    <w:p w14:paraId="2506CB71">
      <w:pPr>
        <w:snapToGrid w:val="0"/>
        <w:spacing w:beforeLines="50" w:after="50"/>
        <w:ind w:firstLine="540" w:firstLineChars="225"/>
        <w:rPr>
          <w:rFonts w:ascii="宋体" w:hAnsi="宋体"/>
          <w:bCs/>
          <w:color w:val="auto"/>
          <w:sz w:val="24"/>
          <w:szCs w:val="20"/>
          <w:highlight w:val="none"/>
        </w:rPr>
      </w:pPr>
    </w:p>
    <w:p w14:paraId="22634818">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740F4E60">
      <w:pPr>
        <w:snapToGrid w:val="0"/>
        <w:spacing w:beforeLines="50" w:after="50"/>
        <w:ind w:firstLine="540" w:firstLineChars="225"/>
        <w:rPr>
          <w:rFonts w:ascii="宋体" w:hAnsi="宋体"/>
          <w:bCs/>
          <w:color w:val="auto"/>
          <w:sz w:val="24"/>
          <w:szCs w:val="20"/>
          <w:highlight w:val="none"/>
        </w:rPr>
      </w:pPr>
    </w:p>
    <w:p w14:paraId="64F89F17">
      <w:pPr>
        <w:snapToGrid w:val="0"/>
        <w:spacing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p>
    <w:p w14:paraId="2CA2694A">
      <w:pPr>
        <w:snapToGrid w:val="0"/>
        <w:spacing w:beforeLines="50" w:after="50"/>
        <w:ind w:firstLine="540" w:firstLineChars="225"/>
        <w:rPr>
          <w:rFonts w:ascii="宋体" w:hAnsi="宋体"/>
          <w:bCs/>
          <w:color w:val="auto"/>
          <w:sz w:val="24"/>
          <w:szCs w:val="20"/>
          <w:highlight w:val="none"/>
        </w:rPr>
      </w:pPr>
    </w:p>
    <w:p w14:paraId="1F4AE729">
      <w:pPr>
        <w:pStyle w:val="1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12DC44FE">
      <w:pPr>
        <w:pStyle w:val="14"/>
        <w:snapToGrid w:val="0"/>
        <w:spacing w:before="50" w:after="50"/>
        <w:ind w:firstLine="540" w:firstLineChars="225"/>
        <w:rPr>
          <w:rFonts w:ascii="宋体" w:hAnsi="宋体"/>
          <w:bCs/>
          <w:color w:val="auto"/>
          <w:sz w:val="24"/>
          <w:szCs w:val="24"/>
          <w:highlight w:val="none"/>
        </w:rPr>
      </w:pPr>
    </w:p>
    <w:p w14:paraId="022BE3F3">
      <w:pPr>
        <w:pStyle w:val="14"/>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投标人地址：</w:t>
      </w:r>
    </w:p>
    <w:p w14:paraId="3A135FDF">
      <w:pPr>
        <w:pStyle w:val="14"/>
        <w:snapToGrid w:val="0"/>
        <w:spacing w:before="50" w:after="50"/>
        <w:ind w:firstLine="960" w:firstLineChars="400"/>
        <w:rPr>
          <w:rFonts w:ascii="宋体" w:hAnsi="宋体"/>
          <w:bCs/>
          <w:color w:val="auto"/>
          <w:sz w:val="24"/>
          <w:szCs w:val="24"/>
          <w:highlight w:val="none"/>
        </w:rPr>
      </w:pPr>
    </w:p>
    <w:p w14:paraId="0852F899">
      <w:pPr>
        <w:snapToGrid w:val="0"/>
        <w:spacing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62DBEF8E">
      <w:pPr>
        <w:snapToGrid w:val="0"/>
        <w:spacing w:beforeLines="50" w:after="50"/>
        <w:rPr>
          <w:rFonts w:ascii="宋体" w:hAnsi="宋体"/>
          <w:color w:val="auto"/>
          <w:sz w:val="24"/>
          <w:szCs w:val="20"/>
          <w:highlight w:val="none"/>
        </w:rPr>
      </w:pPr>
    </w:p>
    <w:p w14:paraId="2978DA12">
      <w:pPr>
        <w:snapToGrid w:val="0"/>
        <w:spacing w:line="360" w:lineRule="auto"/>
        <w:jc w:val="left"/>
        <w:rPr>
          <w:rFonts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4"/>
          <w:highlight w:val="none"/>
        </w:rPr>
        <w:t>2.商务文件目录</w:t>
      </w:r>
    </w:p>
    <w:p w14:paraId="52541C4D">
      <w:pPr>
        <w:snapToGrid w:val="0"/>
        <w:spacing w:before="50" w:afterLines="50" w:line="360" w:lineRule="auto"/>
        <w:ind w:firstLine="480" w:firstLineChars="200"/>
        <w:jc w:val="left"/>
        <w:rPr>
          <w:rFonts w:ascii="宋体" w:hAnsi="宋体"/>
          <w:b/>
          <w:bCs/>
          <w:color w:val="auto"/>
          <w:sz w:val="32"/>
          <w:szCs w:val="32"/>
          <w:highlight w:val="none"/>
        </w:rPr>
      </w:pPr>
      <w:r>
        <w:rPr>
          <w:rFonts w:hint="eastAsia" w:ascii="宋体" w:hAnsi="宋体"/>
          <w:color w:val="auto"/>
          <w:sz w:val="24"/>
          <w:highlight w:val="none"/>
        </w:rPr>
        <w:t>根据招标文件规定及投标人提供的材料自行编写目录。</w:t>
      </w:r>
    </w:p>
    <w:p w14:paraId="2A25328C">
      <w:pPr>
        <w:snapToGrid w:val="0"/>
        <w:spacing w:before="50" w:afterLines="50"/>
        <w:jc w:val="left"/>
        <w:rPr>
          <w:rFonts w:ascii="宋体" w:hAnsi="宋体"/>
          <w:color w:val="auto"/>
          <w:highlight w:val="none"/>
        </w:rPr>
      </w:pPr>
    </w:p>
    <w:p w14:paraId="41108808">
      <w:pPr>
        <w:snapToGrid w:val="0"/>
        <w:spacing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78ED3362">
      <w:pPr>
        <w:snapToGrid w:val="0"/>
        <w:spacing w:beforeLines="50" w:after="50"/>
        <w:jc w:val="left"/>
        <w:rPr>
          <w:rFonts w:ascii="宋体" w:hAnsi="宋体"/>
          <w:b/>
          <w:color w:val="auto"/>
          <w:sz w:val="24"/>
          <w:highlight w:val="none"/>
        </w:rPr>
      </w:pPr>
    </w:p>
    <w:p w14:paraId="68F28CC5">
      <w:pPr>
        <w:spacing w:line="360" w:lineRule="auto"/>
        <w:ind w:left="420"/>
        <w:contextualSpacing/>
        <w:jc w:val="center"/>
        <w:rPr>
          <w:rFonts w:ascii="宋体" w:hAnsi="宋体"/>
          <w:b/>
          <w:color w:val="auto"/>
          <w:sz w:val="24"/>
          <w:highlight w:val="none"/>
        </w:rPr>
      </w:pPr>
      <w:r>
        <w:rPr>
          <w:rFonts w:hint="eastAsia" w:ascii="宋体" w:hAnsi="宋体" w:cs="方正小标宋简体"/>
          <w:bCs/>
          <w:color w:val="auto"/>
          <w:spacing w:val="-11"/>
          <w:sz w:val="44"/>
          <w:szCs w:val="44"/>
          <w:highlight w:val="none"/>
        </w:rPr>
        <w:t>投标人参加本项目无围标串标行为的承诺函</w:t>
      </w:r>
    </w:p>
    <w:p w14:paraId="3F91024D">
      <w:pPr>
        <w:spacing w:line="440" w:lineRule="exact"/>
        <w:contextualSpacing/>
        <w:jc w:val="left"/>
        <w:rPr>
          <w:rFonts w:ascii="宋体" w:hAnsi="宋体"/>
          <w:b/>
          <w:color w:val="auto"/>
          <w:sz w:val="24"/>
          <w:highlight w:val="none"/>
        </w:rPr>
      </w:pPr>
      <w:r>
        <w:rPr>
          <w:rFonts w:hint="eastAsia" w:ascii="宋体" w:hAnsi="宋体"/>
          <w:b/>
          <w:color w:val="auto"/>
          <w:sz w:val="24"/>
          <w:highlight w:val="none"/>
        </w:rPr>
        <w:t>一、我方承诺无下列相互串通投标的情形：</w:t>
      </w:r>
    </w:p>
    <w:p w14:paraId="79163582">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1.不同投标人的投标文件由同一单位或者个人编制；</w:t>
      </w:r>
    </w:p>
    <w:p w14:paraId="1E427D44">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2.不同投标人委托同一单位或者个人办理投标事宜；</w:t>
      </w:r>
    </w:p>
    <w:p w14:paraId="7290BB95">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0D51D599">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47E1008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5.不同投标人的投标文件相互混装；</w:t>
      </w:r>
    </w:p>
    <w:p w14:paraId="3F9D29A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312629DC">
      <w:pPr>
        <w:spacing w:line="440" w:lineRule="exact"/>
        <w:contextualSpacing/>
        <w:jc w:val="left"/>
        <w:rPr>
          <w:rFonts w:ascii="宋体" w:hAnsi="宋体"/>
          <w:color w:val="auto"/>
          <w:sz w:val="24"/>
          <w:highlight w:val="none"/>
        </w:rPr>
      </w:pPr>
      <w:r>
        <w:rPr>
          <w:rFonts w:hint="eastAsia" w:ascii="宋体" w:hAnsi="宋体"/>
          <w:b/>
          <w:color w:val="auto"/>
          <w:sz w:val="24"/>
          <w:highlight w:val="none"/>
        </w:rPr>
        <w:t>二、我方承诺无下列恶意串通的情形：</w:t>
      </w:r>
    </w:p>
    <w:p w14:paraId="7DF9DEDB">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3CAB2AD8">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1F1302B9">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1B93131A">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649255EE">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067CF9D">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2A0EECF2">
      <w:pPr>
        <w:spacing w:line="440" w:lineRule="exact"/>
        <w:ind w:firstLine="470" w:firstLineChars="196"/>
        <w:contextualSpacing/>
        <w:jc w:val="left"/>
        <w:rPr>
          <w:rFonts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351164FD">
      <w:pPr>
        <w:spacing w:line="440" w:lineRule="exact"/>
        <w:ind w:firstLine="472" w:firstLineChars="196"/>
        <w:contextualSpacing/>
        <w:jc w:val="left"/>
        <w:rPr>
          <w:rFonts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0865C476">
      <w:pPr>
        <w:pStyle w:val="25"/>
        <w:spacing w:line="440" w:lineRule="exact"/>
        <w:ind w:firstLine="6840" w:firstLineChars="2850"/>
        <w:contextualSpacing/>
        <w:rPr>
          <w:rFonts w:hAnsi="宋体"/>
          <w:color w:val="auto"/>
          <w:sz w:val="24"/>
          <w:szCs w:val="24"/>
          <w:highlight w:val="none"/>
        </w:rPr>
      </w:pPr>
    </w:p>
    <w:p w14:paraId="5DE5B387">
      <w:pPr>
        <w:pStyle w:val="25"/>
        <w:spacing w:line="440" w:lineRule="exact"/>
        <w:contextualSpacing/>
        <w:jc w:val="center"/>
        <w:rPr>
          <w:rFonts w:hAnsi="宋体"/>
          <w:color w:val="auto"/>
          <w:sz w:val="24"/>
          <w:szCs w:val="24"/>
          <w:highlight w:val="none"/>
        </w:rPr>
      </w:pPr>
      <w:r>
        <w:rPr>
          <w:rFonts w:hint="eastAsia" w:hAnsi="宋体"/>
          <w:color w:val="auto"/>
          <w:sz w:val="24"/>
          <w:szCs w:val="24"/>
          <w:highlight w:val="none"/>
        </w:rPr>
        <w:t>投标人名称（公章）</w:t>
      </w:r>
    </w:p>
    <w:p w14:paraId="2769639D">
      <w:pPr>
        <w:pStyle w:val="25"/>
        <w:spacing w:line="440" w:lineRule="exact"/>
        <w:contextualSpacing/>
        <w:rPr>
          <w:rFonts w:hAnsi="宋体"/>
          <w:color w:val="auto"/>
          <w:sz w:val="24"/>
          <w:highlight w:val="none"/>
        </w:rPr>
      </w:pPr>
      <w:r>
        <w:rPr>
          <w:rFonts w:hint="eastAsia" w:hAnsi="宋体"/>
          <w:color w:val="auto"/>
          <w:sz w:val="24"/>
          <w:highlight w:val="none"/>
        </w:rPr>
        <w:t>年月日</w:t>
      </w:r>
    </w:p>
    <w:p w14:paraId="3786D611">
      <w:pPr>
        <w:snapToGrid w:val="0"/>
        <w:spacing w:beforeLines="50" w:after="50"/>
        <w:jc w:val="left"/>
        <w:rPr>
          <w:rFonts w:ascii="宋体" w:hAnsi="宋体"/>
          <w:b/>
          <w:color w:val="auto"/>
          <w:sz w:val="24"/>
          <w:szCs w:val="20"/>
          <w:highlight w:val="none"/>
        </w:rPr>
      </w:pPr>
      <w:r>
        <w:rPr>
          <w:rFonts w:hint="eastAsia" w:ascii="宋体" w:hAnsi="宋体"/>
          <w:b/>
          <w:color w:val="auto"/>
          <w:sz w:val="24"/>
          <w:highlight w:val="none"/>
        </w:rPr>
        <w:t>4.法定代表人身份证明</w:t>
      </w:r>
    </w:p>
    <w:p w14:paraId="64AAFBAB">
      <w:pPr>
        <w:spacing w:beforeLines="100" w:afterLines="50"/>
        <w:ind w:left="540"/>
        <w:jc w:val="center"/>
        <w:rPr>
          <w:rFonts w:ascii="宋体" w:hAnsi="宋体"/>
          <w:b/>
          <w:color w:val="auto"/>
          <w:sz w:val="32"/>
          <w:szCs w:val="32"/>
          <w:highlight w:val="none"/>
        </w:rPr>
      </w:pPr>
    </w:p>
    <w:p w14:paraId="6E362F99">
      <w:pPr>
        <w:spacing w:beforeLines="100" w:afterLines="50"/>
        <w:ind w:left="540"/>
        <w:jc w:val="center"/>
        <w:rPr>
          <w:rFonts w:ascii="宋体" w:hAnsi="宋体" w:cs="方正小标宋简体"/>
          <w:bCs/>
          <w:color w:val="auto"/>
          <w:sz w:val="44"/>
          <w:szCs w:val="44"/>
          <w:highlight w:val="none"/>
        </w:rPr>
      </w:pPr>
      <w:r>
        <w:rPr>
          <w:rFonts w:ascii="宋体" w:hAnsi="宋体" w:cs="方正小标宋简体"/>
          <w:bCs/>
          <w:color w:val="auto"/>
          <w:sz w:val="44"/>
          <w:szCs w:val="44"/>
          <w:highlight w:val="none"/>
        </w:rPr>
        <w:br w:type="page"/>
      </w:r>
      <w:r>
        <w:rPr>
          <w:rFonts w:hint="eastAsia" w:ascii="宋体" w:hAnsi="宋体" w:cs="方正小标宋简体"/>
          <w:bCs/>
          <w:color w:val="auto"/>
          <w:sz w:val="44"/>
          <w:szCs w:val="44"/>
          <w:highlight w:val="none"/>
        </w:rPr>
        <w:t>法定代表人身份证明</w:t>
      </w:r>
    </w:p>
    <w:p w14:paraId="7F7DEBA1">
      <w:pPr>
        <w:spacing w:line="500" w:lineRule="exact"/>
        <w:ind w:left="540"/>
        <w:rPr>
          <w:rFonts w:ascii="宋体" w:hAnsi="宋体"/>
          <w:color w:val="auto"/>
          <w:sz w:val="24"/>
          <w:highlight w:val="none"/>
        </w:rPr>
      </w:pPr>
      <w:r>
        <w:rPr>
          <w:rFonts w:hint="eastAsia" w:ascii="宋体" w:hAnsi="宋体"/>
          <w:color w:val="auto"/>
          <w:sz w:val="24"/>
          <w:highlight w:val="none"/>
        </w:rPr>
        <w:t>投 标 人：</w:t>
      </w:r>
    </w:p>
    <w:p w14:paraId="74FC2DE6">
      <w:pPr>
        <w:spacing w:line="500" w:lineRule="exact"/>
        <w:ind w:left="540"/>
        <w:rPr>
          <w:rFonts w:ascii="宋体" w:hAnsi="宋体"/>
          <w:color w:val="auto"/>
          <w:sz w:val="24"/>
          <w:highlight w:val="none"/>
        </w:rPr>
      </w:pPr>
      <w:r>
        <w:rPr>
          <w:rFonts w:hint="eastAsia" w:ascii="宋体" w:hAnsi="宋体"/>
          <w:color w:val="auto"/>
          <w:sz w:val="24"/>
          <w:highlight w:val="none"/>
        </w:rPr>
        <w:t>地    址：</w:t>
      </w:r>
    </w:p>
    <w:p w14:paraId="3B1A98AA">
      <w:pPr>
        <w:spacing w:line="500" w:lineRule="exact"/>
        <w:ind w:left="540"/>
        <w:rPr>
          <w:rFonts w:ascii="宋体" w:hAnsi="宋体"/>
          <w:color w:val="auto"/>
          <w:sz w:val="24"/>
          <w:highlight w:val="none"/>
        </w:rPr>
      </w:pPr>
      <w:r>
        <w:rPr>
          <w:rFonts w:hint="eastAsia" w:ascii="宋体" w:hAnsi="宋体"/>
          <w:color w:val="auto"/>
          <w:sz w:val="24"/>
          <w:highlight w:val="none"/>
        </w:rPr>
        <w:t>姓    名：性      别：</w:t>
      </w:r>
    </w:p>
    <w:p w14:paraId="583EFBA7">
      <w:pPr>
        <w:spacing w:line="500" w:lineRule="exact"/>
        <w:ind w:left="540"/>
        <w:rPr>
          <w:rFonts w:ascii="宋体" w:hAnsi="宋体"/>
          <w:color w:val="auto"/>
          <w:sz w:val="24"/>
          <w:highlight w:val="none"/>
          <w:u w:val="single"/>
        </w:rPr>
      </w:pPr>
      <w:r>
        <w:rPr>
          <w:rFonts w:hint="eastAsia" w:ascii="宋体" w:hAnsi="宋体"/>
          <w:color w:val="auto"/>
          <w:sz w:val="24"/>
          <w:highlight w:val="none"/>
        </w:rPr>
        <w:t>年    龄：职      务：</w:t>
      </w:r>
    </w:p>
    <w:p w14:paraId="260BFA19">
      <w:pPr>
        <w:spacing w:line="500" w:lineRule="exact"/>
        <w:ind w:left="540"/>
        <w:rPr>
          <w:rFonts w:ascii="宋体" w:hAnsi="宋体"/>
          <w:color w:val="auto"/>
          <w:sz w:val="24"/>
          <w:highlight w:val="none"/>
        </w:rPr>
      </w:pPr>
      <w:r>
        <w:rPr>
          <w:rFonts w:hint="eastAsia" w:ascii="宋体" w:hAnsi="宋体"/>
          <w:color w:val="auto"/>
          <w:sz w:val="24"/>
          <w:highlight w:val="none"/>
        </w:rPr>
        <w:t>身份证号码：</w:t>
      </w:r>
    </w:p>
    <w:p w14:paraId="2355F37B">
      <w:pPr>
        <w:spacing w:line="500" w:lineRule="exact"/>
        <w:ind w:left="540"/>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5ED93054">
      <w:pPr>
        <w:spacing w:line="500" w:lineRule="exact"/>
        <w:ind w:left="540"/>
        <w:rPr>
          <w:rFonts w:ascii="宋体" w:hAnsi="宋体"/>
          <w:color w:val="auto"/>
          <w:sz w:val="24"/>
          <w:highlight w:val="none"/>
        </w:rPr>
      </w:pPr>
      <w:r>
        <w:rPr>
          <w:rFonts w:hint="eastAsia" w:ascii="宋体" w:hAnsi="宋体"/>
          <w:color w:val="auto"/>
          <w:sz w:val="24"/>
          <w:highlight w:val="none"/>
        </w:rPr>
        <w:t>特此证明。</w:t>
      </w:r>
    </w:p>
    <w:p w14:paraId="1739C295">
      <w:pPr>
        <w:spacing w:line="500" w:lineRule="exact"/>
        <w:ind w:left="540"/>
        <w:rPr>
          <w:rFonts w:ascii="宋体" w:hAnsi="宋体"/>
          <w:color w:val="auto"/>
          <w:sz w:val="24"/>
          <w:highlight w:val="none"/>
        </w:rPr>
      </w:pPr>
    </w:p>
    <w:p w14:paraId="4DCEBF5C">
      <w:pPr>
        <w:spacing w:line="500" w:lineRule="exact"/>
        <w:ind w:left="540"/>
        <w:rPr>
          <w:rFonts w:ascii="宋体" w:hAnsi="宋体"/>
          <w:color w:val="auto"/>
          <w:sz w:val="24"/>
          <w:highlight w:val="none"/>
        </w:rPr>
      </w:pPr>
    </w:p>
    <w:p w14:paraId="20BCF906">
      <w:pPr>
        <w:spacing w:line="500" w:lineRule="exact"/>
        <w:ind w:left="540"/>
        <w:rPr>
          <w:rFonts w:ascii="宋体" w:hAnsi="宋体"/>
          <w:color w:val="auto"/>
          <w:sz w:val="24"/>
          <w:highlight w:val="none"/>
        </w:rPr>
      </w:pPr>
      <w:r>
        <w:rPr>
          <w:rFonts w:hint="eastAsia" w:ascii="宋体" w:hAnsi="宋体"/>
          <w:color w:val="auto"/>
          <w:sz w:val="24"/>
          <w:highlight w:val="none"/>
        </w:rPr>
        <w:t>附件：法定代表人有效身份证正反面复印件</w:t>
      </w:r>
    </w:p>
    <w:p w14:paraId="2732A7B3">
      <w:pPr>
        <w:spacing w:line="500" w:lineRule="exact"/>
        <w:ind w:left="540"/>
        <w:rPr>
          <w:rFonts w:ascii="宋体" w:hAnsi="宋体"/>
          <w:color w:val="auto"/>
          <w:sz w:val="24"/>
          <w:highlight w:val="none"/>
        </w:rPr>
      </w:pPr>
    </w:p>
    <w:p w14:paraId="05ACB875">
      <w:pPr>
        <w:spacing w:line="500" w:lineRule="exact"/>
        <w:ind w:left="540"/>
        <w:jc w:val="right"/>
        <w:rPr>
          <w:rFonts w:ascii="宋体" w:hAnsi="宋体"/>
          <w:color w:val="auto"/>
          <w:sz w:val="24"/>
          <w:highlight w:val="none"/>
        </w:rPr>
      </w:pPr>
      <w:r>
        <w:rPr>
          <w:rFonts w:hint="eastAsia" w:ascii="宋体" w:hAnsi="宋体"/>
          <w:color w:val="auto"/>
          <w:sz w:val="24"/>
          <w:highlight w:val="none"/>
        </w:rPr>
        <w:t>投标人名称（公章）</w:t>
      </w:r>
    </w:p>
    <w:p w14:paraId="19625934">
      <w:pPr>
        <w:spacing w:line="500" w:lineRule="exact"/>
        <w:ind w:left="540"/>
        <w:jc w:val="right"/>
        <w:rPr>
          <w:rFonts w:ascii="宋体" w:hAnsi="宋体"/>
          <w:color w:val="auto"/>
          <w:sz w:val="24"/>
          <w:highlight w:val="none"/>
        </w:rPr>
      </w:pPr>
    </w:p>
    <w:p w14:paraId="7FEF11B0">
      <w:pPr>
        <w:snapToGrid w:val="0"/>
        <w:spacing w:beforeLines="50" w:after="50"/>
        <w:ind w:left="540"/>
        <w:jc w:val="right"/>
        <w:rPr>
          <w:rFonts w:ascii="宋体" w:hAnsi="宋体"/>
          <w:color w:val="auto"/>
          <w:sz w:val="24"/>
          <w:highlight w:val="none"/>
        </w:rPr>
      </w:pPr>
      <w:r>
        <w:rPr>
          <w:rFonts w:hint="eastAsia" w:ascii="宋体" w:hAnsi="宋体"/>
          <w:color w:val="auto"/>
          <w:sz w:val="24"/>
          <w:highlight w:val="none"/>
        </w:rPr>
        <w:t>年月日</w:t>
      </w:r>
    </w:p>
    <w:p w14:paraId="1410F9ED">
      <w:pPr>
        <w:snapToGrid w:val="0"/>
        <w:spacing w:beforeLines="50" w:after="50"/>
        <w:jc w:val="center"/>
        <w:rPr>
          <w:rFonts w:ascii="宋体" w:hAnsi="宋体"/>
          <w:b/>
          <w:color w:val="auto"/>
          <w:sz w:val="24"/>
          <w:highlight w:val="none"/>
        </w:rPr>
      </w:pPr>
    </w:p>
    <w:p w14:paraId="174746F5">
      <w:pPr>
        <w:snapToGrid w:val="0"/>
        <w:spacing w:beforeLines="50" w:after="50"/>
        <w:jc w:val="left"/>
        <w:rPr>
          <w:rFonts w:ascii="宋体" w:hAnsi="宋体"/>
          <w:b/>
          <w:color w:val="auto"/>
          <w:sz w:val="24"/>
          <w:szCs w:val="20"/>
          <w:highlight w:val="none"/>
        </w:rPr>
      </w:pPr>
      <w:r>
        <w:rPr>
          <w:rFonts w:hint="eastAsia" w:ascii="宋体" w:hAnsi="宋体"/>
          <w:color w:val="auto"/>
          <w:sz w:val="24"/>
          <w:highlight w:val="none"/>
        </w:rPr>
        <w:t>注：自然人投标的无需提供</w:t>
      </w:r>
    </w:p>
    <w:p w14:paraId="5FA8E012">
      <w:pPr>
        <w:snapToGrid w:val="0"/>
        <w:spacing w:beforeLines="50" w:after="50"/>
        <w:jc w:val="left"/>
        <w:rPr>
          <w:rFonts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00039DEC">
      <w:pPr>
        <w:snapToGrid w:val="0"/>
        <w:spacing w:beforeLines="50" w:after="50"/>
        <w:jc w:val="center"/>
        <w:rPr>
          <w:rFonts w:ascii="宋体" w:hAnsi="宋体"/>
          <w:b/>
          <w:color w:val="auto"/>
          <w:sz w:val="44"/>
          <w:szCs w:val="44"/>
          <w:highlight w:val="none"/>
        </w:rPr>
      </w:pPr>
    </w:p>
    <w:p w14:paraId="4EBA71C4">
      <w:pPr>
        <w:spacing w:line="360" w:lineRule="auto"/>
        <w:contextualSpacing/>
        <w:jc w:val="center"/>
        <w:rPr>
          <w:rFonts w:ascii="宋体" w:hAnsi="宋体" w:cs="方正小标宋简体"/>
          <w:bCs/>
          <w:color w:val="auto"/>
          <w:sz w:val="44"/>
          <w:szCs w:val="44"/>
          <w:highlight w:val="none"/>
        </w:rPr>
      </w:pPr>
      <w:r>
        <w:rPr>
          <w:rFonts w:hint="eastAsia" w:ascii="宋体" w:hAnsi="宋体" w:cs="方正小标宋简体"/>
          <w:bCs/>
          <w:color w:val="auto"/>
          <w:sz w:val="44"/>
          <w:szCs w:val="44"/>
          <w:highlight w:val="none"/>
        </w:rPr>
        <w:t>授权委托书</w:t>
      </w:r>
    </w:p>
    <w:p w14:paraId="3C158E34">
      <w:pPr>
        <w:spacing w:line="360" w:lineRule="auto"/>
        <w:contextualSpacing/>
        <w:jc w:val="center"/>
        <w:rPr>
          <w:rFonts w:ascii="宋体" w:hAnsi="宋体" w:cs="方正小标宋简体"/>
          <w:bCs/>
          <w:color w:val="auto"/>
          <w:sz w:val="32"/>
          <w:szCs w:val="32"/>
          <w:highlight w:val="none"/>
        </w:rPr>
      </w:pPr>
      <w:r>
        <w:rPr>
          <w:rFonts w:hint="eastAsia" w:ascii="宋体" w:hAnsi="宋体" w:cs="方正小标宋简体"/>
          <w:bCs/>
          <w:color w:val="auto"/>
          <w:sz w:val="32"/>
          <w:szCs w:val="32"/>
          <w:highlight w:val="none"/>
        </w:rPr>
        <w:t>（非联合体投标格式）</w:t>
      </w:r>
    </w:p>
    <w:p w14:paraId="03B395E9">
      <w:pPr>
        <w:spacing w:line="360" w:lineRule="auto"/>
        <w:contextualSpacing/>
        <w:jc w:val="center"/>
        <w:rPr>
          <w:rFonts w:ascii="宋体" w:hAnsi="宋体" w:cs="方正小标宋简体"/>
          <w:bCs/>
          <w:color w:val="auto"/>
          <w:sz w:val="24"/>
          <w:highlight w:val="none"/>
        </w:rPr>
      </w:pPr>
      <w:r>
        <w:rPr>
          <w:rFonts w:hint="eastAsia" w:ascii="宋体" w:hAnsi="宋体" w:cs="方正小标宋简体"/>
          <w:bCs/>
          <w:color w:val="auto"/>
          <w:sz w:val="32"/>
          <w:szCs w:val="32"/>
          <w:highlight w:val="none"/>
        </w:rPr>
        <w:t>（如有委托时）</w:t>
      </w:r>
    </w:p>
    <w:p w14:paraId="625F6E87">
      <w:pPr>
        <w:spacing w:line="440" w:lineRule="exact"/>
        <w:contextualSpacing/>
        <w:jc w:val="center"/>
        <w:rPr>
          <w:rFonts w:ascii="宋体" w:hAnsi="宋体"/>
          <w:b/>
          <w:color w:val="auto"/>
          <w:sz w:val="24"/>
          <w:highlight w:val="none"/>
        </w:rPr>
      </w:pPr>
    </w:p>
    <w:p w14:paraId="709F4BFC">
      <w:pPr>
        <w:spacing w:line="440" w:lineRule="exact"/>
        <w:contextualSpacing/>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2BCD0C9">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我（姓名）系（投标人名称）的法定代表人，现授权委托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47D05813">
      <w:pPr>
        <w:spacing w:line="440" w:lineRule="exact"/>
        <w:contextualSpacing/>
        <w:rPr>
          <w:rFonts w:ascii="宋体" w:hAnsi="宋体"/>
          <w:color w:val="auto"/>
          <w:sz w:val="24"/>
          <w:highlight w:val="none"/>
        </w:rPr>
      </w:pPr>
      <w:r>
        <w:rPr>
          <w:rFonts w:hint="eastAsia" w:ascii="宋体" w:hAnsi="宋体"/>
          <w:color w:val="auto"/>
          <w:sz w:val="24"/>
          <w:highlight w:val="none"/>
        </w:rPr>
        <w:t xml:space="preserve">    我方对委托代理人的签字事项负全部责任。</w:t>
      </w:r>
    </w:p>
    <w:p w14:paraId="22049076">
      <w:pPr>
        <w:spacing w:line="440" w:lineRule="exact"/>
        <w:ind w:firstLine="480"/>
        <w:contextualSpacing/>
        <w:rPr>
          <w:rFonts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266EE1F1">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62A0EACF">
      <w:pPr>
        <w:spacing w:line="440" w:lineRule="exact"/>
        <w:ind w:firstLine="480"/>
        <w:contextualSpacing/>
        <w:rPr>
          <w:rFonts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1B00BED7">
      <w:pPr>
        <w:spacing w:line="440" w:lineRule="exact"/>
        <w:contextualSpacing/>
        <w:rPr>
          <w:rFonts w:ascii="宋体" w:hAnsi="宋体"/>
          <w:color w:val="auto"/>
          <w:sz w:val="24"/>
          <w:highlight w:val="none"/>
        </w:rPr>
      </w:pPr>
    </w:p>
    <w:p w14:paraId="14604D0D">
      <w:pPr>
        <w:spacing w:line="440" w:lineRule="exact"/>
        <w:contextualSpacing/>
        <w:rPr>
          <w:rFonts w:ascii="宋体" w:hAnsi="宋体"/>
          <w:color w:val="auto"/>
          <w:sz w:val="24"/>
          <w:highlight w:val="none"/>
          <w:u w:val="single"/>
        </w:rPr>
      </w:pPr>
      <w:r>
        <w:rPr>
          <w:rFonts w:hint="eastAsia" w:ascii="宋体" w:hAnsi="宋体"/>
          <w:color w:val="auto"/>
          <w:sz w:val="24"/>
          <w:highlight w:val="none"/>
        </w:rPr>
        <w:t>委托代理人（签字）：            法定代表人（签字或者盖章）：</w:t>
      </w:r>
    </w:p>
    <w:p w14:paraId="6FD417F3">
      <w:pPr>
        <w:spacing w:line="440" w:lineRule="exact"/>
        <w:contextualSpacing/>
        <w:rPr>
          <w:rFonts w:ascii="宋体" w:hAnsi="宋体"/>
          <w:color w:val="auto"/>
          <w:sz w:val="24"/>
          <w:highlight w:val="none"/>
        </w:rPr>
      </w:pPr>
      <w:r>
        <w:rPr>
          <w:rFonts w:hint="eastAsia" w:ascii="宋体" w:hAnsi="宋体"/>
          <w:color w:val="auto"/>
          <w:sz w:val="24"/>
          <w:highlight w:val="none"/>
        </w:rPr>
        <w:t>委托代理人身份证号码：</w:t>
      </w:r>
    </w:p>
    <w:p w14:paraId="177D3003">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投标人（盖公章）：</w:t>
      </w:r>
    </w:p>
    <w:p w14:paraId="5C51B629">
      <w:pPr>
        <w:spacing w:line="440" w:lineRule="exact"/>
        <w:contextualSpacing/>
        <w:jc w:val="center"/>
        <w:rPr>
          <w:rFonts w:ascii="宋体" w:hAnsi="宋体"/>
          <w:color w:val="auto"/>
          <w:sz w:val="24"/>
          <w:highlight w:val="none"/>
        </w:rPr>
      </w:pPr>
      <w:r>
        <w:rPr>
          <w:rFonts w:hint="eastAsia" w:ascii="宋体" w:hAnsi="宋体"/>
          <w:color w:val="auto"/>
          <w:sz w:val="24"/>
          <w:highlight w:val="none"/>
        </w:rPr>
        <w:t xml:space="preserve">                                              年    月    日</w:t>
      </w:r>
    </w:p>
    <w:p w14:paraId="63EF2184">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w:t>
      </w:r>
      <w:bookmarkStart w:id="156" w:name="_Hlk65851555"/>
      <w:bookmarkStart w:id="157" w:name="_Hlk65851620"/>
      <w:r>
        <w:rPr>
          <w:rFonts w:hint="eastAsia" w:ascii="宋体" w:hAnsi="宋体" w:cs="仿宋_GB2312"/>
          <w:color w:val="auto"/>
          <w:sz w:val="24"/>
          <w:highlight w:val="none"/>
        </w:rPr>
        <w:t>法定代表人必须在授权委托书上亲笔签字或者盖章，</w:t>
      </w:r>
      <w:bookmarkEnd w:id="156"/>
      <w:r>
        <w:rPr>
          <w:rFonts w:hint="eastAsia" w:ascii="宋体" w:hAnsi="宋体" w:cs="仿宋_GB2312"/>
          <w:color w:val="auto"/>
          <w:sz w:val="24"/>
          <w:highlight w:val="none"/>
        </w:rPr>
        <w:t>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57"/>
    </w:p>
    <w:p w14:paraId="0672C72E">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57567F8">
      <w:pPr>
        <w:snapToGrid w:val="0"/>
        <w:spacing w:beforeLines="50" w:after="50"/>
        <w:ind w:firstLine="566" w:firstLineChars="236"/>
        <w:jc w:val="center"/>
        <w:rPr>
          <w:rFonts w:ascii="宋体" w:hAnsi="宋体" w:cs="方正小标宋简体"/>
          <w:color w:val="auto"/>
          <w:sz w:val="44"/>
          <w:szCs w:val="44"/>
          <w:highlight w:val="none"/>
        </w:rPr>
      </w:pPr>
      <w:r>
        <w:rPr>
          <w:rFonts w:ascii="宋体" w:hAnsi="宋体"/>
          <w:color w:val="auto"/>
          <w:sz w:val="24"/>
          <w:highlight w:val="none"/>
        </w:rPr>
        <w:br w:type="page"/>
      </w:r>
      <w:r>
        <w:rPr>
          <w:rFonts w:hint="eastAsia" w:ascii="宋体" w:hAnsi="宋体" w:cs="方正小标宋简体"/>
          <w:color w:val="auto"/>
          <w:sz w:val="44"/>
          <w:szCs w:val="44"/>
          <w:highlight w:val="none"/>
        </w:rPr>
        <w:t>授权委托书</w:t>
      </w:r>
    </w:p>
    <w:p w14:paraId="641FF15E">
      <w:pPr>
        <w:snapToGrid w:val="0"/>
        <w:spacing w:beforeLines="50" w:after="50"/>
        <w:ind w:firstLine="755" w:firstLineChars="236"/>
        <w:jc w:val="center"/>
        <w:rPr>
          <w:rFonts w:ascii="宋体" w:hAnsi="宋体" w:cs="方正小标宋简体"/>
          <w:color w:val="auto"/>
          <w:sz w:val="32"/>
          <w:szCs w:val="32"/>
          <w:highlight w:val="none"/>
        </w:rPr>
      </w:pPr>
      <w:r>
        <w:rPr>
          <w:rFonts w:hint="eastAsia" w:ascii="宋体" w:hAnsi="宋体" w:cs="方正小标宋简体"/>
          <w:color w:val="auto"/>
          <w:sz w:val="32"/>
          <w:szCs w:val="32"/>
          <w:highlight w:val="none"/>
        </w:rPr>
        <w:t>（联合体投标格式）</w:t>
      </w:r>
    </w:p>
    <w:p w14:paraId="74FA5A33">
      <w:pPr>
        <w:snapToGrid w:val="0"/>
        <w:spacing w:beforeLines="50" w:after="50"/>
        <w:ind w:firstLine="755" w:firstLineChars="236"/>
        <w:jc w:val="center"/>
        <w:rPr>
          <w:rFonts w:ascii="宋体" w:hAnsi="宋体" w:cs="方正小标宋简体"/>
          <w:color w:val="auto"/>
          <w:sz w:val="24"/>
          <w:highlight w:val="none"/>
        </w:rPr>
      </w:pPr>
      <w:r>
        <w:rPr>
          <w:rFonts w:hint="eastAsia" w:ascii="宋体" w:hAnsi="宋体" w:cs="方正小标宋简体"/>
          <w:color w:val="auto"/>
          <w:sz w:val="32"/>
          <w:szCs w:val="32"/>
          <w:highlight w:val="none"/>
        </w:rPr>
        <w:t>（如有委托时）</w:t>
      </w:r>
    </w:p>
    <w:p w14:paraId="2AB8ED3A">
      <w:pPr>
        <w:spacing w:line="440" w:lineRule="exact"/>
        <w:contextualSpacing/>
        <w:jc w:val="left"/>
        <w:rPr>
          <w:rFonts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5E3E008D">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1B57C3B5">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我方对委托代理人的签字事项负全部责任。</w:t>
      </w:r>
    </w:p>
    <w:p w14:paraId="464E7247">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2BD973A4">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委托代理人无转委托权，特此委托。</w:t>
      </w:r>
    </w:p>
    <w:p w14:paraId="01A80AB9">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6558FFA8">
      <w:pPr>
        <w:spacing w:line="440" w:lineRule="exact"/>
        <w:ind w:firstLine="566" w:firstLineChars="236"/>
        <w:contextualSpacing/>
        <w:rPr>
          <w:rFonts w:ascii="宋体" w:hAnsi="宋体"/>
          <w:color w:val="auto"/>
          <w:sz w:val="24"/>
          <w:highlight w:val="none"/>
        </w:rPr>
      </w:pPr>
    </w:p>
    <w:p w14:paraId="007CCB99">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牵头人法定代表人（签字或者盖章）：</w:t>
      </w:r>
    </w:p>
    <w:p w14:paraId="048AF341">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牵头人（盖公章）：</w:t>
      </w:r>
    </w:p>
    <w:p w14:paraId="7B00A75F">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日期：    年   月   日</w:t>
      </w:r>
    </w:p>
    <w:p w14:paraId="631C1715">
      <w:pPr>
        <w:spacing w:line="440" w:lineRule="exact"/>
        <w:ind w:firstLine="566" w:firstLineChars="236"/>
        <w:contextualSpacing/>
        <w:rPr>
          <w:rFonts w:ascii="宋体" w:hAnsi="宋体"/>
          <w:color w:val="auto"/>
          <w:sz w:val="24"/>
          <w:highlight w:val="none"/>
        </w:rPr>
      </w:pPr>
    </w:p>
    <w:p w14:paraId="3A341BC9">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被授权人（签字）：</w:t>
      </w:r>
    </w:p>
    <w:p w14:paraId="013902C6">
      <w:pPr>
        <w:spacing w:line="440" w:lineRule="exact"/>
        <w:ind w:firstLine="566" w:firstLineChars="236"/>
        <w:contextualSpacing/>
        <w:rPr>
          <w:rFonts w:ascii="宋体" w:hAnsi="宋体" w:cs="仿宋_GB2312"/>
          <w:color w:val="auto"/>
          <w:sz w:val="32"/>
          <w:szCs w:val="32"/>
          <w:highlight w:val="none"/>
        </w:rPr>
      </w:pPr>
      <w:r>
        <w:rPr>
          <w:rFonts w:hint="eastAsia" w:ascii="宋体" w:hAnsi="宋体"/>
          <w:color w:val="auto"/>
          <w:sz w:val="24"/>
          <w:highlight w:val="none"/>
        </w:rPr>
        <w:t>日期：    年   月   日</w:t>
      </w:r>
    </w:p>
    <w:p w14:paraId="43C26E7F">
      <w:pPr>
        <w:spacing w:line="440" w:lineRule="exact"/>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法定代表人必须在授权委托书上亲笔签字或者盖章，委托代理人必须在授权委托书上亲笔签字，</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317B08E6">
      <w:pPr>
        <w:spacing w:line="44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2.本授权委托书应由联合体牵头人的法定代表人按上述规定签字。</w:t>
      </w:r>
    </w:p>
    <w:p w14:paraId="11CC1847">
      <w:pPr>
        <w:spacing w:line="440" w:lineRule="exact"/>
        <w:ind w:firstLine="480" w:firstLineChars="200"/>
        <w:contextualSpacing/>
        <w:jc w:val="left"/>
        <w:rPr>
          <w:rFonts w:ascii="宋体" w:hAnsi="宋体"/>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法人、其他组织投标时“我方”是指“我单位”，自然人投标时“我方”是指“本人”。</w:t>
      </w:r>
    </w:p>
    <w:p w14:paraId="101B615C">
      <w:pPr>
        <w:snapToGrid w:val="0"/>
        <w:spacing w:before="50" w:afterLines="50"/>
        <w:ind w:firstLine="480" w:firstLineChars="200"/>
        <w:jc w:val="left"/>
        <w:rPr>
          <w:rFonts w:ascii="宋体" w:hAnsi="宋体"/>
          <w:color w:val="auto"/>
          <w:sz w:val="24"/>
          <w:highlight w:val="none"/>
        </w:rPr>
        <w:sectPr>
          <w:footerReference r:id="rId9" w:type="first"/>
          <w:headerReference r:id="rId6" w:type="default"/>
          <w:footerReference r:id="rId7" w:type="default"/>
          <w:footerReference r:id="rId8" w:type="even"/>
          <w:pgSz w:w="11906" w:h="16838"/>
          <w:pgMar w:top="1134" w:right="1134" w:bottom="1276" w:left="1134" w:header="851" w:footer="567" w:gutter="0"/>
          <w:cols w:space="720" w:num="1"/>
          <w:titlePg/>
          <w:docGrid w:linePitch="312" w:charSpace="0"/>
        </w:sectPr>
      </w:pPr>
    </w:p>
    <w:p w14:paraId="0AFB077B">
      <w:pPr>
        <w:rPr>
          <w:rFonts w:ascii="宋体" w:hAnsi="宋体"/>
          <w:color w:val="auto"/>
          <w:sz w:val="24"/>
          <w:highlight w:val="none"/>
        </w:rPr>
      </w:pPr>
    </w:p>
    <w:p w14:paraId="72C9705C">
      <w:pPr>
        <w:rPr>
          <w:rFonts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613F0E2A">
      <w:pPr>
        <w:snapToGrid w:val="0"/>
        <w:spacing w:before="50"/>
        <w:jc w:val="left"/>
        <w:rPr>
          <w:rFonts w:ascii="宋体" w:hAnsi="宋体"/>
          <w:color w:val="auto"/>
          <w:sz w:val="24"/>
          <w:highlight w:val="none"/>
        </w:rPr>
      </w:pPr>
    </w:p>
    <w:p w14:paraId="13045901">
      <w:pPr>
        <w:pStyle w:val="25"/>
        <w:rPr>
          <w:rFonts w:hAnsi="宋体"/>
          <w:color w:val="auto"/>
          <w:sz w:val="24"/>
          <w:szCs w:val="24"/>
          <w:highlight w:val="none"/>
        </w:rPr>
      </w:pPr>
      <w:r>
        <w:rPr>
          <w:rFonts w:hint="eastAsia" w:hAnsi="宋体"/>
          <w:color w:val="auto"/>
          <w:sz w:val="24"/>
          <w:szCs w:val="24"/>
          <w:highlight w:val="none"/>
        </w:rPr>
        <w:t>所投分标：分标</w:t>
      </w:r>
    </w:p>
    <w:p w14:paraId="5C513ED6">
      <w:pPr>
        <w:snapToGrid w:val="0"/>
        <w:spacing w:before="50"/>
        <w:jc w:val="left"/>
        <w:rPr>
          <w:rFonts w:ascii="宋体" w:hAnsi="宋体"/>
          <w:color w:val="auto"/>
          <w:sz w:val="24"/>
          <w:highlight w:val="none"/>
          <w:u w:val="single"/>
        </w:rPr>
      </w:pPr>
    </w:p>
    <w:tbl>
      <w:tblPr>
        <w:tblStyle w:val="49"/>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D9BD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4F0AAC11">
            <w:pPr>
              <w:snapToGrid w:val="0"/>
              <w:spacing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10035B76">
            <w:pPr>
              <w:snapToGrid w:val="0"/>
              <w:spacing w:beforeLines="50"/>
              <w:jc w:val="center"/>
              <w:rPr>
                <w:rFonts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484327DF">
            <w:pPr>
              <w:snapToGrid w:val="0"/>
              <w:spacing w:beforeLines="50"/>
              <w:jc w:val="center"/>
              <w:rPr>
                <w:rFonts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tcPr>
          <w:p w14:paraId="7AA7CBAE">
            <w:pPr>
              <w:snapToGrid w:val="0"/>
              <w:spacing w:beforeLines="50"/>
              <w:jc w:val="center"/>
              <w:rPr>
                <w:rFonts w:ascii="宋体" w:hAnsi="宋体"/>
                <w:color w:val="auto"/>
                <w:sz w:val="24"/>
                <w:highlight w:val="none"/>
              </w:rPr>
            </w:pPr>
            <w:r>
              <w:rPr>
                <w:rFonts w:hint="eastAsia" w:ascii="宋体" w:hAnsi="宋体"/>
                <w:color w:val="auto"/>
                <w:sz w:val="24"/>
                <w:highlight w:val="none"/>
              </w:rPr>
              <w:t>偏离说明</w:t>
            </w:r>
          </w:p>
        </w:tc>
      </w:tr>
      <w:tr w14:paraId="587EA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3E99D121">
            <w:pPr>
              <w:jc w:val="center"/>
              <w:rPr>
                <w:rFonts w:ascii="宋体" w:hAnsi="宋体"/>
                <w:color w:val="auto"/>
                <w:sz w:val="24"/>
                <w:highlight w:val="none"/>
              </w:rPr>
            </w:pPr>
            <w:r>
              <w:rPr>
                <w:rFonts w:hint="eastAsia" w:ascii="宋体" w:hAnsi="宋体"/>
                <w:color w:val="auto"/>
                <w:sz w:val="24"/>
                <w:highlight w:val="none"/>
              </w:rPr>
              <w:t>交付（实施）的时间（期限）和地点（范围）</w:t>
            </w:r>
          </w:p>
        </w:tc>
        <w:tc>
          <w:tcPr>
            <w:tcW w:w="3336" w:type="dxa"/>
            <w:tcBorders>
              <w:top w:val="single" w:color="auto" w:sz="4" w:space="0"/>
              <w:left w:val="single" w:color="auto" w:sz="4" w:space="0"/>
              <w:bottom w:val="single" w:color="auto" w:sz="4" w:space="0"/>
              <w:right w:val="single" w:color="auto" w:sz="4" w:space="0"/>
            </w:tcBorders>
          </w:tcPr>
          <w:p w14:paraId="7A040DF6">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0EDB5BFB">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27385A43">
            <w:pPr>
              <w:snapToGrid w:val="0"/>
              <w:spacing w:beforeLines="50"/>
              <w:jc w:val="center"/>
              <w:rPr>
                <w:rFonts w:ascii="宋体" w:hAnsi="宋体"/>
                <w:color w:val="auto"/>
                <w:sz w:val="24"/>
                <w:highlight w:val="none"/>
              </w:rPr>
            </w:pPr>
          </w:p>
        </w:tc>
      </w:tr>
      <w:tr w14:paraId="618C9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2E941BCF">
            <w:pPr>
              <w:jc w:val="center"/>
              <w:rPr>
                <w:rFonts w:ascii="宋体" w:hAnsi="宋体"/>
                <w:color w:val="auto"/>
                <w:sz w:val="24"/>
                <w:highlight w:val="none"/>
              </w:rPr>
            </w:pPr>
            <w:r>
              <w:rPr>
                <w:rFonts w:hint="eastAsia" w:ascii="宋体" w:hAnsi="宋体"/>
                <w:color w:val="auto"/>
                <w:sz w:val="24"/>
                <w:highlight w:val="none"/>
              </w:rPr>
              <w:t>合同签订时间</w:t>
            </w:r>
          </w:p>
        </w:tc>
        <w:tc>
          <w:tcPr>
            <w:tcW w:w="3336" w:type="dxa"/>
            <w:tcBorders>
              <w:top w:val="single" w:color="auto" w:sz="4" w:space="0"/>
              <w:left w:val="single" w:color="auto" w:sz="4" w:space="0"/>
              <w:bottom w:val="single" w:color="auto" w:sz="4" w:space="0"/>
              <w:right w:val="single" w:color="auto" w:sz="4" w:space="0"/>
            </w:tcBorders>
          </w:tcPr>
          <w:p w14:paraId="4706AFCE">
            <w:pPr>
              <w:snapToGrid w:val="0"/>
              <w:spacing w:beforeLines="50"/>
              <w:rPr>
                <w:rFonts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tcPr>
          <w:p w14:paraId="7076D483">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7AEE0401">
            <w:pPr>
              <w:snapToGrid w:val="0"/>
              <w:spacing w:beforeLines="50"/>
              <w:ind w:left="43"/>
              <w:jc w:val="center"/>
              <w:rPr>
                <w:rFonts w:ascii="宋体" w:hAnsi="宋体"/>
                <w:color w:val="auto"/>
                <w:sz w:val="24"/>
                <w:highlight w:val="none"/>
              </w:rPr>
            </w:pPr>
          </w:p>
        </w:tc>
      </w:tr>
      <w:tr w14:paraId="7510DF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16D0569B">
            <w:pPr>
              <w:snapToGrid w:val="0"/>
              <w:spacing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tcPr>
          <w:p w14:paraId="37368224">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tcPr>
          <w:p w14:paraId="3408F7DA">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tcPr>
          <w:p w14:paraId="40D59C73">
            <w:pPr>
              <w:snapToGrid w:val="0"/>
              <w:spacing w:beforeLines="50"/>
              <w:jc w:val="center"/>
              <w:rPr>
                <w:rFonts w:ascii="宋体" w:hAnsi="宋体"/>
                <w:color w:val="auto"/>
                <w:sz w:val="24"/>
                <w:highlight w:val="none"/>
              </w:rPr>
            </w:pPr>
          </w:p>
        </w:tc>
      </w:tr>
    </w:tbl>
    <w:p w14:paraId="306AF62B">
      <w:pPr>
        <w:pStyle w:val="18"/>
        <w:rPr>
          <w:rFonts w:ascii="宋体" w:hAnsi="宋体"/>
          <w:color w:val="auto"/>
          <w:highlight w:val="none"/>
        </w:rPr>
      </w:pPr>
      <w:r>
        <w:rPr>
          <w:rFonts w:hint="eastAsia" w:ascii="宋体" w:hAnsi="宋体"/>
          <w:color w:val="auto"/>
          <w:highlight w:val="none"/>
        </w:rPr>
        <w:t>注：</w:t>
      </w:r>
    </w:p>
    <w:p w14:paraId="6088F951">
      <w:pPr>
        <w:pStyle w:val="20"/>
        <w:spacing w:line="520" w:lineRule="exact"/>
        <w:rPr>
          <w:rFonts w:ascii="宋体" w:hAnsi="宋体" w:cs="仿宋_GB2312"/>
          <w:color w:val="auto"/>
          <w:szCs w:val="32"/>
          <w:highlight w:val="none"/>
        </w:rPr>
      </w:pPr>
      <w:r>
        <w:rPr>
          <w:rFonts w:hint="eastAsia" w:ascii="宋体" w:hAnsi="宋体"/>
          <w:color w:val="auto"/>
          <w:sz w:val="24"/>
          <w:highlight w:val="none"/>
        </w:rPr>
        <w:t>1.说明：应对照招标文件“第二章 采购需求”中的商务要求逐条作明确的投标响应，并作出偏离说明。</w:t>
      </w:r>
    </w:p>
    <w:p w14:paraId="5A9CAD30">
      <w:pPr>
        <w:pStyle w:val="18"/>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179CB64E">
      <w:pPr>
        <w:snapToGrid w:val="0"/>
        <w:spacing w:before="50" w:after="50"/>
        <w:rPr>
          <w:rFonts w:ascii="宋体" w:hAnsi="宋体"/>
          <w:color w:val="auto"/>
          <w:sz w:val="24"/>
          <w:highlight w:val="none"/>
        </w:rPr>
      </w:pPr>
    </w:p>
    <w:p w14:paraId="2BB29843">
      <w:pPr>
        <w:snapToGrid w:val="0"/>
        <w:spacing w:before="50" w:after="50"/>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69144FB6">
      <w:pPr>
        <w:snapToGrid w:val="0"/>
        <w:spacing w:beforeLines="50"/>
        <w:rPr>
          <w:rFonts w:ascii="宋体" w:hAnsi="宋体"/>
          <w:color w:val="auto"/>
          <w:spacing w:val="20"/>
          <w:sz w:val="24"/>
          <w:highlight w:val="none"/>
        </w:rPr>
      </w:pPr>
      <w:r>
        <w:rPr>
          <w:rFonts w:hint="eastAsia" w:ascii="宋体" w:hAnsi="宋体"/>
          <w:color w:val="auto"/>
          <w:spacing w:val="20"/>
          <w:sz w:val="24"/>
          <w:highlight w:val="none"/>
        </w:rPr>
        <w:t>投标人盖公章：</w:t>
      </w:r>
    </w:p>
    <w:p w14:paraId="08DC30F1">
      <w:pPr>
        <w:snapToGrid w:val="0"/>
        <w:spacing w:beforeLines="50"/>
        <w:rPr>
          <w:rFonts w:ascii="宋体" w:hAnsi="宋体"/>
          <w:color w:val="auto"/>
          <w:sz w:val="24"/>
          <w:szCs w:val="20"/>
          <w:highlight w:val="none"/>
        </w:rPr>
      </w:pPr>
      <w:r>
        <w:rPr>
          <w:rFonts w:hint="eastAsia" w:ascii="宋体" w:hAnsi="宋体"/>
          <w:color w:val="auto"/>
          <w:spacing w:val="20"/>
          <w:sz w:val="24"/>
          <w:highlight w:val="none"/>
        </w:rPr>
        <w:t>日  期：</w:t>
      </w:r>
    </w:p>
    <w:p w14:paraId="5BAE01DD">
      <w:pPr>
        <w:snapToGrid w:val="0"/>
        <w:spacing w:beforeLines="50"/>
        <w:rPr>
          <w:rFonts w:ascii="宋体" w:hAnsi="宋体"/>
          <w:color w:val="auto"/>
          <w:sz w:val="24"/>
          <w:szCs w:val="20"/>
          <w:highlight w:val="none"/>
        </w:rPr>
      </w:pPr>
    </w:p>
    <w:p w14:paraId="79BD02DA">
      <w:pPr>
        <w:snapToGrid w:val="0"/>
        <w:spacing w:beforeLines="50" w:after="50"/>
        <w:jc w:val="left"/>
        <w:rPr>
          <w:rFonts w:ascii="宋体" w:hAnsi="宋体"/>
          <w:color w:val="auto"/>
          <w:sz w:val="24"/>
          <w:szCs w:val="20"/>
          <w:highlight w:val="none"/>
        </w:rPr>
      </w:pPr>
    </w:p>
    <w:p w14:paraId="6FCBF781">
      <w:pPr>
        <w:snapToGrid w:val="0"/>
        <w:spacing w:beforeLines="50" w:after="50"/>
        <w:jc w:val="left"/>
        <w:rPr>
          <w:rFonts w:ascii="宋体" w:hAnsi="宋体"/>
          <w:b/>
          <w:color w:val="auto"/>
          <w:sz w:val="24"/>
          <w:highlight w:val="none"/>
        </w:rPr>
      </w:pPr>
      <w:r>
        <w:rPr>
          <w:rFonts w:ascii="宋体" w:hAnsi="宋体"/>
          <w:color w:val="auto"/>
          <w:sz w:val="24"/>
          <w:szCs w:val="20"/>
          <w:highlight w:val="none"/>
        </w:rPr>
        <w:br w:type="page"/>
      </w:r>
      <w:r>
        <w:rPr>
          <w:rFonts w:hint="eastAsia" w:ascii="宋体" w:hAnsi="宋体"/>
          <w:b/>
          <w:color w:val="auto"/>
          <w:sz w:val="24"/>
          <w:highlight w:val="none"/>
        </w:rPr>
        <w:t>7.投标人业绩证明材料</w:t>
      </w:r>
    </w:p>
    <w:p w14:paraId="1B69004F">
      <w:pPr>
        <w:pStyle w:val="36"/>
        <w:snapToGrid w:val="0"/>
        <w:ind w:left="480" w:hanging="480"/>
        <w:rPr>
          <w:rFonts w:ascii="宋体" w:hAnsi="宋体"/>
          <w:color w:val="auto"/>
          <w:sz w:val="24"/>
          <w:highlight w:val="none"/>
        </w:rPr>
      </w:pPr>
    </w:p>
    <w:p w14:paraId="45DE1781">
      <w:pPr>
        <w:pStyle w:val="36"/>
        <w:snapToGrid w:val="0"/>
        <w:ind w:left="480" w:hanging="480"/>
        <w:rPr>
          <w:rFonts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93"/>
        <w:gridCol w:w="1987"/>
        <w:gridCol w:w="1987"/>
        <w:gridCol w:w="3204"/>
      </w:tblGrid>
      <w:tr w14:paraId="4B396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5FB07253">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4BE18C5C">
            <w:pPr>
              <w:snapToGrid w:val="0"/>
              <w:spacing w:line="2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2224BECC">
            <w:pPr>
              <w:snapToGrid w:val="0"/>
              <w:spacing w:line="240" w:lineRule="exact"/>
              <w:jc w:val="center"/>
              <w:rPr>
                <w:rFonts w:ascii="宋体" w:hAnsi="宋体"/>
                <w:color w:val="auto"/>
                <w:sz w:val="24"/>
                <w:highlight w:val="none"/>
              </w:rPr>
            </w:pPr>
            <w:r>
              <w:rPr>
                <w:rFonts w:hint="eastAsia" w:ascii="宋体" w:hAnsi="宋体"/>
                <w:color w:val="auto"/>
                <w:sz w:val="24"/>
                <w:highlight w:val="none"/>
              </w:rPr>
              <w:t>合同金额</w:t>
            </w:r>
          </w:p>
          <w:p w14:paraId="2A20BCF8">
            <w:pPr>
              <w:snapToGrid w:val="0"/>
              <w:spacing w:line="240" w:lineRule="exact"/>
              <w:jc w:val="center"/>
              <w:rPr>
                <w:rFonts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7A814B8F">
            <w:pPr>
              <w:snapToGrid w:val="0"/>
              <w:spacing w:line="240" w:lineRule="exact"/>
              <w:jc w:val="center"/>
              <w:rPr>
                <w:rFonts w:ascii="宋体" w:hAnsi="宋体"/>
                <w:color w:val="auto"/>
                <w:sz w:val="24"/>
                <w:highlight w:val="none"/>
              </w:rPr>
            </w:pPr>
            <w:r>
              <w:rPr>
                <w:rFonts w:hint="eastAsia" w:ascii="宋体" w:hAnsi="宋体"/>
                <w:color w:val="auto"/>
                <w:sz w:val="24"/>
                <w:highlight w:val="none"/>
              </w:rPr>
              <w:t>采购人联系人及</w:t>
            </w:r>
          </w:p>
          <w:p w14:paraId="7A11C579">
            <w:pPr>
              <w:snapToGrid w:val="0"/>
              <w:spacing w:line="240" w:lineRule="exact"/>
              <w:jc w:val="center"/>
              <w:rPr>
                <w:rFonts w:ascii="宋体" w:hAnsi="宋体"/>
                <w:color w:val="auto"/>
                <w:sz w:val="24"/>
                <w:highlight w:val="none"/>
              </w:rPr>
            </w:pPr>
            <w:r>
              <w:rPr>
                <w:rFonts w:hint="eastAsia" w:ascii="宋体" w:hAnsi="宋体"/>
                <w:color w:val="auto"/>
                <w:sz w:val="24"/>
                <w:highlight w:val="none"/>
              </w:rPr>
              <w:t>联系电话</w:t>
            </w:r>
          </w:p>
        </w:tc>
      </w:tr>
      <w:tr w14:paraId="150CE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1A119397">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D68368C">
            <w:pPr>
              <w:jc w:val="left"/>
              <w:rPr>
                <w:rFonts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23A90D26">
            <w:pPr>
              <w:jc w:val="left"/>
              <w:rPr>
                <w:rFonts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0F54223E">
            <w:pPr>
              <w:jc w:val="left"/>
              <w:rPr>
                <w:rFonts w:ascii="宋体" w:hAnsi="宋体"/>
                <w:color w:val="auto"/>
                <w:sz w:val="24"/>
                <w:highlight w:val="none"/>
              </w:rPr>
            </w:pPr>
          </w:p>
        </w:tc>
      </w:tr>
      <w:tr w14:paraId="2C75A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4E859D94">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BE3350A">
            <w:pPr>
              <w:snapToGrid w:val="0"/>
              <w:spacing w:line="24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4E2657B">
            <w:pPr>
              <w:snapToGrid w:val="0"/>
              <w:spacing w:line="24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50AA0D5">
            <w:pPr>
              <w:snapToGrid w:val="0"/>
              <w:spacing w:line="240" w:lineRule="exact"/>
              <w:jc w:val="left"/>
              <w:rPr>
                <w:rFonts w:ascii="宋体" w:hAnsi="宋体"/>
                <w:color w:val="auto"/>
                <w:sz w:val="24"/>
                <w:highlight w:val="none"/>
              </w:rPr>
            </w:pPr>
          </w:p>
        </w:tc>
      </w:tr>
      <w:tr w14:paraId="25143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6A870F1">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1F8958C">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9F08DEA">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CCB337E">
            <w:pPr>
              <w:snapToGrid w:val="0"/>
              <w:spacing w:before="50" w:afterLines="50" w:line="400" w:lineRule="exact"/>
              <w:jc w:val="left"/>
              <w:rPr>
                <w:rFonts w:ascii="宋体" w:hAnsi="宋体"/>
                <w:color w:val="auto"/>
                <w:sz w:val="24"/>
                <w:highlight w:val="none"/>
              </w:rPr>
            </w:pPr>
          </w:p>
        </w:tc>
      </w:tr>
      <w:tr w14:paraId="5DF70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2EC593B1">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B64DE0D">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BE782E0">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178BC46">
            <w:pPr>
              <w:snapToGrid w:val="0"/>
              <w:spacing w:before="50" w:afterLines="50" w:line="400" w:lineRule="exact"/>
              <w:jc w:val="left"/>
              <w:rPr>
                <w:rFonts w:ascii="宋体" w:hAnsi="宋体"/>
                <w:color w:val="auto"/>
                <w:sz w:val="24"/>
                <w:highlight w:val="none"/>
              </w:rPr>
            </w:pPr>
          </w:p>
        </w:tc>
      </w:tr>
      <w:tr w14:paraId="13F6E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6975251F">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6AD75AF">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D070C11">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09FFAEDB">
            <w:pPr>
              <w:snapToGrid w:val="0"/>
              <w:spacing w:before="50" w:afterLines="50" w:line="400" w:lineRule="exact"/>
              <w:jc w:val="left"/>
              <w:rPr>
                <w:rFonts w:ascii="宋体" w:hAnsi="宋体"/>
                <w:color w:val="auto"/>
                <w:sz w:val="24"/>
                <w:highlight w:val="none"/>
              </w:rPr>
            </w:pPr>
          </w:p>
        </w:tc>
      </w:tr>
      <w:tr w14:paraId="14733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108ABDEB">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44AE533">
            <w:pPr>
              <w:snapToGrid w:val="0"/>
              <w:spacing w:before="50" w:afterLines="50" w:line="400" w:lineRule="exact"/>
              <w:jc w:val="left"/>
              <w:rPr>
                <w:rFonts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26017AA">
            <w:pPr>
              <w:snapToGrid w:val="0"/>
              <w:spacing w:before="50" w:afterLines="50" w:line="400" w:lineRule="exact"/>
              <w:jc w:val="left"/>
              <w:rPr>
                <w:rFonts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62429BF0">
            <w:pPr>
              <w:snapToGrid w:val="0"/>
              <w:spacing w:before="50" w:afterLines="50" w:line="400" w:lineRule="exact"/>
              <w:jc w:val="left"/>
              <w:rPr>
                <w:rFonts w:ascii="宋体" w:hAnsi="宋体"/>
                <w:color w:val="auto"/>
                <w:sz w:val="24"/>
                <w:highlight w:val="none"/>
              </w:rPr>
            </w:pPr>
          </w:p>
        </w:tc>
      </w:tr>
    </w:tbl>
    <w:p w14:paraId="57234FAF">
      <w:pPr>
        <w:pStyle w:val="15"/>
        <w:spacing w:before="0" w:after="0" w:line="360" w:lineRule="auto"/>
        <w:contextualSpacing/>
        <w:rPr>
          <w:rFonts w:ascii="宋体" w:hAnsi="宋体" w:eastAsia="宋体"/>
          <w:color w:val="auto"/>
          <w:sz w:val="24"/>
          <w:szCs w:val="24"/>
          <w:highlight w:val="none"/>
        </w:rPr>
      </w:pPr>
    </w:p>
    <w:p w14:paraId="6DFD5A8D">
      <w:pPr>
        <w:pStyle w:val="15"/>
        <w:spacing w:before="0" w:after="0" w:line="360" w:lineRule="auto"/>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eastAsia="宋体"/>
          <w:color w:val="auto"/>
          <w:sz w:val="24"/>
          <w:highlight w:val="none"/>
        </w:rPr>
        <w:t>投标人根据评标标准具体要求附业绩证明材料。</w:t>
      </w:r>
    </w:p>
    <w:p w14:paraId="5074360C">
      <w:pPr>
        <w:pStyle w:val="15"/>
        <w:spacing w:before="0" w:after="0" w:line="360" w:lineRule="auto"/>
        <w:contextualSpacing/>
        <w:jc w:val="left"/>
        <w:rPr>
          <w:rFonts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w:t>
      </w:r>
      <w:r>
        <w:rPr>
          <w:rFonts w:hint="eastAsia" w:ascii="宋体" w:hAnsi="宋体" w:eastAsia="宋体"/>
          <w:color w:val="auto"/>
          <w:sz w:val="24"/>
          <w:szCs w:val="24"/>
          <w:highlight w:val="none"/>
          <w:u w:val="single"/>
        </w:rPr>
        <w:t>　　　　　</w:t>
      </w:r>
    </w:p>
    <w:p w14:paraId="77F898A3">
      <w:pPr>
        <w:spacing w:line="360" w:lineRule="auto"/>
        <w:ind w:right="480"/>
        <w:contextualSpacing/>
        <w:jc w:val="left"/>
        <w:rPr>
          <w:rFonts w:ascii="宋体" w:hAnsi="宋体"/>
          <w:color w:val="auto"/>
          <w:sz w:val="24"/>
          <w:szCs w:val="20"/>
          <w:highlight w:val="none"/>
        </w:rPr>
      </w:pPr>
      <w:r>
        <w:rPr>
          <w:rFonts w:hint="eastAsia" w:ascii="宋体" w:hAnsi="宋体" w:cs="Arial"/>
          <w:color w:val="auto"/>
          <w:sz w:val="24"/>
          <w:highlight w:val="none"/>
        </w:rPr>
        <w:t xml:space="preserve">投标人（盖公章）： </w:t>
      </w:r>
      <w:r>
        <w:rPr>
          <w:rFonts w:hint="eastAsia" w:ascii="宋体" w:hAnsi="宋体"/>
          <w:color w:val="auto"/>
          <w:sz w:val="24"/>
          <w:highlight w:val="none"/>
        </w:rPr>
        <w:t xml:space="preserve">                                                              年    月    日</w:t>
      </w:r>
    </w:p>
    <w:p w14:paraId="1774E0B4">
      <w:pPr>
        <w:snapToGrid w:val="0"/>
        <w:spacing w:before="50"/>
        <w:ind w:firstLine="480" w:firstLineChars="200"/>
        <w:jc w:val="left"/>
        <w:rPr>
          <w:rFonts w:ascii="宋体" w:hAnsi="宋体"/>
          <w:color w:val="auto"/>
          <w:sz w:val="24"/>
          <w:szCs w:val="20"/>
          <w:highlight w:val="none"/>
        </w:rPr>
      </w:pPr>
    </w:p>
    <w:p w14:paraId="23B2B4D9">
      <w:pPr>
        <w:snapToGrid w:val="0"/>
        <w:spacing w:before="50"/>
        <w:jc w:val="left"/>
        <w:rPr>
          <w:rFonts w:ascii="宋体" w:hAnsi="宋体"/>
          <w:color w:val="auto"/>
          <w:sz w:val="24"/>
          <w:highlight w:val="none"/>
        </w:rPr>
      </w:pPr>
    </w:p>
    <w:p w14:paraId="632A9797">
      <w:pPr>
        <w:snapToGrid w:val="0"/>
        <w:spacing w:beforeLines="50"/>
        <w:rPr>
          <w:rFonts w:ascii="宋体" w:hAnsi="宋体"/>
          <w:color w:val="auto"/>
          <w:sz w:val="24"/>
          <w:szCs w:val="20"/>
          <w:highlight w:val="none"/>
        </w:rPr>
        <w:sectPr>
          <w:pgSz w:w="11906" w:h="16838"/>
          <w:pgMar w:top="1440" w:right="1133" w:bottom="1440" w:left="1418" w:header="851" w:footer="992" w:gutter="0"/>
          <w:cols w:space="720" w:num="1"/>
          <w:docGrid w:linePitch="312" w:charSpace="0"/>
        </w:sectPr>
      </w:pPr>
    </w:p>
    <w:p w14:paraId="4C60829F">
      <w:pPr>
        <w:rPr>
          <w:rFonts w:ascii="宋体" w:hAnsi="宋体"/>
          <w:b/>
          <w:color w:val="auto"/>
          <w:sz w:val="28"/>
          <w:szCs w:val="28"/>
          <w:highlight w:val="none"/>
        </w:rPr>
      </w:pPr>
      <w:r>
        <w:rPr>
          <w:rFonts w:hint="eastAsia" w:ascii="宋体" w:hAnsi="宋体"/>
          <w:b/>
          <w:color w:val="auto"/>
          <w:sz w:val="28"/>
          <w:szCs w:val="28"/>
          <w:highlight w:val="none"/>
        </w:rPr>
        <w:t>四、技术文件格式</w:t>
      </w:r>
    </w:p>
    <w:p w14:paraId="1FACA0E7">
      <w:pPr>
        <w:snapToGrid w:val="0"/>
        <w:spacing w:beforeLines="50" w:after="50"/>
        <w:ind w:left="142"/>
        <w:jc w:val="left"/>
        <w:rPr>
          <w:rFonts w:ascii="宋体" w:hAnsi="宋体"/>
          <w:b/>
          <w:color w:val="auto"/>
          <w:sz w:val="24"/>
          <w:highlight w:val="none"/>
        </w:rPr>
      </w:pPr>
      <w:r>
        <w:rPr>
          <w:rFonts w:hint="eastAsia" w:ascii="宋体" w:hAnsi="宋体"/>
          <w:b/>
          <w:color w:val="auto"/>
          <w:sz w:val="24"/>
          <w:highlight w:val="none"/>
        </w:rPr>
        <w:t xml:space="preserve">1. 技术文件封面格式： </w:t>
      </w:r>
    </w:p>
    <w:p w14:paraId="17AF0C88">
      <w:pPr>
        <w:snapToGrid w:val="0"/>
        <w:spacing w:beforeLines="50" w:after="50"/>
        <w:rPr>
          <w:rFonts w:ascii="宋体" w:hAnsi="宋体"/>
          <w:b/>
          <w:bCs/>
          <w:color w:val="auto"/>
          <w:sz w:val="32"/>
          <w:szCs w:val="20"/>
          <w:highlight w:val="none"/>
        </w:rPr>
      </w:pPr>
    </w:p>
    <w:p w14:paraId="0A1E0FE2">
      <w:pPr>
        <w:snapToGrid w:val="0"/>
        <w:spacing w:beforeLines="50" w:after="50"/>
        <w:rPr>
          <w:rFonts w:ascii="宋体" w:hAnsi="宋体"/>
          <w:color w:val="auto"/>
          <w:sz w:val="24"/>
          <w:szCs w:val="20"/>
          <w:highlight w:val="none"/>
        </w:rPr>
      </w:pPr>
    </w:p>
    <w:p w14:paraId="65AEDCD2">
      <w:pPr>
        <w:snapToGrid w:val="0"/>
        <w:spacing w:beforeLines="50" w:after="50"/>
        <w:rPr>
          <w:rFonts w:ascii="宋体" w:hAnsi="宋体"/>
          <w:color w:val="auto"/>
          <w:sz w:val="24"/>
          <w:szCs w:val="20"/>
          <w:highlight w:val="none"/>
        </w:rPr>
      </w:pPr>
    </w:p>
    <w:p w14:paraId="5457CBC5">
      <w:pPr>
        <w:snapToGrid w:val="0"/>
        <w:spacing w:beforeLines="50" w:after="50"/>
        <w:jc w:val="center"/>
        <w:rPr>
          <w:rFonts w:ascii="宋体" w:hAnsi="宋体" w:cs="方正小标宋简体"/>
          <w:color w:val="auto"/>
          <w:sz w:val="84"/>
          <w:szCs w:val="84"/>
          <w:highlight w:val="none"/>
        </w:rPr>
      </w:pPr>
      <w:r>
        <w:rPr>
          <w:rFonts w:hint="eastAsia" w:ascii="宋体" w:hAnsi="宋体" w:cs="方正小标宋简体"/>
          <w:color w:val="auto"/>
          <w:sz w:val="84"/>
          <w:szCs w:val="84"/>
          <w:highlight w:val="none"/>
        </w:rPr>
        <w:t>投  标  文  件</w:t>
      </w:r>
    </w:p>
    <w:p w14:paraId="052A563D">
      <w:pPr>
        <w:snapToGrid w:val="0"/>
        <w:spacing w:beforeLines="50" w:after="50"/>
        <w:rPr>
          <w:rFonts w:ascii="宋体" w:hAnsi="宋体"/>
          <w:color w:val="auto"/>
          <w:sz w:val="24"/>
          <w:szCs w:val="20"/>
          <w:highlight w:val="none"/>
        </w:rPr>
      </w:pPr>
    </w:p>
    <w:p w14:paraId="57509EFF">
      <w:pPr>
        <w:snapToGrid w:val="0"/>
        <w:spacing w:beforeLines="50" w:after="50"/>
        <w:rPr>
          <w:rFonts w:ascii="宋体" w:hAnsi="宋体"/>
          <w:color w:val="auto"/>
          <w:sz w:val="24"/>
          <w:szCs w:val="20"/>
          <w:highlight w:val="none"/>
        </w:rPr>
      </w:pPr>
    </w:p>
    <w:p w14:paraId="356CE656">
      <w:pPr>
        <w:snapToGrid w:val="0"/>
        <w:spacing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  术  文  件</w:t>
      </w:r>
    </w:p>
    <w:p w14:paraId="20C7AE87">
      <w:pPr>
        <w:snapToGrid w:val="0"/>
        <w:spacing w:beforeLines="50" w:after="50"/>
        <w:rPr>
          <w:rFonts w:ascii="宋体" w:hAnsi="宋体"/>
          <w:bCs/>
          <w:color w:val="auto"/>
          <w:sz w:val="24"/>
          <w:szCs w:val="20"/>
          <w:highlight w:val="none"/>
        </w:rPr>
      </w:pPr>
    </w:p>
    <w:p w14:paraId="1B897467">
      <w:pPr>
        <w:snapToGrid w:val="0"/>
        <w:spacing w:beforeLines="50" w:after="50"/>
        <w:rPr>
          <w:rFonts w:ascii="宋体" w:hAnsi="宋体"/>
          <w:bCs/>
          <w:color w:val="auto"/>
          <w:sz w:val="24"/>
          <w:szCs w:val="20"/>
          <w:highlight w:val="none"/>
        </w:rPr>
      </w:pPr>
    </w:p>
    <w:p w14:paraId="32BF2865">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680CC18A">
      <w:pPr>
        <w:snapToGrid w:val="0"/>
        <w:spacing w:beforeLines="50" w:after="50" w:line="400" w:lineRule="exact"/>
        <w:ind w:firstLine="360" w:firstLineChars="150"/>
        <w:rPr>
          <w:rFonts w:ascii="宋体" w:hAnsi="宋体"/>
          <w:bCs/>
          <w:color w:val="auto"/>
          <w:sz w:val="24"/>
          <w:szCs w:val="20"/>
          <w:highlight w:val="none"/>
        </w:rPr>
      </w:pPr>
    </w:p>
    <w:p w14:paraId="243E9686">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3572E949">
      <w:pPr>
        <w:snapToGrid w:val="0"/>
        <w:spacing w:beforeLines="50" w:after="50" w:line="400" w:lineRule="exact"/>
        <w:ind w:firstLine="360" w:firstLineChars="150"/>
        <w:rPr>
          <w:rFonts w:ascii="宋体" w:hAnsi="宋体"/>
          <w:bCs/>
          <w:color w:val="auto"/>
          <w:sz w:val="24"/>
          <w:highlight w:val="none"/>
        </w:rPr>
      </w:pPr>
    </w:p>
    <w:p w14:paraId="46307E1F">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0EA7823A">
      <w:pPr>
        <w:snapToGrid w:val="0"/>
        <w:spacing w:beforeLines="50" w:after="50" w:line="400" w:lineRule="exact"/>
        <w:ind w:firstLine="360" w:firstLineChars="150"/>
        <w:rPr>
          <w:rFonts w:ascii="宋体" w:hAnsi="宋体"/>
          <w:bCs/>
          <w:color w:val="auto"/>
          <w:sz w:val="24"/>
          <w:highlight w:val="none"/>
        </w:rPr>
      </w:pPr>
    </w:p>
    <w:p w14:paraId="622E480A">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18A51AF1">
      <w:pPr>
        <w:snapToGrid w:val="0"/>
        <w:spacing w:beforeLines="50" w:after="50" w:line="400" w:lineRule="exact"/>
        <w:ind w:firstLine="360" w:firstLineChars="150"/>
        <w:rPr>
          <w:rFonts w:ascii="宋体" w:hAnsi="宋体"/>
          <w:bCs/>
          <w:color w:val="auto"/>
          <w:sz w:val="24"/>
          <w:highlight w:val="none"/>
        </w:rPr>
      </w:pPr>
    </w:p>
    <w:p w14:paraId="5A1D5C25">
      <w:pPr>
        <w:snapToGrid w:val="0"/>
        <w:spacing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投标人地址：</w:t>
      </w:r>
    </w:p>
    <w:p w14:paraId="5DD18D2C">
      <w:pPr>
        <w:snapToGrid w:val="0"/>
        <w:spacing w:beforeLines="50" w:after="50" w:line="400" w:lineRule="exact"/>
        <w:ind w:firstLine="360" w:firstLineChars="150"/>
        <w:rPr>
          <w:rFonts w:ascii="宋体" w:hAnsi="宋体"/>
          <w:bCs/>
          <w:color w:val="auto"/>
          <w:sz w:val="24"/>
          <w:highlight w:val="none"/>
        </w:rPr>
      </w:pPr>
    </w:p>
    <w:p w14:paraId="2FF8E4CF">
      <w:pPr>
        <w:snapToGrid w:val="0"/>
        <w:spacing w:beforeLines="50" w:after="50"/>
        <w:ind w:firstLine="645"/>
        <w:jc w:val="center"/>
        <w:rPr>
          <w:rFonts w:ascii="宋体" w:hAnsi="宋体"/>
          <w:color w:val="auto"/>
          <w:sz w:val="24"/>
          <w:highlight w:val="none"/>
        </w:rPr>
      </w:pPr>
    </w:p>
    <w:p w14:paraId="17924B55">
      <w:pPr>
        <w:snapToGrid w:val="0"/>
        <w:spacing w:beforeLines="50" w:after="50"/>
        <w:ind w:firstLine="645"/>
        <w:jc w:val="center"/>
        <w:rPr>
          <w:rFonts w:ascii="宋体" w:hAnsi="宋体"/>
          <w:color w:val="auto"/>
          <w:sz w:val="24"/>
          <w:highlight w:val="none"/>
        </w:rPr>
      </w:pPr>
    </w:p>
    <w:p w14:paraId="33F0A355">
      <w:pPr>
        <w:snapToGrid w:val="0"/>
        <w:spacing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2813A982">
      <w:pPr>
        <w:snapToGrid w:val="0"/>
        <w:spacing w:beforeLines="50" w:after="50"/>
        <w:ind w:firstLine="645"/>
        <w:jc w:val="center"/>
        <w:rPr>
          <w:rFonts w:ascii="宋体" w:hAnsi="宋体"/>
          <w:color w:val="auto"/>
          <w:sz w:val="24"/>
          <w:szCs w:val="20"/>
          <w:highlight w:val="none"/>
        </w:rPr>
      </w:pPr>
    </w:p>
    <w:p w14:paraId="7CEDD62C">
      <w:pPr>
        <w:snapToGrid w:val="0"/>
        <w:spacing w:beforeLines="50" w:after="50"/>
        <w:ind w:left="142"/>
        <w:jc w:val="left"/>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34BE3409">
      <w:pPr>
        <w:snapToGrid w:val="0"/>
        <w:spacing w:before="50" w:afterLines="50"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根据招标文件规定及投标人提供的材料自行编写目录。</w:t>
      </w:r>
    </w:p>
    <w:p w14:paraId="54759572">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技术要求偏离表格式</w:t>
      </w:r>
    </w:p>
    <w:p w14:paraId="22A63B4D">
      <w:pPr>
        <w:snapToGrid w:val="0"/>
        <w:spacing w:beforeLines="50" w:after="50"/>
        <w:ind w:left="142"/>
        <w:jc w:val="left"/>
        <w:rPr>
          <w:rFonts w:ascii="宋体" w:hAnsi="宋体"/>
          <w:b/>
          <w:color w:val="auto"/>
          <w:sz w:val="24"/>
          <w:highlight w:val="none"/>
        </w:rPr>
      </w:pPr>
    </w:p>
    <w:p w14:paraId="67A24429">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p w14:paraId="7AC06FEB">
      <w:pPr>
        <w:pStyle w:val="25"/>
        <w:rPr>
          <w:rFonts w:hAnsi="宋体"/>
          <w:color w:val="auto"/>
          <w:sz w:val="24"/>
          <w:szCs w:val="24"/>
          <w:highlight w:val="none"/>
        </w:rPr>
      </w:pPr>
      <w:r>
        <w:rPr>
          <w:rFonts w:hint="eastAsia" w:hAnsi="宋体"/>
          <w:color w:val="auto"/>
          <w:sz w:val="24"/>
          <w:szCs w:val="24"/>
          <w:highlight w:val="none"/>
        </w:rPr>
        <w:t>所投分标：分标</w:t>
      </w:r>
    </w:p>
    <w:tbl>
      <w:tblPr>
        <w:tblStyle w:val="49"/>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0A8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2F70710F">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vAlign w:val="center"/>
          </w:tcPr>
          <w:p w14:paraId="77D91254">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vAlign w:val="center"/>
          </w:tcPr>
          <w:p w14:paraId="2AF479F0">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vAlign w:val="center"/>
          </w:tcPr>
          <w:p w14:paraId="2A6624AF">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vAlign w:val="center"/>
          </w:tcPr>
          <w:p w14:paraId="5F053F91">
            <w:pPr>
              <w:pStyle w:val="25"/>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60137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D221941">
            <w:pPr>
              <w:pStyle w:val="25"/>
              <w:spacing w:line="600" w:lineRule="exact"/>
              <w:jc w:val="center"/>
              <w:rPr>
                <w:rFonts w:hAnsi="宋体" w:cs="Courier New"/>
                <w:color w:val="auto"/>
                <w:kern w:val="2"/>
                <w:sz w:val="24"/>
                <w:szCs w:val="24"/>
                <w:highlight w:val="none"/>
              </w:rPr>
            </w:pPr>
          </w:p>
        </w:tc>
        <w:tc>
          <w:tcPr>
            <w:tcW w:w="2143" w:type="dxa"/>
            <w:vAlign w:val="center"/>
          </w:tcPr>
          <w:p w14:paraId="3F040376">
            <w:pPr>
              <w:pStyle w:val="25"/>
              <w:spacing w:line="600" w:lineRule="exact"/>
              <w:jc w:val="center"/>
              <w:rPr>
                <w:rFonts w:hAnsi="宋体" w:cs="Courier New"/>
                <w:color w:val="auto"/>
                <w:kern w:val="2"/>
                <w:sz w:val="24"/>
                <w:szCs w:val="24"/>
                <w:highlight w:val="none"/>
              </w:rPr>
            </w:pPr>
          </w:p>
        </w:tc>
        <w:tc>
          <w:tcPr>
            <w:tcW w:w="1834" w:type="dxa"/>
            <w:vAlign w:val="center"/>
          </w:tcPr>
          <w:p w14:paraId="469FDED0">
            <w:pPr>
              <w:pStyle w:val="25"/>
              <w:spacing w:line="600" w:lineRule="exact"/>
              <w:jc w:val="center"/>
              <w:rPr>
                <w:rFonts w:hAnsi="宋体" w:cs="Courier New"/>
                <w:color w:val="auto"/>
                <w:kern w:val="2"/>
                <w:sz w:val="24"/>
                <w:szCs w:val="24"/>
                <w:highlight w:val="none"/>
              </w:rPr>
            </w:pPr>
          </w:p>
        </w:tc>
        <w:tc>
          <w:tcPr>
            <w:tcW w:w="2181" w:type="dxa"/>
            <w:vAlign w:val="center"/>
          </w:tcPr>
          <w:p w14:paraId="3E432547">
            <w:pPr>
              <w:pStyle w:val="25"/>
              <w:spacing w:line="600" w:lineRule="exact"/>
              <w:jc w:val="center"/>
              <w:rPr>
                <w:rFonts w:hAnsi="宋体" w:cs="Courier New"/>
                <w:color w:val="auto"/>
                <w:kern w:val="2"/>
                <w:sz w:val="24"/>
                <w:szCs w:val="24"/>
                <w:highlight w:val="none"/>
              </w:rPr>
            </w:pPr>
          </w:p>
        </w:tc>
        <w:tc>
          <w:tcPr>
            <w:tcW w:w="1934" w:type="dxa"/>
            <w:vAlign w:val="center"/>
          </w:tcPr>
          <w:p w14:paraId="48AF543C">
            <w:pPr>
              <w:pStyle w:val="25"/>
              <w:spacing w:line="600" w:lineRule="exact"/>
              <w:jc w:val="center"/>
              <w:rPr>
                <w:rFonts w:hAnsi="宋体" w:cs="Courier New"/>
                <w:color w:val="auto"/>
                <w:kern w:val="2"/>
                <w:sz w:val="24"/>
                <w:szCs w:val="24"/>
                <w:highlight w:val="none"/>
              </w:rPr>
            </w:pPr>
          </w:p>
        </w:tc>
      </w:tr>
      <w:tr w14:paraId="29C3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8662CAF">
            <w:pPr>
              <w:pStyle w:val="25"/>
              <w:spacing w:line="600" w:lineRule="exact"/>
              <w:rPr>
                <w:rFonts w:hAnsi="宋体" w:cs="Courier New"/>
                <w:color w:val="auto"/>
                <w:kern w:val="2"/>
                <w:sz w:val="24"/>
                <w:szCs w:val="24"/>
                <w:highlight w:val="none"/>
              </w:rPr>
            </w:pPr>
          </w:p>
        </w:tc>
        <w:tc>
          <w:tcPr>
            <w:tcW w:w="2143" w:type="dxa"/>
          </w:tcPr>
          <w:p w14:paraId="781F5D0D">
            <w:pPr>
              <w:pStyle w:val="25"/>
              <w:spacing w:line="600" w:lineRule="exact"/>
              <w:rPr>
                <w:rFonts w:hAnsi="宋体" w:cs="Courier New"/>
                <w:color w:val="auto"/>
                <w:kern w:val="2"/>
                <w:sz w:val="24"/>
                <w:szCs w:val="24"/>
                <w:highlight w:val="none"/>
              </w:rPr>
            </w:pPr>
          </w:p>
        </w:tc>
        <w:tc>
          <w:tcPr>
            <w:tcW w:w="1834" w:type="dxa"/>
          </w:tcPr>
          <w:p w14:paraId="3E66ED9F">
            <w:pPr>
              <w:pStyle w:val="25"/>
              <w:spacing w:line="600" w:lineRule="exact"/>
              <w:rPr>
                <w:rFonts w:hAnsi="宋体" w:cs="Courier New"/>
                <w:color w:val="auto"/>
                <w:kern w:val="2"/>
                <w:sz w:val="24"/>
                <w:szCs w:val="24"/>
                <w:highlight w:val="none"/>
              </w:rPr>
            </w:pPr>
          </w:p>
        </w:tc>
        <w:tc>
          <w:tcPr>
            <w:tcW w:w="2181" w:type="dxa"/>
          </w:tcPr>
          <w:p w14:paraId="79AF68FA">
            <w:pPr>
              <w:pStyle w:val="25"/>
              <w:spacing w:line="600" w:lineRule="exact"/>
              <w:rPr>
                <w:rFonts w:hAnsi="宋体" w:cs="Courier New"/>
                <w:color w:val="auto"/>
                <w:kern w:val="2"/>
                <w:sz w:val="24"/>
                <w:szCs w:val="24"/>
                <w:highlight w:val="none"/>
              </w:rPr>
            </w:pPr>
          </w:p>
        </w:tc>
        <w:tc>
          <w:tcPr>
            <w:tcW w:w="1934" w:type="dxa"/>
          </w:tcPr>
          <w:p w14:paraId="4BC37C28">
            <w:pPr>
              <w:pStyle w:val="25"/>
              <w:spacing w:line="600" w:lineRule="exact"/>
              <w:rPr>
                <w:rFonts w:hAnsi="宋体" w:cs="Courier New"/>
                <w:color w:val="auto"/>
                <w:kern w:val="2"/>
                <w:sz w:val="24"/>
                <w:szCs w:val="24"/>
                <w:highlight w:val="none"/>
              </w:rPr>
            </w:pPr>
          </w:p>
        </w:tc>
      </w:tr>
      <w:tr w14:paraId="2E64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EE735B5">
            <w:pPr>
              <w:pStyle w:val="25"/>
              <w:spacing w:line="600" w:lineRule="exact"/>
              <w:rPr>
                <w:rFonts w:hAnsi="宋体" w:cs="Courier New"/>
                <w:color w:val="auto"/>
                <w:kern w:val="2"/>
                <w:sz w:val="24"/>
                <w:szCs w:val="24"/>
                <w:highlight w:val="none"/>
              </w:rPr>
            </w:pPr>
          </w:p>
        </w:tc>
        <w:tc>
          <w:tcPr>
            <w:tcW w:w="2143" w:type="dxa"/>
          </w:tcPr>
          <w:p w14:paraId="0A0AAA32">
            <w:pPr>
              <w:pStyle w:val="25"/>
              <w:spacing w:line="600" w:lineRule="exact"/>
              <w:rPr>
                <w:rFonts w:hAnsi="宋体" w:cs="Courier New"/>
                <w:color w:val="auto"/>
                <w:kern w:val="2"/>
                <w:sz w:val="24"/>
                <w:szCs w:val="24"/>
                <w:highlight w:val="none"/>
              </w:rPr>
            </w:pPr>
          </w:p>
        </w:tc>
        <w:tc>
          <w:tcPr>
            <w:tcW w:w="1834" w:type="dxa"/>
          </w:tcPr>
          <w:p w14:paraId="7742D6AE">
            <w:pPr>
              <w:pStyle w:val="25"/>
              <w:spacing w:line="600" w:lineRule="exact"/>
              <w:rPr>
                <w:rFonts w:hAnsi="宋体" w:cs="Courier New"/>
                <w:color w:val="auto"/>
                <w:kern w:val="2"/>
                <w:sz w:val="24"/>
                <w:szCs w:val="24"/>
                <w:highlight w:val="none"/>
              </w:rPr>
            </w:pPr>
          </w:p>
        </w:tc>
        <w:tc>
          <w:tcPr>
            <w:tcW w:w="2181" w:type="dxa"/>
          </w:tcPr>
          <w:p w14:paraId="7A2B984C">
            <w:pPr>
              <w:pStyle w:val="25"/>
              <w:spacing w:line="600" w:lineRule="exact"/>
              <w:rPr>
                <w:rFonts w:hAnsi="宋体" w:cs="Courier New"/>
                <w:color w:val="auto"/>
                <w:kern w:val="2"/>
                <w:sz w:val="24"/>
                <w:szCs w:val="24"/>
                <w:highlight w:val="none"/>
              </w:rPr>
            </w:pPr>
          </w:p>
        </w:tc>
        <w:tc>
          <w:tcPr>
            <w:tcW w:w="1934" w:type="dxa"/>
          </w:tcPr>
          <w:p w14:paraId="219C25C4">
            <w:pPr>
              <w:pStyle w:val="25"/>
              <w:spacing w:line="600" w:lineRule="exact"/>
              <w:rPr>
                <w:rFonts w:hAnsi="宋体" w:cs="Courier New"/>
                <w:color w:val="auto"/>
                <w:kern w:val="2"/>
                <w:sz w:val="24"/>
                <w:szCs w:val="24"/>
                <w:highlight w:val="none"/>
              </w:rPr>
            </w:pPr>
          </w:p>
        </w:tc>
      </w:tr>
      <w:tr w14:paraId="0549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5FA5C9B">
            <w:pPr>
              <w:pStyle w:val="25"/>
              <w:spacing w:line="600" w:lineRule="exact"/>
              <w:rPr>
                <w:rFonts w:hAnsi="宋体" w:cs="Courier New"/>
                <w:color w:val="auto"/>
                <w:kern w:val="2"/>
                <w:sz w:val="24"/>
                <w:szCs w:val="24"/>
                <w:highlight w:val="none"/>
              </w:rPr>
            </w:pPr>
          </w:p>
        </w:tc>
        <w:tc>
          <w:tcPr>
            <w:tcW w:w="2143" w:type="dxa"/>
          </w:tcPr>
          <w:p w14:paraId="6EEA3699">
            <w:pPr>
              <w:pStyle w:val="25"/>
              <w:spacing w:line="600" w:lineRule="exact"/>
              <w:rPr>
                <w:rFonts w:hAnsi="宋体" w:cs="Courier New"/>
                <w:color w:val="auto"/>
                <w:kern w:val="2"/>
                <w:sz w:val="24"/>
                <w:szCs w:val="24"/>
                <w:highlight w:val="none"/>
              </w:rPr>
            </w:pPr>
          </w:p>
        </w:tc>
        <w:tc>
          <w:tcPr>
            <w:tcW w:w="1834" w:type="dxa"/>
          </w:tcPr>
          <w:p w14:paraId="30773144">
            <w:pPr>
              <w:pStyle w:val="25"/>
              <w:spacing w:line="600" w:lineRule="exact"/>
              <w:rPr>
                <w:rFonts w:hAnsi="宋体" w:cs="Courier New"/>
                <w:color w:val="auto"/>
                <w:kern w:val="2"/>
                <w:sz w:val="24"/>
                <w:szCs w:val="24"/>
                <w:highlight w:val="none"/>
              </w:rPr>
            </w:pPr>
          </w:p>
        </w:tc>
        <w:tc>
          <w:tcPr>
            <w:tcW w:w="2181" w:type="dxa"/>
          </w:tcPr>
          <w:p w14:paraId="48C6E4EA">
            <w:pPr>
              <w:pStyle w:val="25"/>
              <w:spacing w:line="600" w:lineRule="exact"/>
              <w:rPr>
                <w:rFonts w:hAnsi="宋体" w:cs="Courier New"/>
                <w:color w:val="auto"/>
                <w:kern w:val="2"/>
                <w:sz w:val="24"/>
                <w:szCs w:val="24"/>
                <w:highlight w:val="none"/>
              </w:rPr>
            </w:pPr>
          </w:p>
        </w:tc>
        <w:tc>
          <w:tcPr>
            <w:tcW w:w="1934" w:type="dxa"/>
          </w:tcPr>
          <w:p w14:paraId="6CD1152A">
            <w:pPr>
              <w:pStyle w:val="25"/>
              <w:spacing w:line="600" w:lineRule="exact"/>
              <w:rPr>
                <w:rFonts w:hAnsi="宋体" w:cs="Courier New"/>
                <w:color w:val="auto"/>
                <w:kern w:val="2"/>
                <w:sz w:val="24"/>
                <w:szCs w:val="24"/>
                <w:highlight w:val="none"/>
              </w:rPr>
            </w:pPr>
          </w:p>
        </w:tc>
      </w:tr>
      <w:tr w14:paraId="16D2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752EA51">
            <w:pPr>
              <w:pStyle w:val="25"/>
              <w:spacing w:line="600" w:lineRule="exact"/>
              <w:rPr>
                <w:rFonts w:hAnsi="宋体" w:cs="Courier New"/>
                <w:color w:val="auto"/>
                <w:kern w:val="2"/>
                <w:sz w:val="24"/>
                <w:szCs w:val="24"/>
                <w:highlight w:val="none"/>
              </w:rPr>
            </w:pPr>
          </w:p>
        </w:tc>
        <w:tc>
          <w:tcPr>
            <w:tcW w:w="2143" w:type="dxa"/>
          </w:tcPr>
          <w:p w14:paraId="161285F7">
            <w:pPr>
              <w:pStyle w:val="25"/>
              <w:spacing w:line="600" w:lineRule="exact"/>
              <w:rPr>
                <w:rFonts w:hAnsi="宋体" w:cs="Courier New"/>
                <w:color w:val="auto"/>
                <w:kern w:val="2"/>
                <w:sz w:val="24"/>
                <w:szCs w:val="24"/>
                <w:highlight w:val="none"/>
              </w:rPr>
            </w:pPr>
          </w:p>
        </w:tc>
        <w:tc>
          <w:tcPr>
            <w:tcW w:w="1834" w:type="dxa"/>
          </w:tcPr>
          <w:p w14:paraId="5297DBF5">
            <w:pPr>
              <w:pStyle w:val="25"/>
              <w:spacing w:line="600" w:lineRule="exact"/>
              <w:rPr>
                <w:rFonts w:hAnsi="宋体" w:cs="Courier New"/>
                <w:color w:val="auto"/>
                <w:kern w:val="2"/>
                <w:sz w:val="24"/>
                <w:szCs w:val="24"/>
                <w:highlight w:val="none"/>
              </w:rPr>
            </w:pPr>
          </w:p>
        </w:tc>
        <w:tc>
          <w:tcPr>
            <w:tcW w:w="2181" w:type="dxa"/>
          </w:tcPr>
          <w:p w14:paraId="263829C7">
            <w:pPr>
              <w:pStyle w:val="25"/>
              <w:spacing w:line="600" w:lineRule="exact"/>
              <w:rPr>
                <w:rFonts w:hAnsi="宋体" w:cs="Courier New"/>
                <w:color w:val="auto"/>
                <w:kern w:val="2"/>
                <w:sz w:val="24"/>
                <w:szCs w:val="24"/>
                <w:highlight w:val="none"/>
              </w:rPr>
            </w:pPr>
          </w:p>
        </w:tc>
        <w:tc>
          <w:tcPr>
            <w:tcW w:w="1934" w:type="dxa"/>
          </w:tcPr>
          <w:p w14:paraId="70B4697D">
            <w:pPr>
              <w:pStyle w:val="25"/>
              <w:spacing w:line="600" w:lineRule="exact"/>
              <w:rPr>
                <w:rFonts w:hAnsi="宋体" w:cs="Courier New"/>
                <w:color w:val="auto"/>
                <w:kern w:val="2"/>
                <w:sz w:val="24"/>
                <w:szCs w:val="24"/>
                <w:highlight w:val="none"/>
              </w:rPr>
            </w:pPr>
          </w:p>
        </w:tc>
      </w:tr>
      <w:tr w14:paraId="5052A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7D9FCF0">
            <w:pPr>
              <w:pStyle w:val="25"/>
              <w:spacing w:line="600" w:lineRule="exact"/>
              <w:rPr>
                <w:rFonts w:hAnsi="宋体" w:cs="Courier New"/>
                <w:color w:val="auto"/>
                <w:kern w:val="2"/>
                <w:sz w:val="24"/>
                <w:szCs w:val="24"/>
                <w:highlight w:val="none"/>
              </w:rPr>
            </w:pPr>
          </w:p>
        </w:tc>
        <w:tc>
          <w:tcPr>
            <w:tcW w:w="2143" w:type="dxa"/>
          </w:tcPr>
          <w:p w14:paraId="712E3EBE">
            <w:pPr>
              <w:pStyle w:val="25"/>
              <w:spacing w:line="600" w:lineRule="exact"/>
              <w:rPr>
                <w:rFonts w:hAnsi="宋体" w:cs="Courier New"/>
                <w:color w:val="auto"/>
                <w:kern w:val="2"/>
                <w:sz w:val="24"/>
                <w:szCs w:val="24"/>
                <w:highlight w:val="none"/>
              </w:rPr>
            </w:pPr>
          </w:p>
        </w:tc>
        <w:tc>
          <w:tcPr>
            <w:tcW w:w="1834" w:type="dxa"/>
          </w:tcPr>
          <w:p w14:paraId="19380850">
            <w:pPr>
              <w:pStyle w:val="25"/>
              <w:spacing w:line="600" w:lineRule="exact"/>
              <w:rPr>
                <w:rFonts w:hAnsi="宋体" w:cs="Courier New"/>
                <w:color w:val="auto"/>
                <w:kern w:val="2"/>
                <w:sz w:val="24"/>
                <w:szCs w:val="24"/>
                <w:highlight w:val="none"/>
              </w:rPr>
            </w:pPr>
          </w:p>
        </w:tc>
        <w:tc>
          <w:tcPr>
            <w:tcW w:w="2181" w:type="dxa"/>
          </w:tcPr>
          <w:p w14:paraId="56AD8190">
            <w:pPr>
              <w:pStyle w:val="25"/>
              <w:spacing w:line="600" w:lineRule="exact"/>
              <w:rPr>
                <w:rFonts w:hAnsi="宋体" w:cs="Courier New"/>
                <w:color w:val="auto"/>
                <w:kern w:val="2"/>
                <w:sz w:val="24"/>
                <w:szCs w:val="24"/>
                <w:highlight w:val="none"/>
              </w:rPr>
            </w:pPr>
          </w:p>
        </w:tc>
        <w:tc>
          <w:tcPr>
            <w:tcW w:w="1934" w:type="dxa"/>
          </w:tcPr>
          <w:p w14:paraId="2D5FAEEF">
            <w:pPr>
              <w:pStyle w:val="25"/>
              <w:spacing w:line="600" w:lineRule="exact"/>
              <w:rPr>
                <w:rFonts w:hAnsi="宋体" w:cs="Courier New"/>
                <w:color w:val="auto"/>
                <w:kern w:val="2"/>
                <w:sz w:val="24"/>
                <w:szCs w:val="24"/>
                <w:highlight w:val="none"/>
              </w:rPr>
            </w:pPr>
          </w:p>
        </w:tc>
      </w:tr>
    </w:tbl>
    <w:p w14:paraId="0E075188">
      <w:pPr>
        <w:pStyle w:val="18"/>
        <w:rPr>
          <w:rFonts w:ascii="宋体" w:hAnsi="宋体"/>
          <w:color w:val="auto"/>
          <w:highlight w:val="none"/>
        </w:rPr>
      </w:pPr>
      <w:r>
        <w:rPr>
          <w:rFonts w:hint="eastAsia" w:ascii="宋体" w:hAnsi="宋体"/>
          <w:color w:val="auto"/>
          <w:highlight w:val="none"/>
        </w:rPr>
        <w:t>注：</w:t>
      </w:r>
    </w:p>
    <w:p w14:paraId="13983840">
      <w:pPr>
        <w:pStyle w:val="20"/>
        <w:spacing w:line="360" w:lineRule="auto"/>
        <w:contextualSpacing/>
        <w:rPr>
          <w:rFonts w:ascii="宋体" w:hAnsi="宋体" w:cs="仿宋_GB2312"/>
          <w:color w:val="auto"/>
          <w:szCs w:val="32"/>
          <w:highlight w:val="none"/>
        </w:rPr>
      </w:pPr>
      <w:r>
        <w:rPr>
          <w:rFonts w:hint="eastAsia" w:ascii="宋体" w:hAnsi="宋体"/>
          <w:color w:val="auto"/>
          <w:sz w:val="24"/>
          <w:highlight w:val="none"/>
        </w:rPr>
        <w:t>1.说明：应对照招标文件“第二章 采购需求”中的“技术要求”逐条作明确的投标响应，并作出偏离说明。</w:t>
      </w:r>
    </w:p>
    <w:p w14:paraId="0D026EBE">
      <w:pPr>
        <w:pStyle w:val="18"/>
        <w:spacing w:line="360" w:lineRule="auto"/>
        <w:contextualSpacing/>
        <w:rPr>
          <w:rFonts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E93A44B">
      <w:pPr>
        <w:snapToGrid w:val="0"/>
        <w:spacing w:before="50" w:after="50" w:line="360" w:lineRule="auto"/>
        <w:rPr>
          <w:rFonts w:ascii="宋体" w:hAnsi="宋体"/>
          <w:color w:val="auto"/>
          <w:sz w:val="24"/>
          <w:highlight w:val="none"/>
        </w:rPr>
      </w:pPr>
    </w:p>
    <w:p w14:paraId="5BA5D417">
      <w:pPr>
        <w:snapToGrid w:val="0"/>
        <w:spacing w:before="50" w:after="50" w:line="360" w:lineRule="auto"/>
        <w:rPr>
          <w:rFonts w:ascii="宋体" w:hAnsi="宋体"/>
          <w:color w:val="auto"/>
          <w:sz w:val="24"/>
          <w:highlight w:val="none"/>
        </w:rPr>
      </w:pPr>
    </w:p>
    <w:p w14:paraId="5BF31760">
      <w:pPr>
        <w:snapToGrid w:val="0"/>
        <w:spacing w:before="50" w:after="50" w:line="360" w:lineRule="auto"/>
        <w:rPr>
          <w:rFonts w:ascii="宋体" w:hAnsi="宋体"/>
          <w:color w:val="auto"/>
          <w:sz w:val="24"/>
          <w:highlight w:val="none"/>
        </w:rPr>
      </w:pPr>
    </w:p>
    <w:p w14:paraId="41201E03">
      <w:pPr>
        <w:snapToGrid w:val="0"/>
        <w:spacing w:before="50" w:after="50"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1A69098C">
      <w:pPr>
        <w:snapToGrid w:val="0"/>
        <w:spacing w:before="50" w:after="50" w:line="360" w:lineRule="auto"/>
        <w:rPr>
          <w:rFonts w:ascii="宋体" w:hAnsi="宋体"/>
          <w:color w:val="auto"/>
          <w:spacing w:val="20"/>
          <w:sz w:val="24"/>
          <w:highlight w:val="none"/>
          <w:u w:val="single"/>
        </w:rPr>
      </w:pPr>
      <w:r>
        <w:rPr>
          <w:rFonts w:hint="eastAsia" w:ascii="宋体" w:hAnsi="宋体"/>
          <w:color w:val="auto"/>
          <w:spacing w:val="20"/>
          <w:sz w:val="24"/>
          <w:highlight w:val="none"/>
        </w:rPr>
        <w:t>投标人（盖公章）：              日 期：</w:t>
      </w:r>
    </w:p>
    <w:p w14:paraId="5262AA59">
      <w:pPr>
        <w:snapToGrid w:val="0"/>
        <w:spacing w:before="50" w:after="50" w:line="360" w:lineRule="auto"/>
        <w:rPr>
          <w:rFonts w:ascii="宋体" w:hAnsi="宋体"/>
          <w:color w:val="auto"/>
          <w:sz w:val="24"/>
          <w:szCs w:val="20"/>
          <w:highlight w:val="none"/>
        </w:rPr>
      </w:pPr>
    </w:p>
    <w:p w14:paraId="6F97DA8C">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4. 项目实施人员一览表格式</w:t>
      </w:r>
    </w:p>
    <w:p w14:paraId="6B19D306">
      <w:pPr>
        <w:snapToGrid w:val="0"/>
        <w:spacing w:beforeLines="50" w:after="50"/>
        <w:ind w:left="142"/>
        <w:jc w:val="left"/>
        <w:rPr>
          <w:rFonts w:ascii="宋体" w:hAnsi="宋体"/>
          <w:b/>
          <w:color w:val="auto"/>
          <w:sz w:val="24"/>
          <w:highlight w:val="none"/>
        </w:rPr>
      </w:pPr>
    </w:p>
    <w:p w14:paraId="73A0B5BC">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58F0CA18">
      <w:pPr>
        <w:pStyle w:val="25"/>
        <w:rPr>
          <w:rFonts w:hAnsi="宋体"/>
          <w:color w:val="auto"/>
          <w:sz w:val="24"/>
          <w:szCs w:val="24"/>
          <w:highlight w:val="none"/>
        </w:rPr>
      </w:pPr>
      <w:r>
        <w:rPr>
          <w:rFonts w:hint="eastAsia" w:hAnsi="宋体"/>
          <w:color w:val="auto"/>
          <w:sz w:val="24"/>
          <w:szCs w:val="24"/>
          <w:highlight w:val="none"/>
        </w:rPr>
        <w:t>所投分标：分标</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351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C00522">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vAlign w:val="center"/>
          </w:tcPr>
          <w:p w14:paraId="0A71E758">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vAlign w:val="center"/>
          </w:tcPr>
          <w:p w14:paraId="1BA78A37">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vAlign w:val="center"/>
          </w:tcPr>
          <w:p w14:paraId="02287856">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vAlign w:val="center"/>
          </w:tcPr>
          <w:p w14:paraId="2A0A5721">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50747D1C">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vAlign w:val="center"/>
          </w:tcPr>
          <w:p w14:paraId="0EA2D9B2">
            <w:pPr>
              <w:snapToGrid w:val="0"/>
              <w:spacing w:before="50" w:afterLines="50"/>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11A16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1E6F98">
            <w:pPr>
              <w:snapToGrid w:val="0"/>
              <w:spacing w:before="50" w:afterLines="50"/>
              <w:jc w:val="center"/>
              <w:rPr>
                <w:rFonts w:ascii="宋体" w:hAnsi="宋体"/>
                <w:color w:val="auto"/>
                <w:sz w:val="24"/>
                <w:szCs w:val="20"/>
                <w:highlight w:val="none"/>
              </w:rPr>
            </w:pPr>
          </w:p>
        </w:tc>
        <w:tc>
          <w:tcPr>
            <w:tcW w:w="709" w:type="dxa"/>
            <w:vAlign w:val="center"/>
          </w:tcPr>
          <w:p w14:paraId="01F7EEE8">
            <w:pPr>
              <w:snapToGrid w:val="0"/>
              <w:spacing w:before="50" w:afterLines="50"/>
              <w:jc w:val="center"/>
              <w:rPr>
                <w:rFonts w:ascii="宋体" w:hAnsi="宋体"/>
                <w:color w:val="auto"/>
                <w:sz w:val="24"/>
                <w:szCs w:val="20"/>
                <w:highlight w:val="none"/>
              </w:rPr>
            </w:pPr>
          </w:p>
        </w:tc>
        <w:tc>
          <w:tcPr>
            <w:tcW w:w="1701" w:type="dxa"/>
            <w:vAlign w:val="center"/>
          </w:tcPr>
          <w:p w14:paraId="3D62786E">
            <w:pPr>
              <w:snapToGrid w:val="0"/>
              <w:spacing w:before="50" w:afterLines="50"/>
              <w:jc w:val="center"/>
              <w:rPr>
                <w:rFonts w:ascii="宋体" w:hAnsi="宋体"/>
                <w:color w:val="auto"/>
                <w:sz w:val="24"/>
                <w:szCs w:val="20"/>
                <w:highlight w:val="none"/>
              </w:rPr>
            </w:pPr>
          </w:p>
        </w:tc>
        <w:tc>
          <w:tcPr>
            <w:tcW w:w="1420" w:type="dxa"/>
            <w:vAlign w:val="center"/>
          </w:tcPr>
          <w:p w14:paraId="5C1F7BF4">
            <w:pPr>
              <w:snapToGrid w:val="0"/>
              <w:spacing w:before="50" w:afterLines="50"/>
              <w:jc w:val="center"/>
              <w:rPr>
                <w:rFonts w:ascii="宋体" w:hAnsi="宋体"/>
                <w:color w:val="auto"/>
                <w:sz w:val="24"/>
                <w:szCs w:val="20"/>
                <w:highlight w:val="none"/>
              </w:rPr>
            </w:pPr>
          </w:p>
        </w:tc>
        <w:tc>
          <w:tcPr>
            <w:tcW w:w="1698" w:type="dxa"/>
            <w:vAlign w:val="center"/>
          </w:tcPr>
          <w:p w14:paraId="24002414">
            <w:pPr>
              <w:snapToGrid w:val="0"/>
              <w:spacing w:before="50" w:afterLines="50"/>
              <w:jc w:val="center"/>
              <w:rPr>
                <w:rFonts w:ascii="宋体" w:hAnsi="宋体"/>
                <w:color w:val="auto"/>
                <w:sz w:val="24"/>
                <w:szCs w:val="20"/>
                <w:highlight w:val="none"/>
              </w:rPr>
            </w:pPr>
          </w:p>
        </w:tc>
        <w:tc>
          <w:tcPr>
            <w:tcW w:w="1843" w:type="dxa"/>
            <w:vAlign w:val="center"/>
          </w:tcPr>
          <w:p w14:paraId="5F140950">
            <w:pPr>
              <w:snapToGrid w:val="0"/>
              <w:spacing w:before="50" w:afterLines="50"/>
              <w:jc w:val="center"/>
              <w:rPr>
                <w:rFonts w:ascii="宋体" w:hAnsi="宋体"/>
                <w:color w:val="auto"/>
                <w:sz w:val="24"/>
                <w:szCs w:val="20"/>
                <w:highlight w:val="none"/>
              </w:rPr>
            </w:pPr>
          </w:p>
        </w:tc>
      </w:tr>
      <w:tr w14:paraId="1082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7BF55F">
            <w:pPr>
              <w:snapToGrid w:val="0"/>
              <w:spacing w:before="50" w:afterLines="50"/>
              <w:jc w:val="center"/>
              <w:rPr>
                <w:rFonts w:ascii="宋体" w:hAnsi="宋体"/>
                <w:color w:val="auto"/>
                <w:sz w:val="24"/>
                <w:szCs w:val="20"/>
                <w:highlight w:val="none"/>
              </w:rPr>
            </w:pPr>
          </w:p>
        </w:tc>
        <w:tc>
          <w:tcPr>
            <w:tcW w:w="709" w:type="dxa"/>
            <w:vAlign w:val="center"/>
          </w:tcPr>
          <w:p w14:paraId="1E623A1D">
            <w:pPr>
              <w:snapToGrid w:val="0"/>
              <w:spacing w:before="50" w:afterLines="50"/>
              <w:jc w:val="center"/>
              <w:rPr>
                <w:rFonts w:ascii="宋体" w:hAnsi="宋体"/>
                <w:color w:val="auto"/>
                <w:sz w:val="24"/>
                <w:szCs w:val="20"/>
                <w:highlight w:val="none"/>
              </w:rPr>
            </w:pPr>
          </w:p>
        </w:tc>
        <w:tc>
          <w:tcPr>
            <w:tcW w:w="1701" w:type="dxa"/>
            <w:vAlign w:val="center"/>
          </w:tcPr>
          <w:p w14:paraId="110C4231">
            <w:pPr>
              <w:snapToGrid w:val="0"/>
              <w:spacing w:before="50" w:afterLines="50"/>
              <w:jc w:val="center"/>
              <w:rPr>
                <w:rFonts w:ascii="宋体" w:hAnsi="宋体"/>
                <w:color w:val="auto"/>
                <w:sz w:val="24"/>
                <w:szCs w:val="20"/>
                <w:highlight w:val="none"/>
              </w:rPr>
            </w:pPr>
          </w:p>
        </w:tc>
        <w:tc>
          <w:tcPr>
            <w:tcW w:w="1420" w:type="dxa"/>
            <w:vAlign w:val="center"/>
          </w:tcPr>
          <w:p w14:paraId="7DFF30D2">
            <w:pPr>
              <w:snapToGrid w:val="0"/>
              <w:spacing w:before="50" w:afterLines="50"/>
              <w:jc w:val="center"/>
              <w:rPr>
                <w:rFonts w:ascii="宋体" w:hAnsi="宋体"/>
                <w:color w:val="auto"/>
                <w:sz w:val="24"/>
                <w:szCs w:val="20"/>
                <w:highlight w:val="none"/>
              </w:rPr>
            </w:pPr>
          </w:p>
        </w:tc>
        <w:tc>
          <w:tcPr>
            <w:tcW w:w="1698" w:type="dxa"/>
            <w:vAlign w:val="center"/>
          </w:tcPr>
          <w:p w14:paraId="7B2E99BA">
            <w:pPr>
              <w:snapToGrid w:val="0"/>
              <w:spacing w:before="50" w:afterLines="50"/>
              <w:jc w:val="center"/>
              <w:rPr>
                <w:rFonts w:ascii="宋体" w:hAnsi="宋体"/>
                <w:color w:val="auto"/>
                <w:sz w:val="24"/>
                <w:szCs w:val="20"/>
                <w:highlight w:val="none"/>
              </w:rPr>
            </w:pPr>
          </w:p>
        </w:tc>
        <w:tc>
          <w:tcPr>
            <w:tcW w:w="1843" w:type="dxa"/>
            <w:vAlign w:val="center"/>
          </w:tcPr>
          <w:p w14:paraId="3407F23C">
            <w:pPr>
              <w:snapToGrid w:val="0"/>
              <w:spacing w:before="50" w:afterLines="50"/>
              <w:jc w:val="center"/>
              <w:rPr>
                <w:rFonts w:ascii="宋体" w:hAnsi="宋体"/>
                <w:color w:val="auto"/>
                <w:sz w:val="24"/>
                <w:szCs w:val="20"/>
                <w:highlight w:val="none"/>
              </w:rPr>
            </w:pPr>
          </w:p>
        </w:tc>
      </w:tr>
      <w:tr w14:paraId="7CD3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03D683">
            <w:pPr>
              <w:snapToGrid w:val="0"/>
              <w:spacing w:before="50" w:afterLines="50"/>
              <w:jc w:val="center"/>
              <w:rPr>
                <w:rFonts w:ascii="宋体" w:hAnsi="宋体"/>
                <w:color w:val="auto"/>
                <w:sz w:val="24"/>
                <w:szCs w:val="20"/>
                <w:highlight w:val="none"/>
              </w:rPr>
            </w:pPr>
          </w:p>
        </w:tc>
        <w:tc>
          <w:tcPr>
            <w:tcW w:w="709" w:type="dxa"/>
            <w:vAlign w:val="center"/>
          </w:tcPr>
          <w:p w14:paraId="5C6B5304">
            <w:pPr>
              <w:snapToGrid w:val="0"/>
              <w:spacing w:before="50" w:afterLines="50"/>
              <w:jc w:val="center"/>
              <w:rPr>
                <w:rFonts w:ascii="宋体" w:hAnsi="宋体"/>
                <w:color w:val="auto"/>
                <w:sz w:val="24"/>
                <w:szCs w:val="20"/>
                <w:highlight w:val="none"/>
              </w:rPr>
            </w:pPr>
          </w:p>
        </w:tc>
        <w:tc>
          <w:tcPr>
            <w:tcW w:w="1701" w:type="dxa"/>
            <w:vAlign w:val="center"/>
          </w:tcPr>
          <w:p w14:paraId="438B37D3">
            <w:pPr>
              <w:snapToGrid w:val="0"/>
              <w:spacing w:before="50" w:afterLines="50"/>
              <w:jc w:val="center"/>
              <w:rPr>
                <w:rFonts w:ascii="宋体" w:hAnsi="宋体"/>
                <w:color w:val="auto"/>
                <w:sz w:val="24"/>
                <w:szCs w:val="20"/>
                <w:highlight w:val="none"/>
              </w:rPr>
            </w:pPr>
          </w:p>
        </w:tc>
        <w:tc>
          <w:tcPr>
            <w:tcW w:w="1420" w:type="dxa"/>
            <w:vAlign w:val="center"/>
          </w:tcPr>
          <w:p w14:paraId="1F626F76">
            <w:pPr>
              <w:snapToGrid w:val="0"/>
              <w:spacing w:before="50" w:afterLines="50"/>
              <w:jc w:val="center"/>
              <w:rPr>
                <w:rFonts w:ascii="宋体" w:hAnsi="宋体"/>
                <w:color w:val="auto"/>
                <w:sz w:val="24"/>
                <w:szCs w:val="20"/>
                <w:highlight w:val="none"/>
              </w:rPr>
            </w:pPr>
          </w:p>
        </w:tc>
        <w:tc>
          <w:tcPr>
            <w:tcW w:w="1698" w:type="dxa"/>
            <w:vAlign w:val="center"/>
          </w:tcPr>
          <w:p w14:paraId="593BD042">
            <w:pPr>
              <w:snapToGrid w:val="0"/>
              <w:spacing w:before="50" w:afterLines="50"/>
              <w:jc w:val="center"/>
              <w:rPr>
                <w:rFonts w:ascii="宋体" w:hAnsi="宋体"/>
                <w:color w:val="auto"/>
                <w:sz w:val="24"/>
                <w:szCs w:val="20"/>
                <w:highlight w:val="none"/>
              </w:rPr>
            </w:pPr>
          </w:p>
        </w:tc>
        <w:tc>
          <w:tcPr>
            <w:tcW w:w="1843" w:type="dxa"/>
            <w:vAlign w:val="center"/>
          </w:tcPr>
          <w:p w14:paraId="624465F2">
            <w:pPr>
              <w:snapToGrid w:val="0"/>
              <w:spacing w:before="50" w:afterLines="50"/>
              <w:jc w:val="center"/>
              <w:rPr>
                <w:rFonts w:ascii="宋体" w:hAnsi="宋体"/>
                <w:color w:val="auto"/>
                <w:sz w:val="24"/>
                <w:szCs w:val="20"/>
                <w:highlight w:val="none"/>
              </w:rPr>
            </w:pPr>
          </w:p>
        </w:tc>
      </w:tr>
    </w:tbl>
    <w:p w14:paraId="3738331A">
      <w:pPr>
        <w:snapToGrid w:val="0"/>
        <w:spacing w:before="50" w:afterLines="50"/>
        <w:jc w:val="left"/>
        <w:rPr>
          <w:rFonts w:ascii="宋体" w:hAnsi="宋体"/>
          <w:color w:val="auto"/>
          <w:sz w:val="24"/>
          <w:szCs w:val="20"/>
          <w:highlight w:val="none"/>
        </w:rPr>
      </w:pPr>
    </w:p>
    <w:p w14:paraId="27E67781">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46ECFCF8">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3BF301A8">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投标人应当附本表所列证书的复印件并加盖投标人公章。</w:t>
      </w:r>
    </w:p>
    <w:p w14:paraId="6E4D5590">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103CC1F3">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投标人（盖公章）：              日 期：</w:t>
      </w:r>
    </w:p>
    <w:p w14:paraId="43B874A8">
      <w:pPr>
        <w:snapToGrid w:val="0"/>
        <w:spacing w:before="50" w:afterLines="50"/>
        <w:jc w:val="left"/>
        <w:rPr>
          <w:rFonts w:ascii="宋体" w:hAnsi="宋体"/>
          <w:color w:val="auto"/>
          <w:sz w:val="24"/>
          <w:szCs w:val="20"/>
          <w:highlight w:val="none"/>
        </w:rPr>
      </w:pPr>
    </w:p>
    <w:p w14:paraId="7BAEBCB3">
      <w:pPr>
        <w:snapToGrid w:val="0"/>
        <w:spacing w:beforeLines="50" w:after="50"/>
        <w:ind w:left="142"/>
        <w:jc w:val="left"/>
        <w:rPr>
          <w:rFonts w:ascii="宋体" w:hAnsi="宋体"/>
          <w:b/>
          <w:color w:val="auto"/>
          <w:sz w:val="28"/>
          <w:szCs w:val="28"/>
          <w:highlight w:val="none"/>
        </w:rPr>
      </w:pPr>
      <w:r>
        <w:rPr>
          <w:rFonts w:ascii="宋体" w:hAnsi="宋体"/>
          <w:b/>
          <w:color w:val="auto"/>
          <w:sz w:val="24"/>
          <w:highlight w:val="none"/>
        </w:rPr>
        <w:br w:type="page"/>
      </w:r>
      <w:r>
        <w:rPr>
          <w:rFonts w:hint="eastAsia" w:ascii="宋体" w:hAnsi="宋体"/>
          <w:b/>
          <w:color w:val="auto"/>
          <w:sz w:val="28"/>
          <w:szCs w:val="28"/>
          <w:highlight w:val="none"/>
        </w:rPr>
        <w:t>五、其他文书、文件格式</w:t>
      </w:r>
    </w:p>
    <w:p w14:paraId="3CB0FF83">
      <w:pPr>
        <w:snapToGrid w:val="0"/>
        <w:spacing w:beforeLines="50" w:after="50"/>
        <w:ind w:left="142"/>
        <w:jc w:val="left"/>
        <w:rPr>
          <w:rFonts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5ABBF395">
      <w:pPr>
        <w:snapToGrid w:val="0"/>
        <w:spacing w:beforeLines="50" w:after="50"/>
        <w:ind w:left="142"/>
        <w:jc w:val="left"/>
        <w:rPr>
          <w:rFonts w:ascii="宋体" w:hAnsi="宋体"/>
          <w:b/>
          <w:color w:val="auto"/>
          <w:spacing w:val="20"/>
          <w:sz w:val="24"/>
          <w:highlight w:val="none"/>
        </w:rPr>
      </w:pPr>
    </w:p>
    <w:p w14:paraId="43540950">
      <w:pPr>
        <w:pStyle w:val="14"/>
        <w:overflowPunct w:val="0"/>
        <w:ind w:firstLine="0"/>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联合体协议书</w:t>
      </w:r>
    </w:p>
    <w:p w14:paraId="75753E9A">
      <w:pPr>
        <w:pStyle w:val="14"/>
        <w:overflowPunct w:val="0"/>
        <w:rPr>
          <w:rFonts w:ascii="宋体" w:hAnsi="宋体"/>
          <w:color w:val="auto"/>
          <w:sz w:val="24"/>
          <w:highlight w:val="none"/>
        </w:rPr>
      </w:pPr>
    </w:p>
    <w:p w14:paraId="452B0F99">
      <w:pPr>
        <w:pStyle w:val="14"/>
        <w:overflowPunct w:val="0"/>
        <w:spacing w:line="360" w:lineRule="auto"/>
        <w:contextualSpacing/>
        <w:rPr>
          <w:rFonts w:ascii="宋体" w:hAnsi="宋体"/>
          <w:color w:val="auto"/>
          <w:sz w:val="24"/>
          <w:highlight w:val="none"/>
        </w:rPr>
      </w:pP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1083911E">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ab/>
      </w:r>
      <w:r>
        <w:rPr>
          <w:rFonts w:hint="eastAsia" w:ascii="宋体" w:hAnsi="宋体"/>
          <w:color w:val="auto"/>
          <w:sz w:val="24"/>
          <w:highlight w:val="none"/>
        </w:rPr>
        <w:t>（联合体名称）牵头人。</w:t>
      </w:r>
    </w:p>
    <w:p w14:paraId="7982D090">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01ADEBBA">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联合体牵头人在本项目中签署和盖章的一切文件和处理的一切事宜，联合体各成员均予以承认。联合体各成员将严格按照招标文件、投标文件和合同的要求全面履行义务，并向招标人承担连带责任。</w:t>
      </w:r>
    </w:p>
    <w:p w14:paraId="6A6601A3">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ab/>
      </w:r>
      <w:r>
        <w:rPr>
          <w:rFonts w:hint="eastAsia" w:ascii="宋体" w:hAnsi="宋体"/>
          <w:color w:val="auto"/>
          <w:sz w:val="24"/>
          <w:highlight w:val="none"/>
        </w:rPr>
        <w:t>。</w:t>
      </w:r>
    </w:p>
    <w:p w14:paraId="7D5FC549">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本协议书自所有成员单位法定代表人或者其委托代理人签字或者盖公章之日起生效，合同履行完毕后自动失效。</w:t>
      </w:r>
    </w:p>
    <w:p w14:paraId="5A6F9D91">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7F1D9513">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注：本协议书由法定代表人签字的，应附法定代表人身份证明；由委托代理人签字的，应附授权委托书。</w:t>
      </w:r>
    </w:p>
    <w:p w14:paraId="601A8DB3">
      <w:pPr>
        <w:pStyle w:val="14"/>
        <w:overflowPunct w:val="0"/>
        <w:spacing w:line="360" w:lineRule="auto"/>
        <w:ind w:firstLineChars="175"/>
        <w:contextualSpacing/>
        <w:rPr>
          <w:rFonts w:ascii="宋体" w:hAnsi="宋体"/>
          <w:color w:val="auto"/>
          <w:sz w:val="24"/>
          <w:highlight w:val="none"/>
        </w:rPr>
      </w:pPr>
    </w:p>
    <w:p w14:paraId="4226DCB2">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联合体牵头人名称（盖公章）：</w:t>
      </w:r>
    </w:p>
    <w:p w14:paraId="36D6D94E">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w:t>
      </w:r>
    </w:p>
    <w:p w14:paraId="6E657C1C">
      <w:pPr>
        <w:pStyle w:val="14"/>
        <w:overflowPunct w:val="0"/>
        <w:spacing w:line="360" w:lineRule="auto"/>
        <w:ind w:firstLineChars="175"/>
        <w:contextualSpacing/>
        <w:rPr>
          <w:rFonts w:ascii="宋体" w:hAnsi="宋体"/>
          <w:color w:val="auto"/>
          <w:sz w:val="24"/>
          <w:highlight w:val="none"/>
        </w:rPr>
      </w:pPr>
    </w:p>
    <w:p w14:paraId="3FCDB0E0">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联合体成员名称（盖公章）：</w:t>
      </w:r>
    </w:p>
    <w:p w14:paraId="0E487148">
      <w:pPr>
        <w:pStyle w:val="14"/>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法定代表人或者其委托代理人：</w:t>
      </w:r>
      <w:r>
        <w:rPr>
          <w:rFonts w:ascii="宋体" w:hAnsi="宋体"/>
          <w:color w:val="auto"/>
          <w:sz w:val="24"/>
          <w:highlight w:val="none"/>
        </w:rPr>
        <w:tab/>
      </w:r>
      <w:r>
        <w:rPr>
          <w:rFonts w:hint="eastAsia" w:ascii="宋体" w:hAnsi="宋体"/>
          <w:color w:val="auto"/>
          <w:sz w:val="24"/>
          <w:highlight w:val="none"/>
        </w:rPr>
        <w:t>（签字）</w:t>
      </w:r>
    </w:p>
    <w:p w14:paraId="5F45B213">
      <w:pPr>
        <w:pStyle w:val="14"/>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30E7E35F">
      <w:pPr>
        <w:pStyle w:val="14"/>
        <w:overflowPunct w:val="0"/>
        <w:spacing w:line="360" w:lineRule="auto"/>
        <w:ind w:firstLineChars="175"/>
        <w:contextualSpacing/>
        <w:rPr>
          <w:rFonts w:ascii="宋体" w:hAnsi="宋体"/>
          <w:color w:val="auto"/>
          <w:sz w:val="24"/>
          <w:highlight w:val="none"/>
        </w:rPr>
      </w:pPr>
    </w:p>
    <w:p w14:paraId="419767A1">
      <w:pPr>
        <w:pStyle w:val="14"/>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ab/>
      </w:r>
      <w:r>
        <w:rPr>
          <w:rFonts w:hint="eastAsia" w:ascii="宋体" w:hAnsi="宋体"/>
          <w:color w:val="auto"/>
          <w:sz w:val="24"/>
          <w:highlight w:val="none"/>
        </w:rPr>
        <w:t>日</w:t>
      </w:r>
    </w:p>
    <w:p w14:paraId="32C7D3D3">
      <w:pPr>
        <w:snapToGrid w:val="0"/>
        <w:spacing w:beforeLines="50" w:after="50"/>
        <w:jc w:val="left"/>
        <w:rPr>
          <w:rFonts w:ascii="宋体" w:hAnsi="宋体"/>
          <w:color w:val="auto"/>
          <w:highlight w:val="none"/>
        </w:rPr>
      </w:pPr>
      <w:r>
        <w:rPr>
          <w:rFonts w:hint="eastAsia" w:ascii="宋体" w:hAnsi="宋体"/>
          <w:b/>
          <w:color w:val="auto"/>
          <w:sz w:val="24"/>
          <w:highlight w:val="none"/>
        </w:rPr>
        <w:t xml:space="preserve"> 2.中小企业声明函格式</w:t>
      </w:r>
    </w:p>
    <w:p w14:paraId="0D25EC8F">
      <w:pPr>
        <w:rPr>
          <w:rFonts w:ascii="宋体" w:hAnsi="宋体"/>
          <w:color w:val="auto"/>
          <w:highlight w:val="none"/>
        </w:rPr>
      </w:pPr>
    </w:p>
    <w:p w14:paraId="17CCCC3E">
      <w:pPr>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中小企业声明函（服务）</w:t>
      </w:r>
    </w:p>
    <w:p w14:paraId="71841DA0">
      <w:pPr>
        <w:spacing w:before="2" w:line="500" w:lineRule="exact"/>
        <w:rPr>
          <w:rFonts w:ascii="宋体" w:hAnsi="宋体" w:cs="宋体"/>
          <w:b/>
          <w:bCs/>
          <w:color w:val="auto"/>
          <w:sz w:val="27"/>
          <w:szCs w:val="27"/>
          <w:highlight w:val="none"/>
        </w:rPr>
      </w:pPr>
    </w:p>
    <w:p w14:paraId="6E3AD5D0">
      <w:pPr>
        <w:pStyle w:val="19"/>
        <w:spacing w:line="360" w:lineRule="auto"/>
        <w:ind w:left="-426" w:leftChars="-203" w:right="142" w:firstLine="420" w:firstLineChars="200"/>
        <w:contextualSpacing/>
        <w:rPr>
          <w:rFonts w:ascii="宋体" w:hAnsi="宋体"/>
          <w:color w:val="auto"/>
          <w:kern w:val="24"/>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33994922">
      <w:pPr>
        <w:tabs>
          <w:tab w:val="left" w:pos="1384"/>
          <w:tab w:val="left" w:pos="4562"/>
          <w:tab w:val="left" w:pos="6803"/>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1.</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，从业人员人，营业收入为万元，资产总额为万元，属于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499CD0EE">
      <w:pPr>
        <w:tabs>
          <w:tab w:val="left" w:pos="1065"/>
          <w:tab w:val="left" w:pos="6477"/>
        </w:tabs>
        <w:spacing w:line="360" w:lineRule="auto"/>
        <w:ind w:left="-426" w:right="-58" w:firstLine="655"/>
        <w:contextualSpacing/>
        <w:rPr>
          <w:rFonts w:ascii="宋体" w:hAnsi="宋体"/>
          <w:color w:val="auto"/>
          <w:kern w:val="24"/>
          <w:sz w:val="24"/>
          <w:highlight w:val="none"/>
        </w:rPr>
      </w:pPr>
      <w:r>
        <w:rPr>
          <w:rFonts w:ascii="宋体" w:hAnsi="宋体"/>
          <w:color w:val="auto"/>
          <w:kern w:val="24"/>
          <w:sz w:val="24"/>
          <w:highlight w:val="none"/>
        </w:rPr>
        <w:t>2.</w:t>
      </w:r>
      <w:r>
        <w:rPr>
          <w:rFonts w:ascii="宋体" w:hAnsi="宋体"/>
          <w:color w:val="auto"/>
          <w:kern w:val="24"/>
          <w:sz w:val="24"/>
          <w:highlight w:val="none"/>
          <w:u w:val="single"/>
        </w:rPr>
        <w:t>（标的名称）</w:t>
      </w:r>
      <w:r>
        <w:rPr>
          <w:rFonts w:ascii="宋体" w:hAnsi="宋体"/>
          <w:color w:val="auto"/>
          <w:kern w:val="24"/>
          <w:sz w:val="24"/>
          <w:highlight w:val="none"/>
        </w:rPr>
        <w:t>，属于</w:t>
      </w:r>
      <w:r>
        <w:rPr>
          <w:rFonts w:ascii="宋体" w:hAnsi="宋体"/>
          <w:color w:val="auto"/>
          <w:kern w:val="24"/>
          <w:sz w:val="24"/>
          <w:highlight w:val="none"/>
          <w:u w:val="single"/>
        </w:rPr>
        <w:t>（采购文件中明确的所属行业）</w:t>
      </w:r>
      <w:r>
        <w:rPr>
          <w:rFonts w:ascii="宋体" w:hAnsi="宋体"/>
          <w:color w:val="auto"/>
          <w:kern w:val="24"/>
          <w:sz w:val="24"/>
          <w:highlight w:val="none"/>
        </w:rPr>
        <w:t>行业；</w:t>
      </w:r>
      <w:r>
        <w:rPr>
          <w:rFonts w:hint="eastAsia" w:ascii="宋体" w:hAnsi="宋体"/>
          <w:color w:val="auto"/>
          <w:kern w:val="24"/>
          <w:sz w:val="24"/>
          <w:highlight w:val="none"/>
        </w:rPr>
        <w:t>承接企业</w:t>
      </w:r>
      <w:r>
        <w:rPr>
          <w:rFonts w:ascii="宋体" w:hAnsi="宋体"/>
          <w:color w:val="auto"/>
          <w:kern w:val="24"/>
          <w:sz w:val="24"/>
          <w:highlight w:val="none"/>
        </w:rPr>
        <w:t>为</w:t>
      </w:r>
      <w:r>
        <w:rPr>
          <w:rFonts w:ascii="宋体" w:hAnsi="宋体"/>
          <w:color w:val="auto"/>
          <w:kern w:val="24"/>
          <w:sz w:val="24"/>
          <w:highlight w:val="none"/>
          <w:u w:val="single"/>
        </w:rPr>
        <w:t>（企业名称）</w:t>
      </w:r>
      <w:r>
        <w:rPr>
          <w:rFonts w:ascii="宋体" w:hAnsi="宋体"/>
          <w:color w:val="auto"/>
          <w:kern w:val="24"/>
          <w:sz w:val="24"/>
          <w:highlight w:val="none"/>
        </w:rPr>
        <w:t>，从业人员人，营业收入为万元，资产总额为万元，属于</w:t>
      </w:r>
      <w:r>
        <w:rPr>
          <w:rFonts w:ascii="宋体" w:hAnsi="宋体"/>
          <w:color w:val="auto"/>
          <w:kern w:val="24"/>
          <w:sz w:val="24"/>
          <w:highlight w:val="none"/>
          <w:u w:val="single"/>
        </w:rPr>
        <w:t>（中型企业、小型企业、微型企业）</w:t>
      </w:r>
      <w:r>
        <w:rPr>
          <w:rFonts w:ascii="宋体" w:hAnsi="宋体"/>
          <w:color w:val="auto"/>
          <w:kern w:val="24"/>
          <w:sz w:val="24"/>
          <w:highlight w:val="none"/>
        </w:rPr>
        <w:t>；</w:t>
      </w:r>
    </w:p>
    <w:p w14:paraId="3F3B3612">
      <w:pPr>
        <w:pStyle w:val="19"/>
        <w:spacing w:line="360" w:lineRule="auto"/>
        <w:ind w:left="142" w:right="142"/>
        <w:contextualSpacing/>
        <w:rPr>
          <w:rFonts w:ascii="宋体" w:hAnsi="宋体"/>
          <w:color w:val="auto"/>
          <w:kern w:val="24"/>
          <w:highlight w:val="none"/>
        </w:rPr>
      </w:pPr>
      <w:r>
        <w:rPr>
          <w:rFonts w:ascii="宋体" w:hAnsi="宋体"/>
          <w:color w:val="auto"/>
          <w:kern w:val="24"/>
          <w:highlight w:val="none"/>
        </w:rPr>
        <w:t xml:space="preserve">…… </w:t>
      </w:r>
    </w:p>
    <w:p w14:paraId="43D882DB">
      <w:pPr>
        <w:pStyle w:val="19"/>
        <w:spacing w:line="360" w:lineRule="auto"/>
        <w:ind w:left="-405" w:leftChars="-193" w:right="142" w:firstLine="396" w:firstLineChars="189"/>
        <w:contextualSpacing/>
        <w:rPr>
          <w:rFonts w:ascii="宋体" w:hAnsi="宋体"/>
          <w:color w:val="auto"/>
          <w:kern w:val="24"/>
          <w:highlight w:val="none"/>
        </w:rPr>
      </w:pPr>
      <w:r>
        <w:rPr>
          <w:rFonts w:ascii="宋体" w:hAnsi="宋体"/>
          <w:color w:val="auto"/>
          <w:kern w:val="24"/>
          <w:highlight w:val="none"/>
        </w:rPr>
        <w:t>以上企业，不属于大企业的分支机构，不存在控股股东为大企业的情形，也不存在与大企业的负责人为同一人的情形。</w:t>
      </w:r>
    </w:p>
    <w:p w14:paraId="55B3B5C7">
      <w:pPr>
        <w:pStyle w:val="19"/>
        <w:spacing w:line="360" w:lineRule="auto"/>
        <w:ind w:left="-426" w:right="142" w:firstLine="567"/>
        <w:contextualSpacing/>
        <w:rPr>
          <w:rFonts w:ascii="宋体" w:hAnsi="宋体"/>
          <w:color w:val="auto"/>
          <w:kern w:val="24"/>
          <w:highlight w:val="none"/>
        </w:rPr>
      </w:pPr>
      <w:r>
        <w:rPr>
          <w:rFonts w:ascii="宋体" w:hAnsi="宋体"/>
          <w:color w:val="auto"/>
          <w:kern w:val="24"/>
          <w:highlight w:val="none"/>
        </w:rPr>
        <w:t>本企业对上述声明内容的真实性负责。如有虚假，将依法承担相应责任。</w:t>
      </w:r>
    </w:p>
    <w:p w14:paraId="5B5C6A42">
      <w:pPr>
        <w:pStyle w:val="19"/>
        <w:spacing w:line="360" w:lineRule="auto"/>
        <w:ind w:left="3960" w:right="1808"/>
        <w:contextualSpacing/>
        <w:rPr>
          <w:rFonts w:ascii="宋体" w:hAnsi="宋体"/>
          <w:color w:val="auto"/>
          <w:kern w:val="24"/>
          <w:highlight w:val="none"/>
        </w:rPr>
      </w:pPr>
    </w:p>
    <w:p w14:paraId="573CF37E">
      <w:pPr>
        <w:pStyle w:val="19"/>
        <w:spacing w:line="360" w:lineRule="auto"/>
        <w:ind w:left="3960" w:right="1808"/>
        <w:contextualSpacing/>
        <w:rPr>
          <w:rFonts w:ascii="宋体" w:hAnsi="宋体"/>
          <w:color w:val="auto"/>
          <w:kern w:val="24"/>
          <w:highlight w:val="none"/>
        </w:rPr>
      </w:pPr>
      <w:r>
        <w:rPr>
          <w:rFonts w:ascii="宋体" w:hAnsi="宋体"/>
          <w:color w:val="auto"/>
          <w:kern w:val="24"/>
          <w:highlight w:val="none"/>
        </w:rPr>
        <w:t xml:space="preserve">企业名称（章）： </w:t>
      </w:r>
    </w:p>
    <w:p w14:paraId="7E5627C4">
      <w:pPr>
        <w:pStyle w:val="19"/>
        <w:spacing w:line="360" w:lineRule="auto"/>
        <w:ind w:left="3960" w:right="1808"/>
        <w:contextualSpacing/>
        <w:rPr>
          <w:rFonts w:ascii="宋体" w:hAnsi="宋体"/>
          <w:color w:val="auto"/>
          <w:kern w:val="24"/>
          <w:highlight w:val="none"/>
        </w:rPr>
      </w:pPr>
      <w:r>
        <w:rPr>
          <w:rFonts w:ascii="宋体" w:hAnsi="宋体"/>
          <w:color w:val="auto"/>
          <w:kern w:val="24"/>
          <w:highlight w:val="none"/>
        </w:rPr>
        <w:t>日期：</w:t>
      </w:r>
    </w:p>
    <w:p w14:paraId="604C191B">
      <w:pPr>
        <w:pStyle w:val="19"/>
        <w:spacing w:line="360" w:lineRule="auto"/>
        <w:ind w:left="3960" w:right="1808"/>
        <w:contextualSpacing/>
        <w:rPr>
          <w:rFonts w:ascii="宋体" w:hAnsi="宋体"/>
          <w:color w:val="auto"/>
          <w:kern w:val="24"/>
          <w:highlight w:val="none"/>
        </w:rPr>
      </w:pPr>
    </w:p>
    <w:p w14:paraId="75AA6834">
      <w:pPr>
        <w:pStyle w:val="19"/>
        <w:spacing w:line="360" w:lineRule="auto"/>
        <w:ind w:left="3960" w:right="1808"/>
        <w:contextualSpacing/>
        <w:rPr>
          <w:rFonts w:ascii="宋体" w:hAnsi="宋体"/>
          <w:color w:val="auto"/>
          <w:kern w:val="24"/>
          <w:highlight w:val="none"/>
        </w:rPr>
      </w:pPr>
    </w:p>
    <w:p w14:paraId="5F757C26">
      <w:pPr>
        <w:pStyle w:val="19"/>
        <w:spacing w:line="360" w:lineRule="auto"/>
        <w:ind w:left="-426" w:right="142" w:firstLine="567"/>
        <w:contextualSpacing/>
        <w:rPr>
          <w:rFonts w:ascii="宋体" w:hAnsi="宋体"/>
          <w:color w:val="auto"/>
          <w:kern w:val="24"/>
          <w:highlight w:val="none"/>
        </w:rPr>
      </w:pPr>
      <w:r>
        <w:rPr>
          <w:rFonts w:hint="eastAsia" w:ascii="宋体" w:hAnsi="宋体"/>
          <w:color w:val="auto"/>
          <w:kern w:val="24"/>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99533A1">
      <w:pPr>
        <w:snapToGrid w:val="0"/>
        <w:spacing w:beforeLines="50" w:after="50"/>
        <w:ind w:left="142"/>
        <w:jc w:val="left"/>
        <w:rPr>
          <w:rFonts w:ascii="宋体" w:hAnsi="宋体"/>
          <w:b/>
          <w:color w:val="auto"/>
          <w:sz w:val="24"/>
          <w:highlight w:val="none"/>
        </w:rPr>
      </w:pPr>
    </w:p>
    <w:p w14:paraId="48C2022F">
      <w:pPr>
        <w:pStyle w:val="25"/>
        <w:jc w:val="left"/>
        <w:rPr>
          <w:rFonts w:hAnsi="宋体" w:cs="Arial Unicode MS"/>
          <w:color w:val="auto"/>
          <w:sz w:val="28"/>
          <w:szCs w:val="28"/>
          <w:highlight w:val="none"/>
        </w:rPr>
      </w:pPr>
      <w:r>
        <w:rPr>
          <w:rFonts w:hAnsi="宋体" w:cs="Arial Unicode MS"/>
          <w:color w:val="auto"/>
          <w:sz w:val="32"/>
          <w:szCs w:val="32"/>
          <w:highlight w:val="none"/>
        </w:rPr>
        <w:br w:type="page"/>
      </w:r>
      <w:r>
        <w:rPr>
          <w:rFonts w:hint="eastAsia" w:hAnsi="宋体" w:cs="Arial Unicode MS"/>
          <w:color w:val="auto"/>
          <w:sz w:val="28"/>
          <w:szCs w:val="28"/>
          <w:highlight w:val="none"/>
        </w:rPr>
        <w:t>附：</w:t>
      </w:r>
    </w:p>
    <w:p w14:paraId="54A133BE">
      <w:pPr>
        <w:jc w:val="center"/>
        <w:rPr>
          <w:rFonts w:ascii="宋体" w:hAnsi="宋体" w:cs="Arial Unicode MS"/>
          <w:color w:val="auto"/>
          <w:szCs w:val="21"/>
          <w:highlight w:val="none"/>
        </w:rPr>
      </w:pPr>
      <w:r>
        <w:rPr>
          <w:rFonts w:hint="eastAsia" w:ascii="宋体" w:hAnsi="宋体" w:cs="Arial Unicode MS"/>
          <w:color w:val="auto"/>
          <w:sz w:val="32"/>
          <w:szCs w:val="32"/>
          <w:highlight w:val="none"/>
        </w:rPr>
        <w:t>中小微企业划型标准</w:t>
      </w:r>
    </w:p>
    <w:tbl>
      <w:tblPr>
        <w:tblStyle w:val="49"/>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4749AD0A">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47A81B3A">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6EC481B2">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1C2163B9">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5882FF53">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440" w:type="dxa"/>
            <w:tcBorders>
              <w:top w:val="single" w:color="auto" w:sz="4" w:space="0"/>
              <w:left w:val="nil"/>
              <w:bottom w:val="single" w:color="auto" w:sz="4" w:space="0"/>
              <w:right w:val="single" w:color="auto" w:sz="4" w:space="0"/>
            </w:tcBorders>
            <w:vAlign w:val="center"/>
          </w:tcPr>
          <w:p w14:paraId="0AC887BF">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925" w:type="dxa"/>
            <w:tcBorders>
              <w:top w:val="single" w:color="auto" w:sz="4" w:space="0"/>
              <w:left w:val="nil"/>
              <w:bottom w:val="single" w:color="auto" w:sz="4" w:space="0"/>
              <w:right w:val="single" w:color="auto" w:sz="4" w:space="0"/>
            </w:tcBorders>
            <w:vAlign w:val="center"/>
          </w:tcPr>
          <w:p w14:paraId="59744129">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43F357A6">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4EEDCB5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3171AF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C4EC2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FC1E8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7F528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11CB23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ADE368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DD5297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180D19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D0036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50BF94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B4B308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32505F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0FFB1D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A58CC5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72F8A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4D3217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749667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271FFC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45C949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9F80180">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C85E2A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7E722D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ED5B5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83C54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5D26BF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65748A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6768DDB">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87FBBA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A55FB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5BC7B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04B081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07B020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02DDD0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C9D7F0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F5365C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391FCB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3DB89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81B53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02804D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272064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2765D14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1D491F14">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846E6E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A87AC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2D2D2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5BB76F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26A83A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75891E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65DA78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571A1F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D0F0DE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16852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11FDD7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5C7D2B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DB9E80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9D0188A">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4294A6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1B181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4E039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0D58FE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382F333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82B324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44FEEE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0DA4CF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F01EE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845930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318BC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3B0112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87E428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BF2D671">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131FC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7F50A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405A8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600C9E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0F8F00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B5944C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96EAC8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5F60934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8DE95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5D866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364648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71C66B7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E16660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AD0F4A2">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8D4A1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27C92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22301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635BDD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6DE7C1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2CCDB95">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8153FD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19ED77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2793C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65BE0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131F5F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1A8D09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F41A789">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33B7CB0">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F0B69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69612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894E5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42B36DF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89615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572C1D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046F60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472E37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ED424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A00C9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ABA27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3C3691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B44D4D8">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7741FD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DA37B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6C85A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1868FE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6B5050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06213A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31B6F1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0173AB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11FF69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11A0F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20CBD7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36DF07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28F5D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EA4AC6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C02039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7A8986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74BC8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936FA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088AFF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658EB0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A82968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829B77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179941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D7C60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1E3EB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6C58DF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AF003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A1C45EF">
        <w:tblPrEx>
          <w:tblCellMar>
            <w:top w:w="0" w:type="dxa"/>
            <w:left w:w="108" w:type="dxa"/>
            <w:bottom w:w="0" w:type="dxa"/>
            <w:right w:w="108" w:type="dxa"/>
          </w:tblCellMar>
        </w:tblPrEx>
        <w:trPr>
          <w:trHeight w:val="409" w:hRule="atLeast"/>
        </w:trPr>
        <w:tc>
          <w:tcPr>
            <w:tcW w:w="1701" w:type="dxa"/>
            <w:vMerge w:val="continue"/>
            <w:tcBorders>
              <w:top w:val="nil"/>
              <w:left w:val="single" w:color="auto" w:sz="4" w:space="0"/>
              <w:bottom w:val="single" w:color="auto" w:sz="4" w:space="0"/>
              <w:right w:val="single" w:color="auto" w:sz="4" w:space="0"/>
            </w:tcBorders>
            <w:vAlign w:val="center"/>
          </w:tcPr>
          <w:p w14:paraId="5E9E51E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24182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00222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1CFB7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79EC90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264EDA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894BC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34BF498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427CE6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D491D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75337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4E0902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6E0107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1479D6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99798B2">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A2618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B5DB7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8BAD2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6E3EB0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55D31C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39D3C4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D65DB5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0AE480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26D47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6C2B4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313092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054E71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9B611A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146C744">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0570C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6E0FD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C84B3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5A5D8C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4F4D2E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69B8311">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65BE5C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20DCB9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277B4A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82214B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C9C77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31F811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424B9A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1896E6F">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7B495E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0D15B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94D04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310F59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286B64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3055E8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25FD4E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432BF2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C089D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3FA81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1BF68E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26FD1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18A69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3AA59A9">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0C2BE8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FB0391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2F489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556D4F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615CF6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15E0EA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0CB726B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01410A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CC9C7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7F58E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2F6ADE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278745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4BA1523">
      <w:pPr>
        <w:ind w:firstLine="525" w:firstLineChars="250"/>
        <w:rPr>
          <w:rFonts w:ascii="宋体" w:hAnsi="宋体"/>
          <w:b/>
          <w:color w:val="auto"/>
          <w:sz w:val="24"/>
          <w:highlight w:val="none"/>
        </w:rPr>
      </w:pPr>
      <w:r>
        <w:rPr>
          <w:rFonts w:hint="eastAsia" w:ascii="宋体" w:hAnsi="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FBC081A">
      <w:pPr>
        <w:snapToGrid w:val="0"/>
        <w:spacing w:beforeLines="50" w:after="50"/>
        <w:ind w:left="142"/>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3.残疾人福利性单位声明函格式</w:t>
      </w:r>
    </w:p>
    <w:p w14:paraId="0F2FB34F">
      <w:pPr>
        <w:spacing w:line="588" w:lineRule="exact"/>
        <w:jc w:val="center"/>
        <w:rPr>
          <w:rFonts w:ascii="宋体" w:hAnsi="宋体"/>
          <w:b/>
          <w:color w:val="auto"/>
          <w:spacing w:val="6"/>
          <w:sz w:val="32"/>
          <w:szCs w:val="32"/>
          <w:highlight w:val="none"/>
        </w:rPr>
      </w:pPr>
    </w:p>
    <w:p w14:paraId="2F7E87CB">
      <w:pPr>
        <w:spacing w:line="588" w:lineRule="exact"/>
        <w:jc w:val="center"/>
        <w:rPr>
          <w:rFonts w:ascii="宋体" w:hAnsi="宋体" w:cs="方正小标宋简体"/>
          <w:bCs/>
          <w:color w:val="auto"/>
          <w:spacing w:val="6"/>
          <w:sz w:val="44"/>
          <w:szCs w:val="44"/>
          <w:highlight w:val="none"/>
        </w:rPr>
      </w:pPr>
      <w:r>
        <w:rPr>
          <w:rFonts w:hint="eastAsia" w:ascii="宋体" w:hAnsi="宋体" w:cs="方正小标宋简体"/>
          <w:bCs/>
          <w:color w:val="auto"/>
          <w:spacing w:val="6"/>
          <w:sz w:val="44"/>
          <w:szCs w:val="44"/>
          <w:highlight w:val="none"/>
        </w:rPr>
        <w:t>残疾人福利性单位声明函</w:t>
      </w:r>
    </w:p>
    <w:p w14:paraId="5D8FF51A">
      <w:pPr>
        <w:spacing w:line="360" w:lineRule="auto"/>
        <w:contextualSpacing/>
        <w:rPr>
          <w:rFonts w:ascii="宋体" w:hAnsi="宋体"/>
          <w:bCs/>
          <w:color w:val="auto"/>
          <w:spacing w:val="6"/>
          <w:sz w:val="30"/>
          <w:szCs w:val="30"/>
          <w:highlight w:val="none"/>
        </w:rPr>
      </w:pPr>
    </w:p>
    <w:p w14:paraId="0BD2AAAA">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7B377279">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5C5A7483">
      <w:pPr>
        <w:spacing w:line="360" w:lineRule="auto"/>
        <w:ind w:firstLine="504" w:firstLineChars="200"/>
        <w:contextualSpacing/>
        <w:rPr>
          <w:rFonts w:ascii="宋体" w:hAnsi="宋体"/>
          <w:color w:val="auto"/>
          <w:spacing w:val="6"/>
          <w:sz w:val="24"/>
          <w:highlight w:val="none"/>
        </w:rPr>
      </w:pPr>
    </w:p>
    <w:p w14:paraId="5BC17B51">
      <w:pPr>
        <w:spacing w:line="360" w:lineRule="auto"/>
        <w:ind w:firstLine="504" w:firstLineChars="200"/>
        <w:contextualSpacing/>
        <w:rPr>
          <w:rFonts w:ascii="宋体" w:hAnsi="宋体"/>
          <w:color w:val="auto"/>
          <w:spacing w:val="6"/>
          <w:sz w:val="24"/>
          <w:highlight w:val="none"/>
        </w:rPr>
      </w:pPr>
    </w:p>
    <w:p w14:paraId="0C6C28C5">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单位名称（盖公章）：</w:t>
      </w:r>
    </w:p>
    <w:p w14:paraId="31B0C2AB">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46C40542">
      <w:pPr>
        <w:spacing w:line="360" w:lineRule="auto"/>
        <w:contextualSpacing/>
        <w:rPr>
          <w:rFonts w:ascii="宋体" w:hAnsi="宋体"/>
          <w:color w:val="auto"/>
          <w:sz w:val="24"/>
          <w:highlight w:val="none"/>
        </w:rPr>
      </w:pPr>
    </w:p>
    <w:p w14:paraId="17004463">
      <w:pPr>
        <w:spacing w:line="360" w:lineRule="auto"/>
        <w:contextualSpacing/>
        <w:rPr>
          <w:rFonts w:ascii="宋体" w:hAnsi="宋体"/>
          <w:color w:val="auto"/>
          <w:sz w:val="24"/>
          <w:highlight w:val="none"/>
        </w:rPr>
      </w:pPr>
    </w:p>
    <w:p w14:paraId="04222D14">
      <w:pPr>
        <w:spacing w:line="360" w:lineRule="auto"/>
        <w:contextualSpacing/>
        <w:rPr>
          <w:rFonts w:ascii="宋体" w:hAnsi="宋体"/>
          <w:color w:val="auto"/>
          <w:sz w:val="24"/>
          <w:highlight w:val="none"/>
        </w:rPr>
      </w:pPr>
    </w:p>
    <w:p w14:paraId="4E7FC9FD">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026104A">
      <w:pPr>
        <w:spacing w:line="360" w:lineRule="auto"/>
        <w:jc w:val="left"/>
        <w:rPr>
          <w:rFonts w:ascii="宋体" w:hAnsi="宋体"/>
          <w:color w:val="auto"/>
          <w:sz w:val="24"/>
          <w:highlight w:val="none"/>
        </w:rPr>
      </w:pPr>
      <w:r>
        <w:rPr>
          <w:rFonts w:ascii="宋体" w:hAnsi="宋体"/>
          <w:color w:val="auto"/>
          <w:sz w:val="24"/>
          <w:highlight w:val="none"/>
        </w:rPr>
        <w:br w:type="page"/>
      </w:r>
      <w:r>
        <w:rPr>
          <w:rFonts w:hint="eastAsia" w:ascii="宋体" w:hAnsi="宋体"/>
          <w:b/>
          <w:color w:val="auto"/>
          <w:sz w:val="24"/>
          <w:highlight w:val="none"/>
        </w:rPr>
        <w:t>4.质疑函格式</w:t>
      </w:r>
    </w:p>
    <w:p w14:paraId="142B1047">
      <w:pPr>
        <w:spacing w:line="360" w:lineRule="auto"/>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质疑函</w:t>
      </w:r>
    </w:p>
    <w:p w14:paraId="39DA9ED2">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1DE7FC3C">
      <w:pPr>
        <w:pStyle w:val="25"/>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质疑供应商：</w:t>
      </w:r>
    </w:p>
    <w:p w14:paraId="5CD74BCA">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3996600">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57632F6D">
      <w:pPr>
        <w:pStyle w:val="25"/>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授权代表：</w:t>
      </w:r>
    </w:p>
    <w:p w14:paraId="30863605">
      <w:pPr>
        <w:pStyle w:val="25"/>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6E88A544">
      <w:pPr>
        <w:pStyle w:val="25"/>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37FA89DB">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二、质疑项目基本情况：</w:t>
      </w:r>
    </w:p>
    <w:p w14:paraId="3F428E17">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0B3B9740">
      <w:pPr>
        <w:pStyle w:val="25"/>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5E1D7D07">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采购人名称：</w:t>
      </w:r>
    </w:p>
    <w:p w14:paraId="5313D873">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w:t>
      </w:r>
    </w:p>
    <w:p w14:paraId="0A7C1A5A">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p>
    <w:p w14:paraId="44D576C8">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 xml:space="preserve">□采购过程   </w:t>
      </w:r>
    </w:p>
    <w:p w14:paraId="5919649C">
      <w:pPr>
        <w:pStyle w:val="25"/>
        <w:spacing w:line="360" w:lineRule="auto"/>
        <w:ind w:left="25" w:leftChars="12" w:firstLine="352" w:firstLineChars="147"/>
        <w:rPr>
          <w:rFonts w:hAnsi="宋体"/>
          <w:bCs/>
          <w:color w:val="auto"/>
          <w:sz w:val="24"/>
          <w:szCs w:val="24"/>
          <w:highlight w:val="none"/>
          <w:u w:val="single"/>
        </w:rPr>
      </w:pPr>
      <w:r>
        <w:rPr>
          <w:rFonts w:hint="eastAsia" w:hAnsi="宋体"/>
          <w:color w:val="auto"/>
          <w:sz w:val="24"/>
          <w:szCs w:val="24"/>
          <w:highlight w:val="none"/>
        </w:rPr>
        <w:t xml:space="preserve">□中标结果   </w:t>
      </w:r>
    </w:p>
    <w:p w14:paraId="5F593227">
      <w:pPr>
        <w:pStyle w:val="25"/>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三、质疑事项具体内容</w:t>
      </w:r>
    </w:p>
    <w:p w14:paraId="467CCD60">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质疑事项1：</w:t>
      </w:r>
    </w:p>
    <w:p w14:paraId="592412B9">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事实依据：</w:t>
      </w:r>
    </w:p>
    <w:p w14:paraId="701FE3C0">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法律依据：</w:t>
      </w:r>
    </w:p>
    <w:p w14:paraId="5F2BA203">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质疑事项2</w:t>
      </w:r>
    </w:p>
    <w:p w14:paraId="725728A9">
      <w:pPr>
        <w:pStyle w:val="25"/>
        <w:spacing w:line="360" w:lineRule="auto"/>
        <w:ind w:left="25" w:leftChars="12" w:firstLine="472" w:firstLineChars="197"/>
        <w:rPr>
          <w:rFonts w:hAnsi="宋体"/>
          <w:color w:val="auto"/>
          <w:sz w:val="24"/>
          <w:szCs w:val="24"/>
          <w:highlight w:val="none"/>
        </w:rPr>
      </w:pPr>
      <w:r>
        <w:rPr>
          <w:rFonts w:hAnsi="宋体"/>
          <w:color w:val="auto"/>
          <w:sz w:val="24"/>
          <w:szCs w:val="24"/>
          <w:highlight w:val="none"/>
        </w:rPr>
        <w:t>……</w:t>
      </w:r>
    </w:p>
    <w:p w14:paraId="6C6EA993">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四、与质疑事项相关的质疑请求：</w:t>
      </w:r>
    </w:p>
    <w:p w14:paraId="490F3DCB">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12FEEF13">
      <w:pPr>
        <w:pStyle w:val="25"/>
        <w:spacing w:line="360" w:lineRule="auto"/>
        <w:ind w:left="25" w:leftChars="12" w:firstLine="352" w:firstLineChars="147"/>
        <w:rPr>
          <w:rFonts w:hAnsi="宋体"/>
          <w:color w:val="auto"/>
          <w:sz w:val="24"/>
          <w:szCs w:val="24"/>
          <w:highlight w:val="none"/>
        </w:rPr>
      </w:pPr>
    </w:p>
    <w:p w14:paraId="4A4E0937">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2CA5B9FF">
      <w:pPr>
        <w:pStyle w:val="25"/>
        <w:spacing w:line="360" w:lineRule="auto"/>
        <w:ind w:left="25" w:leftChars="12" w:firstLine="352" w:firstLineChars="147"/>
        <w:rPr>
          <w:rFonts w:hAnsi="宋体"/>
          <w:color w:val="auto"/>
          <w:sz w:val="24"/>
          <w:szCs w:val="24"/>
          <w:highlight w:val="none"/>
        </w:rPr>
      </w:pPr>
    </w:p>
    <w:p w14:paraId="5212C708">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31821E08">
      <w:pPr>
        <w:pStyle w:val="25"/>
        <w:snapToGrid w:val="0"/>
        <w:spacing w:line="360" w:lineRule="auto"/>
        <w:rPr>
          <w:rFonts w:hAnsi="宋体"/>
          <w:b/>
          <w:color w:val="auto"/>
          <w:sz w:val="24"/>
          <w:szCs w:val="24"/>
          <w:highlight w:val="none"/>
        </w:rPr>
      </w:pPr>
    </w:p>
    <w:p w14:paraId="6F883A9C">
      <w:pPr>
        <w:pStyle w:val="25"/>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756A9298">
      <w:pPr>
        <w:pStyle w:val="25"/>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8608FFB">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630266">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96A0D7B">
      <w:pPr>
        <w:pStyle w:val="25"/>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0930B49B">
      <w:pPr>
        <w:pStyle w:val="25"/>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5A8CD4F1">
      <w:pPr>
        <w:pStyle w:val="25"/>
        <w:snapToGrid w:val="0"/>
        <w:rPr>
          <w:rFonts w:hAnsi="宋体"/>
          <w:b/>
          <w:color w:val="auto"/>
          <w:sz w:val="24"/>
          <w:szCs w:val="24"/>
          <w:highlight w:val="none"/>
        </w:rPr>
      </w:pPr>
    </w:p>
    <w:p w14:paraId="631839A1">
      <w:pPr>
        <w:spacing w:line="360" w:lineRule="auto"/>
        <w:jc w:val="left"/>
        <w:rPr>
          <w:rFonts w:ascii="宋体" w:hAnsi="宋体"/>
          <w:b/>
          <w:bCs/>
          <w:color w:val="auto"/>
          <w:sz w:val="32"/>
          <w:szCs w:val="32"/>
          <w:highlight w:val="none"/>
        </w:rPr>
      </w:pPr>
      <w:r>
        <w:rPr>
          <w:rFonts w:ascii="宋体" w:hAnsi="宋体"/>
          <w:color w:val="auto"/>
          <w:sz w:val="44"/>
          <w:highlight w:val="none"/>
        </w:rPr>
        <w:br w:type="page"/>
      </w:r>
      <w:r>
        <w:rPr>
          <w:rFonts w:hint="eastAsia" w:ascii="宋体" w:hAnsi="宋体"/>
          <w:b/>
          <w:color w:val="auto"/>
          <w:sz w:val="24"/>
          <w:highlight w:val="none"/>
        </w:rPr>
        <w:t>5.投诉书格式</w:t>
      </w:r>
    </w:p>
    <w:p w14:paraId="53FFD272">
      <w:pPr>
        <w:jc w:val="center"/>
        <w:rPr>
          <w:rFonts w:ascii="宋体" w:hAnsi="宋体" w:cs="方正小标宋简体"/>
          <w:color w:val="auto"/>
          <w:sz w:val="44"/>
          <w:szCs w:val="44"/>
          <w:highlight w:val="none"/>
        </w:rPr>
      </w:pPr>
      <w:r>
        <w:rPr>
          <w:rFonts w:hint="eastAsia" w:ascii="宋体" w:hAnsi="宋体" w:cs="方正小标宋简体"/>
          <w:color w:val="auto"/>
          <w:sz w:val="44"/>
          <w:szCs w:val="44"/>
          <w:highlight w:val="none"/>
        </w:rPr>
        <w:t>投诉书</w:t>
      </w:r>
    </w:p>
    <w:p w14:paraId="0B58FFBA">
      <w:pPr>
        <w:pStyle w:val="25"/>
        <w:snapToGrid w:val="0"/>
        <w:spacing w:line="440" w:lineRule="exact"/>
        <w:ind w:firstLine="482" w:firstLineChars="200"/>
        <w:rPr>
          <w:rFonts w:hAnsi="宋体"/>
          <w:b/>
          <w:bCs/>
          <w:color w:val="auto"/>
          <w:sz w:val="24"/>
          <w:szCs w:val="24"/>
          <w:highlight w:val="none"/>
        </w:rPr>
      </w:pPr>
    </w:p>
    <w:p w14:paraId="169C8790">
      <w:pPr>
        <w:pStyle w:val="25"/>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302012D8">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投标人：</w:t>
      </w:r>
    </w:p>
    <w:p w14:paraId="749237BD">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5B38D62">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法定代表人/主要负责人：</w:t>
      </w:r>
    </w:p>
    <w:p w14:paraId="2121D807">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63B7BB3A">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21A01EAD">
      <w:pPr>
        <w:pStyle w:val="25"/>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05ABF4BF">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335A1A12">
      <w:pPr>
        <w:pStyle w:val="25"/>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被投诉人1：</w:t>
      </w:r>
    </w:p>
    <w:p w14:paraId="5C7EC9CB">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地址：</w:t>
      </w:r>
    </w:p>
    <w:p w14:paraId="279385E7">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6CAF92F7">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5D51638D">
      <w:pPr>
        <w:pStyle w:val="25"/>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被投诉人2：</w:t>
      </w:r>
    </w:p>
    <w:p w14:paraId="3603DB6A">
      <w:pPr>
        <w:pStyle w:val="25"/>
        <w:snapToGrid w:val="0"/>
        <w:spacing w:line="440" w:lineRule="exact"/>
        <w:ind w:firstLine="480" w:firstLineChars="200"/>
        <w:jc w:val="left"/>
        <w:rPr>
          <w:rFonts w:hAnsi="宋体"/>
          <w:bCs/>
          <w:color w:val="auto"/>
          <w:sz w:val="24"/>
          <w:szCs w:val="24"/>
          <w:highlight w:val="none"/>
        </w:rPr>
      </w:pPr>
      <w:r>
        <w:rPr>
          <w:rFonts w:hAnsi="宋体"/>
          <w:bCs/>
          <w:color w:val="auto"/>
          <w:sz w:val="24"/>
          <w:szCs w:val="24"/>
          <w:highlight w:val="none"/>
        </w:rPr>
        <w:t>……</w:t>
      </w:r>
    </w:p>
    <w:p w14:paraId="376DB952">
      <w:pPr>
        <w:pStyle w:val="25"/>
        <w:snapToGrid w:val="0"/>
        <w:spacing w:line="440" w:lineRule="exact"/>
        <w:ind w:firstLine="480" w:firstLineChars="200"/>
        <w:jc w:val="left"/>
        <w:rPr>
          <w:rFonts w:hAnsi="宋体"/>
          <w:bCs/>
          <w:color w:val="auto"/>
          <w:sz w:val="24"/>
          <w:szCs w:val="24"/>
          <w:highlight w:val="none"/>
          <w:u w:val="single"/>
        </w:rPr>
      </w:pPr>
      <w:r>
        <w:rPr>
          <w:rFonts w:hint="eastAsia" w:hAnsi="宋体"/>
          <w:bCs/>
          <w:color w:val="auto"/>
          <w:sz w:val="24"/>
          <w:szCs w:val="24"/>
          <w:highlight w:val="none"/>
        </w:rPr>
        <w:t>相关供应商：</w:t>
      </w:r>
    </w:p>
    <w:p w14:paraId="0031FE38">
      <w:pPr>
        <w:pStyle w:val="25"/>
        <w:snapToGrid w:val="0"/>
        <w:spacing w:line="440" w:lineRule="exact"/>
        <w:ind w:firstLine="480" w:firstLineChars="200"/>
        <w:jc w:val="left"/>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4D48964">
      <w:pPr>
        <w:pStyle w:val="25"/>
        <w:snapToGrid w:val="0"/>
        <w:spacing w:line="440" w:lineRule="exact"/>
        <w:ind w:firstLine="480" w:firstLineChars="200"/>
        <w:jc w:val="left"/>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5CCFBA52">
      <w:pPr>
        <w:pStyle w:val="25"/>
        <w:snapToGrid w:val="0"/>
        <w:spacing w:line="440" w:lineRule="exact"/>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33523442">
      <w:pPr>
        <w:pStyle w:val="25"/>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5DD45C4A">
      <w:pPr>
        <w:pStyle w:val="25"/>
        <w:spacing w:line="440" w:lineRule="exact"/>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6E54C79A">
      <w:pPr>
        <w:pStyle w:val="25"/>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14:paraId="65047521">
      <w:pPr>
        <w:pStyle w:val="25"/>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14:paraId="31C00EE0">
      <w:pPr>
        <w:pStyle w:val="25"/>
        <w:spacing w:line="440" w:lineRule="exact"/>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69C10DE0">
      <w:pPr>
        <w:pStyle w:val="25"/>
        <w:spacing w:line="440" w:lineRule="exact"/>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21E66050">
      <w:pPr>
        <w:pStyle w:val="25"/>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4DB9ADF0">
      <w:pPr>
        <w:pStyle w:val="25"/>
        <w:spacing w:line="440" w:lineRule="exact"/>
        <w:ind w:left="25" w:leftChars="12" w:firstLine="480" w:firstLineChars="200"/>
        <w:rPr>
          <w:rFonts w:hAnsi="宋体"/>
          <w:color w:val="auto"/>
          <w:sz w:val="24"/>
          <w:szCs w:val="24"/>
          <w:highlight w:val="none"/>
        </w:rPr>
      </w:pPr>
      <w:r>
        <w:rPr>
          <w:rFonts w:hint="eastAsia" w:hAnsi="宋体"/>
          <w:color w:val="auto"/>
          <w:sz w:val="24"/>
          <w:szCs w:val="24"/>
          <w:highlight w:val="none"/>
        </w:rPr>
        <w:t>投诉人于年月日，向提出质疑，质疑事项为：</w:t>
      </w:r>
    </w:p>
    <w:p w14:paraId="446778FF">
      <w:pPr>
        <w:pStyle w:val="25"/>
        <w:spacing w:line="440" w:lineRule="exact"/>
        <w:ind w:firstLine="241"/>
        <w:rPr>
          <w:rFonts w:hAnsi="宋体"/>
          <w:bCs/>
          <w:color w:val="auto"/>
          <w:sz w:val="24"/>
          <w:szCs w:val="24"/>
          <w:highlight w:val="none"/>
          <w:u w:val="single"/>
        </w:rPr>
      </w:pPr>
    </w:p>
    <w:p w14:paraId="0E45EEA8">
      <w:pPr>
        <w:pStyle w:val="25"/>
        <w:spacing w:line="440" w:lineRule="exact"/>
        <w:ind w:firstLine="241"/>
        <w:rPr>
          <w:rFonts w:hAnsi="宋体"/>
          <w:bCs/>
          <w:color w:val="auto"/>
          <w:sz w:val="24"/>
          <w:szCs w:val="24"/>
          <w:highlight w:val="none"/>
          <w:u w:val="single"/>
        </w:rPr>
      </w:pPr>
    </w:p>
    <w:p w14:paraId="47E3C41B">
      <w:pPr>
        <w:pStyle w:val="25"/>
        <w:spacing w:line="440" w:lineRule="exact"/>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498BD351">
      <w:pPr>
        <w:pStyle w:val="25"/>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7467CAC0">
      <w:pPr>
        <w:pStyle w:val="25"/>
        <w:spacing w:line="440" w:lineRule="exact"/>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14:paraId="2F3C4EE9">
      <w:pPr>
        <w:pStyle w:val="25"/>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14:paraId="65B780CE">
      <w:pPr>
        <w:pStyle w:val="25"/>
        <w:spacing w:line="440" w:lineRule="exact"/>
        <w:ind w:left="25" w:leftChars="12" w:firstLine="472" w:firstLineChars="197"/>
        <w:rPr>
          <w:rFonts w:hAnsi="宋体"/>
          <w:color w:val="auto"/>
          <w:sz w:val="24"/>
          <w:szCs w:val="24"/>
          <w:highlight w:val="none"/>
        </w:rPr>
      </w:pPr>
    </w:p>
    <w:p w14:paraId="02D7C452">
      <w:pPr>
        <w:pStyle w:val="25"/>
        <w:spacing w:line="440" w:lineRule="exact"/>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14:paraId="3969B366">
      <w:pPr>
        <w:pStyle w:val="25"/>
        <w:spacing w:line="440" w:lineRule="exact"/>
        <w:ind w:left="25" w:leftChars="12" w:firstLine="352" w:firstLineChars="147"/>
        <w:rPr>
          <w:rFonts w:hAnsi="宋体"/>
          <w:bCs/>
          <w:color w:val="auto"/>
          <w:sz w:val="24"/>
          <w:szCs w:val="24"/>
          <w:highlight w:val="none"/>
          <w:u w:val="single"/>
        </w:rPr>
      </w:pPr>
    </w:p>
    <w:p w14:paraId="2A37733C">
      <w:pPr>
        <w:pStyle w:val="25"/>
        <w:spacing w:line="440" w:lineRule="exact"/>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14:paraId="65B07C0C">
      <w:pPr>
        <w:pStyle w:val="25"/>
        <w:spacing w:line="440" w:lineRule="exact"/>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2AD87887">
      <w:pPr>
        <w:pStyle w:val="25"/>
        <w:spacing w:line="440" w:lineRule="exact"/>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5C9BFDB5">
      <w:pPr>
        <w:pStyle w:val="25"/>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79EAF61A">
      <w:pPr>
        <w:pStyle w:val="25"/>
        <w:spacing w:line="440" w:lineRule="exact"/>
        <w:ind w:left="25" w:leftChars="12" w:firstLine="352" w:firstLineChars="147"/>
        <w:rPr>
          <w:rFonts w:hAnsi="宋体"/>
          <w:color w:val="auto"/>
          <w:sz w:val="24"/>
          <w:szCs w:val="24"/>
          <w:highlight w:val="none"/>
        </w:rPr>
      </w:pPr>
    </w:p>
    <w:p w14:paraId="0B171F4B">
      <w:pPr>
        <w:pStyle w:val="25"/>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12609E8C">
      <w:pPr>
        <w:pStyle w:val="25"/>
        <w:spacing w:line="440" w:lineRule="exact"/>
        <w:ind w:left="25" w:leftChars="12" w:firstLine="352" w:firstLineChars="147"/>
        <w:rPr>
          <w:rFonts w:hAnsi="宋体"/>
          <w:color w:val="auto"/>
          <w:sz w:val="24"/>
          <w:szCs w:val="24"/>
          <w:highlight w:val="none"/>
        </w:rPr>
      </w:pPr>
    </w:p>
    <w:p w14:paraId="619CC5C6">
      <w:pPr>
        <w:pStyle w:val="25"/>
        <w:spacing w:line="440" w:lineRule="exact"/>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6897AF9C">
      <w:pPr>
        <w:pStyle w:val="25"/>
        <w:spacing w:line="440" w:lineRule="exact"/>
        <w:ind w:left="25" w:leftChars="12" w:firstLine="472" w:firstLineChars="197"/>
        <w:rPr>
          <w:rFonts w:hAnsi="宋体"/>
          <w:color w:val="auto"/>
          <w:sz w:val="24"/>
          <w:szCs w:val="24"/>
          <w:highlight w:val="none"/>
        </w:rPr>
      </w:pPr>
    </w:p>
    <w:p w14:paraId="142DA4F6">
      <w:pPr>
        <w:pStyle w:val="25"/>
        <w:snapToGrid w:val="0"/>
        <w:spacing w:line="440" w:lineRule="exact"/>
        <w:rPr>
          <w:rFonts w:hAnsi="宋体"/>
          <w:b/>
          <w:color w:val="auto"/>
          <w:sz w:val="24"/>
          <w:szCs w:val="24"/>
          <w:highlight w:val="none"/>
        </w:rPr>
      </w:pPr>
      <w:r>
        <w:rPr>
          <w:rFonts w:hint="eastAsia" w:hAnsi="宋体"/>
          <w:b/>
          <w:color w:val="auto"/>
          <w:sz w:val="24"/>
          <w:szCs w:val="24"/>
          <w:highlight w:val="none"/>
        </w:rPr>
        <w:t>说明：</w:t>
      </w:r>
    </w:p>
    <w:p w14:paraId="53A1621B">
      <w:pPr>
        <w:pStyle w:val="25"/>
        <w:spacing w:line="440" w:lineRule="exact"/>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42F54716">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1503E97">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4026B89">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0057AB0D">
      <w:pPr>
        <w:pStyle w:val="25"/>
        <w:spacing w:line="440" w:lineRule="exact"/>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02327B1F">
      <w:pPr>
        <w:pStyle w:val="25"/>
        <w:spacing w:line="440" w:lineRule="exact"/>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45F5398B">
      <w:pPr>
        <w:rPr>
          <w:rFonts w:ascii="宋体" w:hAnsi="宋体"/>
          <w:color w:val="auto"/>
          <w:highlight w:val="none"/>
        </w:rPr>
      </w:pPr>
    </w:p>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6CBFBFC-5AE8-4B19-B7B8-292E025D073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F8C23B11-6F54-4F2C-AFA2-E25F53C5948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CBC27C3B-0CF3-43F4-B3F7-327FB21D8A36}"/>
  </w:font>
  <w:font w:name="等线">
    <w:panose1 w:val="02010600030101010101"/>
    <w:charset w:val="86"/>
    <w:family w:val="auto"/>
    <w:pitch w:val="default"/>
    <w:sig w:usb0="A00002BF" w:usb1="38CF7CFA" w:usb2="00000016" w:usb3="00000000" w:csb0="0004000F"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4" w:fontKey="{5895E79E-7A3D-4F5B-97EC-6A24D0C17A74}"/>
  </w:font>
  <w:font w:name="Tahoma">
    <w:panose1 w:val="020B0604030504040204"/>
    <w:charset w:val="00"/>
    <w:family w:val="swiss"/>
    <w:pitch w:val="default"/>
    <w:sig w:usb0="E1002EFF" w:usb1="C000605B" w:usb2="00000029" w:usb3="00000000" w:csb0="200101FF" w:csb1="20280000"/>
    <w:embedRegular r:id="rId5" w:fontKey="{19B8234E-F076-458F-A898-59E5799ECA0A}"/>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embedRegular r:id="rId6" w:fontKey="{9BF86F7E-DD42-4ED9-A459-3B59417BB37D}"/>
  </w:font>
  <w:font w:name="仿宋">
    <w:panose1 w:val="02010609060101010101"/>
    <w:charset w:val="86"/>
    <w:family w:val="auto"/>
    <w:pitch w:val="default"/>
    <w:sig w:usb0="800002BF" w:usb1="38CF7CFA" w:usb2="00000016" w:usb3="00000000" w:csb0="00040001" w:csb1="00000000"/>
    <w:embedRegular r:id="rId7" w:fontKey="{832AC792-EDF0-48D1-A7DF-FFF3EE9938A6}"/>
  </w:font>
  <w:font w:name="MS Mincho">
    <w:altName w:val="Yu Gothic UI"/>
    <w:panose1 w:val="02020609040205080304"/>
    <w:charset w:val="80"/>
    <w:family w:val="modern"/>
    <w:pitch w:val="default"/>
    <w:sig w:usb0="00000000" w:usb1="00000000" w:usb2="00000010" w:usb3="00000000" w:csb0="4002009F" w:csb1="DFD70000"/>
    <w:embedRegular r:id="rId8" w:fontKey="{B4BB1245-E5A0-45A1-9FDB-00A5771C97F4}"/>
  </w:font>
  <w:font w:name="Yu Gothic UI">
    <w:panose1 w:val="020B0500000000000000"/>
    <w:charset w:val="80"/>
    <w:family w:val="auto"/>
    <w:pitch w:val="default"/>
    <w:sig w:usb0="E00002FF" w:usb1="2AC7FDFF" w:usb2="00000016" w:usb3="00000000" w:csb0="2002009F" w:csb1="00000000"/>
  </w:font>
  <w:font w:name="Helvetica">
    <w:panose1 w:val="020B0604020202020204"/>
    <w:charset w:val="00"/>
    <w:family w:val="swiss"/>
    <w:pitch w:val="default"/>
    <w:sig w:usb0="00000000" w:usb1="00000000" w:usb2="00000000" w:usb3="00000000" w:csb0="00000000" w:csb1="00000000"/>
    <w:embedRegular r:id="rId9" w:fontKey="{5E44BCF0-8812-48E0-98A5-8633B75A227C}"/>
  </w:font>
  <w:font w:name="方正小标宋简体">
    <w:panose1 w:val="03000509000000000000"/>
    <w:charset w:val="86"/>
    <w:family w:val="script"/>
    <w:pitch w:val="default"/>
    <w:sig w:usb0="00000001" w:usb1="080E0000" w:usb2="00000000" w:usb3="00000000" w:csb0="00040000" w:csb1="00000000"/>
    <w:embedRegular r:id="rId10" w:fontKey="{D5E9EE52-49BA-469B-9542-80BBE292D7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85422"/>
    </w:sdtPr>
    <w:sdtContent>
      <w:p w14:paraId="43051FA2">
        <w:pPr>
          <w:pStyle w:val="31"/>
          <w:spacing w:after="120"/>
          <w:ind w:firstLine="480"/>
          <w:jc w:val="center"/>
        </w:pPr>
        <w:r>
          <w:fldChar w:fldCharType="begin"/>
        </w:r>
        <w:r>
          <w:instrText xml:space="preserve"> PAGE   \* MERGEFORMAT </w:instrText>
        </w:r>
        <w:r>
          <w:fldChar w:fldCharType="separate"/>
        </w:r>
        <w:r>
          <w:rPr>
            <w:lang w:val="zh-CN"/>
          </w:rPr>
          <w:t>3</w:t>
        </w:r>
        <w:r>
          <w:rPr>
            <w:lang w:val="zh-CN"/>
          </w:rPr>
          <w:fldChar w:fldCharType="end"/>
        </w:r>
      </w:p>
    </w:sdtContent>
  </w:sdt>
  <w:p w14:paraId="7B3CDA15">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031B4">
    <w:pPr>
      <w:pStyle w:val="31"/>
      <w:jc w:val="center"/>
    </w:pPr>
    <w:r>
      <w:fldChar w:fldCharType="begin"/>
    </w:r>
    <w:r>
      <w:instrText xml:space="preserve"> PAGE   \* MERGEFORMAT </w:instrText>
    </w:r>
    <w:r>
      <w:fldChar w:fldCharType="separate"/>
    </w:r>
    <w:r>
      <w:rPr>
        <w:lang w:val="zh-CN"/>
      </w:rPr>
      <w:t>20</w:t>
    </w:r>
    <w:r>
      <w:rPr>
        <w:lang w:val="zh-CN"/>
      </w:rPr>
      <w:fldChar w:fldCharType="end"/>
    </w:r>
  </w:p>
  <w:p w14:paraId="2901223E">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BEC72">
    <w:pPr>
      <w:pStyle w:val="31"/>
      <w:framePr w:wrap="around" w:vAnchor="text" w:hAnchor="margin" w:xAlign="center" w:y="1"/>
      <w:rPr>
        <w:rStyle w:val="53"/>
      </w:rPr>
    </w:pPr>
    <w:r>
      <w:fldChar w:fldCharType="begin"/>
    </w:r>
    <w:r>
      <w:rPr>
        <w:rStyle w:val="53"/>
      </w:rPr>
      <w:instrText xml:space="preserve">PAGE  </w:instrText>
    </w:r>
    <w:r>
      <w:fldChar w:fldCharType="end"/>
    </w:r>
  </w:p>
  <w:p w14:paraId="7D7493A3">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85423"/>
    </w:sdtPr>
    <w:sdtContent>
      <w:p w14:paraId="1BFE5630">
        <w:pPr>
          <w:pStyle w:val="31"/>
          <w:spacing w:after="120"/>
          <w:ind w:firstLine="480"/>
          <w:jc w:val="center"/>
        </w:pPr>
        <w:r>
          <w:fldChar w:fldCharType="begin"/>
        </w:r>
        <w:r>
          <w:instrText xml:space="preserve"> PAGE   \* MERGEFORMAT </w:instrText>
        </w:r>
        <w:r>
          <w:fldChar w:fldCharType="separate"/>
        </w:r>
        <w:r>
          <w:rPr>
            <w:lang w:val="zh-CN"/>
          </w:rPr>
          <w:t>15</w:t>
        </w:r>
        <w:r>
          <w:rPr>
            <w:lang w:val="zh-CN"/>
          </w:rPr>
          <w:fldChar w:fldCharType="end"/>
        </w:r>
      </w:p>
    </w:sdtContent>
  </w:sdt>
  <w:p w14:paraId="72917A04">
    <w:pPr>
      <w:pStyle w:val="31"/>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79885">
    <w:pPr>
      <w:pStyle w:val="31"/>
      <w:jc w:val="center"/>
    </w:pPr>
    <w:r>
      <w:fldChar w:fldCharType="begin"/>
    </w:r>
    <w:r>
      <w:instrText xml:space="preserve"> PAGE   \* MERGEFORMAT </w:instrText>
    </w:r>
    <w:r>
      <w:fldChar w:fldCharType="separate"/>
    </w:r>
    <w:r>
      <w:rPr>
        <w:lang w:val="zh-CN"/>
      </w:rPr>
      <w:t>103</w:t>
    </w:r>
    <w:r>
      <w:rPr>
        <w:lang w:val="zh-CN"/>
      </w:rPr>
      <w:fldChar w:fldCharType="end"/>
    </w:r>
  </w:p>
  <w:p w14:paraId="3BE8DA37">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974E7">
    <w:pPr>
      <w:pStyle w:val="31"/>
      <w:framePr w:wrap="around" w:vAnchor="text" w:hAnchor="margin" w:xAlign="center" w:y="1"/>
      <w:rPr>
        <w:rStyle w:val="53"/>
      </w:rPr>
    </w:pPr>
    <w:r>
      <w:fldChar w:fldCharType="begin"/>
    </w:r>
    <w:r>
      <w:rPr>
        <w:rStyle w:val="53"/>
      </w:rPr>
      <w:instrText xml:space="preserve">PAGE  </w:instrText>
    </w:r>
    <w:r>
      <w:fldChar w:fldCharType="end"/>
    </w:r>
  </w:p>
  <w:p w14:paraId="59D50163">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CA93">
    <w:pPr>
      <w:pStyle w:val="31"/>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66478">
    <w:pPr>
      <w:pStyle w:val="32"/>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D27F">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1">
    <w:nsid w:val="4C601917"/>
    <w:multiLevelType w:val="singleLevel"/>
    <w:tmpl w:val="4C601917"/>
    <w:lvl w:ilvl="0" w:tentative="0">
      <w:start w:val="1"/>
      <w:numFmt w:val="decimal"/>
      <w:suff w:val="nothing"/>
      <w:lvlText w:val="（%1）"/>
      <w:lvlJc w:val="left"/>
      <w:pPr>
        <w:ind w:left="-2"/>
      </w:pPr>
    </w:lvl>
  </w:abstractNum>
  <w:abstractNum w:abstractNumId="2">
    <w:nsid w:val="5FABD14B"/>
    <w:multiLevelType w:val="singleLevel"/>
    <w:tmpl w:val="5FABD14B"/>
    <w:lvl w:ilvl="0" w:tentative="0">
      <w:start w:val="1"/>
      <w:numFmt w:val="decimal"/>
      <w:suff w:val="nothing"/>
      <w:lvlText w:val="（%1）"/>
      <w:lvlJc w:val="left"/>
    </w:lvl>
  </w:abstractNum>
  <w:abstractNum w:abstractNumId="3">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U3ZjM1YTEwOGQ3MmQ1ZjEzODM2Y2YwNmU5YTA4M2EifQ=="/>
    <w:docVar w:name="KSO_WPS_MARK_KEY" w:val="063e8331-248f-40d5-abc2-b319a7cebc0e"/>
  </w:docVars>
  <w:rsids>
    <w:rsidRoot w:val="00BF17A9"/>
    <w:rsid w:val="00051FD1"/>
    <w:rsid w:val="0006522D"/>
    <w:rsid w:val="000F73E0"/>
    <w:rsid w:val="0014745A"/>
    <w:rsid w:val="0017010C"/>
    <w:rsid w:val="001F7147"/>
    <w:rsid w:val="0022681E"/>
    <w:rsid w:val="00250608"/>
    <w:rsid w:val="002610B9"/>
    <w:rsid w:val="00296EA3"/>
    <w:rsid w:val="003151B7"/>
    <w:rsid w:val="00354C0F"/>
    <w:rsid w:val="00395720"/>
    <w:rsid w:val="003A22F5"/>
    <w:rsid w:val="003A47CE"/>
    <w:rsid w:val="00404B95"/>
    <w:rsid w:val="004357DC"/>
    <w:rsid w:val="00437EB1"/>
    <w:rsid w:val="004609F3"/>
    <w:rsid w:val="004631C9"/>
    <w:rsid w:val="00484C53"/>
    <w:rsid w:val="004A0D65"/>
    <w:rsid w:val="004D64AC"/>
    <w:rsid w:val="004D7B8C"/>
    <w:rsid w:val="005D4C54"/>
    <w:rsid w:val="00610F81"/>
    <w:rsid w:val="0061131E"/>
    <w:rsid w:val="0067007B"/>
    <w:rsid w:val="00682D35"/>
    <w:rsid w:val="006B627A"/>
    <w:rsid w:val="006C172D"/>
    <w:rsid w:val="0073177E"/>
    <w:rsid w:val="00732FA0"/>
    <w:rsid w:val="007627F8"/>
    <w:rsid w:val="00815C59"/>
    <w:rsid w:val="008526E3"/>
    <w:rsid w:val="00855ABA"/>
    <w:rsid w:val="00880305"/>
    <w:rsid w:val="008C0727"/>
    <w:rsid w:val="008C1986"/>
    <w:rsid w:val="008C6A4A"/>
    <w:rsid w:val="008D2E64"/>
    <w:rsid w:val="00905CFD"/>
    <w:rsid w:val="009B1965"/>
    <w:rsid w:val="009F222D"/>
    <w:rsid w:val="009F628A"/>
    <w:rsid w:val="00A704ED"/>
    <w:rsid w:val="00AD1FB6"/>
    <w:rsid w:val="00AF7E27"/>
    <w:rsid w:val="00B042B1"/>
    <w:rsid w:val="00B26CFB"/>
    <w:rsid w:val="00B3468A"/>
    <w:rsid w:val="00BF17A9"/>
    <w:rsid w:val="00C27831"/>
    <w:rsid w:val="00C435CD"/>
    <w:rsid w:val="00CD51B7"/>
    <w:rsid w:val="00CD6C03"/>
    <w:rsid w:val="00D84AF2"/>
    <w:rsid w:val="00DA6ED6"/>
    <w:rsid w:val="00DB52D4"/>
    <w:rsid w:val="00DC0344"/>
    <w:rsid w:val="00E17AA9"/>
    <w:rsid w:val="00E337B7"/>
    <w:rsid w:val="00E51C22"/>
    <w:rsid w:val="00E664EA"/>
    <w:rsid w:val="00E85055"/>
    <w:rsid w:val="00EB5EB0"/>
    <w:rsid w:val="00F20162"/>
    <w:rsid w:val="00F23A70"/>
    <w:rsid w:val="00F819F6"/>
    <w:rsid w:val="00FA7258"/>
    <w:rsid w:val="01BD35AB"/>
    <w:rsid w:val="02004737"/>
    <w:rsid w:val="044955CA"/>
    <w:rsid w:val="04F41D30"/>
    <w:rsid w:val="0557210B"/>
    <w:rsid w:val="058A7C48"/>
    <w:rsid w:val="05C17368"/>
    <w:rsid w:val="067C1385"/>
    <w:rsid w:val="06E76DA5"/>
    <w:rsid w:val="0775210D"/>
    <w:rsid w:val="080212A5"/>
    <w:rsid w:val="085F1B57"/>
    <w:rsid w:val="0894450D"/>
    <w:rsid w:val="08D8367F"/>
    <w:rsid w:val="09CF031F"/>
    <w:rsid w:val="0A402FCB"/>
    <w:rsid w:val="0B154457"/>
    <w:rsid w:val="0BDA1226"/>
    <w:rsid w:val="0C85560D"/>
    <w:rsid w:val="0D627CCD"/>
    <w:rsid w:val="0DE158EE"/>
    <w:rsid w:val="0DFA535A"/>
    <w:rsid w:val="0E204E7C"/>
    <w:rsid w:val="0EE818D0"/>
    <w:rsid w:val="0F164219"/>
    <w:rsid w:val="0F3D6004"/>
    <w:rsid w:val="118C50B2"/>
    <w:rsid w:val="131F372F"/>
    <w:rsid w:val="13A02D2C"/>
    <w:rsid w:val="14C50E0E"/>
    <w:rsid w:val="1517701E"/>
    <w:rsid w:val="152C7A61"/>
    <w:rsid w:val="163610C1"/>
    <w:rsid w:val="163C2BDD"/>
    <w:rsid w:val="18137F71"/>
    <w:rsid w:val="18E13CC5"/>
    <w:rsid w:val="1A7C5AEA"/>
    <w:rsid w:val="1DDD7480"/>
    <w:rsid w:val="1E601A36"/>
    <w:rsid w:val="1EBB253D"/>
    <w:rsid w:val="1F3C02D6"/>
    <w:rsid w:val="1F436E48"/>
    <w:rsid w:val="1FCE3F40"/>
    <w:rsid w:val="202076CF"/>
    <w:rsid w:val="21A40A6E"/>
    <w:rsid w:val="21D558EA"/>
    <w:rsid w:val="22AA14D2"/>
    <w:rsid w:val="2483022C"/>
    <w:rsid w:val="25B36CF4"/>
    <w:rsid w:val="269B2CE1"/>
    <w:rsid w:val="27856069"/>
    <w:rsid w:val="28C80903"/>
    <w:rsid w:val="29127AAE"/>
    <w:rsid w:val="291B7906"/>
    <w:rsid w:val="2AB90504"/>
    <w:rsid w:val="2B267E7B"/>
    <w:rsid w:val="2B9845BD"/>
    <w:rsid w:val="2C632F6E"/>
    <w:rsid w:val="2DB17BB8"/>
    <w:rsid w:val="2DF31F7F"/>
    <w:rsid w:val="30964C78"/>
    <w:rsid w:val="31C34AF6"/>
    <w:rsid w:val="34B83278"/>
    <w:rsid w:val="35131158"/>
    <w:rsid w:val="35B156CE"/>
    <w:rsid w:val="37056C19"/>
    <w:rsid w:val="371350FE"/>
    <w:rsid w:val="3725630A"/>
    <w:rsid w:val="39A20CFD"/>
    <w:rsid w:val="3A26548A"/>
    <w:rsid w:val="3C0C347E"/>
    <w:rsid w:val="3C905F92"/>
    <w:rsid w:val="3CBA549F"/>
    <w:rsid w:val="3DEA662F"/>
    <w:rsid w:val="3F451057"/>
    <w:rsid w:val="3FC512A1"/>
    <w:rsid w:val="3FF72FC6"/>
    <w:rsid w:val="43FF1225"/>
    <w:rsid w:val="445157F9"/>
    <w:rsid w:val="45463A4F"/>
    <w:rsid w:val="45E91156"/>
    <w:rsid w:val="46BA4B40"/>
    <w:rsid w:val="47566AAD"/>
    <w:rsid w:val="492D05E3"/>
    <w:rsid w:val="496369C1"/>
    <w:rsid w:val="498F4DFA"/>
    <w:rsid w:val="4B2B231D"/>
    <w:rsid w:val="4C030A03"/>
    <w:rsid w:val="4C43486D"/>
    <w:rsid w:val="4C55732C"/>
    <w:rsid w:val="4E8C1827"/>
    <w:rsid w:val="4E933436"/>
    <w:rsid w:val="4EA053B3"/>
    <w:rsid w:val="4F73245D"/>
    <w:rsid w:val="4FCE7CFE"/>
    <w:rsid w:val="505B3C87"/>
    <w:rsid w:val="509A5EB4"/>
    <w:rsid w:val="534E7E75"/>
    <w:rsid w:val="5435659E"/>
    <w:rsid w:val="54E97887"/>
    <w:rsid w:val="56301712"/>
    <w:rsid w:val="579E429B"/>
    <w:rsid w:val="583A1FD3"/>
    <w:rsid w:val="5A056A12"/>
    <w:rsid w:val="5A6E4BE7"/>
    <w:rsid w:val="5B022F52"/>
    <w:rsid w:val="5D107BA8"/>
    <w:rsid w:val="6017124D"/>
    <w:rsid w:val="64FB790B"/>
    <w:rsid w:val="654C22C9"/>
    <w:rsid w:val="662054E0"/>
    <w:rsid w:val="6672300E"/>
    <w:rsid w:val="671069CF"/>
    <w:rsid w:val="67191D4F"/>
    <w:rsid w:val="672B05FF"/>
    <w:rsid w:val="67543389"/>
    <w:rsid w:val="677F9B58"/>
    <w:rsid w:val="67B5722E"/>
    <w:rsid w:val="68AF0A9E"/>
    <w:rsid w:val="69764398"/>
    <w:rsid w:val="69CB2F6F"/>
    <w:rsid w:val="6A03038A"/>
    <w:rsid w:val="6A1F67F5"/>
    <w:rsid w:val="6A475160"/>
    <w:rsid w:val="6A5D61CC"/>
    <w:rsid w:val="6AA35FBD"/>
    <w:rsid w:val="6BD07172"/>
    <w:rsid w:val="6C054771"/>
    <w:rsid w:val="6C362F8C"/>
    <w:rsid w:val="6C9344C4"/>
    <w:rsid w:val="6CD05EF8"/>
    <w:rsid w:val="6D693CF3"/>
    <w:rsid w:val="6EF70BC7"/>
    <w:rsid w:val="6F676627"/>
    <w:rsid w:val="6F6B77A0"/>
    <w:rsid w:val="70141082"/>
    <w:rsid w:val="706E3AC2"/>
    <w:rsid w:val="70781894"/>
    <w:rsid w:val="70E637CC"/>
    <w:rsid w:val="713C37BA"/>
    <w:rsid w:val="726431BE"/>
    <w:rsid w:val="72766AE8"/>
    <w:rsid w:val="729D3834"/>
    <w:rsid w:val="740A4EF9"/>
    <w:rsid w:val="748C1DB2"/>
    <w:rsid w:val="75084C4D"/>
    <w:rsid w:val="754C71ED"/>
    <w:rsid w:val="76397E80"/>
    <w:rsid w:val="771F332E"/>
    <w:rsid w:val="77400C32"/>
    <w:rsid w:val="77725D3F"/>
    <w:rsid w:val="779A47E6"/>
    <w:rsid w:val="78380F8C"/>
    <w:rsid w:val="78857AED"/>
    <w:rsid w:val="78B615C3"/>
    <w:rsid w:val="79007FE2"/>
    <w:rsid w:val="79DA2940"/>
    <w:rsid w:val="79FD44BD"/>
    <w:rsid w:val="7A042AE0"/>
    <w:rsid w:val="7E6F0F3C"/>
    <w:rsid w:val="7F972973"/>
    <w:rsid w:val="7FAB76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480" w:after="80"/>
      <w:outlineLvl w:val="0"/>
    </w:pPr>
    <w:rPr>
      <w:rFonts w:asciiTheme="majorHAnsi" w:hAnsiTheme="majorHAnsi" w:eastAsiaTheme="majorEastAsia" w:cstheme="majorBidi"/>
      <w:color w:val="0F4761" w:themeColor="accent1" w:themeShade="BF"/>
      <w:sz w:val="48"/>
      <w:szCs w:val="48"/>
    </w:rPr>
  </w:style>
  <w:style w:type="paragraph" w:styleId="3">
    <w:name w:val="heading 2"/>
    <w:basedOn w:val="1"/>
    <w:next w:val="1"/>
    <w:link w:val="59"/>
    <w:unhideWhenUsed/>
    <w:qFormat/>
    <w:uiPriority w:val="0"/>
    <w:pPr>
      <w:keepNext/>
      <w:keepLines/>
      <w:spacing w:before="160" w:after="80"/>
      <w:outlineLvl w:val="1"/>
    </w:pPr>
    <w:rPr>
      <w:rFonts w:asciiTheme="majorHAnsi" w:hAnsiTheme="majorHAnsi" w:eastAsiaTheme="majorEastAsia" w:cstheme="majorBidi"/>
      <w:color w:val="0F4761" w:themeColor="accent1" w:themeShade="BF"/>
      <w:sz w:val="40"/>
      <w:szCs w:val="40"/>
    </w:rPr>
  </w:style>
  <w:style w:type="paragraph" w:styleId="4">
    <w:name w:val="heading 3"/>
    <w:basedOn w:val="1"/>
    <w:next w:val="1"/>
    <w:link w:val="60"/>
    <w:unhideWhenUsed/>
    <w:qFormat/>
    <w:uiPriority w:val="0"/>
    <w:pPr>
      <w:keepNext/>
      <w:keepLines/>
      <w:spacing w:before="160" w:after="80"/>
      <w:outlineLvl w:val="2"/>
    </w:pPr>
    <w:rPr>
      <w:rFonts w:asciiTheme="majorHAnsi" w:hAnsiTheme="majorHAnsi" w:eastAsiaTheme="majorEastAsia" w:cstheme="majorBidi"/>
      <w:color w:val="0F4761" w:themeColor="accent1" w:themeShade="BF"/>
      <w:sz w:val="32"/>
      <w:szCs w:val="32"/>
    </w:rPr>
  </w:style>
  <w:style w:type="paragraph" w:styleId="5">
    <w:name w:val="heading 4"/>
    <w:basedOn w:val="1"/>
    <w:next w:val="1"/>
    <w:link w:val="61"/>
    <w:semiHidden/>
    <w:unhideWhenUsed/>
    <w:qFormat/>
    <w:uiPriority w:val="9"/>
    <w:pPr>
      <w:keepNext/>
      <w:keepLines/>
      <w:spacing w:before="80" w:after="40"/>
      <w:outlineLvl w:val="3"/>
    </w:pPr>
    <w:rPr>
      <w:rFonts w:cstheme="majorBidi"/>
      <w:color w:val="0F4761" w:themeColor="accent1" w:themeShade="BF"/>
      <w:sz w:val="28"/>
      <w:szCs w:val="28"/>
    </w:rPr>
  </w:style>
  <w:style w:type="paragraph" w:styleId="6">
    <w:name w:val="heading 5"/>
    <w:basedOn w:val="1"/>
    <w:next w:val="1"/>
    <w:link w:val="62"/>
    <w:unhideWhenUsed/>
    <w:qFormat/>
    <w:uiPriority w:val="0"/>
    <w:pPr>
      <w:keepNext/>
      <w:keepLines/>
      <w:spacing w:before="80" w:after="40"/>
      <w:outlineLvl w:val="4"/>
    </w:pPr>
    <w:rPr>
      <w:rFonts w:cstheme="majorBidi"/>
      <w:color w:val="0F4761" w:themeColor="accent1" w:themeShade="BF"/>
      <w:sz w:val="24"/>
    </w:rPr>
  </w:style>
  <w:style w:type="paragraph" w:styleId="7">
    <w:name w:val="heading 6"/>
    <w:basedOn w:val="1"/>
    <w:next w:val="1"/>
    <w:link w:val="63"/>
    <w:unhideWhenUsed/>
    <w:qFormat/>
    <w:uiPriority w:val="0"/>
    <w:pPr>
      <w:keepNext/>
      <w:keepLines/>
      <w:spacing w:before="40"/>
      <w:outlineLvl w:val="5"/>
    </w:pPr>
    <w:rPr>
      <w:rFonts w:cstheme="majorBidi"/>
      <w:b/>
      <w:bCs/>
      <w:color w:val="0F4761" w:themeColor="accent1" w:themeShade="BF"/>
    </w:rPr>
  </w:style>
  <w:style w:type="paragraph" w:styleId="8">
    <w:name w:val="heading 7"/>
    <w:basedOn w:val="1"/>
    <w:next w:val="1"/>
    <w:link w:val="64"/>
    <w:unhideWhenUsed/>
    <w:qFormat/>
    <w:uiPriority w:val="0"/>
    <w:pPr>
      <w:keepNext/>
      <w:keepLines/>
      <w:spacing w:before="40"/>
      <w:outlineLvl w:val="6"/>
    </w:pPr>
    <w:rPr>
      <w:rFonts w:cstheme="majorBidi"/>
      <w:b/>
      <w:bCs/>
      <w:color w:val="585858" w:themeColor="text1" w:themeTint="A6"/>
    </w:rPr>
  </w:style>
  <w:style w:type="paragraph" w:styleId="9">
    <w:name w:val="heading 8"/>
    <w:basedOn w:val="1"/>
    <w:next w:val="1"/>
    <w:link w:val="65"/>
    <w:unhideWhenUsed/>
    <w:qFormat/>
    <w:uiPriority w:val="0"/>
    <w:pPr>
      <w:keepNext/>
      <w:keepLines/>
      <w:outlineLvl w:val="7"/>
    </w:pPr>
    <w:rPr>
      <w:rFonts w:cstheme="majorBidi"/>
      <w:color w:val="585858" w:themeColor="text1" w:themeTint="A6"/>
    </w:rPr>
  </w:style>
  <w:style w:type="paragraph" w:styleId="10">
    <w:name w:val="heading 9"/>
    <w:basedOn w:val="1"/>
    <w:next w:val="1"/>
    <w:link w:val="66"/>
    <w:unhideWhenUsed/>
    <w:qFormat/>
    <w:uiPriority w:val="0"/>
    <w:pPr>
      <w:keepNext/>
      <w:keepLines/>
      <w:outlineLvl w:val="8"/>
    </w:pPr>
    <w:rPr>
      <w:rFonts w:eastAsiaTheme="majorEastAsia" w:cstheme="majorBidi"/>
      <w:color w:val="585858" w:themeColor="text1" w:themeTint="A6"/>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index 8"/>
    <w:basedOn w:val="1"/>
    <w:next w:val="1"/>
    <w:unhideWhenUsed/>
    <w:qFormat/>
    <w:uiPriority w:val="0"/>
    <w:pPr>
      <w:spacing w:line="360" w:lineRule="auto"/>
      <w:ind w:left="1400" w:leftChars="1400"/>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Normal Indent"/>
    <w:basedOn w:val="1"/>
    <w:qFormat/>
    <w:uiPriority w:val="0"/>
    <w:pPr>
      <w:ind w:firstLine="420"/>
    </w:pPr>
    <w:rPr>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80"/>
    <w:unhideWhenUsed/>
    <w:qFormat/>
    <w:uiPriority w:val="0"/>
    <w:pPr>
      <w:shd w:val="clear" w:color="auto" w:fill="000080"/>
    </w:pPr>
    <w:rPr>
      <w:rFonts w:hint="eastAsia" w:ascii="宋体" w:hAnsi="宋体"/>
      <w:kern w:val="0"/>
      <w:sz w:val="20"/>
      <w:szCs w:val="20"/>
    </w:rPr>
  </w:style>
  <w:style w:type="paragraph" w:styleId="17">
    <w:name w:val="annotation text"/>
    <w:basedOn w:val="1"/>
    <w:link w:val="95"/>
    <w:unhideWhenUsed/>
    <w:qFormat/>
    <w:uiPriority w:val="0"/>
    <w:pPr>
      <w:jc w:val="left"/>
    </w:pPr>
  </w:style>
  <w:style w:type="paragraph" w:styleId="18">
    <w:name w:val="Body Text 3"/>
    <w:basedOn w:val="1"/>
    <w:link w:val="82"/>
    <w:qFormat/>
    <w:uiPriority w:val="0"/>
    <w:pPr>
      <w:spacing w:line="500" w:lineRule="exact"/>
    </w:pPr>
    <w:rPr>
      <w:b/>
      <w:bCs/>
      <w:kern w:val="0"/>
      <w:sz w:val="24"/>
    </w:rPr>
  </w:style>
  <w:style w:type="paragraph" w:styleId="19">
    <w:name w:val="Body Text"/>
    <w:basedOn w:val="1"/>
    <w:link w:val="76"/>
    <w:unhideWhenUsed/>
    <w:qFormat/>
    <w:uiPriority w:val="99"/>
    <w:pPr>
      <w:spacing w:after="120"/>
    </w:pPr>
  </w:style>
  <w:style w:type="paragraph" w:styleId="20">
    <w:name w:val="Body Text Indent"/>
    <w:basedOn w:val="1"/>
    <w:link w:val="78"/>
    <w:unhideWhenUsed/>
    <w:qFormat/>
    <w:uiPriority w:val="0"/>
    <w:pPr>
      <w:spacing w:after="120"/>
      <w:ind w:left="420" w:leftChars="200"/>
    </w:p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unhideWhenUsed/>
    <w:qFormat/>
    <w:uiPriority w:val="39"/>
    <w:pPr>
      <w:ind w:left="840" w:leftChars="400"/>
    </w:pPr>
    <w:rPr>
      <w:rFonts w:ascii="Calibri" w:hAnsi="Calibri"/>
      <w:szCs w:val="22"/>
    </w:rPr>
  </w:style>
  <w:style w:type="paragraph" w:styleId="25">
    <w:name w:val="Plain Text"/>
    <w:basedOn w:val="1"/>
    <w:link w:val="97"/>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4"/>
    <w:qFormat/>
    <w:uiPriority w:val="0"/>
    <w:pPr>
      <w:ind w:left="100" w:leftChars="2500"/>
    </w:pPr>
    <w:rPr>
      <w:rFonts w:ascii="宋体" w:hAnsi="Courier New"/>
      <w:kern w:val="0"/>
      <w:sz w:val="20"/>
      <w:szCs w:val="21"/>
    </w:rPr>
  </w:style>
  <w:style w:type="paragraph" w:styleId="28">
    <w:name w:val="Body Text Indent 2"/>
    <w:basedOn w:val="1"/>
    <w:link w:val="85"/>
    <w:qFormat/>
    <w:uiPriority w:val="0"/>
    <w:pPr>
      <w:ind w:firstLine="630"/>
    </w:pPr>
    <w:rPr>
      <w:kern w:val="0"/>
      <w:sz w:val="32"/>
      <w:szCs w:val="20"/>
    </w:rPr>
  </w:style>
  <w:style w:type="paragraph" w:styleId="29">
    <w:name w:val="endnote text"/>
    <w:basedOn w:val="1"/>
    <w:link w:val="86"/>
    <w:unhideWhenUsed/>
    <w:qFormat/>
    <w:uiPriority w:val="99"/>
    <w:pPr>
      <w:snapToGrid w:val="0"/>
      <w:jc w:val="left"/>
    </w:pPr>
  </w:style>
  <w:style w:type="paragraph" w:styleId="30">
    <w:name w:val="Balloon Text"/>
    <w:basedOn w:val="1"/>
    <w:link w:val="87"/>
    <w:semiHidden/>
    <w:qFormat/>
    <w:uiPriority w:val="0"/>
    <w:rPr>
      <w:kern w:val="0"/>
      <w:sz w:val="18"/>
      <w:szCs w:val="18"/>
    </w:rPr>
  </w:style>
  <w:style w:type="paragraph" w:styleId="31">
    <w:name w:val="footer"/>
    <w:basedOn w:val="1"/>
    <w:link w:val="98"/>
    <w:unhideWhenUsed/>
    <w:qFormat/>
    <w:uiPriority w:val="99"/>
    <w:pPr>
      <w:tabs>
        <w:tab w:val="center" w:pos="4153"/>
        <w:tab w:val="right" w:pos="8306"/>
      </w:tabs>
      <w:snapToGrid w:val="0"/>
      <w:jc w:val="left"/>
    </w:pPr>
    <w:rPr>
      <w:kern w:val="0"/>
      <w:sz w:val="18"/>
      <w:szCs w:val="18"/>
    </w:rPr>
  </w:style>
  <w:style w:type="paragraph" w:styleId="32">
    <w:name w:val="header"/>
    <w:basedOn w:val="1"/>
    <w:link w:val="89"/>
    <w:unhideWhenUsed/>
    <w:qFormat/>
    <w:uiPriority w:val="0"/>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szCs w:val="22"/>
    </w:rPr>
  </w:style>
  <w:style w:type="paragraph" w:styleId="35">
    <w:name w:val="Subtitle"/>
    <w:basedOn w:val="1"/>
    <w:next w:val="1"/>
    <w:link w:val="68"/>
    <w:qFormat/>
    <w:uiPriority w:val="0"/>
    <w:pPr>
      <w:jc w:val="center"/>
    </w:pPr>
    <w:rPr>
      <w:rFonts w:asciiTheme="majorHAnsi" w:hAnsiTheme="majorHAnsi" w:eastAsiaTheme="majorEastAsia" w:cstheme="majorBidi"/>
      <w:color w:val="585858" w:themeColor="text1" w:themeTint="A6"/>
      <w:spacing w:val="15"/>
      <w:sz w:val="28"/>
      <w:szCs w:val="28"/>
    </w:rPr>
  </w:style>
  <w:style w:type="paragraph" w:styleId="36">
    <w:name w:val="List"/>
    <w:basedOn w:val="1"/>
    <w:qFormat/>
    <w:uiPriority w:val="0"/>
    <w:pPr>
      <w:ind w:left="200" w:hanging="200" w:hangingChars="200"/>
    </w:pPr>
    <w:rPr>
      <w:sz w:val="28"/>
    </w:rPr>
  </w:style>
  <w:style w:type="paragraph" w:styleId="37">
    <w:name w:val="footnote text"/>
    <w:basedOn w:val="1"/>
    <w:link w:val="90"/>
    <w:unhideWhenUsed/>
    <w:qFormat/>
    <w:uiPriority w:val="99"/>
    <w:pPr>
      <w:snapToGrid w:val="0"/>
      <w:jc w:val="left"/>
    </w:pPr>
    <w:rPr>
      <w:sz w:val="18"/>
      <w:szCs w:val="18"/>
    </w:rPr>
  </w:style>
  <w:style w:type="paragraph" w:styleId="38">
    <w:name w:val="toc 6"/>
    <w:basedOn w:val="1"/>
    <w:next w:val="1"/>
    <w:unhideWhenUsed/>
    <w:qFormat/>
    <w:uiPriority w:val="39"/>
    <w:pPr>
      <w:ind w:left="2100" w:leftChars="1000"/>
    </w:pPr>
    <w:rPr>
      <w:rFonts w:ascii="Calibri" w:hAnsi="Calibri"/>
      <w:szCs w:val="22"/>
    </w:rPr>
  </w:style>
  <w:style w:type="paragraph" w:styleId="39">
    <w:name w:val="Body Text Indent 3"/>
    <w:basedOn w:val="1"/>
    <w:link w:val="91"/>
    <w:qFormat/>
    <w:uiPriority w:val="0"/>
    <w:pPr>
      <w:spacing w:after="120"/>
      <w:ind w:left="420" w:leftChars="200"/>
    </w:pPr>
    <w:rPr>
      <w:kern w:val="0"/>
      <w:sz w:val="16"/>
      <w:szCs w:val="16"/>
    </w:rPr>
  </w:style>
  <w:style w:type="paragraph" w:styleId="40">
    <w:name w:val="toc 2"/>
    <w:basedOn w:val="1"/>
    <w:next w:val="1"/>
    <w:unhideWhenUsed/>
    <w:qFormat/>
    <w:uiPriority w:val="39"/>
    <w:pPr>
      <w:ind w:left="420" w:leftChars="200"/>
    </w:pPr>
  </w:style>
  <w:style w:type="paragraph" w:styleId="41">
    <w:name w:val="toc 9"/>
    <w:basedOn w:val="1"/>
    <w:next w:val="1"/>
    <w:unhideWhenUsed/>
    <w:qFormat/>
    <w:uiPriority w:val="39"/>
    <w:pPr>
      <w:ind w:left="3360" w:leftChars="1600"/>
    </w:pPr>
    <w:rPr>
      <w:rFonts w:ascii="Calibri" w:hAnsi="Calibri"/>
      <w:szCs w:val="22"/>
    </w:rPr>
  </w:style>
  <w:style w:type="paragraph" w:styleId="42">
    <w:name w:val="Body Text 2"/>
    <w:basedOn w:val="1"/>
    <w:link w:val="92"/>
    <w:qFormat/>
    <w:uiPriority w:val="0"/>
    <w:pPr>
      <w:spacing w:after="120" w:line="480" w:lineRule="auto"/>
    </w:pPr>
    <w:rPr>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Title"/>
    <w:basedOn w:val="1"/>
    <w:next w:val="1"/>
    <w:link w:val="6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46">
    <w:name w:val="annotation subject"/>
    <w:basedOn w:val="17"/>
    <w:next w:val="17"/>
    <w:link w:val="93"/>
    <w:unhideWhenUsed/>
    <w:qFormat/>
    <w:uiPriority w:val="99"/>
    <w:rPr>
      <w:b/>
      <w:bCs/>
    </w:rPr>
  </w:style>
  <w:style w:type="paragraph" w:styleId="47">
    <w:name w:val="Body Text First Indent"/>
    <w:basedOn w:val="19"/>
    <w:next w:val="48"/>
    <w:link w:val="77"/>
    <w:qFormat/>
    <w:uiPriority w:val="0"/>
    <w:pPr>
      <w:spacing w:after="0" w:line="380" w:lineRule="exact"/>
      <w:ind w:firstLine="420" w:firstLineChars="100"/>
    </w:pPr>
    <w:rPr>
      <w:kern w:val="0"/>
      <w:sz w:val="24"/>
    </w:rPr>
  </w:style>
  <w:style w:type="paragraph" w:styleId="48">
    <w:name w:val="Body Text First Indent 2"/>
    <w:basedOn w:val="20"/>
    <w:next w:val="1"/>
    <w:link w:val="79"/>
    <w:unhideWhenUsed/>
    <w:qFormat/>
    <w:uiPriority w:val="99"/>
    <w:pPr>
      <w:spacing w:after="0" w:line="360" w:lineRule="auto"/>
      <w:ind w:left="435" w:leftChars="0" w:firstLine="420" w:firstLineChars="200"/>
    </w:pPr>
    <w:rPr>
      <w:rFonts w:ascii="仿宋_GB2312" w:eastAsia="仿宋_GB2312"/>
      <w:color w:val="FF0000"/>
      <w:sz w:val="24"/>
    </w:rPr>
  </w:style>
  <w:style w:type="table" w:styleId="50">
    <w:name w:val="Table Grid"/>
    <w:basedOn w:val="49"/>
    <w:qFormat/>
    <w:uiPriority w:val="0"/>
    <w:pPr>
      <w:widowControl w:val="0"/>
      <w:spacing w:after="0" w:line="240" w:lineRule="auto"/>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99"/>
    <w:rPr>
      <w:color w:val="000000"/>
      <w:u w:val="none"/>
    </w:rPr>
  </w:style>
  <w:style w:type="character" w:styleId="55">
    <w:name w:val="Hyperlink"/>
    <w:qFormat/>
    <w:uiPriority w:val="99"/>
    <w:rPr>
      <w:color w:val="000000"/>
      <w:u w:val="none"/>
    </w:rPr>
  </w:style>
  <w:style w:type="character" w:styleId="56">
    <w:name w:val="annotation reference"/>
    <w:unhideWhenUsed/>
    <w:qFormat/>
    <w:uiPriority w:val="0"/>
    <w:rPr>
      <w:sz w:val="21"/>
      <w:szCs w:val="21"/>
    </w:rPr>
  </w:style>
  <w:style w:type="character" w:styleId="57">
    <w:name w:val="footnote reference"/>
    <w:unhideWhenUsed/>
    <w:qFormat/>
    <w:uiPriority w:val="99"/>
    <w:rPr>
      <w:vertAlign w:val="superscript"/>
    </w:rPr>
  </w:style>
  <w:style w:type="character" w:customStyle="1" w:styleId="58">
    <w:name w:val="标题 1 Char"/>
    <w:basedOn w:val="51"/>
    <w:link w:val="2"/>
    <w:qFormat/>
    <w:uiPriority w:val="9"/>
    <w:rPr>
      <w:rFonts w:asciiTheme="majorHAnsi" w:hAnsiTheme="majorHAnsi" w:eastAsiaTheme="majorEastAsia" w:cstheme="majorBidi"/>
      <w:color w:val="0F4761" w:themeColor="accent1" w:themeShade="BF"/>
      <w:sz w:val="48"/>
      <w:szCs w:val="48"/>
    </w:rPr>
  </w:style>
  <w:style w:type="character" w:customStyle="1" w:styleId="59">
    <w:name w:val="标题 2 Char"/>
    <w:basedOn w:val="51"/>
    <w:link w:val="3"/>
    <w:qFormat/>
    <w:uiPriority w:val="0"/>
    <w:rPr>
      <w:rFonts w:asciiTheme="majorHAnsi" w:hAnsiTheme="majorHAnsi" w:eastAsiaTheme="majorEastAsia" w:cstheme="majorBidi"/>
      <w:color w:val="0F4761" w:themeColor="accent1" w:themeShade="BF"/>
      <w:sz w:val="40"/>
      <w:szCs w:val="40"/>
    </w:rPr>
  </w:style>
  <w:style w:type="character" w:customStyle="1" w:styleId="60">
    <w:name w:val="标题 3 Char"/>
    <w:basedOn w:val="51"/>
    <w:link w:val="4"/>
    <w:qFormat/>
    <w:uiPriority w:val="0"/>
    <w:rPr>
      <w:rFonts w:asciiTheme="majorHAnsi" w:hAnsiTheme="majorHAnsi" w:eastAsiaTheme="majorEastAsia" w:cstheme="majorBidi"/>
      <w:color w:val="0F4761" w:themeColor="accent1" w:themeShade="BF"/>
      <w:sz w:val="32"/>
      <w:szCs w:val="32"/>
    </w:rPr>
  </w:style>
  <w:style w:type="character" w:customStyle="1" w:styleId="61">
    <w:name w:val="标题 4 Char"/>
    <w:basedOn w:val="51"/>
    <w:link w:val="5"/>
    <w:qFormat/>
    <w:uiPriority w:val="0"/>
    <w:rPr>
      <w:rFonts w:cstheme="majorBidi"/>
      <w:color w:val="0F4761" w:themeColor="accent1" w:themeShade="BF"/>
      <w:sz w:val="28"/>
      <w:szCs w:val="28"/>
    </w:rPr>
  </w:style>
  <w:style w:type="character" w:customStyle="1" w:styleId="62">
    <w:name w:val="标题 5 Char1"/>
    <w:basedOn w:val="51"/>
    <w:link w:val="6"/>
    <w:qFormat/>
    <w:uiPriority w:val="0"/>
    <w:rPr>
      <w:rFonts w:cstheme="majorBidi"/>
      <w:color w:val="0F4761" w:themeColor="accent1" w:themeShade="BF"/>
      <w:sz w:val="24"/>
    </w:rPr>
  </w:style>
  <w:style w:type="character" w:customStyle="1" w:styleId="63">
    <w:name w:val="标题 6 Char"/>
    <w:basedOn w:val="51"/>
    <w:link w:val="7"/>
    <w:qFormat/>
    <w:uiPriority w:val="0"/>
    <w:rPr>
      <w:rFonts w:cstheme="majorBidi"/>
      <w:b/>
      <w:bCs/>
      <w:color w:val="0F4761" w:themeColor="accent1" w:themeShade="BF"/>
    </w:rPr>
  </w:style>
  <w:style w:type="character" w:customStyle="1" w:styleId="64">
    <w:name w:val="标题 7 Char"/>
    <w:basedOn w:val="51"/>
    <w:link w:val="8"/>
    <w:qFormat/>
    <w:uiPriority w:val="0"/>
    <w:rPr>
      <w:rFonts w:cstheme="majorBidi"/>
      <w:b/>
      <w:bCs/>
      <w:color w:val="585858" w:themeColor="text1" w:themeTint="A6"/>
    </w:rPr>
  </w:style>
  <w:style w:type="character" w:customStyle="1" w:styleId="65">
    <w:name w:val="标题 8 Char"/>
    <w:basedOn w:val="51"/>
    <w:link w:val="9"/>
    <w:qFormat/>
    <w:uiPriority w:val="0"/>
    <w:rPr>
      <w:rFonts w:cstheme="majorBidi"/>
      <w:color w:val="585858" w:themeColor="text1" w:themeTint="A6"/>
    </w:rPr>
  </w:style>
  <w:style w:type="character" w:customStyle="1" w:styleId="66">
    <w:name w:val="标题 9 Char"/>
    <w:basedOn w:val="51"/>
    <w:link w:val="10"/>
    <w:qFormat/>
    <w:uiPriority w:val="0"/>
    <w:rPr>
      <w:rFonts w:eastAsiaTheme="majorEastAsia" w:cstheme="majorBidi"/>
      <w:color w:val="585858" w:themeColor="text1" w:themeTint="A6"/>
    </w:rPr>
  </w:style>
  <w:style w:type="character" w:customStyle="1" w:styleId="67">
    <w:name w:val="标题 Char"/>
    <w:basedOn w:val="51"/>
    <w:link w:val="45"/>
    <w:qFormat/>
    <w:uiPriority w:val="10"/>
    <w:rPr>
      <w:rFonts w:asciiTheme="majorHAnsi" w:hAnsiTheme="majorHAnsi" w:eastAsiaTheme="majorEastAsia" w:cstheme="majorBidi"/>
      <w:spacing w:val="-10"/>
      <w:kern w:val="28"/>
      <w:sz w:val="56"/>
      <w:szCs w:val="56"/>
    </w:rPr>
  </w:style>
  <w:style w:type="character" w:customStyle="1" w:styleId="68">
    <w:name w:val="副标题 Char"/>
    <w:basedOn w:val="51"/>
    <w:link w:val="35"/>
    <w:qFormat/>
    <w:uiPriority w:val="0"/>
    <w:rPr>
      <w:rFonts w:asciiTheme="majorHAnsi" w:hAnsiTheme="majorHAnsi" w:eastAsiaTheme="majorEastAsia" w:cstheme="majorBidi"/>
      <w:color w:val="585858" w:themeColor="text1" w:themeTint="A6"/>
      <w:spacing w:val="15"/>
      <w:sz w:val="28"/>
      <w:szCs w:val="28"/>
    </w:rPr>
  </w:style>
  <w:style w:type="paragraph" w:styleId="69">
    <w:name w:val="Quote"/>
    <w:basedOn w:val="1"/>
    <w:next w:val="1"/>
    <w:link w:val="70"/>
    <w:qFormat/>
    <w:uiPriority w:val="29"/>
    <w:pPr>
      <w:spacing w:before="160"/>
      <w:jc w:val="center"/>
    </w:pPr>
    <w:rPr>
      <w:i/>
      <w:iCs/>
      <w:color w:val="3F3F3F" w:themeColor="text1" w:themeTint="BF"/>
    </w:rPr>
  </w:style>
  <w:style w:type="character" w:customStyle="1" w:styleId="70">
    <w:name w:val="引用 Char"/>
    <w:basedOn w:val="51"/>
    <w:link w:val="69"/>
    <w:qFormat/>
    <w:uiPriority w:val="29"/>
    <w:rPr>
      <w:i/>
      <w:iCs/>
      <w:color w:val="3F3F3F" w:themeColor="text1" w:themeTint="BF"/>
    </w:rPr>
  </w:style>
  <w:style w:type="paragraph" w:styleId="71">
    <w:name w:val="List Paragraph"/>
    <w:basedOn w:val="1"/>
    <w:qFormat/>
    <w:uiPriority w:val="0"/>
    <w:pPr>
      <w:ind w:left="720"/>
      <w:contextualSpacing/>
    </w:pPr>
  </w:style>
  <w:style w:type="character" w:customStyle="1" w:styleId="72">
    <w:name w:val="Intense Emphasis"/>
    <w:basedOn w:val="51"/>
    <w:qFormat/>
    <w:uiPriority w:val="21"/>
    <w:rPr>
      <w:i/>
      <w:iCs/>
      <w:color w:val="0F4761" w:themeColor="accent1" w:themeShade="BF"/>
    </w:rPr>
  </w:style>
  <w:style w:type="paragraph" w:styleId="73">
    <w:name w:val="Intense Quote"/>
    <w:basedOn w:val="1"/>
    <w:next w:val="1"/>
    <w:link w:val="7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customStyle="1" w:styleId="74">
    <w:name w:val="明显引用 Char"/>
    <w:basedOn w:val="51"/>
    <w:link w:val="73"/>
    <w:qFormat/>
    <w:uiPriority w:val="30"/>
    <w:rPr>
      <w:i/>
      <w:iCs/>
      <w:color w:val="0F4761" w:themeColor="accent1" w:themeShade="BF"/>
    </w:rPr>
  </w:style>
  <w:style w:type="character" w:customStyle="1" w:styleId="75">
    <w:name w:val="Intense Reference"/>
    <w:basedOn w:val="51"/>
    <w:qFormat/>
    <w:uiPriority w:val="32"/>
    <w:rPr>
      <w:b/>
      <w:bCs/>
      <w:smallCaps/>
      <w:color w:val="0F4761" w:themeColor="accent1" w:themeShade="BF"/>
      <w:spacing w:val="5"/>
    </w:rPr>
  </w:style>
  <w:style w:type="character" w:customStyle="1" w:styleId="76">
    <w:name w:val="正文文本 Char"/>
    <w:basedOn w:val="51"/>
    <w:link w:val="19"/>
    <w:qFormat/>
    <w:uiPriority w:val="99"/>
    <w:rPr>
      <w:rFonts w:ascii="Times New Roman" w:hAnsi="Times New Roman" w:eastAsia="宋体" w:cs="Times New Roman"/>
      <w:sz w:val="21"/>
    </w:rPr>
  </w:style>
  <w:style w:type="character" w:customStyle="1" w:styleId="77">
    <w:name w:val="正文首行缩进 Char"/>
    <w:basedOn w:val="76"/>
    <w:link w:val="47"/>
    <w:qFormat/>
    <w:uiPriority w:val="0"/>
    <w:rPr>
      <w:rFonts w:ascii="Times New Roman" w:hAnsi="Times New Roman" w:eastAsia="宋体" w:cs="Times New Roman"/>
      <w:kern w:val="0"/>
      <w:sz w:val="24"/>
    </w:rPr>
  </w:style>
  <w:style w:type="character" w:customStyle="1" w:styleId="78">
    <w:name w:val="正文文本缩进 Char"/>
    <w:basedOn w:val="51"/>
    <w:link w:val="20"/>
    <w:qFormat/>
    <w:uiPriority w:val="0"/>
    <w:rPr>
      <w:rFonts w:ascii="Times New Roman" w:hAnsi="Times New Roman" w:eastAsia="宋体" w:cs="Times New Roman"/>
      <w:sz w:val="21"/>
    </w:rPr>
  </w:style>
  <w:style w:type="character" w:customStyle="1" w:styleId="79">
    <w:name w:val="正文首行缩进 2 Char"/>
    <w:basedOn w:val="78"/>
    <w:link w:val="48"/>
    <w:qFormat/>
    <w:uiPriority w:val="99"/>
    <w:rPr>
      <w:rFonts w:ascii="仿宋_GB2312" w:hAnsi="Times New Roman" w:eastAsia="仿宋_GB2312" w:cs="Times New Roman"/>
      <w:color w:val="FF0000"/>
      <w:sz w:val="24"/>
    </w:rPr>
  </w:style>
  <w:style w:type="character" w:customStyle="1" w:styleId="80">
    <w:name w:val="文档结构图 Char"/>
    <w:basedOn w:val="51"/>
    <w:link w:val="16"/>
    <w:qFormat/>
    <w:uiPriority w:val="0"/>
    <w:rPr>
      <w:rFonts w:ascii="宋体" w:hAnsi="宋体" w:eastAsia="宋体" w:cs="Times New Roman"/>
      <w:kern w:val="0"/>
      <w:sz w:val="20"/>
      <w:szCs w:val="20"/>
      <w:shd w:val="clear" w:color="auto" w:fill="000080"/>
    </w:rPr>
  </w:style>
  <w:style w:type="character" w:customStyle="1" w:styleId="81">
    <w:name w:val="批注文字 字符"/>
    <w:basedOn w:val="51"/>
    <w:qFormat/>
    <w:uiPriority w:val="0"/>
    <w:rPr>
      <w:rFonts w:ascii="Times New Roman" w:hAnsi="Times New Roman" w:eastAsia="宋体" w:cs="Times New Roman"/>
      <w:sz w:val="21"/>
    </w:rPr>
  </w:style>
  <w:style w:type="character" w:customStyle="1" w:styleId="82">
    <w:name w:val="正文文本 3 Char"/>
    <w:basedOn w:val="51"/>
    <w:link w:val="18"/>
    <w:qFormat/>
    <w:uiPriority w:val="0"/>
    <w:rPr>
      <w:rFonts w:ascii="Times New Roman" w:hAnsi="Times New Roman" w:eastAsia="宋体" w:cs="Times New Roman"/>
      <w:b/>
      <w:bCs/>
      <w:kern w:val="0"/>
      <w:sz w:val="24"/>
    </w:rPr>
  </w:style>
  <w:style w:type="character" w:customStyle="1" w:styleId="83">
    <w:name w:val="纯文本 字符"/>
    <w:basedOn w:val="51"/>
    <w:qFormat/>
    <w:uiPriority w:val="0"/>
    <w:rPr>
      <w:rFonts w:hAnsi="Courier New" w:cs="Courier New" w:asciiTheme="minorEastAsia"/>
      <w:sz w:val="21"/>
    </w:rPr>
  </w:style>
  <w:style w:type="character" w:customStyle="1" w:styleId="84">
    <w:name w:val="日期 Char"/>
    <w:basedOn w:val="51"/>
    <w:link w:val="27"/>
    <w:qFormat/>
    <w:uiPriority w:val="0"/>
    <w:rPr>
      <w:rFonts w:ascii="宋体" w:hAnsi="Courier New" w:eastAsia="宋体" w:cs="Times New Roman"/>
      <w:kern w:val="0"/>
      <w:sz w:val="20"/>
      <w:szCs w:val="21"/>
    </w:rPr>
  </w:style>
  <w:style w:type="character" w:customStyle="1" w:styleId="85">
    <w:name w:val="正文文本缩进 2 Char"/>
    <w:basedOn w:val="51"/>
    <w:link w:val="28"/>
    <w:qFormat/>
    <w:uiPriority w:val="0"/>
    <w:rPr>
      <w:rFonts w:ascii="Times New Roman" w:hAnsi="Times New Roman" w:eastAsia="宋体" w:cs="Times New Roman"/>
      <w:kern w:val="0"/>
      <w:sz w:val="32"/>
      <w:szCs w:val="20"/>
    </w:rPr>
  </w:style>
  <w:style w:type="character" w:customStyle="1" w:styleId="86">
    <w:name w:val="尾注文本 Char"/>
    <w:basedOn w:val="51"/>
    <w:link w:val="29"/>
    <w:qFormat/>
    <w:uiPriority w:val="99"/>
    <w:rPr>
      <w:rFonts w:ascii="Times New Roman" w:hAnsi="Times New Roman" w:eastAsia="宋体" w:cs="Times New Roman"/>
      <w:sz w:val="21"/>
    </w:rPr>
  </w:style>
  <w:style w:type="character" w:customStyle="1" w:styleId="87">
    <w:name w:val="批注框文本 Char"/>
    <w:basedOn w:val="51"/>
    <w:link w:val="30"/>
    <w:semiHidden/>
    <w:qFormat/>
    <w:uiPriority w:val="0"/>
    <w:rPr>
      <w:rFonts w:ascii="Times New Roman" w:hAnsi="Times New Roman" w:eastAsia="宋体" w:cs="Times New Roman"/>
      <w:kern w:val="0"/>
      <w:sz w:val="18"/>
      <w:szCs w:val="18"/>
    </w:rPr>
  </w:style>
  <w:style w:type="character" w:customStyle="1" w:styleId="88">
    <w:name w:val="页脚 字符"/>
    <w:basedOn w:val="51"/>
    <w:qFormat/>
    <w:uiPriority w:val="99"/>
    <w:rPr>
      <w:rFonts w:ascii="Times New Roman" w:hAnsi="Times New Roman" w:eastAsia="宋体" w:cs="Times New Roman"/>
      <w:sz w:val="18"/>
      <w:szCs w:val="18"/>
    </w:rPr>
  </w:style>
  <w:style w:type="character" w:customStyle="1" w:styleId="89">
    <w:name w:val="页眉 Char"/>
    <w:basedOn w:val="51"/>
    <w:link w:val="32"/>
    <w:qFormat/>
    <w:uiPriority w:val="0"/>
    <w:rPr>
      <w:rFonts w:ascii="Times New Roman" w:hAnsi="Times New Roman" w:eastAsia="宋体" w:cs="Times New Roman"/>
      <w:sz w:val="18"/>
      <w:szCs w:val="18"/>
    </w:rPr>
  </w:style>
  <w:style w:type="character" w:customStyle="1" w:styleId="90">
    <w:name w:val="脚注文本 Char"/>
    <w:basedOn w:val="51"/>
    <w:link w:val="37"/>
    <w:qFormat/>
    <w:uiPriority w:val="99"/>
    <w:rPr>
      <w:rFonts w:ascii="Times New Roman" w:hAnsi="Times New Roman" w:eastAsia="宋体" w:cs="Times New Roman"/>
      <w:sz w:val="18"/>
      <w:szCs w:val="18"/>
    </w:rPr>
  </w:style>
  <w:style w:type="character" w:customStyle="1" w:styleId="91">
    <w:name w:val="正文文本缩进 3 Char"/>
    <w:basedOn w:val="51"/>
    <w:link w:val="39"/>
    <w:qFormat/>
    <w:uiPriority w:val="0"/>
    <w:rPr>
      <w:rFonts w:ascii="Times New Roman" w:hAnsi="Times New Roman" w:eastAsia="宋体" w:cs="Times New Roman"/>
      <w:kern w:val="0"/>
      <w:sz w:val="16"/>
      <w:szCs w:val="16"/>
    </w:rPr>
  </w:style>
  <w:style w:type="character" w:customStyle="1" w:styleId="92">
    <w:name w:val="正文文本 2 Char"/>
    <w:basedOn w:val="51"/>
    <w:link w:val="42"/>
    <w:qFormat/>
    <w:uiPriority w:val="0"/>
    <w:rPr>
      <w:rFonts w:ascii="Times New Roman" w:hAnsi="Times New Roman" w:eastAsia="宋体" w:cs="Times New Roman"/>
      <w:kern w:val="0"/>
      <w:sz w:val="20"/>
    </w:rPr>
  </w:style>
  <w:style w:type="character" w:customStyle="1" w:styleId="93">
    <w:name w:val="批注主题 Char"/>
    <w:basedOn w:val="81"/>
    <w:link w:val="46"/>
    <w:qFormat/>
    <w:uiPriority w:val="99"/>
    <w:rPr>
      <w:rFonts w:ascii="Times New Roman" w:hAnsi="Times New Roman" w:eastAsia="宋体" w:cs="Times New Roman"/>
      <w:b/>
      <w:bCs/>
      <w:sz w:val="21"/>
    </w:rPr>
  </w:style>
  <w:style w:type="character" w:customStyle="1" w:styleId="94">
    <w:name w:val="标题 1 字符1"/>
    <w:qFormat/>
    <w:uiPriority w:val="0"/>
    <w:rPr>
      <w:rFonts w:ascii="Times New Roman" w:hAnsi="Times New Roman" w:eastAsia="宋体" w:cs="Times New Roman"/>
      <w:b/>
      <w:bCs/>
      <w:kern w:val="44"/>
      <w:sz w:val="44"/>
      <w:szCs w:val="44"/>
    </w:rPr>
  </w:style>
  <w:style w:type="character" w:customStyle="1" w:styleId="95">
    <w:name w:val="批注文字 Char2"/>
    <w:link w:val="17"/>
    <w:qFormat/>
    <w:uiPriority w:val="0"/>
    <w:rPr>
      <w:rFonts w:ascii="Times New Roman" w:hAnsi="Times New Roman" w:eastAsia="宋体" w:cs="Times New Roman"/>
      <w:sz w:val="21"/>
    </w:rPr>
  </w:style>
  <w:style w:type="character" w:customStyle="1" w:styleId="96">
    <w:name w:val="正文文本缩进 字符1"/>
    <w:qFormat/>
    <w:uiPriority w:val="0"/>
    <w:rPr>
      <w:rFonts w:ascii="仿宋_GB2312" w:hAnsi="Times New Roman" w:eastAsia="仿宋_GB2312" w:cs="Times New Roman"/>
      <w:sz w:val="32"/>
      <w:szCs w:val="20"/>
    </w:rPr>
  </w:style>
  <w:style w:type="character" w:customStyle="1" w:styleId="97">
    <w:name w:val="纯文本 Char1"/>
    <w:link w:val="25"/>
    <w:qFormat/>
    <w:uiPriority w:val="0"/>
    <w:rPr>
      <w:rFonts w:ascii="宋体" w:hAnsi="Courier New" w:eastAsia="宋体" w:cs="Times New Roman"/>
      <w:kern w:val="0"/>
      <w:sz w:val="20"/>
      <w:szCs w:val="21"/>
    </w:rPr>
  </w:style>
  <w:style w:type="character" w:customStyle="1" w:styleId="98">
    <w:name w:val="页脚 Char"/>
    <w:link w:val="31"/>
    <w:qFormat/>
    <w:uiPriority w:val="99"/>
    <w:rPr>
      <w:rFonts w:ascii="Times New Roman" w:hAnsi="Times New Roman" w:eastAsia="宋体" w:cs="Times New Roman"/>
      <w:kern w:val="0"/>
      <w:sz w:val="18"/>
      <w:szCs w:val="18"/>
    </w:rPr>
  </w:style>
  <w:style w:type="character" w:customStyle="1" w:styleId="99">
    <w:name w:val="批注文字 Char1"/>
    <w:qFormat/>
    <w:locked/>
    <w:uiPriority w:val="0"/>
    <w:rPr>
      <w:rFonts w:ascii="Times New Roman" w:hAnsi="Times New Roman"/>
      <w:kern w:val="2"/>
      <w:sz w:val="21"/>
      <w:szCs w:val="24"/>
    </w:rPr>
  </w:style>
  <w:style w:type="character" w:customStyle="1" w:styleId="100">
    <w:name w:val="case31"/>
    <w:qFormat/>
    <w:uiPriority w:val="0"/>
    <w:rPr>
      <w:rFonts w:hint="default" w:ascii="_x000B__x000C_" w:hAnsi="_x000B__x000C_"/>
      <w:sz w:val="21"/>
      <w:szCs w:val="21"/>
    </w:rPr>
  </w:style>
  <w:style w:type="character" w:customStyle="1" w:styleId="101">
    <w:name w:val="批注文字 Char"/>
    <w:qFormat/>
    <w:uiPriority w:val="0"/>
    <w:rPr>
      <w:rFonts w:ascii="Times New Roman" w:hAnsi="Times New Roman"/>
      <w:kern w:val="2"/>
      <w:sz w:val="21"/>
      <w:szCs w:val="24"/>
    </w:rPr>
  </w:style>
  <w:style w:type="character" w:customStyle="1" w:styleId="102">
    <w:name w:val="纯文本 Char"/>
    <w:qFormat/>
    <w:uiPriority w:val="0"/>
    <w:rPr>
      <w:rFonts w:ascii="宋体" w:hAnsi="Courier New" w:eastAsia="宋体"/>
      <w:kern w:val="2"/>
      <w:sz w:val="21"/>
      <w:lang w:val="en-US" w:eastAsia="zh-CN" w:bidi="ar-SA"/>
    </w:rPr>
  </w:style>
  <w:style w:type="character" w:customStyle="1" w:styleId="103">
    <w:name w:val="纯文本 字符1"/>
    <w:qFormat/>
    <w:uiPriority w:val="0"/>
    <w:rPr>
      <w:rFonts w:ascii="宋体" w:hAnsi="Courier New"/>
    </w:rPr>
  </w:style>
  <w:style w:type="character" w:customStyle="1" w:styleId="104">
    <w:name w:val="批注文字 字符1"/>
    <w:qFormat/>
    <w:uiPriority w:val="0"/>
    <w:rPr>
      <w:rFonts w:ascii="Times New Roman" w:hAnsi="Times New Roman"/>
      <w:kern w:val="2"/>
      <w:sz w:val="21"/>
      <w:szCs w:val="24"/>
    </w:rPr>
  </w:style>
  <w:style w:type="character" w:customStyle="1" w:styleId="105">
    <w:name w:val="正文文本 Char1"/>
    <w:semiHidden/>
    <w:qFormat/>
    <w:locked/>
    <w:uiPriority w:val="99"/>
    <w:rPr>
      <w:sz w:val="24"/>
      <w:szCs w:val="24"/>
    </w:rPr>
  </w:style>
  <w:style w:type="character" w:customStyle="1" w:styleId="106">
    <w:name w:val="apple-style-span"/>
    <w:qFormat/>
    <w:uiPriority w:val="0"/>
  </w:style>
  <w:style w:type="character" w:customStyle="1" w:styleId="107">
    <w:name w:val="textcontents"/>
    <w:qFormat/>
    <w:uiPriority w:val="0"/>
  </w:style>
  <w:style w:type="character" w:customStyle="1" w:styleId="108">
    <w:name w:val="普通文字 Char Char2"/>
    <w:qFormat/>
    <w:uiPriority w:val="0"/>
    <w:rPr>
      <w:rFonts w:ascii="宋体" w:hAnsi="Courier New" w:eastAsia="宋体"/>
      <w:kern w:val="2"/>
      <w:sz w:val="21"/>
      <w:lang w:val="en-US" w:eastAsia="zh-CN" w:bidi="ar-SA"/>
    </w:rPr>
  </w:style>
  <w:style w:type="character" w:customStyle="1" w:styleId="109">
    <w:name w:val="标题 5 Char"/>
    <w:qFormat/>
    <w:uiPriority w:val="9"/>
    <w:rPr>
      <w:b/>
      <w:kern w:val="2"/>
      <w:sz w:val="28"/>
      <w:szCs w:val="24"/>
    </w:rPr>
  </w:style>
  <w:style w:type="character" w:customStyle="1" w:styleId="110">
    <w:name w:val="headline-content4"/>
    <w:qFormat/>
    <w:uiPriority w:val="0"/>
  </w:style>
  <w:style w:type="character" w:customStyle="1" w:styleId="11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112">
    <w:name w:val="Char1"/>
    <w:basedOn w:val="1"/>
    <w:qFormat/>
    <w:uiPriority w:val="0"/>
    <w:rPr>
      <w:szCs w:val="21"/>
    </w:rPr>
  </w:style>
  <w:style w:type="paragraph" w:customStyle="1" w:styleId="11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color w:val="auto"/>
      <w:kern w:val="0"/>
      <w:sz w:val="28"/>
      <w:szCs w:val="20"/>
    </w:rPr>
  </w:style>
  <w:style w:type="paragraph" w:customStyle="1" w:styleId="114">
    <w:name w:val="默认段落字体 Para Char Char Char Char Char Char Char Char Char1 Char Char Char Char"/>
    <w:basedOn w:val="1"/>
    <w:qFormat/>
    <w:uiPriority w:val="0"/>
    <w:rPr>
      <w:rFonts w:ascii="Tahoma" w:hAnsi="Tahoma"/>
      <w:sz w:val="24"/>
      <w:szCs w:val="20"/>
    </w:rPr>
  </w:style>
  <w:style w:type="paragraph" w:customStyle="1" w:styleId="115">
    <w:name w:val="样式"/>
    <w:qFormat/>
    <w:uiPriority w:val="0"/>
    <w:pPr>
      <w:widowControl w:val="0"/>
      <w:autoSpaceDE w:val="0"/>
      <w:autoSpaceDN w:val="0"/>
      <w:adjustRightInd w:val="0"/>
      <w:spacing w:after="0" w:line="240" w:lineRule="auto"/>
      <w:jc w:val="center"/>
    </w:pPr>
    <w:rPr>
      <w:rFonts w:ascii="宋体" w:hAnsi="宋体" w:eastAsia="宋体" w:cs="宋体"/>
      <w:kern w:val="0"/>
      <w:sz w:val="24"/>
      <w:szCs w:val="24"/>
      <w:lang w:val="en-US" w:eastAsia="zh-CN" w:bidi="ar-SA"/>
    </w:rPr>
  </w:style>
  <w:style w:type="paragraph" w:customStyle="1" w:styleId="116">
    <w:name w:val="纯文本1"/>
    <w:basedOn w:val="1"/>
    <w:qFormat/>
    <w:uiPriority w:val="0"/>
    <w:rPr>
      <w:rFonts w:ascii="宋体" w:hAnsi="Courier New" w:cs="Century"/>
      <w:szCs w:val="21"/>
    </w:rPr>
  </w:style>
  <w:style w:type="paragraph" w:customStyle="1" w:styleId="117">
    <w:name w:val="Table Paragraph"/>
    <w:basedOn w:val="1"/>
    <w:qFormat/>
    <w:uiPriority w:val="1"/>
    <w:pPr>
      <w:jc w:val="left"/>
    </w:pPr>
    <w:rPr>
      <w:rFonts w:ascii="Calibri" w:hAnsi="Calibri"/>
      <w:kern w:val="0"/>
      <w:sz w:val="22"/>
      <w:szCs w:val="22"/>
      <w:lang w:eastAsia="en-US"/>
    </w:rPr>
  </w:style>
  <w:style w:type="paragraph" w:customStyle="1" w:styleId="11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9">
    <w:name w:val="表格"/>
    <w:basedOn w:val="1"/>
    <w:qFormat/>
    <w:uiPriority w:val="0"/>
    <w:pPr>
      <w:spacing w:line="400" w:lineRule="exact"/>
    </w:pPr>
    <w:rPr>
      <w:sz w:val="24"/>
    </w:rPr>
  </w:style>
  <w:style w:type="paragraph" w:customStyle="1" w:styleId="120">
    <w:name w:val="样式 首行缩进:  2 字符"/>
    <w:basedOn w:val="1"/>
    <w:qFormat/>
    <w:uiPriority w:val="0"/>
    <w:pPr>
      <w:spacing w:line="400" w:lineRule="exact"/>
      <w:ind w:firstLine="200" w:firstLineChars="200"/>
    </w:pPr>
    <w:rPr>
      <w:rFonts w:cs="宋体"/>
      <w:sz w:val="24"/>
    </w:rPr>
  </w:style>
  <w:style w:type="paragraph" w:customStyle="1" w:styleId="12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2">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color w:val="auto"/>
      <w:kern w:val="0"/>
      <w:sz w:val="24"/>
      <w:szCs w:val="20"/>
    </w:rPr>
  </w:style>
  <w:style w:type="paragraph" w:customStyle="1" w:styleId="123">
    <w:name w:val="正文首行缩进两字符"/>
    <w:basedOn w:val="1"/>
    <w:qFormat/>
    <w:uiPriority w:val="0"/>
    <w:pPr>
      <w:spacing w:line="360" w:lineRule="auto"/>
      <w:ind w:firstLine="200" w:firstLineChars="200"/>
    </w:pPr>
  </w:style>
  <w:style w:type="paragraph" w:customStyle="1" w:styleId="124">
    <w:name w:val="正文段"/>
    <w:basedOn w:val="1"/>
    <w:qFormat/>
    <w:uiPriority w:val="0"/>
    <w:pPr>
      <w:widowControl/>
      <w:snapToGrid w:val="0"/>
      <w:spacing w:afterLines="50"/>
      <w:ind w:firstLine="200" w:firstLineChars="200"/>
    </w:pPr>
    <w:rPr>
      <w:kern w:val="0"/>
      <w:sz w:val="24"/>
      <w:szCs w:val="20"/>
    </w:rPr>
  </w:style>
  <w:style w:type="table" w:customStyle="1" w:styleId="125">
    <w:name w:val="Table Normal"/>
    <w:semiHidden/>
    <w:qFormat/>
    <w:uiPriority w:val="2"/>
    <w:pPr>
      <w:widowControl w:val="0"/>
      <w:spacing w:after="0" w:line="240" w:lineRule="auto"/>
    </w:pPr>
    <w:rPr>
      <w:rFonts w:ascii="Calibri" w:hAnsi="Calibri" w:eastAsia="Times New Roman" w:cs="Times New Roman"/>
      <w:kern w:val="0"/>
      <w:szCs w:val="22"/>
      <w:lang w:eastAsia="en-US"/>
    </w:rPr>
    <w:tblPr>
      <w:tblCellMar>
        <w:top w:w="0" w:type="dxa"/>
        <w:left w:w="0" w:type="dxa"/>
        <w:bottom w:w="0" w:type="dxa"/>
        <w:right w:w="0" w:type="dxa"/>
      </w:tblCellMar>
    </w:tblPr>
  </w:style>
  <w:style w:type="character" w:customStyle="1" w:styleId="126">
    <w:name w:val="标题 1 Char1"/>
    <w:qFormat/>
    <w:uiPriority w:val="0"/>
    <w:rPr>
      <w:rFonts w:eastAsia="宋体"/>
      <w:b/>
      <w:bCs/>
      <w:kern w:val="44"/>
      <w:sz w:val="44"/>
      <w:szCs w:val="44"/>
      <w:lang w:val="en-US" w:eastAsia="zh-CN" w:bidi="ar-SA"/>
    </w:rPr>
  </w:style>
  <w:style w:type="character" w:customStyle="1" w:styleId="127">
    <w:name w:val="纯文本 Char2"/>
    <w:qFormat/>
    <w:uiPriority w:val="0"/>
    <w:rPr>
      <w:rFonts w:ascii="宋体" w:hAnsi="Courier New" w:eastAsia="宋体" w:cs="Courier New"/>
      <w:szCs w:val="21"/>
    </w:rPr>
  </w:style>
  <w:style w:type="paragraph" w:customStyle="1" w:styleId="128">
    <w:name w:val="_Style 112"/>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table" w:customStyle="1" w:styleId="129">
    <w:name w:val="网格型1"/>
    <w:basedOn w:val="49"/>
    <w:qFormat/>
    <w:uiPriority w:val="99"/>
    <w:pPr>
      <w:spacing w:after="0" w:line="240" w:lineRule="auto"/>
    </w:pPr>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30">
    <w:name w:val="xl6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
    <w:name w:val="xl6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32">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
    <w:name w:val="xl6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3">
    <w:name w:val="Other|1"/>
    <w:basedOn w:val="1"/>
    <w:qFormat/>
    <w:uiPriority w:val="0"/>
    <w:pPr>
      <w:spacing w:line="394" w:lineRule="auto"/>
      <w:ind w:firstLine="400"/>
      <w:jc w:val="left"/>
    </w:pPr>
    <w:rPr>
      <w:rFonts w:ascii="宋体" w:hAnsi="宋体" w:cs="宋体"/>
      <w:color w:val="000000"/>
      <w:kern w:val="0"/>
      <w:sz w:val="30"/>
      <w:szCs w:val="30"/>
      <w:lang w:val="zh-TW" w:eastAsia="zh-TW" w:bidi="zh-TW"/>
    </w:rPr>
  </w:style>
  <w:style w:type="paragraph" w:customStyle="1" w:styleId="144">
    <w:name w:val="修订1"/>
    <w:hidden/>
    <w:semiHidden/>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145">
    <w:name w:val="Table Text"/>
    <w:basedOn w:val="1"/>
    <w:hidden/>
    <w:qFormat/>
    <w:uiPriority w:val="0"/>
    <w:pPr>
      <w:widowControl/>
      <w:kinsoku w:val="0"/>
      <w:autoSpaceDE w:val="0"/>
      <w:autoSpaceDN w:val="0"/>
      <w:adjustRightInd w:val="0"/>
      <w:snapToGrid w:val="0"/>
      <w:jc w:val="left"/>
    </w:pPr>
    <w:rPr>
      <w:rFonts w:hint="eastAsia" w:ascii="宋体" w:hAnsi="宋体"/>
      <w:color w:val="000000"/>
      <w:kern w:val="0"/>
      <w:sz w:val="22"/>
      <w:szCs w:val="22"/>
    </w:rPr>
  </w:style>
  <w:style w:type="character" w:customStyle="1" w:styleId="146">
    <w:name w:val="15"/>
    <w:basedOn w:val="51"/>
    <w:qFormat/>
    <w:uiPriority w:val="0"/>
    <w:rPr>
      <w:rFonts w:hint="default" w:ascii="Times New Roman" w:hAnsi="Times New Roman" w:cs="Times New Roman"/>
    </w:rPr>
  </w:style>
  <w:style w:type="character" w:customStyle="1" w:styleId="147">
    <w:name w:val="16"/>
    <w:basedOn w:val="5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5898</Words>
  <Characters>6595</Characters>
  <Lines>548</Lines>
  <Paragraphs>154</Paragraphs>
  <TotalTime>321</TotalTime>
  <ScaleCrop>false</ScaleCrop>
  <LinksUpToDate>false</LinksUpToDate>
  <CharactersWithSpaces>6632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2024-12-04T08:36:00Z</dcterms:created>
  <dc:creator>HP</dc:creator>
  <cp:lastModifiedBy>钟</cp:lastModifiedBy>
  <cp:lastPrinted>2025-07-29T10:29:00Z</cp:lastPrinted>
  <dcterms:modified xsi:type="dcterms:W3CDTF">2026-05-18T09:30:41Z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eyJoZGlkIjoiYTc3ZjdiNWZlMjM5OGVhNTg2NjRhZjg3NGRiNTg4NTMiLCJ1c2VySWQiOiIzMDgzNDkxMjAifQ==</vt:lpwstr>
  </property>
  <property fmtid="{D5CDD505-2E9C-101B-9397-08002B2CF9AE}" pid="3" name="KSOProductBuildVer">
    <vt:lpwstr>2052-12.1.0.26375</vt:lpwstr>
  </property>
  <property fmtid="{D5CDD505-2E9C-101B-9397-08002B2CF9AE}" pid="4" name="ICV">
    <vt:lpwstr>46C57E9C1ACF448183DFB62C057009D5_12</vt:lpwstr>
  </property>
</Properties>
</file>