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4AB82">
      <w:pPr>
        <w:spacing w:line="360" w:lineRule="auto"/>
        <w:jc w:val="center"/>
        <w:rPr>
          <w:rFonts w:hint="eastAsia" w:ascii="仿宋" w:hAnsi="宋体" w:eastAsia="仿宋"/>
          <w:color w:val="auto"/>
          <w:sz w:val="52"/>
          <w:szCs w:val="52"/>
          <w:highlight w:val="none"/>
        </w:rPr>
      </w:pPr>
    </w:p>
    <w:p w14:paraId="70848BF7">
      <w:pPr>
        <w:pStyle w:val="27"/>
        <w:jc w:val="center"/>
        <w:rPr>
          <w:rFonts w:hint="eastAsia" w:ascii="黑体" w:hAnsi="黑体" w:eastAsia="黑体"/>
          <w:color w:val="auto"/>
          <w:spacing w:val="30"/>
          <w:kern w:val="52"/>
          <w:sz w:val="64"/>
          <w:szCs w:val="64"/>
          <w:highlight w:val="none"/>
        </w:rPr>
      </w:pPr>
      <w:r>
        <w:rPr>
          <w:rFonts w:ascii="黑体" w:hAnsi="黑体" w:eastAsia="黑体"/>
          <w:color w:val="auto"/>
          <w:spacing w:val="30"/>
          <w:kern w:val="52"/>
          <w:sz w:val="64"/>
          <w:szCs w:val="64"/>
          <w:highlight w:val="none"/>
        </w:rPr>
        <w:t>广西科文招标有限公司</w:t>
      </w:r>
    </w:p>
    <w:p w14:paraId="27FA7898">
      <w:pPr>
        <w:pStyle w:val="27"/>
        <w:jc w:val="center"/>
        <w:rPr>
          <w:rFonts w:hint="eastAsia" w:ascii="黑体" w:hAnsi="黑体" w:eastAsia="黑体"/>
          <w:color w:val="auto"/>
          <w:spacing w:val="28"/>
          <w:sz w:val="64"/>
          <w:szCs w:val="64"/>
          <w:highlight w:val="none"/>
        </w:rPr>
      </w:pPr>
      <w:r>
        <w:rPr>
          <w:rFonts w:ascii="黑体" w:hAnsi="黑体" w:eastAsia="黑体"/>
          <w:b/>
          <w:color w:val="auto"/>
          <w:spacing w:val="-18"/>
          <w:sz w:val="64"/>
          <w:szCs w:val="64"/>
          <w:highlight w:val="none"/>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5486400" cy="0"/>
                <wp:effectExtent l="0" t="0" r="0" b="0"/>
                <wp:wrapNone/>
                <wp:docPr id="1" name="Line 2"/>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margin-left:27pt;margin-top:7.8pt;height:0pt;width:432pt;z-index:251660288;mso-width-relative:page;mso-height-relative:page;" filled="f" stroked="t" coordsize="21600,21600" o:gfxdata="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oUACjWAAAACAEAAA8AAAAAAAAAAQAgAAAAIgAA&#10;AGRycy9kb3ducmV2LnhtbFBLAQIUABQAAAAIAIdO4kC1wPV20QEAAM4DAAAOAAAAAAAAAAEAIAAA&#10;ACUBAABkcnMvZTJvRG9jLnhtbFBLBQYAAAAABgAGAFkBAABoBQAAAAA=&#10;">
                <v:fill on="f" focussize="0,0"/>
                <v:stroke weight="1pt" color="#000000" joinstyle="round"/>
                <v:imagedata o:title=""/>
                <o:lock v:ext="edit" aspectratio="f"/>
              </v:line>
            </w:pict>
          </mc:Fallback>
        </mc:AlternateContent>
      </w:r>
    </w:p>
    <w:p w14:paraId="4EF12E6B">
      <w:pPr>
        <w:snapToGrid w:val="0"/>
        <w:spacing w:before="120" w:beforeLines="50" w:line="360" w:lineRule="auto"/>
        <w:jc w:val="center"/>
        <w:rPr>
          <w:rFonts w:hint="eastAsia" w:ascii="黑体" w:hAnsi="黑体" w:eastAsia="黑体"/>
          <w:color w:val="auto"/>
          <w:sz w:val="120"/>
          <w:szCs w:val="120"/>
          <w:highlight w:val="none"/>
        </w:rPr>
      </w:pPr>
      <w:r>
        <w:rPr>
          <w:rFonts w:hint="eastAsia" w:ascii="黑体" w:hAnsi="黑体" w:eastAsia="黑体"/>
          <w:color w:val="auto"/>
          <w:sz w:val="120"/>
          <w:szCs w:val="120"/>
          <w:highlight w:val="none"/>
        </w:rPr>
        <w:t>招 标 文 件</w:t>
      </w:r>
    </w:p>
    <w:p w14:paraId="158E987D">
      <w:pPr>
        <w:pStyle w:val="27"/>
        <w:snapToGrid w:val="0"/>
        <w:spacing w:line="360" w:lineRule="auto"/>
        <w:ind w:firstLine="1977" w:firstLineChars="691"/>
        <w:rPr>
          <w:rFonts w:hint="eastAsia" w:ascii="仿宋_GB2312" w:hAnsi="宋体" w:eastAsia="仿宋_GB2312"/>
          <w:b/>
          <w:bCs/>
          <w:color w:val="auto"/>
          <w:w w:val="95"/>
          <w:sz w:val="30"/>
          <w:szCs w:val="30"/>
          <w:highlight w:val="none"/>
        </w:rPr>
      </w:pPr>
    </w:p>
    <w:p w14:paraId="1A7CB02E">
      <w:pPr>
        <w:pStyle w:val="27"/>
        <w:snapToGrid w:val="0"/>
        <w:spacing w:line="360" w:lineRule="auto"/>
        <w:ind w:firstLine="1977" w:firstLineChars="691"/>
        <w:rPr>
          <w:rFonts w:hint="eastAsia" w:ascii="仿宋_GB2312" w:hAnsi="宋体" w:eastAsia="仿宋_GB2312"/>
          <w:b/>
          <w:bCs/>
          <w:color w:val="auto"/>
          <w:w w:val="95"/>
          <w:sz w:val="30"/>
          <w:szCs w:val="30"/>
          <w:highlight w:val="none"/>
        </w:rPr>
      </w:pPr>
    </w:p>
    <w:p w14:paraId="3C7F941A">
      <w:pPr>
        <w:pStyle w:val="27"/>
        <w:snapToGrid w:val="0"/>
        <w:spacing w:line="360" w:lineRule="auto"/>
        <w:ind w:left="2326" w:leftChars="426" w:hanging="1431" w:hangingChars="500"/>
        <w:jc w:val="left"/>
        <w:rPr>
          <w:rFonts w:hint="eastAsia" w:hAnsi="宋体"/>
          <w:b/>
          <w:bCs/>
          <w:color w:val="auto"/>
          <w:w w:val="95"/>
          <w:sz w:val="30"/>
          <w:szCs w:val="30"/>
          <w:highlight w:val="none"/>
          <w:lang w:eastAsia="zh-CN"/>
        </w:rPr>
      </w:pPr>
      <w:r>
        <w:rPr>
          <w:rFonts w:hint="eastAsia" w:hAnsi="宋体"/>
          <w:b/>
          <w:bCs/>
          <w:color w:val="auto"/>
          <w:w w:val="95"/>
          <w:sz w:val="30"/>
          <w:szCs w:val="30"/>
          <w:highlight w:val="none"/>
        </w:rPr>
        <w:t>项目名称：</w:t>
      </w:r>
      <w:r>
        <w:rPr>
          <w:rFonts w:hint="eastAsia" w:hAnsi="宋体"/>
          <w:b/>
          <w:bCs/>
          <w:color w:val="auto"/>
          <w:w w:val="95"/>
          <w:sz w:val="30"/>
          <w:szCs w:val="30"/>
          <w:highlight w:val="none"/>
          <w:lang w:eastAsia="zh-CN"/>
        </w:rPr>
        <w:t>广西道路运输综合监管平台运营及维护项目（</w:t>
      </w:r>
      <w:r>
        <w:rPr>
          <w:rFonts w:hint="eastAsia" w:hAnsi="宋体"/>
          <w:b/>
          <w:bCs/>
          <w:color w:val="auto"/>
          <w:w w:val="95"/>
          <w:sz w:val="30"/>
          <w:szCs w:val="30"/>
          <w:highlight w:val="none"/>
          <w:lang w:val="en-US" w:eastAsia="zh-CN"/>
        </w:rPr>
        <w:t>重</w:t>
      </w:r>
      <w:r>
        <w:rPr>
          <w:rFonts w:hint="eastAsia" w:hAnsi="宋体"/>
          <w:b/>
          <w:bCs/>
          <w:color w:val="auto"/>
          <w:w w:val="95"/>
          <w:sz w:val="30"/>
          <w:szCs w:val="30"/>
          <w:highlight w:val="none"/>
          <w:lang w:eastAsia="zh-CN"/>
        </w:rPr>
        <w:t>）</w:t>
      </w:r>
    </w:p>
    <w:p w14:paraId="0561768D">
      <w:pPr>
        <w:pStyle w:val="27"/>
        <w:snapToGrid w:val="0"/>
        <w:spacing w:line="360" w:lineRule="auto"/>
        <w:ind w:left="2326" w:leftChars="426" w:hanging="1431" w:hangingChars="500"/>
        <w:jc w:val="left"/>
        <w:rPr>
          <w:rFonts w:hint="eastAsia" w:hAnsi="宋体"/>
          <w:b/>
          <w:bCs/>
          <w:color w:val="auto"/>
          <w:w w:val="95"/>
          <w:sz w:val="30"/>
          <w:szCs w:val="30"/>
          <w:highlight w:val="none"/>
          <w:lang w:eastAsia="zh-CN"/>
        </w:rPr>
      </w:pPr>
      <w:r>
        <w:rPr>
          <w:rFonts w:hint="eastAsia" w:hAnsi="宋体"/>
          <w:b/>
          <w:bCs/>
          <w:color w:val="auto"/>
          <w:w w:val="95"/>
          <w:sz w:val="30"/>
          <w:szCs w:val="30"/>
          <w:highlight w:val="none"/>
        </w:rPr>
        <w:t>项目编号：</w:t>
      </w:r>
      <w:r>
        <w:rPr>
          <w:rFonts w:hint="eastAsia" w:hAnsi="宋体"/>
          <w:b/>
          <w:bCs/>
          <w:color w:val="auto"/>
          <w:w w:val="95"/>
          <w:sz w:val="30"/>
          <w:szCs w:val="30"/>
          <w:highlight w:val="none"/>
          <w:lang w:eastAsia="zh-CN"/>
        </w:rPr>
        <w:t>GXZC2026-G3-001520-KWZB</w:t>
      </w:r>
    </w:p>
    <w:p w14:paraId="070DAF2E">
      <w:pPr>
        <w:pStyle w:val="27"/>
        <w:snapToGrid w:val="0"/>
        <w:spacing w:line="360" w:lineRule="auto"/>
        <w:ind w:firstLine="1977" w:firstLineChars="691"/>
        <w:rPr>
          <w:rFonts w:hint="eastAsia" w:hAnsi="宋体"/>
          <w:b/>
          <w:bCs/>
          <w:color w:val="auto"/>
          <w:w w:val="95"/>
          <w:sz w:val="30"/>
          <w:szCs w:val="30"/>
          <w:highlight w:val="none"/>
        </w:rPr>
      </w:pPr>
    </w:p>
    <w:p w14:paraId="330634C7">
      <w:pPr>
        <w:pStyle w:val="27"/>
        <w:snapToGrid w:val="0"/>
        <w:spacing w:line="360" w:lineRule="auto"/>
        <w:ind w:firstLine="1977" w:firstLineChars="691"/>
        <w:rPr>
          <w:rFonts w:hint="eastAsia" w:hAnsi="宋体"/>
          <w:b/>
          <w:bCs/>
          <w:color w:val="auto"/>
          <w:w w:val="95"/>
          <w:sz w:val="30"/>
          <w:szCs w:val="30"/>
          <w:highlight w:val="none"/>
        </w:rPr>
      </w:pPr>
    </w:p>
    <w:p w14:paraId="1023918F">
      <w:pPr>
        <w:pStyle w:val="27"/>
        <w:snapToGrid w:val="0"/>
        <w:spacing w:line="360" w:lineRule="auto"/>
        <w:ind w:firstLine="1977" w:firstLineChars="691"/>
        <w:rPr>
          <w:rFonts w:hint="eastAsia" w:hAnsi="宋体"/>
          <w:b/>
          <w:bCs/>
          <w:color w:val="auto"/>
          <w:w w:val="95"/>
          <w:sz w:val="30"/>
          <w:szCs w:val="30"/>
          <w:highlight w:val="none"/>
        </w:rPr>
      </w:pPr>
    </w:p>
    <w:p w14:paraId="3F93D791">
      <w:pPr>
        <w:pStyle w:val="27"/>
        <w:snapToGrid w:val="0"/>
        <w:spacing w:line="360" w:lineRule="auto"/>
        <w:ind w:firstLine="1977" w:firstLineChars="691"/>
        <w:rPr>
          <w:rFonts w:hint="eastAsia" w:hAnsi="宋体"/>
          <w:b/>
          <w:bCs/>
          <w:color w:val="auto"/>
          <w:w w:val="95"/>
          <w:sz w:val="30"/>
          <w:szCs w:val="30"/>
          <w:highlight w:val="none"/>
        </w:rPr>
      </w:pPr>
    </w:p>
    <w:p w14:paraId="25C1AD7E">
      <w:pPr>
        <w:pStyle w:val="27"/>
        <w:snapToGrid w:val="0"/>
        <w:spacing w:line="360" w:lineRule="auto"/>
        <w:ind w:firstLine="1977" w:firstLineChars="691"/>
        <w:rPr>
          <w:rFonts w:hint="eastAsia" w:hAnsi="宋体"/>
          <w:b/>
          <w:bCs/>
          <w:color w:val="auto"/>
          <w:w w:val="95"/>
          <w:sz w:val="30"/>
          <w:szCs w:val="30"/>
          <w:highlight w:val="none"/>
        </w:rPr>
      </w:pPr>
    </w:p>
    <w:p w14:paraId="1229901F">
      <w:pPr>
        <w:pStyle w:val="27"/>
        <w:snapToGrid w:val="0"/>
        <w:spacing w:line="360" w:lineRule="auto"/>
        <w:ind w:firstLine="2106" w:firstLineChars="736"/>
        <w:rPr>
          <w:rFonts w:hint="eastAsia" w:hAnsi="宋体" w:cs="宋体"/>
          <w:b/>
          <w:bCs/>
          <w:color w:val="auto"/>
          <w:w w:val="95"/>
          <w:sz w:val="30"/>
          <w:szCs w:val="30"/>
          <w:highlight w:val="none"/>
        </w:rPr>
      </w:pPr>
      <w:r>
        <w:rPr>
          <w:rFonts w:hint="eastAsia" w:hAnsi="宋体"/>
          <w:b/>
          <w:bCs/>
          <w:color w:val="auto"/>
          <w:w w:val="95"/>
          <w:sz w:val="30"/>
          <w:szCs w:val="30"/>
          <w:highlight w:val="none"/>
        </w:rPr>
        <w:t>采 购 人：</w:t>
      </w:r>
      <w:r>
        <w:rPr>
          <w:rFonts w:hint="eastAsia" w:hAnsi="宋体" w:cs="宋体"/>
          <w:b/>
          <w:bCs/>
          <w:color w:val="auto"/>
          <w:w w:val="95"/>
          <w:sz w:val="30"/>
          <w:szCs w:val="30"/>
          <w:highlight w:val="none"/>
        </w:rPr>
        <w:t>广西壮族自治区道路运输发展中心</w:t>
      </w:r>
    </w:p>
    <w:p w14:paraId="5F8AA477">
      <w:pPr>
        <w:pStyle w:val="27"/>
        <w:snapToGrid w:val="0"/>
        <w:spacing w:line="360" w:lineRule="auto"/>
        <w:ind w:firstLine="1977" w:firstLineChars="691"/>
        <w:rPr>
          <w:rFonts w:hint="eastAsia" w:hAnsi="宋体"/>
          <w:b/>
          <w:bCs/>
          <w:color w:val="auto"/>
          <w:w w:val="95"/>
          <w:sz w:val="30"/>
          <w:szCs w:val="30"/>
          <w:highlight w:val="none"/>
        </w:rPr>
      </w:pPr>
      <w:r>
        <w:rPr>
          <w:rFonts w:hint="eastAsia" w:hAnsi="宋体"/>
          <w:b/>
          <w:bCs/>
          <w:color w:val="auto"/>
          <w:w w:val="95"/>
          <w:sz w:val="30"/>
          <w:szCs w:val="30"/>
          <w:highlight w:val="none"/>
        </w:rPr>
        <w:t>采购代理机构：广西科文招标有限公司</w:t>
      </w:r>
    </w:p>
    <w:p w14:paraId="64D453B4">
      <w:pPr>
        <w:pStyle w:val="27"/>
        <w:snapToGrid w:val="0"/>
        <w:spacing w:line="360" w:lineRule="auto"/>
        <w:ind w:firstLine="1125" w:firstLineChars="393"/>
        <w:rPr>
          <w:rFonts w:hint="eastAsia" w:hAnsi="宋体"/>
          <w:b/>
          <w:bCs/>
          <w:color w:val="auto"/>
          <w:w w:val="95"/>
          <w:sz w:val="30"/>
          <w:szCs w:val="30"/>
          <w:highlight w:val="none"/>
        </w:rPr>
      </w:pPr>
    </w:p>
    <w:p w14:paraId="409BFE80">
      <w:pPr>
        <w:pStyle w:val="27"/>
        <w:snapToGrid w:val="0"/>
        <w:spacing w:line="360" w:lineRule="auto"/>
        <w:jc w:val="center"/>
        <w:rPr>
          <w:rFonts w:hint="eastAsia" w:hAnsi="宋体" w:eastAsia="宋体"/>
          <w:color w:val="auto"/>
          <w:szCs w:val="20"/>
          <w:highlight w:val="none"/>
          <w:lang w:eastAsia="zh-CN"/>
        </w:rPr>
      </w:pPr>
      <w:r>
        <w:rPr>
          <w:rFonts w:hint="eastAsia" w:hAnsi="宋体"/>
          <w:b/>
          <w:bCs/>
          <w:color w:val="auto"/>
          <w:w w:val="95"/>
          <w:sz w:val="30"/>
          <w:szCs w:val="30"/>
          <w:highlight w:val="none"/>
          <w:lang w:eastAsia="zh-CN"/>
        </w:rPr>
        <w:t>2026年</w:t>
      </w:r>
      <w:r>
        <w:rPr>
          <w:rFonts w:hint="eastAsia" w:hAnsi="宋体"/>
          <w:b/>
          <w:bCs/>
          <w:color w:val="auto"/>
          <w:w w:val="95"/>
          <w:sz w:val="30"/>
          <w:szCs w:val="30"/>
          <w:highlight w:val="none"/>
          <w:lang w:val="en-US" w:eastAsia="zh-CN"/>
        </w:rPr>
        <w:t>5</w:t>
      </w:r>
      <w:r>
        <w:rPr>
          <w:rFonts w:hint="eastAsia" w:hAnsi="宋体"/>
          <w:b/>
          <w:bCs/>
          <w:color w:val="auto"/>
          <w:w w:val="95"/>
          <w:sz w:val="30"/>
          <w:szCs w:val="30"/>
          <w:highlight w:val="none"/>
          <w:lang w:eastAsia="zh-CN"/>
        </w:rPr>
        <w:t>月</w:t>
      </w:r>
      <w:r>
        <w:rPr>
          <w:rFonts w:hint="eastAsia" w:hAnsi="宋体"/>
          <w:b/>
          <w:bCs/>
          <w:color w:val="auto"/>
          <w:w w:val="95"/>
          <w:sz w:val="30"/>
          <w:szCs w:val="30"/>
          <w:highlight w:val="none"/>
          <w:lang w:val="en-US" w:eastAsia="zh-CN"/>
        </w:rPr>
        <w:t>27</w:t>
      </w:r>
      <w:r>
        <w:rPr>
          <w:rFonts w:hint="eastAsia" w:hAnsi="宋体"/>
          <w:b/>
          <w:bCs/>
          <w:color w:val="auto"/>
          <w:w w:val="95"/>
          <w:sz w:val="30"/>
          <w:szCs w:val="30"/>
          <w:highlight w:val="none"/>
          <w:lang w:eastAsia="zh-CN"/>
        </w:rPr>
        <w:t>日</w:t>
      </w:r>
    </w:p>
    <w:p w14:paraId="3B7F53BC">
      <w:pPr>
        <w:pStyle w:val="27"/>
        <w:spacing w:before="120" w:after="120" w:line="360" w:lineRule="auto"/>
        <w:jc w:val="center"/>
        <w:rPr>
          <w:rFonts w:hint="eastAsia" w:ascii="仿宋_GB2312" w:hAnsi="宋体" w:eastAsia="仿宋_GB2312"/>
          <w:color w:val="auto"/>
          <w:highlight w:val="none"/>
        </w:rPr>
        <w:sectPr>
          <w:footerReference r:id="rId5" w:type="first"/>
          <w:headerReference r:id="rId3" w:type="default"/>
          <w:footerReference r:id="rId4" w:type="even"/>
          <w:pgSz w:w="11906" w:h="16838"/>
          <w:pgMar w:top="1134" w:right="1134" w:bottom="2269" w:left="1134" w:header="851" w:footer="567" w:gutter="0"/>
          <w:cols w:space="720" w:num="1"/>
          <w:titlePg/>
          <w:docGrid w:linePitch="312" w:charSpace="0"/>
        </w:sectPr>
      </w:pPr>
    </w:p>
    <w:p w14:paraId="1EBC27F8">
      <w:pPr>
        <w:pStyle w:val="5"/>
        <w:rPr>
          <w:color w:val="auto"/>
          <w:highlight w:val="none"/>
        </w:rPr>
      </w:pPr>
    </w:p>
    <w:p w14:paraId="33561250">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080949E7">
      <w:pPr>
        <w:pStyle w:val="35"/>
        <w:tabs>
          <w:tab w:val="right" w:leader="dot" w:pos="9638"/>
          <w:tab w:val="clear" w:pos="8398"/>
        </w:tabs>
        <w:ind w:firstLine="280"/>
        <w:rPr>
          <w:rFonts w:hint="eastAsia"/>
          <w:color w:val="auto"/>
          <w:sz w:val="28"/>
          <w:szCs w:val="28"/>
          <w:highlight w:val="none"/>
        </w:rPr>
      </w:pPr>
      <w:r>
        <w:rPr>
          <w:rFonts w:ascii="仿宋_GB2312" w:eastAsia="仿宋_GB2312"/>
          <w:b w:val="0"/>
          <w:color w:val="auto"/>
          <w:sz w:val="28"/>
          <w:szCs w:val="28"/>
          <w:highlight w:val="none"/>
        </w:rPr>
        <w:fldChar w:fldCharType="begin"/>
      </w:r>
      <w:r>
        <w:rPr>
          <w:rFonts w:ascii="仿宋_GB2312" w:eastAsia="仿宋_GB2312"/>
          <w:b w:val="0"/>
          <w:color w:val="auto"/>
          <w:sz w:val="28"/>
          <w:szCs w:val="28"/>
          <w:highlight w:val="none"/>
        </w:rPr>
        <w:instrText xml:space="preserve"> </w:instrText>
      </w:r>
      <w:r>
        <w:rPr>
          <w:rFonts w:hint="eastAsia" w:ascii="仿宋_GB2312" w:eastAsia="仿宋_GB2312"/>
          <w:b w:val="0"/>
          <w:color w:val="auto"/>
          <w:sz w:val="28"/>
          <w:szCs w:val="28"/>
          <w:highlight w:val="none"/>
        </w:rPr>
        <w:instrText xml:space="preserve">TOC \o "1-2" \h \z \u</w:instrText>
      </w:r>
      <w:r>
        <w:rPr>
          <w:rFonts w:ascii="仿宋_GB2312" w:eastAsia="仿宋_GB2312"/>
          <w:b w:val="0"/>
          <w:color w:val="auto"/>
          <w:sz w:val="28"/>
          <w:szCs w:val="28"/>
          <w:highlight w:val="none"/>
        </w:rPr>
        <w:instrText xml:space="preserve"> </w:instrText>
      </w:r>
      <w:r>
        <w:rPr>
          <w:rFonts w:ascii="仿宋_GB2312" w:eastAsia="仿宋_GB2312"/>
          <w:b w:val="0"/>
          <w:color w:val="auto"/>
          <w:sz w:val="28"/>
          <w:szCs w:val="28"/>
          <w:highlight w:val="none"/>
        </w:rPr>
        <w:fldChar w:fldCharType="separate"/>
      </w:r>
      <w:r>
        <w:rPr>
          <w:color w:val="auto"/>
          <w:highlight w:val="none"/>
        </w:rPr>
        <w:fldChar w:fldCharType="begin"/>
      </w:r>
      <w:r>
        <w:rPr>
          <w:color w:val="auto"/>
          <w:highlight w:val="none"/>
        </w:rPr>
        <w:instrText xml:space="preserve"> HYPERLINK \l "_Toc25674" </w:instrText>
      </w:r>
      <w:r>
        <w:rPr>
          <w:color w:val="auto"/>
          <w:highlight w:val="none"/>
        </w:rPr>
        <w:fldChar w:fldCharType="separate"/>
      </w:r>
      <w:r>
        <w:rPr>
          <w:rFonts w:hint="eastAsia"/>
          <w:color w:val="auto"/>
          <w:sz w:val="28"/>
          <w:szCs w:val="28"/>
          <w:highlight w:val="none"/>
        </w:rPr>
        <w:t>第一章  招标公告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_Toc25674 \h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color w:val="auto"/>
          <w:sz w:val="28"/>
          <w:szCs w:val="28"/>
          <w:highlight w:val="none"/>
        </w:rPr>
        <w:fldChar w:fldCharType="end"/>
      </w:r>
    </w:p>
    <w:p w14:paraId="6764D74A">
      <w:pPr>
        <w:pStyle w:val="35"/>
        <w:tabs>
          <w:tab w:val="right" w:leader="dot" w:pos="9638"/>
          <w:tab w:val="clear" w:pos="8398"/>
        </w:tabs>
        <w:ind w:firstLine="241"/>
        <w:rPr>
          <w:rFonts w:hint="eastAsia"/>
          <w:color w:val="auto"/>
          <w:sz w:val="28"/>
          <w:szCs w:val="28"/>
          <w:highlight w:val="none"/>
        </w:rPr>
      </w:pPr>
      <w:r>
        <w:rPr>
          <w:color w:val="auto"/>
          <w:highlight w:val="none"/>
        </w:rPr>
        <w:fldChar w:fldCharType="begin"/>
      </w:r>
      <w:r>
        <w:rPr>
          <w:color w:val="auto"/>
          <w:highlight w:val="none"/>
        </w:rPr>
        <w:instrText xml:space="preserve"> HYPERLINK \l "_Toc22512" </w:instrText>
      </w:r>
      <w:r>
        <w:rPr>
          <w:color w:val="auto"/>
          <w:highlight w:val="none"/>
        </w:rPr>
        <w:fldChar w:fldCharType="separate"/>
      </w:r>
      <w:r>
        <w:rPr>
          <w:rFonts w:hint="eastAsia"/>
          <w:color w:val="auto"/>
          <w:sz w:val="28"/>
          <w:szCs w:val="28"/>
          <w:highlight w:val="none"/>
        </w:rPr>
        <w:t>第二章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_Toc22512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color w:val="auto"/>
          <w:sz w:val="28"/>
          <w:szCs w:val="28"/>
          <w:highlight w:val="none"/>
        </w:rPr>
        <w:fldChar w:fldCharType="end"/>
      </w:r>
    </w:p>
    <w:p w14:paraId="22A430D0">
      <w:pPr>
        <w:pStyle w:val="35"/>
        <w:tabs>
          <w:tab w:val="right" w:leader="dot" w:pos="9638"/>
          <w:tab w:val="clear" w:pos="8398"/>
        </w:tabs>
        <w:ind w:firstLine="241"/>
        <w:rPr>
          <w:rFonts w:hint="eastAsia"/>
          <w:color w:val="auto"/>
          <w:sz w:val="28"/>
          <w:szCs w:val="28"/>
          <w:highlight w:val="none"/>
        </w:rPr>
      </w:pPr>
      <w:r>
        <w:rPr>
          <w:color w:val="auto"/>
          <w:highlight w:val="none"/>
        </w:rPr>
        <w:fldChar w:fldCharType="begin"/>
      </w:r>
      <w:r>
        <w:rPr>
          <w:color w:val="auto"/>
          <w:highlight w:val="none"/>
        </w:rPr>
        <w:instrText xml:space="preserve"> HYPERLINK \l "_Toc10714" </w:instrText>
      </w:r>
      <w:r>
        <w:rPr>
          <w:color w:val="auto"/>
          <w:highlight w:val="none"/>
        </w:rPr>
        <w:fldChar w:fldCharType="separate"/>
      </w:r>
      <w:r>
        <w:rPr>
          <w:rFonts w:hint="eastAsia"/>
          <w:color w:val="auto"/>
          <w:sz w:val="28"/>
          <w:szCs w:val="28"/>
          <w:highlight w:val="none"/>
        </w:rPr>
        <w:t>第三章  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_Toc10714 \h </w:instrText>
      </w:r>
      <w:r>
        <w:rPr>
          <w:color w:val="auto"/>
          <w:sz w:val="28"/>
          <w:szCs w:val="28"/>
          <w:highlight w:val="none"/>
        </w:rPr>
        <w:fldChar w:fldCharType="separate"/>
      </w:r>
      <w:r>
        <w:rPr>
          <w:color w:val="auto"/>
          <w:sz w:val="28"/>
          <w:szCs w:val="28"/>
          <w:highlight w:val="none"/>
        </w:rPr>
        <w:t>8</w:t>
      </w:r>
      <w:r>
        <w:rPr>
          <w:color w:val="auto"/>
          <w:sz w:val="28"/>
          <w:szCs w:val="28"/>
          <w:highlight w:val="none"/>
        </w:rPr>
        <w:fldChar w:fldCharType="end"/>
      </w:r>
      <w:r>
        <w:rPr>
          <w:color w:val="auto"/>
          <w:sz w:val="28"/>
          <w:szCs w:val="28"/>
          <w:highlight w:val="none"/>
        </w:rPr>
        <w:fldChar w:fldCharType="end"/>
      </w:r>
    </w:p>
    <w:p w14:paraId="0FF169DE">
      <w:pPr>
        <w:pStyle w:val="35"/>
        <w:tabs>
          <w:tab w:val="right" w:leader="dot" w:pos="9638"/>
          <w:tab w:val="clear" w:pos="8398"/>
        </w:tabs>
        <w:ind w:firstLine="241"/>
        <w:rPr>
          <w:rFonts w:hint="eastAsia"/>
          <w:color w:val="auto"/>
          <w:sz w:val="28"/>
          <w:szCs w:val="28"/>
          <w:highlight w:val="none"/>
        </w:rPr>
      </w:pPr>
      <w:r>
        <w:rPr>
          <w:color w:val="auto"/>
          <w:highlight w:val="none"/>
        </w:rPr>
        <w:fldChar w:fldCharType="begin"/>
      </w:r>
      <w:r>
        <w:rPr>
          <w:color w:val="auto"/>
          <w:highlight w:val="none"/>
        </w:rPr>
        <w:instrText xml:space="preserve"> HYPERLINK \l "_Toc22041" </w:instrText>
      </w:r>
      <w:r>
        <w:rPr>
          <w:color w:val="auto"/>
          <w:highlight w:val="none"/>
        </w:rPr>
        <w:fldChar w:fldCharType="separate"/>
      </w:r>
      <w:r>
        <w:rPr>
          <w:rFonts w:hint="eastAsia"/>
          <w:color w:val="auto"/>
          <w:sz w:val="28"/>
          <w:szCs w:val="28"/>
          <w:highlight w:val="none"/>
        </w:rPr>
        <w:t>第四章  评标方法及评标标准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_Toc22041 \h </w:instrText>
      </w:r>
      <w:r>
        <w:rPr>
          <w:color w:val="auto"/>
          <w:sz w:val="28"/>
          <w:szCs w:val="28"/>
          <w:highlight w:val="none"/>
        </w:rPr>
        <w:fldChar w:fldCharType="separate"/>
      </w:r>
      <w:r>
        <w:rPr>
          <w:color w:val="auto"/>
          <w:sz w:val="28"/>
          <w:szCs w:val="28"/>
          <w:highlight w:val="none"/>
        </w:rPr>
        <w:t>27</w:t>
      </w:r>
      <w:r>
        <w:rPr>
          <w:color w:val="auto"/>
          <w:sz w:val="28"/>
          <w:szCs w:val="28"/>
          <w:highlight w:val="none"/>
        </w:rPr>
        <w:fldChar w:fldCharType="end"/>
      </w:r>
      <w:r>
        <w:rPr>
          <w:color w:val="auto"/>
          <w:sz w:val="28"/>
          <w:szCs w:val="28"/>
          <w:highlight w:val="none"/>
        </w:rPr>
        <w:fldChar w:fldCharType="end"/>
      </w:r>
    </w:p>
    <w:p w14:paraId="3B771602">
      <w:pPr>
        <w:pStyle w:val="35"/>
        <w:tabs>
          <w:tab w:val="right" w:leader="dot" w:pos="9638"/>
          <w:tab w:val="clear" w:pos="8398"/>
        </w:tabs>
        <w:ind w:firstLine="241"/>
        <w:rPr>
          <w:rFonts w:hint="eastAsia"/>
          <w:color w:val="auto"/>
          <w:sz w:val="28"/>
          <w:szCs w:val="28"/>
          <w:highlight w:val="none"/>
        </w:rPr>
      </w:pPr>
      <w:r>
        <w:rPr>
          <w:color w:val="auto"/>
          <w:highlight w:val="none"/>
        </w:rPr>
        <w:fldChar w:fldCharType="begin"/>
      </w:r>
      <w:r>
        <w:rPr>
          <w:color w:val="auto"/>
          <w:highlight w:val="none"/>
        </w:rPr>
        <w:instrText xml:space="preserve"> HYPERLINK \l "_Toc12053" </w:instrText>
      </w:r>
      <w:r>
        <w:rPr>
          <w:color w:val="auto"/>
          <w:highlight w:val="none"/>
        </w:rPr>
        <w:fldChar w:fldCharType="separate"/>
      </w:r>
      <w:r>
        <w:rPr>
          <w:rFonts w:hint="eastAsia"/>
          <w:color w:val="auto"/>
          <w:sz w:val="28"/>
          <w:szCs w:val="28"/>
          <w:highlight w:val="none"/>
        </w:rPr>
        <w:t>第五章  拟签订的合同文本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_Toc12053 \h </w:instrText>
      </w:r>
      <w:r>
        <w:rPr>
          <w:color w:val="auto"/>
          <w:sz w:val="28"/>
          <w:szCs w:val="28"/>
          <w:highlight w:val="none"/>
        </w:rPr>
        <w:fldChar w:fldCharType="separate"/>
      </w:r>
      <w:r>
        <w:rPr>
          <w:color w:val="auto"/>
          <w:sz w:val="28"/>
          <w:szCs w:val="28"/>
          <w:highlight w:val="none"/>
        </w:rPr>
        <w:t>36</w:t>
      </w:r>
      <w:r>
        <w:rPr>
          <w:color w:val="auto"/>
          <w:sz w:val="28"/>
          <w:szCs w:val="28"/>
          <w:highlight w:val="none"/>
        </w:rPr>
        <w:fldChar w:fldCharType="end"/>
      </w:r>
      <w:r>
        <w:rPr>
          <w:color w:val="auto"/>
          <w:sz w:val="28"/>
          <w:szCs w:val="28"/>
          <w:highlight w:val="none"/>
        </w:rPr>
        <w:fldChar w:fldCharType="end"/>
      </w:r>
    </w:p>
    <w:p w14:paraId="62941295">
      <w:pPr>
        <w:pStyle w:val="35"/>
        <w:tabs>
          <w:tab w:val="right" w:leader="dot" w:pos="9638"/>
          <w:tab w:val="clear" w:pos="8398"/>
        </w:tabs>
        <w:ind w:firstLine="241"/>
        <w:rPr>
          <w:rFonts w:hint="eastAsia" w:eastAsia="仿宋_GB2312"/>
          <w:color w:val="auto"/>
          <w:sz w:val="28"/>
          <w:szCs w:val="28"/>
          <w:highlight w:val="none"/>
        </w:rPr>
      </w:pPr>
      <w:r>
        <w:rPr>
          <w:color w:val="auto"/>
          <w:highlight w:val="none"/>
        </w:rPr>
        <w:fldChar w:fldCharType="begin"/>
      </w:r>
      <w:r>
        <w:rPr>
          <w:color w:val="auto"/>
          <w:highlight w:val="none"/>
        </w:rPr>
        <w:instrText xml:space="preserve"> HYPERLINK \l "_Toc31786" </w:instrText>
      </w:r>
      <w:r>
        <w:rPr>
          <w:color w:val="auto"/>
          <w:highlight w:val="none"/>
        </w:rPr>
        <w:fldChar w:fldCharType="separate"/>
      </w:r>
      <w:r>
        <w:rPr>
          <w:rFonts w:hint="eastAsia"/>
          <w:color w:val="auto"/>
          <w:sz w:val="28"/>
          <w:szCs w:val="28"/>
          <w:highlight w:val="none"/>
        </w:rPr>
        <w:t>第六章　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_Toc31786 \h </w:instrText>
      </w:r>
      <w:r>
        <w:rPr>
          <w:color w:val="auto"/>
          <w:sz w:val="28"/>
          <w:szCs w:val="28"/>
          <w:highlight w:val="none"/>
        </w:rPr>
        <w:fldChar w:fldCharType="separate"/>
      </w:r>
      <w:r>
        <w:rPr>
          <w:color w:val="auto"/>
          <w:sz w:val="28"/>
          <w:szCs w:val="28"/>
          <w:highlight w:val="none"/>
        </w:rPr>
        <w:t>41</w:t>
      </w:r>
      <w:r>
        <w:rPr>
          <w:color w:val="auto"/>
          <w:sz w:val="28"/>
          <w:szCs w:val="28"/>
          <w:highlight w:val="none"/>
        </w:rPr>
        <w:fldChar w:fldCharType="end"/>
      </w:r>
      <w:r>
        <w:rPr>
          <w:color w:val="auto"/>
          <w:sz w:val="28"/>
          <w:szCs w:val="28"/>
          <w:highlight w:val="none"/>
        </w:rPr>
        <w:fldChar w:fldCharType="end"/>
      </w:r>
    </w:p>
    <w:p w14:paraId="6599BF62">
      <w:pPr>
        <w:spacing w:before="120" w:beforeLines="50" w:line="600" w:lineRule="exact"/>
        <w:jc w:val="center"/>
        <w:rPr>
          <w:rFonts w:hint="eastAsia" w:ascii="仿宋_GB2312" w:hAnsi="宋体" w:eastAsia="仿宋_GB2312"/>
          <w:color w:val="auto"/>
          <w:sz w:val="24"/>
          <w:highlight w:val="none"/>
        </w:rPr>
      </w:pPr>
      <w:r>
        <w:rPr>
          <w:rFonts w:ascii="仿宋_GB2312" w:hAnsi="宋体" w:eastAsia="仿宋_GB2312"/>
          <w:color w:val="auto"/>
          <w:sz w:val="28"/>
          <w:szCs w:val="28"/>
          <w:highlight w:val="none"/>
        </w:rPr>
        <w:fldChar w:fldCharType="end"/>
      </w:r>
    </w:p>
    <w:p w14:paraId="565009F6">
      <w:pPr>
        <w:spacing w:before="120" w:beforeLines="50" w:line="480" w:lineRule="exact"/>
        <w:rPr>
          <w:rFonts w:hint="eastAsia" w:ascii="仿宋_GB2312" w:hAnsi="宋体" w:eastAsia="仿宋_GB2312"/>
          <w:color w:val="auto"/>
          <w:sz w:val="30"/>
          <w:highlight w:val="none"/>
        </w:rPr>
      </w:pPr>
    </w:p>
    <w:p w14:paraId="579B09C4">
      <w:pPr>
        <w:rPr>
          <w:color w:val="auto"/>
          <w:highlight w:val="none"/>
        </w:rPr>
      </w:pPr>
    </w:p>
    <w:p w14:paraId="71D29784">
      <w:pPr>
        <w:spacing w:before="120" w:beforeLines="50" w:line="480" w:lineRule="exact"/>
        <w:rPr>
          <w:rFonts w:hint="eastAsia" w:ascii="仿宋_GB2312" w:hAnsi="宋体" w:eastAsia="仿宋_GB2312"/>
          <w:color w:val="auto"/>
          <w:sz w:val="30"/>
          <w:highlight w:val="none"/>
        </w:rPr>
      </w:pPr>
    </w:p>
    <w:p w14:paraId="370B91B3">
      <w:pPr>
        <w:spacing w:before="120" w:beforeLines="50" w:line="480" w:lineRule="exact"/>
        <w:rPr>
          <w:rFonts w:hint="eastAsia" w:ascii="仿宋_GB2312" w:hAnsi="宋体" w:eastAsia="仿宋_GB2312"/>
          <w:color w:val="auto"/>
          <w:sz w:val="30"/>
          <w:highlight w:val="none"/>
        </w:rPr>
      </w:pPr>
    </w:p>
    <w:p w14:paraId="51E1457C">
      <w:pPr>
        <w:pStyle w:val="18"/>
        <w:rPr>
          <w:rFonts w:hint="eastAsia" w:ascii="宋体" w:hAnsi="宋体" w:cs="宋体"/>
          <w:b/>
          <w:bCs/>
          <w:color w:val="auto"/>
          <w:highlight w:val="none"/>
        </w:rPr>
      </w:pPr>
      <w:bookmarkStart w:id="0" w:name="_Toc254970489"/>
      <w:bookmarkStart w:id="1" w:name="_Toc254970630"/>
    </w:p>
    <w:p w14:paraId="4A338E7F">
      <w:pPr>
        <w:pStyle w:val="2"/>
        <w:keepNext w:val="0"/>
        <w:keepLines w:val="0"/>
        <w:tabs>
          <w:tab w:val="left" w:pos="0"/>
          <w:tab w:val="left" w:pos="3165"/>
          <w:tab w:val="center" w:pos="4153"/>
        </w:tabs>
        <w:autoSpaceDE w:val="0"/>
        <w:autoSpaceDN w:val="0"/>
        <w:adjustRightInd w:val="0"/>
        <w:spacing w:before="0" w:after="0" w:line="360" w:lineRule="auto"/>
        <w:jc w:val="center"/>
        <w:rPr>
          <w:color w:val="auto"/>
          <w:highlight w:val="none"/>
        </w:rPr>
        <w:sectPr>
          <w:footerReference r:id="rId7" w:type="first"/>
          <w:footerReference r:id="rId6" w:type="default"/>
          <w:pgSz w:w="11906" w:h="16838"/>
          <w:pgMar w:top="1134" w:right="1134" w:bottom="2269" w:left="1134" w:header="851" w:footer="567" w:gutter="0"/>
          <w:pgNumType w:fmt="decimal" w:start="1"/>
          <w:cols w:space="720" w:num="1"/>
          <w:docGrid w:linePitch="312" w:charSpace="0"/>
        </w:sectPr>
      </w:pPr>
    </w:p>
    <w:p w14:paraId="36EE7FEB">
      <w:pPr>
        <w:pStyle w:val="2"/>
        <w:keepNext w:val="0"/>
        <w:keepLines w:val="0"/>
        <w:tabs>
          <w:tab w:val="left" w:pos="0"/>
          <w:tab w:val="left" w:pos="3165"/>
          <w:tab w:val="center" w:pos="4153"/>
        </w:tabs>
        <w:autoSpaceDE w:val="0"/>
        <w:autoSpaceDN w:val="0"/>
        <w:adjustRightInd w:val="0"/>
        <w:spacing w:before="0" w:after="0" w:line="360" w:lineRule="auto"/>
        <w:jc w:val="center"/>
        <w:rPr>
          <w:color w:val="auto"/>
          <w:highlight w:val="none"/>
        </w:rPr>
      </w:pPr>
      <w:bookmarkStart w:id="2" w:name="_Toc25674"/>
      <w:r>
        <w:rPr>
          <w:rFonts w:hint="eastAsia"/>
          <w:color w:val="auto"/>
          <w:highlight w:val="none"/>
        </w:rPr>
        <w:t>第一章</w:t>
      </w:r>
      <w:bookmarkEnd w:id="0"/>
      <w:bookmarkEnd w:id="1"/>
      <w:bookmarkStart w:id="3" w:name="_Toc28359001"/>
      <w:bookmarkStart w:id="4" w:name="_Toc35393789"/>
      <w:r>
        <w:rPr>
          <w:rFonts w:hint="eastAsia"/>
          <w:color w:val="auto"/>
          <w:highlight w:val="none"/>
        </w:rPr>
        <w:t xml:space="preserve"> 招标公告</w:t>
      </w:r>
      <w:bookmarkEnd w:id="2"/>
      <w:bookmarkEnd w:id="3"/>
      <w:bookmarkEnd w:id="4"/>
    </w:p>
    <w:p w14:paraId="76AE35C8">
      <w:pPr>
        <w:rPr>
          <w:color w:val="auto"/>
          <w:highlight w:val="none"/>
        </w:rPr>
      </w:pPr>
    </w:p>
    <w:p w14:paraId="14522A94">
      <w:pPr>
        <w:pStyle w:val="27"/>
        <w:spacing w:line="500" w:lineRule="exact"/>
        <w:jc w:val="center"/>
        <w:rPr>
          <w:b/>
          <w:color w:val="auto"/>
          <w:sz w:val="36"/>
          <w:szCs w:val="36"/>
          <w:highlight w:val="none"/>
        </w:rPr>
      </w:pPr>
      <w:r>
        <w:rPr>
          <w:rFonts w:hint="eastAsia"/>
          <w:b/>
          <w:color w:val="auto"/>
          <w:sz w:val="36"/>
          <w:szCs w:val="36"/>
          <w:highlight w:val="none"/>
        </w:rPr>
        <w:t>广西科文招标有限公司</w:t>
      </w:r>
    </w:p>
    <w:p w14:paraId="1625E4C9">
      <w:pPr>
        <w:pStyle w:val="2"/>
        <w:tabs>
          <w:tab w:val="left" w:pos="0"/>
          <w:tab w:val="left" w:pos="3165"/>
          <w:tab w:val="center" w:pos="4153"/>
        </w:tabs>
        <w:autoSpaceDE w:val="0"/>
        <w:autoSpaceDN w:val="0"/>
        <w:adjustRightInd w:val="0"/>
        <w:spacing w:before="0" w:after="0" w:line="500" w:lineRule="exact"/>
        <w:jc w:val="center"/>
        <w:rPr>
          <w:rFonts w:ascii="宋体" w:hAnsi="Courier New"/>
          <w:bCs w:val="0"/>
          <w:color w:val="auto"/>
          <w:kern w:val="2"/>
          <w:sz w:val="36"/>
          <w:szCs w:val="36"/>
          <w:highlight w:val="none"/>
        </w:rPr>
      </w:pPr>
      <w:bookmarkStart w:id="5" w:name="_Toc29290"/>
      <w:r>
        <w:rPr>
          <w:rFonts w:hint="eastAsia" w:ascii="宋体" w:hAnsi="Courier New"/>
          <w:bCs w:val="0"/>
          <w:color w:val="auto"/>
          <w:kern w:val="2"/>
          <w:sz w:val="36"/>
          <w:szCs w:val="36"/>
          <w:highlight w:val="none"/>
          <w:lang w:eastAsia="zh-CN"/>
        </w:rPr>
        <w:t>广西道路运输综合监管平台运营及维护项目（</w:t>
      </w:r>
      <w:r>
        <w:rPr>
          <w:rFonts w:hint="eastAsia" w:ascii="宋体" w:hAnsi="Courier New"/>
          <w:bCs w:val="0"/>
          <w:color w:val="auto"/>
          <w:kern w:val="2"/>
          <w:sz w:val="36"/>
          <w:szCs w:val="36"/>
          <w:highlight w:val="none"/>
          <w:lang w:val="en-US" w:eastAsia="zh-CN"/>
        </w:rPr>
        <w:t>重</w:t>
      </w:r>
      <w:r>
        <w:rPr>
          <w:rFonts w:hint="eastAsia" w:ascii="宋体" w:hAnsi="Courier New"/>
          <w:bCs w:val="0"/>
          <w:color w:val="auto"/>
          <w:kern w:val="2"/>
          <w:sz w:val="36"/>
          <w:szCs w:val="36"/>
          <w:highlight w:val="none"/>
          <w:lang w:eastAsia="zh-CN"/>
        </w:rPr>
        <w:t>）</w:t>
      </w:r>
      <w:r>
        <w:rPr>
          <w:rFonts w:hint="eastAsia" w:ascii="宋体" w:hAnsi="Courier New"/>
          <w:bCs w:val="0"/>
          <w:color w:val="auto"/>
          <w:kern w:val="2"/>
          <w:sz w:val="36"/>
          <w:szCs w:val="36"/>
          <w:highlight w:val="none"/>
        </w:rPr>
        <w:t>（</w:t>
      </w:r>
      <w:r>
        <w:rPr>
          <w:rFonts w:hint="eastAsia" w:ascii="宋体" w:hAnsi="Courier New"/>
          <w:bCs w:val="0"/>
          <w:color w:val="auto"/>
          <w:kern w:val="2"/>
          <w:sz w:val="36"/>
          <w:szCs w:val="36"/>
          <w:highlight w:val="none"/>
          <w:lang w:eastAsia="zh-CN"/>
        </w:rPr>
        <w:t>GXZC2026-G3-001520-KWZB</w:t>
      </w:r>
      <w:r>
        <w:rPr>
          <w:rFonts w:hint="eastAsia" w:ascii="宋体" w:hAnsi="Courier New"/>
          <w:bCs w:val="0"/>
          <w:color w:val="auto"/>
          <w:kern w:val="2"/>
          <w:sz w:val="36"/>
          <w:szCs w:val="36"/>
          <w:highlight w:val="none"/>
        </w:rPr>
        <w:t>）招标公告</w:t>
      </w:r>
      <w:bookmarkEnd w:id="5"/>
    </w:p>
    <w:p w14:paraId="46C6BD6C">
      <w:pPr>
        <w:pBdr>
          <w:top w:val="single" w:color="auto" w:sz="4" w:space="1"/>
          <w:left w:val="single" w:color="auto" w:sz="4" w:space="4"/>
          <w:bottom w:val="single" w:color="auto" w:sz="4" w:space="0"/>
          <w:right w:val="single" w:color="auto" w:sz="4" w:space="4"/>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项目概况</w:t>
      </w:r>
    </w:p>
    <w:p w14:paraId="515DC03C">
      <w:pPr>
        <w:pBdr>
          <w:top w:val="single" w:color="auto" w:sz="4" w:space="1"/>
          <w:left w:val="single" w:color="auto" w:sz="4" w:space="4"/>
          <w:bottom w:val="single" w:color="auto" w:sz="4" w:space="0"/>
          <w:right w:val="single" w:color="auto" w:sz="4" w:space="4"/>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广西道路运输综合监管平台运营及维护项目（重）</w:t>
      </w:r>
      <w:r>
        <w:rPr>
          <w:rFonts w:hint="eastAsia" w:ascii="宋体" w:hAnsi="宋体"/>
          <w:color w:val="auto"/>
          <w:szCs w:val="21"/>
          <w:highlight w:val="none"/>
        </w:rPr>
        <w:t>招标项目的潜在投标人应在广西政府采购云平台（https://www.gcy.zfcg.gxzf.gov.cn）获取（下载）招标文件，并于</w:t>
      </w:r>
      <w:r>
        <w:rPr>
          <w:rFonts w:hint="eastAsia" w:ascii="宋体" w:hAnsi="宋体"/>
          <w:color w:val="auto"/>
          <w:szCs w:val="21"/>
          <w:highlight w:val="none"/>
          <w:lang w:eastAsia="zh-CN"/>
        </w:rPr>
        <w:t>2026年6月1</w:t>
      </w:r>
      <w:r>
        <w:rPr>
          <w:rFonts w:hint="eastAsia" w:ascii="宋体" w:hAnsi="宋体"/>
          <w:color w:val="auto"/>
          <w:szCs w:val="21"/>
          <w:highlight w:val="none"/>
          <w:lang w:val="en-US" w:eastAsia="zh-CN"/>
        </w:rPr>
        <w:t>8</w:t>
      </w:r>
      <w:r>
        <w:rPr>
          <w:rFonts w:hint="eastAsia" w:ascii="宋体" w:hAnsi="宋体"/>
          <w:color w:val="auto"/>
          <w:szCs w:val="21"/>
          <w:highlight w:val="none"/>
          <w:lang w:eastAsia="zh-CN"/>
        </w:rPr>
        <w:t>日</w:t>
      </w:r>
      <w:r>
        <w:rPr>
          <w:rFonts w:hint="eastAsia" w:ascii="宋体" w:hAnsi="宋体"/>
          <w:color w:val="auto"/>
          <w:szCs w:val="21"/>
          <w:highlight w:val="none"/>
          <w:lang w:val="en-US" w:eastAsia="zh-CN"/>
        </w:rPr>
        <w:t>09</w:t>
      </w:r>
      <w:r>
        <w:rPr>
          <w:rFonts w:hint="eastAsia" w:ascii="宋体" w:hAnsi="宋体"/>
          <w:color w:val="auto"/>
          <w:szCs w:val="21"/>
          <w:highlight w:val="none"/>
          <w:lang w:eastAsia="zh-CN"/>
        </w:rPr>
        <w:t>时</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0分</w:t>
      </w:r>
      <w:r>
        <w:rPr>
          <w:rFonts w:hint="eastAsia" w:ascii="宋体" w:hAnsi="宋体"/>
          <w:color w:val="auto"/>
          <w:szCs w:val="21"/>
          <w:highlight w:val="none"/>
        </w:rPr>
        <w:t>（北京时间）前</w:t>
      </w:r>
      <w:r>
        <w:rPr>
          <w:rFonts w:hint="eastAsia" w:ascii="宋体" w:hAnsi="宋体"/>
          <w:bCs/>
          <w:color w:val="auto"/>
          <w:szCs w:val="21"/>
          <w:highlight w:val="none"/>
        </w:rPr>
        <w:t>递交投标</w:t>
      </w:r>
      <w:r>
        <w:rPr>
          <w:rFonts w:ascii="宋体" w:hAnsi="宋体"/>
          <w:bCs/>
          <w:color w:val="auto"/>
          <w:szCs w:val="21"/>
          <w:highlight w:val="none"/>
        </w:rPr>
        <w:t>文件</w:t>
      </w:r>
      <w:r>
        <w:rPr>
          <w:rFonts w:hint="eastAsia" w:ascii="宋体" w:hAnsi="宋体"/>
          <w:color w:val="auto"/>
          <w:szCs w:val="21"/>
          <w:highlight w:val="none"/>
        </w:rPr>
        <w:t>。</w:t>
      </w:r>
    </w:p>
    <w:p w14:paraId="14A49C22">
      <w:pPr>
        <w:spacing w:line="360" w:lineRule="auto"/>
        <w:rPr>
          <w:rFonts w:hint="eastAsia" w:ascii="宋体" w:hAnsi="宋体"/>
          <w:color w:val="auto"/>
          <w:szCs w:val="21"/>
          <w:highlight w:val="none"/>
        </w:rPr>
      </w:pPr>
    </w:p>
    <w:p w14:paraId="0A069221">
      <w:pPr>
        <w:spacing w:line="440" w:lineRule="exact"/>
        <w:rPr>
          <w:rFonts w:hint="eastAsia" w:ascii="黑体" w:hAnsi="黑体" w:eastAsia="黑体"/>
          <w:b/>
          <w:bCs/>
          <w:color w:val="auto"/>
          <w:sz w:val="24"/>
          <w:highlight w:val="none"/>
        </w:rPr>
      </w:pPr>
      <w:bookmarkStart w:id="6" w:name="_Toc35393621"/>
      <w:bookmarkStart w:id="7" w:name="_Toc35393790"/>
      <w:bookmarkStart w:id="8" w:name="_Toc28359079"/>
      <w:bookmarkStart w:id="9" w:name="_Toc28359002"/>
      <w:bookmarkStart w:id="10" w:name="_Hlk24379207"/>
      <w:r>
        <w:rPr>
          <w:rFonts w:hint="eastAsia" w:ascii="黑体" w:hAnsi="黑体" w:eastAsia="黑体"/>
          <w:b/>
          <w:bCs/>
          <w:color w:val="auto"/>
          <w:sz w:val="24"/>
          <w:highlight w:val="none"/>
        </w:rPr>
        <w:t>一、项目基本情况</w:t>
      </w:r>
      <w:bookmarkEnd w:id="6"/>
      <w:bookmarkEnd w:id="7"/>
      <w:bookmarkEnd w:id="8"/>
      <w:bookmarkEnd w:id="9"/>
    </w:p>
    <w:p w14:paraId="3920C44B">
      <w:pPr>
        <w:spacing w:line="44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GXZC2026-G3-001520-KWZB</w:t>
      </w:r>
    </w:p>
    <w:p w14:paraId="391755F3">
      <w:pPr>
        <w:spacing w:line="44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广西道路运输综合监管平台运营及维护项目（重）</w:t>
      </w:r>
    </w:p>
    <w:bookmarkEnd w:id="10"/>
    <w:p w14:paraId="1015607A">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预算金额：28.55万元</w:t>
      </w:r>
    </w:p>
    <w:p w14:paraId="44D9B94B">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最高限价：28.55万元</w:t>
      </w:r>
    </w:p>
    <w:p w14:paraId="6FA6506E">
      <w:pPr>
        <w:pStyle w:val="27"/>
        <w:spacing w:line="440" w:lineRule="exact"/>
        <w:ind w:firstLine="420" w:firstLineChars="200"/>
        <w:rPr>
          <w:rFonts w:hint="eastAsia" w:hAnsi="宋体"/>
          <w:b/>
          <w:bCs/>
          <w:color w:val="auto"/>
          <w:sz w:val="21"/>
          <w:highlight w:val="none"/>
        </w:rPr>
      </w:pPr>
      <w:r>
        <w:rPr>
          <w:rFonts w:hint="eastAsia" w:hAnsi="宋体"/>
          <w:color w:val="auto"/>
          <w:sz w:val="21"/>
          <w:highlight w:val="none"/>
        </w:rPr>
        <w:t>采购需求：</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
        <w:gridCol w:w="1537"/>
        <w:gridCol w:w="865"/>
        <w:gridCol w:w="6219"/>
      </w:tblGrid>
      <w:tr w14:paraId="7F939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 w:type="dxa"/>
            <w:tcBorders>
              <w:top w:val="single" w:color="auto" w:sz="4" w:space="0"/>
              <w:left w:val="single" w:color="auto" w:sz="4" w:space="0"/>
              <w:bottom w:val="single" w:color="auto" w:sz="4" w:space="0"/>
              <w:right w:val="single" w:color="auto" w:sz="4" w:space="0"/>
            </w:tcBorders>
            <w:vAlign w:val="center"/>
          </w:tcPr>
          <w:p w14:paraId="5A687229">
            <w:pPr>
              <w:snapToGrid w:val="0"/>
              <w:spacing w:line="440" w:lineRule="exact"/>
              <w:jc w:val="center"/>
              <w:rPr>
                <w:rFonts w:hint="eastAsia" w:ascii="宋体" w:hAnsi="宋体"/>
                <w:color w:val="auto"/>
                <w:szCs w:val="21"/>
                <w:highlight w:val="none"/>
              </w:rPr>
            </w:pPr>
            <w:r>
              <w:rPr>
                <w:rFonts w:hint="eastAsia" w:ascii="宋体" w:hAnsi="宋体"/>
                <w:color w:val="auto"/>
                <w:szCs w:val="21"/>
                <w:highlight w:val="none"/>
              </w:rPr>
              <w:t>分标</w:t>
            </w:r>
          </w:p>
          <w:p w14:paraId="73F085CE">
            <w:pPr>
              <w:snapToGrid w:val="0"/>
              <w:spacing w:line="44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1537" w:type="dxa"/>
            <w:tcBorders>
              <w:top w:val="single" w:color="auto" w:sz="4" w:space="0"/>
              <w:left w:val="single" w:color="auto" w:sz="4" w:space="0"/>
              <w:bottom w:val="single" w:color="auto" w:sz="4" w:space="0"/>
              <w:right w:val="single" w:color="auto" w:sz="4" w:space="0"/>
            </w:tcBorders>
            <w:vAlign w:val="center"/>
          </w:tcPr>
          <w:p w14:paraId="6D4A13CA">
            <w:pPr>
              <w:snapToGrid w:val="0"/>
              <w:spacing w:line="440" w:lineRule="exact"/>
              <w:jc w:val="center"/>
              <w:rPr>
                <w:rFonts w:hint="eastAsia" w:ascii="宋体" w:hAnsi="宋体"/>
                <w:color w:val="auto"/>
                <w:szCs w:val="21"/>
                <w:highlight w:val="none"/>
              </w:rPr>
            </w:pPr>
            <w:r>
              <w:rPr>
                <w:rFonts w:hint="eastAsia" w:ascii="宋体" w:hAnsi="宋体"/>
                <w:color w:val="auto"/>
                <w:szCs w:val="21"/>
                <w:highlight w:val="none"/>
              </w:rPr>
              <w:t>标的的名称</w:t>
            </w:r>
          </w:p>
        </w:tc>
        <w:tc>
          <w:tcPr>
            <w:tcW w:w="865" w:type="dxa"/>
            <w:tcBorders>
              <w:top w:val="single" w:color="auto" w:sz="4" w:space="0"/>
              <w:left w:val="single" w:color="auto" w:sz="4" w:space="0"/>
              <w:bottom w:val="single" w:color="auto" w:sz="4" w:space="0"/>
              <w:right w:val="single" w:color="auto" w:sz="4" w:space="0"/>
            </w:tcBorders>
            <w:vAlign w:val="center"/>
          </w:tcPr>
          <w:p w14:paraId="4DE61236">
            <w:pPr>
              <w:snapToGrid w:val="0"/>
              <w:spacing w:line="440" w:lineRule="exact"/>
              <w:jc w:val="center"/>
              <w:rPr>
                <w:rFonts w:hint="eastAsia" w:ascii="宋体" w:hAnsi="宋体"/>
                <w:color w:val="auto"/>
                <w:szCs w:val="21"/>
                <w:highlight w:val="none"/>
              </w:rPr>
            </w:pPr>
            <w:r>
              <w:rPr>
                <w:rFonts w:hint="eastAsia" w:ascii="宋体" w:hAnsi="宋体"/>
                <w:color w:val="auto"/>
                <w:szCs w:val="21"/>
                <w:highlight w:val="none"/>
              </w:rPr>
              <w:t>数量及单位</w:t>
            </w:r>
          </w:p>
        </w:tc>
        <w:tc>
          <w:tcPr>
            <w:tcW w:w="6219" w:type="dxa"/>
            <w:tcBorders>
              <w:top w:val="single" w:color="auto" w:sz="4" w:space="0"/>
              <w:left w:val="single" w:color="auto" w:sz="4" w:space="0"/>
              <w:bottom w:val="single" w:color="auto" w:sz="4" w:space="0"/>
              <w:right w:val="single" w:color="auto" w:sz="4" w:space="0"/>
            </w:tcBorders>
            <w:vAlign w:val="center"/>
          </w:tcPr>
          <w:p w14:paraId="0E5575C4">
            <w:pPr>
              <w:snapToGrid w:val="0"/>
              <w:spacing w:line="440" w:lineRule="exact"/>
              <w:jc w:val="center"/>
              <w:rPr>
                <w:rFonts w:hint="eastAsia" w:ascii="宋体" w:hAnsi="宋体"/>
                <w:color w:val="auto"/>
                <w:szCs w:val="21"/>
                <w:highlight w:val="none"/>
              </w:rPr>
            </w:pPr>
            <w:r>
              <w:rPr>
                <w:rFonts w:hint="eastAsia" w:ascii="宋体" w:hAnsi="宋体"/>
                <w:color w:val="auto"/>
                <w:szCs w:val="21"/>
                <w:highlight w:val="none"/>
              </w:rPr>
              <w:t>简要技术需求或者服务要求</w:t>
            </w:r>
          </w:p>
        </w:tc>
      </w:tr>
      <w:tr w14:paraId="1B797A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1D85EA5E">
            <w:pPr>
              <w:snapToGrid w:val="0"/>
              <w:spacing w:line="440" w:lineRule="exact"/>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分标</w:t>
            </w:r>
          </w:p>
        </w:tc>
        <w:tc>
          <w:tcPr>
            <w:tcW w:w="1537" w:type="dxa"/>
            <w:tcBorders>
              <w:top w:val="single" w:color="auto" w:sz="4" w:space="0"/>
              <w:left w:val="single" w:color="auto" w:sz="4" w:space="0"/>
              <w:bottom w:val="single" w:color="auto" w:sz="4" w:space="0"/>
              <w:right w:val="single" w:color="auto" w:sz="4" w:space="0"/>
            </w:tcBorders>
            <w:vAlign w:val="center"/>
          </w:tcPr>
          <w:p w14:paraId="357CEB05">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广西网络货运信息监测系统技术服务</w:t>
            </w:r>
          </w:p>
        </w:tc>
        <w:tc>
          <w:tcPr>
            <w:tcW w:w="865" w:type="dxa"/>
            <w:tcBorders>
              <w:top w:val="single" w:color="auto" w:sz="4" w:space="0"/>
              <w:left w:val="single" w:color="auto" w:sz="4" w:space="0"/>
              <w:bottom w:val="single" w:color="auto" w:sz="4" w:space="0"/>
              <w:right w:val="single" w:color="auto" w:sz="4" w:space="0"/>
            </w:tcBorders>
            <w:vAlign w:val="center"/>
          </w:tcPr>
          <w:p w14:paraId="1450F49D">
            <w:pPr>
              <w:snapToGrid w:val="0"/>
              <w:spacing w:line="440" w:lineRule="exact"/>
              <w:jc w:val="center"/>
              <w:rPr>
                <w:rFonts w:hint="eastAsia" w:ascii="宋体" w:hAnsi="宋体"/>
                <w:color w:val="auto"/>
                <w:szCs w:val="21"/>
                <w:highlight w:val="none"/>
              </w:rPr>
            </w:pPr>
            <w:r>
              <w:rPr>
                <w:rFonts w:hint="eastAsia" w:ascii="宋体" w:hAnsi="宋体"/>
                <w:color w:val="auto"/>
                <w:szCs w:val="21"/>
                <w:highlight w:val="none"/>
              </w:rPr>
              <w:t>1项</w:t>
            </w:r>
          </w:p>
        </w:tc>
        <w:tc>
          <w:tcPr>
            <w:tcW w:w="6219" w:type="dxa"/>
            <w:tcBorders>
              <w:top w:val="single" w:color="auto" w:sz="4" w:space="0"/>
              <w:left w:val="single" w:color="auto" w:sz="4" w:space="0"/>
              <w:bottom w:val="single" w:color="auto" w:sz="4" w:space="0"/>
              <w:right w:val="single" w:color="auto" w:sz="4" w:space="0"/>
            </w:tcBorders>
            <w:vAlign w:val="center"/>
          </w:tcPr>
          <w:p w14:paraId="00C4DDB1">
            <w:pPr>
              <w:snapToGrid w:val="0"/>
              <w:spacing w:line="440" w:lineRule="exact"/>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按照《网络货运承运平台经营管理办法》要求，完成监测系统技术服务的相关内容，包含：1.监测系统功能服务；2.业务支撑技术服务；3.系统运维服务；4.培训服务。具体内容详见第二章采购需求部分。</w:t>
            </w:r>
          </w:p>
        </w:tc>
      </w:tr>
    </w:tbl>
    <w:p w14:paraId="1D4B8047">
      <w:pPr>
        <w:spacing w:line="44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合同履行期限：2026年7月1日至2027年6月30日。</w:t>
      </w:r>
    </w:p>
    <w:p w14:paraId="7484E820">
      <w:pPr>
        <w:spacing w:line="44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本项目不接受联合体投标。</w:t>
      </w:r>
    </w:p>
    <w:p w14:paraId="29CA06A4">
      <w:pPr>
        <w:spacing w:line="440" w:lineRule="exact"/>
        <w:rPr>
          <w:rFonts w:hint="eastAsia" w:ascii="黑体" w:hAnsi="黑体" w:eastAsia="黑体"/>
          <w:b/>
          <w:bCs/>
          <w:color w:val="auto"/>
          <w:sz w:val="24"/>
          <w:highlight w:val="none"/>
        </w:rPr>
      </w:pPr>
      <w:bookmarkStart w:id="11" w:name="_Toc35393622"/>
      <w:bookmarkStart w:id="12" w:name="_Toc28359003"/>
      <w:bookmarkStart w:id="13" w:name="_Toc35393791"/>
      <w:bookmarkStart w:id="14" w:name="_Toc28359080"/>
      <w:r>
        <w:rPr>
          <w:rFonts w:hint="eastAsia" w:ascii="黑体" w:hAnsi="黑体" w:eastAsia="黑体"/>
          <w:b/>
          <w:bCs/>
          <w:color w:val="auto"/>
          <w:sz w:val="24"/>
          <w:highlight w:val="none"/>
        </w:rPr>
        <w:t>二、申请人的资格要求：</w:t>
      </w:r>
      <w:bookmarkEnd w:id="11"/>
      <w:bookmarkEnd w:id="12"/>
      <w:bookmarkEnd w:id="13"/>
      <w:bookmarkEnd w:id="14"/>
    </w:p>
    <w:p w14:paraId="466D9486">
      <w:pPr>
        <w:spacing w:line="440" w:lineRule="exact"/>
        <w:ind w:firstLine="420" w:firstLineChars="200"/>
        <w:rPr>
          <w:rFonts w:hint="eastAsia" w:ascii="宋体" w:hAnsi="宋体"/>
          <w:color w:val="auto"/>
          <w:szCs w:val="21"/>
          <w:highlight w:val="none"/>
        </w:rPr>
      </w:pPr>
      <w:bookmarkStart w:id="15" w:name="_Toc28359081"/>
      <w:bookmarkStart w:id="16" w:name="_Toc28359004"/>
      <w:bookmarkStart w:id="17" w:name="_Toc35393623"/>
      <w:bookmarkStart w:id="18" w:name="_Toc35393792"/>
      <w:r>
        <w:rPr>
          <w:rFonts w:hint="eastAsia" w:ascii="宋体" w:hAnsi="宋体"/>
          <w:color w:val="auto"/>
          <w:szCs w:val="21"/>
          <w:highlight w:val="none"/>
        </w:rPr>
        <w:t>1、满足《中华人民共和国政府采购法》第二十二条规定；</w:t>
      </w:r>
    </w:p>
    <w:p w14:paraId="74E7B570">
      <w:pPr>
        <w:spacing w:line="440"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、落实政府采购政策需满足的资格要求：非专门面向中小企业采购的项目。</w:t>
      </w:r>
    </w:p>
    <w:p w14:paraId="782884F1">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3、本项目的特定资格要求：无。</w:t>
      </w:r>
    </w:p>
    <w:p w14:paraId="45810A1C">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三、获取招标文件</w:t>
      </w:r>
      <w:bookmarkEnd w:id="15"/>
      <w:bookmarkEnd w:id="16"/>
      <w:bookmarkEnd w:id="17"/>
      <w:bookmarkEnd w:id="18"/>
    </w:p>
    <w:p w14:paraId="026DB80E">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时间：</w:t>
      </w:r>
      <w:r>
        <w:rPr>
          <w:rFonts w:hint="eastAsia" w:ascii="宋体" w:hAnsi="宋体"/>
          <w:color w:val="auto"/>
          <w:szCs w:val="21"/>
          <w:highlight w:val="none"/>
          <w:lang w:eastAsia="zh-CN"/>
        </w:rPr>
        <w:t>2026年</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27</w:t>
      </w:r>
      <w:r>
        <w:rPr>
          <w:rFonts w:hint="eastAsia" w:ascii="宋体" w:hAnsi="宋体"/>
          <w:color w:val="auto"/>
          <w:szCs w:val="21"/>
          <w:highlight w:val="none"/>
          <w:lang w:eastAsia="zh-CN"/>
        </w:rPr>
        <w:t>日</w:t>
      </w:r>
      <w:r>
        <w:rPr>
          <w:rFonts w:hint="eastAsia" w:ascii="宋体" w:hAnsi="宋体"/>
          <w:color w:val="auto"/>
          <w:szCs w:val="21"/>
          <w:highlight w:val="none"/>
        </w:rPr>
        <w:t>至2026年</w:t>
      </w:r>
      <w:r>
        <w:rPr>
          <w:rFonts w:hint="eastAsia" w:ascii="宋体" w:hAnsi="宋体"/>
          <w:color w:val="auto"/>
          <w:szCs w:val="21"/>
          <w:highlight w:val="none"/>
          <w:lang w:val="en-US" w:eastAsia="zh-CN"/>
        </w:rPr>
        <w:t>6</w:t>
      </w:r>
      <w:r>
        <w:rPr>
          <w:rFonts w:hint="eastAsia" w:ascii="宋体" w:hAnsi="宋体"/>
          <w:color w:val="auto"/>
          <w:szCs w:val="21"/>
          <w:highlight w:val="none"/>
        </w:rPr>
        <w:t>月</w:t>
      </w:r>
      <w:r>
        <w:rPr>
          <w:rFonts w:hint="eastAsia" w:ascii="宋体" w:hAnsi="宋体"/>
          <w:color w:val="auto"/>
          <w:szCs w:val="21"/>
          <w:highlight w:val="none"/>
          <w:lang w:val="en-US" w:eastAsia="zh-CN"/>
        </w:rPr>
        <w:t>3</w:t>
      </w:r>
      <w:r>
        <w:rPr>
          <w:rFonts w:hint="eastAsia" w:ascii="宋体" w:hAnsi="宋体"/>
          <w:color w:val="auto"/>
          <w:szCs w:val="21"/>
          <w:highlight w:val="none"/>
        </w:rPr>
        <w:t>日，每天上午00:00-12:00；下午12:00-23:59（北京时间，法定节假日除外）。</w:t>
      </w:r>
    </w:p>
    <w:p w14:paraId="463AA96F">
      <w:pPr>
        <w:spacing w:line="44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地点：广西政府采购云平台（https://www.gcy.zfcg.gxzf.gov.cn）</w:t>
      </w:r>
    </w:p>
    <w:p w14:paraId="5382D194">
      <w:pPr>
        <w:spacing w:line="44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方式：网上下载。本项目不发放纸质文件，投标人应自行在</w:t>
      </w:r>
      <w:r>
        <w:rPr>
          <w:color w:val="auto"/>
          <w:highlight w:val="none"/>
        </w:rPr>
        <w:fldChar w:fldCharType="begin"/>
      </w:r>
      <w:r>
        <w:rPr>
          <w:color w:val="auto"/>
          <w:highlight w:val="none"/>
        </w:rPr>
        <w:instrText xml:space="preserve">HYPERLINK</w:instrText>
      </w:r>
      <w:r>
        <w:rPr>
          <w:color w:val="auto"/>
          <w:highlight w:val="none"/>
        </w:rPr>
        <w:fldChar w:fldCharType="separate"/>
      </w:r>
      <w:r>
        <w:rPr>
          <w:color w:val="auto"/>
          <w:highlight w:val="none"/>
        </w:rPr>
        <w:fldChar w:fldCharType="end"/>
      </w:r>
      <w:r>
        <w:rPr>
          <w:rFonts w:hint="eastAsia" w:ascii="宋体" w:hAnsi="宋体" w:cs="Arial"/>
          <w:color w:val="auto"/>
          <w:szCs w:val="21"/>
          <w:highlight w:val="none"/>
        </w:rPr>
        <w:t>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14:paraId="5CAF0BD5">
      <w:pPr>
        <w:spacing w:line="440" w:lineRule="exact"/>
        <w:ind w:firstLine="420" w:firstLineChars="200"/>
        <w:rPr>
          <w:rFonts w:hint="eastAsia" w:ascii="宋体" w:hAnsi="宋体" w:cs="宋体"/>
          <w:color w:val="auto"/>
          <w:szCs w:val="21"/>
          <w:highlight w:val="none"/>
        </w:rPr>
      </w:pPr>
      <w:r>
        <w:rPr>
          <w:rFonts w:hint="eastAsia" w:ascii="宋体" w:hAnsi="宋体" w:cs="Arial"/>
          <w:color w:val="auto"/>
          <w:szCs w:val="21"/>
          <w:highlight w:val="none"/>
        </w:rPr>
        <w:t>售价：0元。</w:t>
      </w:r>
    </w:p>
    <w:p w14:paraId="4265C7E4">
      <w:pPr>
        <w:spacing w:line="440" w:lineRule="exact"/>
        <w:rPr>
          <w:rFonts w:hint="eastAsia" w:ascii="黑体" w:hAnsi="黑体" w:eastAsia="黑体"/>
          <w:b/>
          <w:bCs/>
          <w:color w:val="auto"/>
          <w:sz w:val="24"/>
          <w:highlight w:val="none"/>
        </w:rPr>
      </w:pPr>
      <w:bookmarkStart w:id="19" w:name="_Toc28359082"/>
      <w:bookmarkStart w:id="20" w:name="_Toc28359005"/>
      <w:bookmarkStart w:id="21" w:name="_Toc35393793"/>
      <w:bookmarkStart w:id="22" w:name="_Toc35393624"/>
      <w:r>
        <w:rPr>
          <w:rFonts w:hint="eastAsia" w:ascii="黑体" w:hAnsi="黑体" w:eastAsia="黑体"/>
          <w:b/>
          <w:bCs/>
          <w:color w:val="auto"/>
          <w:sz w:val="24"/>
          <w:highlight w:val="none"/>
        </w:rPr>
        <w:t>四、提交投标文件</w:t>
      </w:r>
      <w:bookmarkEnd w:id="19"/>
      <w:bookmarkEnd w:id="20"/>
      <w:r>
        <w:rPr>
          <w:rFonts w:hint="eastAsia" w:ascii="黑体" w:hAnsi="黑体" w:eastAsia="黑体"/>
          <w:b/>
          <w:bCs/>
          <w:color w:val="auto"/>
          <w:sz w:val="24"/>
          <w:highlight w:val="none"/>
        </w:rPr>
        <w:t>截止时间、开标时间和地点</w:t>
      </w:r>
      <w:bookmarkEnd w:id="21"/>
      <w:bookmarkEnd w:id="22"/>
    </w:p>
    <w:p w14:paraId="55B243AD">
      <w:pPr>
        <w:spacing w:line="440" w:lineRule="exact"/>
        <w:ind w:firstLine="420" w:firstLineChars="200"/>
        <w:rPr>
          <w:rFonts w:hint="eastAsia" w:ascii="宋体" w:hAnsi="宋体" w:cs="Arial"/>
          <w:color w:val="auto"/>
          <w:szCs w:val="21"/>
          <w:highlight w:val="none"/>
        </w:rPr>
      </w:pPr>
      <w:bookmarkStart w:id="23" w:name="_Toc28359007"/>
      <w:bookmarkStart w:id="24" w:name="_Toc35393625"/>
      <w:bookmarkStart w:id="25" w:name="_Toc28359084"/>
      <w:bookmarkStart w:id="26" w:name="_Toc35393794"/>
      <w:r>
        <w:rPr>
          <w:rFonts w:hint="eastAsia" w:ascii="宋体" w:hAnsi="宋体"/>
          <w:color w:val="auto"/>
          <w:szCs w:val="21"/>
          <w:highlight w:val="none"/>
        </w:rPr>
        <w:t>1、</w:t>
      </w:r>
      <w:r>
        <w:rPr>
          <w:rFonts w:hint="eastAsia" w:ascii="宋体" w:hAnsi="宋体" w:cs="宋体"/>
          <w:color w:val="auto"/>
          <w:szCs w:val="21"/>
          <w:highlight w:val="none"/>
          <w:lang w:bidi="ar"/>
        </w:rPr>
        <w:t>截止时间</w:t>
      </w:r>
      <w:r>
        <w:rPr>
          <w:rFonts w:hint="eastAsia" w:ascii="宋体" w:hAnsi="宋体"/>
          <w:color w:val="auto"/>
          <w:szCs w:val="21"/>
          <w:highlight w:val="none"/>
        </w:rPr>
        <w:t>：</w:t>
      </w:r>
      <w:r>
        <w:rPr>
          <w:rFonts w:hint="eastAsia" w:ascii="宋体" w:hAnsi="宋体" w:cs="宋体"/>
          <w:color w:val="auto"/>
          <w:szCs w:val="21"/>
          <w:highlight w:val="none"/>
          <w:lang w:eastAsia="zh-CN" w:bidi="ar"/>
        </w:rPr>
        <w:t>2026年6月1</w:t>
      </w:r>
      <w:r>
        <w:rPr>
          <w:rFonts w:hint="eastAsia" w:ascii="宋体" w:hAnsi="宋体" w:cs="宋体"/>
          <w:color w:val="auto"/>
          <w:szCs w:val="21"/>
          <w:highlight w:val="none"/>
          <w:lang w:val="en-US" w:eastAsia="zh-CN" w:bidi="ar"/>
        </w:rPr>
        <w:t>8</w:t>
      </w:r>
      <w:r>
        <w:rPr>
          <w:rFonts w:hint="eastAsia" w:ascii="宋体" w:hAnsi="宋体" w:cs="宋体"/>
          <w:color w:val="auto"/>
          <w:szCs w:val="21"/>
          <w:highlight w:val="none"/>
          <w:lang w:eastAsia="zh-CN" w:bidi="ar"/>
        </w:rPr>
        <w:t>日</w:t>
      </w:r>
      <w:r>
        <w:rPr>
          <w:rFonts w:hint="eastAsia" w:ascii="宋体" w:hAnsi="宋体" w:cs="Arial"/>
          <w:color w:val="auto"/>
          <w:szCs w:val="21"/>
          <w:highlight w:val="none"/>
          <w:lang w:val="en-US" w:eastAsia="zh-CN"/>
        </w:rPr>
        <w:t>09</w:t>
      </w:r>
      <w:r>
        <w:rPr>
          <w:rFonts w:hint="eastAsia" w:ascii="宋体" w:hAnsi="宋体" w:cs="Arial"/>
          <w:color w:val="auto"/>
          <w:szCs w:val="21"/>
          <w:highlight w:val="none"/>
          <w:lang w:eastAsia="zh-CN"/>
        </w:rPr>
        <w:t>时</w:t>
      </w:r>
      <w:r>
        <w:rPr>
          <w:rFonts w:hint="eastAsia" w:ascii="宋体" w:hAnsi="宋体" w:cs="Arial"/>
          <w:color w:val="auto"/>
          <w:szCs w:val="21"/>
          <w:highlight w:val="none"/>
          <w:lang w:val="en-US" w:eastAsia="zh-CN"/>
        </w:rPr>
        <w:t>3</w:t>
      </w:r>
      <w:r>
        <w:rPr>
          <w:rFonts w:hint="eastAsia" w:ascii="宋体" w:hAnsi="宋体" w:cs="Arial"/>
          <w:color w:val="auto"/>
          <w:szCs w:val="21"/>
          <w:highlight w:val="none"/>
          <w:lang w:eastAsia="zh-CN"/>
        </w:rPr>
        <w:t>0分</w:t>
      </w:r>
      <w:r>
        <w:rPr>
          <w:rFonts w:hint="eastAsia" w:ascii="宋体" w:hAnsi="宋体" w:cs="Arial"/>
          <w:color w:val="auto"/>
          <w:szCs w:val="21"/>
          <w:highlight w:val="none"/>
        </w:rPr>
        <w:t>（北京时间）</w:t>
      </w:r>
    </w:p>
    <w:p w14:paraId="32DB397C">
      <w:pPr>
        <w:spacing w:line="44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2、地点：本项目将在广西政府采购云平台电子开标大厅解密、开标。</w:t>
      </w:r>
    </w:p>
    <w:p w14:paraId="1F392AA2">
      <w:pPr>
        <w:spacing w:line="440" w:lineRule="exact"/>
        <w:rPr>
          <w:rFonts w:hint="eastAsia" w:ascii="黑体" w:hAnsi="黑体" w:eastAsia="黑体"/>
          <w:b/>
          <w:bCs/>
          <w:color w:val="auto"/>
          <w:sz w:val="24"/>
          <w:highlight w:val="none"/>
        </w:rPr>
      </w:pPr>
      <w:r>
        <w:rPr>
          <w:rFonts w:hint="eastAsia" w:ascii="黑体" w:hAnsi="黑体" w:eastAsia="黑体"/>
          <w:b/>
          <w:bCs/>
          <w:color w:val="auto"/>
          <w:sz w:val="24"/>
          <w:highlight w:val="none"/>
        </w:rPr>
        <w:t>五、公告期限</w:t>
      </w:r>
      <w:bookmarkEnd w:id="23"/>
      <w:bookmarkEnd w:id="24"/>
      <w:bookmarkEnd w:id="25"/>
      <w:bookmarkEnd w:id="26"/>
    </w:p>
    <w:p w14:paraId="6F25417F">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034E8B45">
      <w:pPr>
        <w:spacing w:line="440" w:lineRule="exact"/>
        <w:rPr>
          <w:rFonts w:hint="eastAsia" w:ascii="黑体" w:hAnsi="黑体" w:eastAsia="黑体"/>
          <w:b/>
          <w:bCs/>
          <w:color w:val="auto"/>
          <w:sz w:val="24"/>
          <w:highlight w:val="none"/>
        </w:rPr>
      </w:pPr>
      <w:bookmarkStart w:id="27" w:name="_Toc35393626"/>
      <w:bookmarkStart w:id="28" w:name="_Toc35393795"/>
      <w:r>
        <w:rPr>
          <w:rFonts w:hint="eastAsia" w:ascii="黑体" w:hAnsi="黑体" w:eastAsia="黑体"/>
          <w:b/>
          <w:bCs/>
          <w:color w:val="auto"/>
          <w:sz w:val="24"/>
          <w:highlight w:val="none"/>
        </w:rPr>
        <w:t>六、其他补充事宜</w:t>
      </w:r>
      <w:bookmarkEnd w:id="27"/>
      <w:bookmarkEnd w:id="28"/>
    </w:p>
    <w:p w14:paraId="7741795B">
      <w:pPr>
        <w:spacing w:line="440" w:lineRule="exact"/>
        <w:ind w:firstLine="420" w:firstLineChars="200"/>
        <w:rPr>
          <w:rFonts w:hint="eastAsia" w:ascii="宋体" w:hAnsi="宋体" w:cs="宋体"/>
          <w:color w:val="auto"/>
          <w:kern w:val="0"/>
          <w:szCs w:val="21"/>
          <w:highlight w:val="none"/>
        </w:rPr>
      </w:pPr>
      <w:bookmarkStart w:id="29" w:name="_Hlk37429674"/>
      <w:r>
        <w:rPr>
          <w:rFonts w:hint="eastAsia" w:ascii="宋体" w:hAnsi="宋体" w:cs="宋体"/>
          <w:color w:val="auto"/>
          <w:kern w:val="0"/>
          <w:szCs w:val="21"/>
          <w:highlight w:val="none"/>
        </w:rPr>
        <w:t>1、投标保证金（人民币）：</w:t>
      </w:r>
      <w:r>
        <w:rPr>
          <w:rFonts w:hint="eastAsia" w:ascii="宋体" w:hAnsi="宋体"/>
          <w:color w:val="auto"/>
          <w:szCs w:val="21"/>
          <w:highlight w:val="none"/>
        </w:rPr>
        <w:t>28</w:t>
      </w:r>
      <w:r>
        <w:rPr>
          <w:rFonts w:hint="eastAsia" w:ascii="宋体" w:hAnsi="宋体" w:cs="宋体"/>
          <w:color w:val="auto"/>
          <w:kern w:val="0"/>
          <w:szCs w:val="21"/>
          <w:highlight w:val="none"/>
        </w:rPr>
        <w:t>00元。</w:t>
      </w:r>
    </w:p>
    <w:p w14:paraId="25D9871B">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w:t>
      </w:r>
    </w:p>
    <w:p w14:paraId="2520E8B5">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3、根据财政部《关于在政府采购活动中查询及使用信用记录有关问题的通知》（财库〔2016〕125号）的规定，对在“信用中国”网站(www.creditchina.gov.cn) 、中国政府采购网(www.ccgp.gov.cn)被列入失信被执行人、重大税收违法失信主体名单、政府采购严重违法失信行为记录名单及其他不符合《中华人民共和国政府采购法》第二十二条规定条件的投标人，不得参与政府采购活动。</w:t>
      </w:r>
    </w:p>
    <w:p w14:paraId="7A8C2FAF">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4、网上查询地址：中国政府采购网（www.ccgp.gov.cn）、广西政府采购网（zfcg.gxzf.gov.cn）、广西壮族自治区公共资源交易中心（http://gxggzy.gxzf.gov.cn/）</w:t>
      </w:r>
      <w:bookmarkStart w:id="159" w:name="_GoBack"/>
      <w:bookmarkEnd w:id="159"/>
      <w:r>
        <w:rPr>
          <w:rFonts w:hint="eastAsia" w:ascii="宋体" w:hAnsi="宋体" w:cs="宋体"/>
          <w:color w:val="auto"/>
          <w:kern w:val="0"/>
          <w:szCs w:val="21"/>
          <w:highlight w:val="none"/>
        </w:rPr>
        <w:t>。</w:t>
      </w:r>
    </w:p>
    <w:p w14:paraId="6F0E34CC">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5、本项目需要落实的政府采购政策：</w:t>
      </w:r>
    </w:p>
    <w:p w14:paraId="0F0C696D">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6A35430D">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185A3C5E">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58CA922D">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6E56B2BE">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0F142088">
      <w:pPr>
        <w:widowControl/>
        <w:spacing w:line="44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6、投标注意事项：</w:t>
      </w:r>
    </w:p>
    <w:p w14:paraId="1230BE7A">
      <w:pPr>
        <w:widowControl/>
        <w:spacing w:line="44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lang w:bidi="ar"/>
        </w:rPr>
        <w:t>（1）投标文件提交方式：本项目为全流程电子化政府采购项目，通过广西政府采购云平台（https://www.gcy.zfcg.gxzf.gov.cn）实行在线电子投标，投标人应先安装“政采云电子交易客户端”（请自行前往广西政府采购云平台进行下载），并按照本项目招标文件和广西政府采购云平台的要求编制、加密后在投标截止时间前通过网络上传至广西政府采购云平台，</w:t>
      </w:r>
      <w:r>
        <w:rPr>
          <w:rFonts w:hint="eastAsia" w:ascii="宋体" w:hAnsi="宋体" w:cs="宋体"/>
          <w:b/>
          <w:color w:val="auto"/>
          <w:szCs w:val="21"/>
          <w:highlight w:val="none"/>
          <w:lang w:bidi="ar"/>
        </w:rPr>
        <w:t>投标人在广西政府采购云平台提交电子版投标文件时，请填写参加远程开标活动经办人联系方式。</w:t>
      </w:r>
    </w:p>
    <w:p w14:paraId="73080338">
      <w:pPr>
        <w:widowControl/>
        <w:spacing w:line="44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（2）投标人</w:t>
      </w:r>
      <w:r>
        <w:rPr>
          <w:rFonts w:ascii="宋体" w:hAnsi="宋体" w:cs="宋体"/>
          <w:color w:val="auto"/>
          <w:szCs w:val="21"/>
          <w:highlight w:val="none"/>
          <w:lang w:bidi="ar"/>
        </w:rPr>
        <w:t>应及时熟悉掌握电子标系统操作指南（见政采云电子卖场首页右上角—服务中心—帮助文档—项目采购）：</w:t>
      </w:r>
      <w:r>
        <w:rPr>
          <w:color w:val="auto"/>
          <w:highlight w:val="none"/>
        </w:rPr>
        <w:fldChar w:fldCharType="begin"/>
      </w:r>
      <w:r>
        <w:rPr>
          <w:color w:val="auto"/>
          <w:highlight w:val="none"/>
        </w:rPr>
        <w:instrText xml:space="preserve">HYPERLINK "https://service.zcygov.cn/" \l "/knowledges/tree?tag=AG1DtGwBFdiHxlNdhY0r"</w:instrText>
      </w:r>
      <w:r>
        <w:rPr>
          <w:color w:val="auto"/>
          <w:highlight w:val="none"/>
        </w:rPr>
        <w:fldChar w:fldCharType="separate"/>
      </w:r>
      <w:r>
        <w:rPr>
          <w:rFonts w:ascii="宋体" w:hAnsi="宋体" w:cs="宋体"/>
          <w:color w:val="auto"/>
          <w:szCs w:val="21"/>
          <w:highlight w:val="none"/>
          <w:lang w:bidi="ar"/>
        </w:rPr>
        <w:t>https://service.zcygov.cn/#/knowledges/tree?tag=AG1DtGwBFdiHxlNdhY0r</w:t>
      </w:r>
      <w:r>
        <w:rPr>
          <w:color w:val="auto"/>
          <w:highlight w:val="none"/>
        </w:rPr>
        <w:fldChar w:fldCharType="end"/>
      </w:r>
      <w:r>
        <w:rPr>
          <w:rFonts w:hint="eastAsia" w:ascii="宋体" w:hAnsi="宋体" w:cs="宋体"/>
          <w:color w:val="auto"/>
          <w:szCs w:val="21"/>
          <w:highlight w:val="none"/>
          <w:lang w:bidi="ar"/>
        </w:rPr>
        <w:t>；</w:t>
      </w:r>
      <w:r>
        <w:rPr>
          <w:rFonts w:ascii="宋体" w:hAnsi="宋体" w:cs="宋体"/>
          <w:color w:val="auto"/>
          <w:szCs w:val="21"/>
          <w:highlight w:val="none"/>
          <w:lang w:bidi="ar"/>
        </w:rPr>
        <w:t>及时完成CA申领和绑定（见广西壮族自治区政府采购网—办事服务—下载专区-政采云CA证书办理操作指南）。</w:t>
      </w:r>
    </w:p>
    <w:p w14:paraId="15705E54">
      <w:pPr>
        <w:widowControl/>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未进行网上注册并办理数字证书（CA认证）的投标人将无法参与本项目政府采购活动，潜在投标人应当在投标截止时间前，完成电子交易平台上的CA数字证书办理及投标文件的提交。完成CA数字证书办理预计7日左右，投标人只需办理其中一家CA数字证书及签章，建议各投标人抓紧时间办理。</w:t>
      </w:r>
    </w:p>
    <w:p w14:paraId="12DF6E0C">
      <w:pPr>
        <w:widowControl/>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（4）为确保网上操作合法、有效和安全，请投标人确保在电子投标过程中能够对相关数据电文进行加密和使用电子签章，妥善保管CA数字证书并使用有效的CA数字证书参与整个采购活动。</w:t>
      </w:r>
    </w:p>
    <w:p w14:paraId="208D784F">
      <w:pPr>
        <w:spacing w:line="44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bidi="ar"/>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6E4D4025">
      <w:pPr>
        <w:snapToGrid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7、CA证书在线解密：投标人投标时，需携带制作投标文件时用来加密的有效数字证书（CA认证）登录广西政府采购云平台电子开标大厅现场按规定时间对加密的投标文件进行解密，否则后果自负。</w:t>
      </w:r>
    </w:p>
    <w:p w14:paraId="24A2B64B">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8、若对项目采购电子交易系统操作有疑问，可登录广西政府采购云平台（https://www.gcy.zfcg.gxzf.gov.cn），点击右侧咨询小采，获取采小蜜智能服务管家帮助，或拨打政采云服务热线95763获取热线服务帮助。</w:t>
      </w:r>
    </w:p>
    <w:bookmarkEnd w:id="29"/>
    <w:p w14:paraId="11380FA0">
      <w:pPr>
        <w:spacing w:line="440" w:lineRule="exact"/>
        <w:rPr>
          <w:rFonts w:hint="eastAsia" w:ascii="黑体" w:hAnsi="黑体" w:eastAsia="黑体"/>
          <w:b/>
          <w:bCs/>
          <w:color w:val="auto"/>
          <w:sz w:val="24"/>
          <w:highlight w:val="none"/>
        </w:rPr>
      </w:pPr>
      <w:bookmarkStart w:id="30" w:name="_Toc35393796"/>
      <w:bookmarkStart w:id="31" w:name="_Toc28359085"/>
      <w:bookmarkStart w:id="32" w:name="_Toc35393627"/>
      <w:bookmarkStart w:id="33" w:name="_Toc28359008"/>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30"/>
      <w:bookmarkEnd w:id="31"/>
      <w:bookmarkEnd w:id="32"/>
      <w:bookmarkEnd w:id="33"/>
    </w:p>
    <w:p w14:paraId="2EBC1F54">
      <w:pPr>
        <w:spacing w:line="440" w:lineRule="exact"/>
        <w:ind w:firstLine="567" w:firstLineChars="270"/>
        <w:jc w:val="left"/>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020AA7D2">
      <w:pPr>
        <w:spacing w:line="440" w:lineRule="exact"/>
        <w:ind w:firstLine="567" w:firstLineChars="270"/>
        <w:jc w:val="left"/>
        <w:rPr>
          <w:rFonts w:hint="eastAsia" w:ascii="宋体" w:hAnsi="宋体"/>
          <w:color w:val="auto"/>
          <w:szCs w:val="21"/>
          <w:highlight w:val="none"/>
        </w:rPr>
      </w:pPr>
      <w:r>
        <w:rPr>
          <w:rFonts w:hint="eastAsia" w:ascii="宋体" w:hAnsi="宋体"/>
          <w:color w:val="auto"/>
          <w:szCs w:val="21"/>
          <w:highlight w:val="none"/>
        </w:rPr>
        <w:t>名 称：</w:t>
      </w:r>
      <w:r>
        <w:rPr>
          <w:rFonts w:hint="eastAsia" w:ascii="宋体" w:hAnsi="宋体" w:cs="Arial"/>
          <w:color w:val="auto"/>
          <w:highlight w:val="none"/>
        </w:rPr>
        <w:t>广西壮族自治区道路运输发展中心</w:t>
      </w:r>
    </w:p>
    <w:p w14:paraId="6DD4CFA5">
      <w:pPr>
        <w:spacing w:line="440" w:lineRule="exact"/>
        <w:ind w:firstLine="567" w:firstLineChars="270"/>
        <w:jc w:val="left"/>
        <w:rPr>
          <w:rFonts w:hint="eastAsia" w:ascii="宋体" w:hAnsi="宋体"/>
          <w:color w:val="auto"/>
          <w:szCs w:val="21"/>
          <w:highlight w:val="none"/>
        </w:rPr>
      </w:pPr>
      <w:r>
        <w:rPr>
          <w:rFonts w:hint="eastAsia" w:ascii="宋体" w:hAnsi="宋体"/>
          <w:color w:val="auto"/>
          <w:szCs w:val="21"/>
          <w:highlight w:val="none"/>
        </w:rPr>
        <w:t>地址：南宁市青秀区厢竹大道4号</w:t>
      </w:r>
    </w:p>
    <w:p w14:paraId="182EDB2B">
      <w:pPr>
        <w:spacing w:line="440" w:lineRule="exact"/>
        <w:ind w:firstLine="567" w:firstLineChars="270"/>
        <w:jc w:val="left"/>
        <w:rPr>
          <w:rFonts w:hint="eastAsia" w:ascii="宋体" w:hAnsi="宋体"/>
          <w:color w:val="auto"/>
          <w:szCs w:val="21"/>
          <w:highlight w:val="none"/>
          <w:u w:val="single"/>
        </w:rPr>
      </w:pPr>
      <w:r>
        <w:rPr>
          <w:rFonts w:hint="eastAsia" w:ascii="宋体" w:hAnsi="宋体"/>
          <w:color w:val="auto"/>
          <w:szCs w:val="21"/>
          <w:highlight w:val="none"/>
        </w:rPr>
        <w:t>联系方式：</w:t>
      </w:r>
      <w:bookmarkStart w:id="34" w:name="_Toc28359009"/>
      <w:bookmarkStart w:id="35" w:name="_Toc28359086"/>
      <w:r>
        <w:rPr>
          <w:rFonts w:hint="eastAsia" w:ascii="宋体" w:hAnsi="宋体" w:cs="Arial"/>
          <w:color w:val="auto"/>
          <w:szCs w:val="21"/>
          <w:highlight w:val="none"/>
        </w:rPr>
        <w:t xml:space="preserve">覃宇昀 </w:t>
      </w:r>
      <w:r>
        <w:rPr>
          <w:rFonts w:ascii="宋体" w:hAnsi="宋体" w:cs="Arial"/>
          <w:color w:val="auto"/>
          <w:szCs w:val="21"/>
          <w:highlight w:val="none"/>
        </w:rPr>
        <w:t xml:space="preserve"> </w:t>
      </w:r>
      <w:r>
        <w:rPr>
          <w:rFonts w:hint="eastAsia" w:ascii="宋体" w:hAnsi="宋体" w:cs="Arial"/>
          <w:color w:val="auto"/>
          <w:szCs w:val="21"/>
          <w:highlight w:val="none"/>
        </w:rPr>
        <w:t>0771-2115425</w:t>
      </w:r>
    </w:p>
    <w:p w14:paraId="589AAC27">
      <w:pPr>
        <w:spacing w:line="440" w:lineRule="exact"/>
        <w:ind w:firstLine="567" w:firstLineChars="270"/>
        <w:jc w:val="left"/>
        <w:rPr>
          <w:rFonts w:hint="eastAsia" w:ascii="宋体" w:hAnsi="宋体"/>
          <w:color w:val="auto"/>
          <w:szCs w:val="21"/>
          <w:highlight w:val="none"/>
        </w:rPr>
      </w:pPr>
      <w:r>
        <w:rPr>
          <w:rFonts w:hint="eastAsia" w:ascii="宋体" w:hAnsi="宋体" w:cs="宋体"/>
          <w:color w:val="auto"/>
          <w:szCs w:val="21"/>
          <w:highlight w:val="none"/>
        </w:rPr>
        <w:t>2.采购代理机构信息</w:t>
      </w:r>
      <w:bookmarkEnd w:id="34"/>
      <w:bookmarkEnd w:id="35"/>
    </w:p>
    <w:p w14:paraId="40CB4276">
      <w:pPr>
        <w:spacing w:line="440" w:lineRule="exact"/>
        <w:ind w:firstLine="567" w:firstLineChars="270"/>
        <w:rPr>
          <w:rFonts w:hint="eastAsia" w:ascii="宋体" w:hAnsi="宋体"/>
          <w:color w:val="auto"/>
          <w:szCs w:val="21"/>
          <w:highlight w:val="none"/>
        </w:rPr>
      </w:pPr>
      <w:r>
        <w:rPr>
          <w:rFonts w:hint="eastAsia" w:ascii="宋体" w:hAnsi="宋体"/>
          <w:color w:val="auto"/>
          <w:szCs w:val="21"/>
          <w:highlight w:val="none"/>
        </w:rPr>
        <w:t>名 称：</w:t>
      </w:r>
      <w:r>
        <w:rPr>
          <w:rFonts w:hint="eastAsia" w:ascii="宋体" w:hAnsi="宋体" w:cs="Arial"/>
          <w:color w:val="auto"/>
          <w:szCs w:val="21"/>
          <w:highlight w:val="none"/>
        </w:rPr>
        <w:t>广西科文招标有限公司</w:t>
      </w:r>
    </w:p>
    <w:p w14:paraId="50C19117">
      <w:pPr>
        <w:spacing w:line="440" w:lineRule="exact"/>
        <w:ind w:firstLine="567" w:firstLineChars="270"/>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s="Arial"/>
          <w:color w:val="auto"/>
          <w:szCs w:val="21"/>
          <w:highlight w:val="none"/>
        </w:rPr>
        <w:t>广西南宁市民族大道141号中鼎万象东方大厦D区</w:t>
      </w:r>
      <w:r>
        <w:rPr>
          <w:rFonts w:hint="eastAsia" w:ascii="宋体" w:hAnsi="宋体" w:cs="Arial"/>
          <w:color w:val="auto"/>
          <w:highlight w:val="none"/>
        </w:rPr>
        <w:t>五层</w:t>
      </w:r>
    </w:p>
    <w:p w14:paraId="2CE81299">
      <w:pPr>
        <w:spacing w:line="440" w:lineRule="exact"/>
        <w:ind w:firstLine="567" w:firstLineChars="270"/>
        <w:rPr>
          <w:rFonts w:hint="eastAsia" w:ascii="宋体" w:hAnsi="宋体"/>
          <w:color w:val="auto"/>
          <w:szCs w:val="21"/>
          <w:highlight w:val="none"/>
        </w:rPr>
      </w:pPr>
      <w:r>
        <w:rPr>
          <w:rFonts w:hint="eastAsia" w:ascii="宋体" w:hAnsi="宋体"/>
          <w:color w:val="auto"/>
          <w:szCs w:val="21"/>
          <w:highlight w:val="none"/>
        </w:rPr>
        <w:t>联系方式：</w:t>
      </w:r>
      <w:bookmarkStart w:id="36" w:name="_Toc28359010"/>
      <w:bookmarkStart w:id="37" w:name="_Toc28359087"/>
      <w:r>
        <w:rPr>
          <w:rFonts w:hint="eastAsia" w:ascii="宋体" w:hAnsi="宋体"/>
          <w:color w:val="auto"/>
          <w:szCs w:val="21"/>
          <w:highlight w:val="none"/>
        </w:rPr>
        <w:t>余静</w:t>
      </w:r>
      <w:r>
        <w:rPr>
          <w:rFonts w:hint="eastAsia" w:ascii="宋体" w:hAnsi="宋体" w:cs="Arial"/>
          <w:color w:val="auto"/>
          <w:szCs w:val="21"/>
          <w:highlight w:val="none"/>
        </w:rPr>
        <w:t xml:space="preserve"> </w:t>
      </w:r>
      <w:r>
        <w:rPr>
          <w:rFonts w:ascii="宋体" w:hAnsi="宋体" w:cs="Arial"/>
          <w:color w:val="auto"/>
          <w:szCs w:val="21"/>
          <w:highlight w:val="none"/>
        </w:rPr>
        <w:t xml:space="preserve">  </w:t>
      </w:r>
      <w:r>
        <w:rPr>
          <w:rFonts w:hint="eastAsia" w:ascii="宋体" w:hAnsi="宋体" w:cs="Arial"/>
          <w:color w:val="auto"/>
          <w:szCs w:val="21"/>
          <w:highlight w:val="none"/>
        </w:rPr>
        <w:t>0771-2023902</w:t>
      </w:r>
    </w:p>
    <w:p w14:paraId="5E1E38FE">
      <w:pPr>
        <w:spacing w:line="440" w:lineRule="exact"/>
        <w:ind w:firstLine="567" w:firstLineChars="270"/>
        <w:rPr>
          <w:rFonts w:hint="eastAsia" w:ascii="宋体" w:hAnsi="宋体" w:cs="Arial"/>
          <w:color w:val="auto"/>
          <w:szCs w:val="21"/>
          <w:highlight w:val="none"/>
        </w:rPr>
      </w:pPr>
      <w:r>
        <w:rPr>
          <w:rFonts w:hint="eastAsia" w:ascii="宋体" w:hAnsi="宋体" w:cs="Arial"/>
          <w:color w:val="auto"/>
          <w:szCs w:val="21"/>
          <w:highlight w:val="none"/>
        </w:rPr>
        <w:t>3.项目</w:t>
      </w:r>
      <w:r>
        <w:rPr>
          <w:rFonts w:ascii="宋体" w:hAnsi="宋体" w:cs="Arial"/>
          <w:color w:val="auto"/>
          <w:szCs w:val="21"/>
          <w:highlight w:val="none"/>
        </w:rPr>
        <w:t>联系方式</w:t>
      </w:r>
      <w:bookmarkEnd w:id="36"/>
      <w:bookmarkEnd w:id="37"/>
    </w:p>
    <w:p w14:paraId="487D5811">
      <w:pPr>
        <w:pStyle w:val="27"/>
        <w:spacing w:line="440" w:lineRule="exact"/>
        <w:ind w:firstLine="567" w:firstLineChars="270"/>
        <w:rPr>
          <w:rFonts w:hint="eastAsia" w:hAnsi="宋体" w:cs="Arial"/>
          <w:color w:val="auto"/>
          <w:kern w:val="2"/>
          <w:sz w:val="21"/>
          <w:highlight w:val="none"/>
        </w:rPr>
      </w:pPr>
      <w:r>
        <w:rPr>
          <w:rFonts w:hint="eastAsia" w:hAnsi="宋体" w:cs="Arial"/>
          <w:color w:val="auto"/>
          <w:kern w:val="2"/>
          <w:sz w:val="21"/>
          <w:highlight w:val="none"/>
        </w:rPr>
        <w:t>项目联系人：余静</w:t>
      </w:r>
      <w:r>
        <w:rPr>
          <w:rFonts w:hAnsi="宋体" w:cs="Arial"/>
          <w:color w:val="auto"/>
          <w:kern w:val="2"/>
          <w:sz w:val="21"/>
          <w:highlight w:val="none"/>
        </w:rPr>
        <w:t xml:space="preserve"> </w:t>
      </w:r>
    </w:p>
    <w:p w14:paraId="0BA85E51">
      <w:pPr>
        <w:spacing w:line="440" w:lineRule="exact"/>
        <w:ind w:firstLine="567" w:firstLineChars="270"/>
        <w:rPr>
          <w:rFonts w:hint="eastAsia" w:ascii="宋体" w:hAnsi="宋体"/>
          <w:color w:val="auto"/>
          <w:szCs w:val="21"/>
          <w:highlight w:val="none"/>
          <w:u w:val="single"/>
        </w:rPr>
      </w:pPr>
      <w:r>
        <w:rPr>
          <w:rFonts w:hint="eastAsia" w:ascii="宋体" w:hAnsi="宋体" w:cs="Arial"/>
          <w:color w:val="auto"/>
          <w:szCs w:val="21"/>
          <w:highlight w:val="none"/>
        </w:rPr>
        <w:t>电　话：0771-2023902</w:t>
      </w:r>
    </w:p>
    <w:p w14:paraId="5537109B">
      <w:pPr>
        <w:spacing w:line="440" w:lineRule="exact"/>
        <w:ind w:firstLine="6405" w:firstLineChars="3050"/>
        <w:rPr>
          <w:rFonts w:hint="eastAsia" w:ascii="宋体" w:hAnsi="宋体"/>
          <w:color w:val="auto"/>
          <w:szCs w:val="21"/>
          <w:highlight w:val="none"/>
        </w:rPr>
      </w:pPr>
      <w:r>
        <w:rPr>
          <w:rFonts w:hint="eastAsia" w:ascii="宋体" w:hAnsi="宋体" w:cs="Arial"/>
          <w:color w:val="auto"/>
          <w:szCs w:val="21"/>
          <w:highlight w:val="none"/>
        </w:rPr>
        <w:t>广西科文招标有限公司</w:t>
      </w:r>
    </w:p>
    <w:p w14:paraId="3C84F994">
      <w:pPr>
        <w:snapToGrid w:val="0"/>
        <w:spacing w:line="440" w:lineRule="exact"/>
        <w:ind w:left="238"/>
        <w:rPr>
          <w:rFonts w:hint="eastAsia" w:ascii="宋体" w:hAnsi="宋体" w:eastAsia="宋体" w:cs="Arial"/>
          <w:color w:val="auto"/>
          <w:highlight w:val="none"/>
          <w:lang w:eastAsia="zh-CN"/>
        </w:rPr>
      </w:pPr>
      <w:r>
        <w:rPr>
          <w:rFonts w:hint="eastAsia"/>
          <w:color w:val="auto"/>
          <w:highlight w:val="none"/>
        </w:rPr>
        <w:t xml:space="preserve">                                                           </w:t>
      </w:r>
      <w:r>
        <w:rPr>
          <w:rFonts w:hint="eastAsia" w:ascii="宋体" w:hAnsi="宋体" w:cs="Arial"/>
          <w:color w:val="auto"/>
          <w:szCs w:val="21"/>
          <w:highlight w:val="none"/>
        </w:rPr>
        <w:t xml:space="preserve">   </w:t>
      </w:r>
      <w:r>
        <w:rPr>
          <w:rFonts w:hint="eastAsia" w:ascii="宋体" w:hAnsi="宋体" w:cs="Arial"/>
          <w:color w:val="auto"/>
          <w:szCs w:val="21"/>
          <w:highlight w:val="none"/>
          <w:lang w:eastAsia="zh-CN"/>
        </w:rPr>
        <w:t>2026年</w:t>
      </w:r>
      <w:r>
        <w:rPr>
          <w:rFonts w:hint="eastAsia" w:ascii="宋体" w:hAnsi="宋体" w:cs="Arial"/>
          <w:color w:val="auto"/>
          <w:szCs w:val="21"/>
          <w:highlight w:val="none"/>
          <w:lang w:val="en-US" w:eastAsia="zh-CN"/>
        </w:rPr>
        <w:t>5</w:t>
      </w:r>
      <w:r>
        <w:rPr>
          <w:rFonts w:hint="eastAsia" w:ascii="宋体" w:hAnsi="宋体" w:cs="Arial"/>
          <w:color w:val="auto"/>
          <w:szCs w:val="21"/>
          <w:highlight w:val="none"/>
          <w:lang w:eastAsia="zh-CN"/>
        </w:rPr>
        <w:t>月</w:t>
      </w:r>
      <w:r>
        <w:rPr>
          <w:rFonts w:hint="eastAsia" w:ascii="宋体" w:hAnsi="宋体" w:cs="Arial"/>
          <w:color w:val="auto"/>
          <w:szCs w:val="21"/>
          <w:highlight w:val="none"/>
          <w:lang w:val="en-US" w:eastAsia="zh-CN"/>
        </w:rPr>
        <w:t>27</w:t>
      </w:r>
      <w:r>
        <w:rPr>
          <w:rFonts w:hint="eastAsia" w:ascii="宋体" w:hAnsi="宋体" w:cs="Arial"/>
          <w:color w:val="auto"/>
          <w:szCs w:val="21"/>
          <w:highlight w:val="none"/>
          <w:lang w:eastAsia="zh-CN"/>
        </w:rPr>
        <w:t>日</w:t>
      </w:r>
    </w:p>
    <w:p w14:paraId="5467727D">
      <w:pPr>
        <w:pStyle w:val="2"/>
        <w:spacing w:line="600" w:lineRule="exact"/>
        <w:jc w:val="center"/>
        <w:rPr>
          <w:color w:val="auto"/>
          <w:highlight w:val="none"/>
        </w:rPr>
      </w:pPr>
      <w:r>
        <w:rPr>
          <w:rFonts w:hint="eastAsia"/>
          <w:color w:val="auto"/>
          <w:highlight w:val="none"/>
        </w:rPr>
        <w:br w:type="page"/>
      </w:r>
      <w:bookmarkStart w:id="38" w:name="_Toc22512"/>
      <w:r>
        <w:rPr>
          <w:rFonts w:hint="eastAsia"/>
          <w:color w:val="auto"/>
          <w:highlight w:val="none"/>
        </w:rPr>
        <w:t>第二章  采购需求</w:t>
      </w:r>
      <w:bookmarkEnd w:id="38"/>
    </w:p>
    <w:p w14:paraId="1FA00971">
      <w:pPr>
        <w:spacing w:line="360" w:lineRule="auto"/>
        <w:jc w:val="left"/>
        <w:rPr>
          <w:rFonts w:hint="eastAsia" w:ascii="宋体" w:hAnsi="宋体" w:cs="宋体"/>
          <w:b/>
          <w:color w:val="auto"/>
          <w:szCs w:val="21"/>
          <w:highlight w:val="none"/>
        </w:rPr>
      </w:pPr>
      <w:bookmarkStart w:id="39" w:name="_Toc254970631"/>
      <w:bookmarkStart w:id="40" w:name="_Toc254970490"/>
      <w:r>
        <w:rPr>
          <w:rFonts w:hint="eastAsia" w:ascii="宋体" w:hAnsi="宋体" w:cs="宋体"/>
          <w:b/>
          <w:color w:val="auto"/>
          <w:szCs w:val="21"/>
          <w:highlight w:val="none"/>
        </w:rPr>
        <w:t>说明：</w:t>
      </w:r>
    </w:p>
    <w:p w14:paraId="5996FA55">
      <w:pPr>
        <w:spacing w:line="360" w:lineRule="exact"/>
        <w:ind w:left="-10" w:leftChars="-5" w:right="2" w:rightChars="1" w:firstLine="420" w:firstLineChars="200"/>
        <w:rPr>
          <w:rFonts w:hint="eastAsia" w:hAnsi="宋体"/>
          <w:color w:val="auto"/>
          <w:highlight w:val="none"/>
        </w:rPr>
      </w:pPr>
      <w:r>
        <w:rPr>
          <w:rFonts w:hint="eastAsia" w:hAnsi="宋体"/>
          <w:color w:val="auto"/>
          <w:highlight w:val="none"/>
        </w:rPr>
        <w:t>1、采购需求中如出现品牌、型号或者生产厂家等均仅起参考作用，不属于指定品牌、型号或者生产厂家的情形，投标人可参照或者选用其他相当的品牌、型号或者生产投标人替代。但投标人的产品实质上应相当于或优于本需求</w:t>
      </w:r>
      <w:r>
        <w:rPr>
          <w:rFonts w:hAnsi="宋体"/>
          <w:color w:val="auto"/>
          <w:highlight w:val="none"/>
        </w:rPr>
        <w:t>中</w:t>
      </w:r>
      <w:r>
        <w:rPr>
          <w:rFonts w:hint="eastAsia" w:hAnsi="宋体"/>
          <w:color w:val="auto"/>
          <w:highlight w:val="none"/>
        </w:rPr>
        <w:t>的技术要求。</w:t>
      </w:r>
    </w:p>
    <w:p w14:paraId="100E7742">
      <w:pPr>
        <w:spacing w:line="360" w:lineRule="exact"/>
        <w:ind w:left="-10" w:leftChars="-5" w:right="2" w:rightChars="1" w:firstLine="420" w:firstLineChars="200"/>
        <w:rPr>
          <w:rFonts w:hint="eastAsia" w:hAnsi="宋体"/>
          <w:color w:val="auto"/>
          <w:highlight w:val="none"/>
        </w:rPr>
      </w:pPr>
      <w:r>
        <w:rPr>
          <w:rFonts w:hint="eastAsia" w:hAnsi="宋体"/>
          <w:color w:val="auto"/>
          <w:highlight w:val="none"/>
        </w:rPr>
        <w:t>2、</w:t>
      </w:r>
      <w:r>
        <w:rPr>
          <w:rFonts w:hAnsi="宋体"/>
          <w:color w:val="auto"/>
          <w:highlight w:val="none"/>
        </w:rPr>
        <w:t>根据《财政部 发展改革委 生态环境部 市场监管总局关于调整优化节能产品、环境标志产品政府采购执行机制的通知》（财库〔2019〕9 号）和《关于印发节能产品政府采购品目清单的通知》（财库〔2019〕19 号）的规定，采购需求</w:t>
      </w:r>
      <w:r>
        <w:rPr>
          <w:rFonts w:hint="eastAsia" w:hAnsi="宋体"/>
          <w:color w:val="auto"/>
          <w:highlight w:val="none"/>
        </w:rPr>
        <w:t>中如有货物产品，且货物</w:t>
      </w:r>
      <w:r>
        <w:rPr>
          <w:rFonts w:hAnsi="宋体"/>
          <w:color w:val="auto"/>
          <w:highlight w:val="none"/>
        </w:rPr>
        <w:t>产品属于节能产品政府采购品目清单内标注“★”的（详见本章后附的节能产品政府采购品目清单），投标人的投标货物必须使用政府强制采购的节能产品，否则投标文件作无效处理。</w:t>
      </w:r>
    </w:p>
    <w:p w14:paraId="1601D36E">
      <w:pPr>
        <w:spacing w:line="360" w:lineRule="exact"/>
        <w:ind w:left="-10" w:leftChars="-5" w:right="2" w:rightChars="1" w:firstLine="420" w:firstLineChars="200"/>
        <w:rPr>
          <w:rFonts w:hint="eastAsia" w:hAnsi="宋体"/>
          <w:color w:val="auto"/>
          <w:highlight w:val="none"/>
        </w:rPr>
      </w:pPr>
      <w:r>
        <w:rPr>
          <w:rFonts w:hint="eastAsia" w:hAnsi="宋体"/>
          <w:color w:val="auto"/>
          <w:highlight w:val="none"/>
        </w:rPr>
        <w:t>3、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提供的产品必须获得中国信息安全认证中心授予的有效的信息安全产品认证证书。</w:t>
      </w:r>
    </w:p>
    <w:p w14:paraId="5F18DC21">
      <w:pPr>
        <w:spacing w:line="360" w:lineRule="exact"/>
        <w:ind w:left="-10" w:leftChars="-5" w:right="2" w:rightChars="1" w:firstLine="420" w:firstLineChars="200"/>
        <w:rPr>
          <w:rFonts w:hint="eastAsia" w:hAnsi="宋体"/>
          <w:color w:val="auto"/>
          <w:highlight w:val="none"/>
        </w:rPr>
      </w:pPr>
      <w:r>
        <w:rPr>
          <w:rFonts w:hint="eastAsia" w:hAnsi="宋体"/>
          <w:color w:val="auto"/>
          <w:highlight w:val="none"/>
        </w:rPr>
        <w:t>4、如投标人投标产品存在侵犯他人的知识产权或者专利成果行为的，由投标人自行承担相应法律责任。</w:t>
      </w:r>
    </w:p>
    <w:p w14:paraId="411D0A81">
      <w:pPr>
        <w:spacing w:line="360" w:lineRule="exact"/>
        <w:ind w:left="-10" w:leftChars="-5" w:right="2" w:rightChars="1" w:firstLine="422" w:firstLineChars="200"/>
        <w:rPr>
          <w:rFonts w:hint="eastAsia" w:ascii="宋体" w:hAnsi="宋体" w:cs="Arial"/>
          <w:bCs/>
          <w:color w:val="auto"/>
          <w:szCs w:val="21"/>
          <w:highlight w:val="none"/>
          <w:u w:val="single"/>
        </w:rPr>
      </w:pPr>
      <w:r>
        <w:rPr>
          <w:rFonts w:hint="eastAsia" w:hAnsi="宋体"/>
          <w:b/>
          <w:bCs/>
          <w:color w:val="auto"/>
          <w:highlight w:val="none"/>
        </w:rPr>
        <w:t>5、“实质性要求”是指招标文件中标注“</w:t>
      </w:r>
      <w:r>
        <w:rPr>
          <w:rFonts w:hint="eastAsia" w:ascii="宋体" w:hAnsi="宋体" w:cs="宋体"/>
          <w:b/>
          <w:bCs/>
          <w:color w:val="auto"/>
          <w:szCs w:val="21"/>
          <w:highlight w:val="none"/>
        </w:rPr>
        <w:t>▲</w:t>
      </w:r>
      <w:r>
        <w:rPr>
          <w:rFonts w:hint="eastAsia" w:hAnsi="宋体"/>
          <w:b/>
          <w:bCs/>
          <w:color w:val="auto"/>
          <w:highlight w:val="none"/>
        </w:rPr>
        <w:t>”号或已经指明不满足则投标无效的条款，或者不能负偏离的条款。</w:t>
      </w:r>
    </w:p>
    <w:bookmarkEnd w:id="39"/>
    <w:bookmarkEnd w:id="40"/>
    <w:p w14:paraId="2C2812B8">
      <w:pPr>
        <w:spacing w:before="56" w:line="219" w:lineRule="auto"/>
        <w:ind w:left="112"/>
        <w:rPr>
          <w:rFonts w:hint="eastAsia" w:ascii="宋体" w:hAnsi="宋体" w:cs="宋体"/>
          <w:b/>
          <w:color w:val="auto"/>
          <w:sz w:val="24"/>
          <w:highlight w:val="none"/>
        </w:rPr>
      </w:pPr>
    </w:p>
    <w:p w14:paraId="264B3882">
      <w:pPr>
        <w:shd w:val="clear" w:color="auto" w:fill="FFFF00"/>
        <w:spacing w:line="360" w:lineRule="auto"/>
        <w:ind w:firstLine="310" w:firstLineChars="147"/>
        <w:jc w:val="left"/>
        <w:rPr>
          <w:rFonts w:hint="eastAsia" w:ascii="宋体" w:hAnsi="宋体" w:cs="Arial"/>
          <w:bCs/>
          <w:color w:val="auto"/>
          <w:szCs w:val="21"/>
          <w:highlight w:val="none"/>
          <w:u w:val="single"/>
        </w:rPr>
      </w:pPr>
      <w:r>
        <w:rPr>
          <w:rFonts w:hint="eastAsia" w:ascii="宋体" w:hAnsi="宋体"/>
          <w:b/>
          <w:color w:val="auto"/>
          <w:szCs w:val="21"/>
          <w:highlight w:val="none"/>
          <w:lang w:val="en-US" w:eastAsia="zh-CN"/>
        </w:rPr>
        <w:t>1</w:t>
      </w:r>
      <w:r>
        <w:rPr>
          <w:rFonts w:hint="eastAsia" w:ascii="宋体" w:hAnsi="宋体"/>
          <w:b/>
          <w:color w:val="auto"/>
          <w:szCs w:val="21"/>
          <w:highlight w:val="none"/>
        </w:rPr>
        <w:t>分标：</w:t>
      </w:r>
    </w:p>
    <w:tbl>
      <w:tblPr>
        <w:tblStyle w:val="49"/>
        <w:tblW w:w="102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2"/>
        <w:gridCol w:w="1137"/>
        <w:gridCol w:w="851"/>
        <w:gridCol w:w="691"/>
        <w:gridCol w:w="7060"/>
      </w:tblGrid>
      <w:tr w14:paraId="7D70A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72" w:type="dxa"/>
            <w:vAlign w:val="center"/>
          </w:tcPr>
          <w:p w14:paraId="2EC3A02E">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137" w:type="dxa"/>
            <w:vAlign w:val="center"/>
          </w:tcPr>
          <w:p w14:paraId="21E4CD18">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851" w:type="dxa"/>
          </w:tcPr>
          <w:p w14:paraId="619CD707">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数量及</w:t>
            </w:r>
          </w:p>
          <w:p w14:paraId="58F2020E">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691" w:type="dxa"/>
          </w:tcPr>
          <w:p w14:paraId="5745BD1C">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所属行业</w:t>
            </w:r>
          </w:p>
        </w:tc>
        <w:tc>
          <w:tcPr>
            <w:tcW w:w="7060" w:type="dxa"/>
            <w:vAlign w:val="center"/>
          </w:tcPr>
          <w:p w14:paraId="2974B5D6">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技术及服务要求</w:t>
            </w:r>
          </w:p>
        </w:tc>
      </w:tr>
      <w:tr w14:paraId="6CF2E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72" w:type="dxa"/>
            <w:vAlign w:val="center"/>
          </w:tcPr>
          <w:p w14:paraId="655D7006">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37" w:type="dxa"/>
            <w:vAlign w:val="center"/>
          </w:tcPr>
          <w:p w14:paraId="4C9F8EE4">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广西网络货运信息监测系统技术服务</w:t>
            </w:r>
          </w:p>
        </w:tc>
        <w:tc>
          <w:tcPr>
            <w:tcW w:w="851" w:type="dxa"/>
            <w:vAlign w:val="center"/>
          </w:tcPr>
          <w:p w14:paraId="20398C35">
            <w:pPr>
              <w:pStyle w:val="18"/>
              <w:spacing w:line="360" w:lineRule="exact"/>
              <w:ind w:left="34"/>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691" w:type="dxa"/>
            <w:vAlign w:val="center"/>
          </w:tcPr>
          <w:p w14:paraId="5AC49CC0">
            <w:pPr>
              <w:pStyle w:val="18"/>
              <w:spacing w:line="360" w:lineRule="exact"/>
              <w:ind w:left="34"/>
              <w:jc w:val="center"/>
              <w:rPr>
                <w:rFonts w:hint="eastAsia" w:ascii="宋体" w:hAnsi="宋体" w:cs="宋体"/>
                <w:color w:val="auto"/>
                <w:szCs w:val="21"/>
                <w:highlight w:val="none"/>
              </w:rPr>
            </w:pPr>
            <w:r>
              <w:rPr>
                <w:rFonts w:hint="eastAsia" w:ascii="宋体" w:hAnsi="宋体" w:cs="宋体"/>
                <w:color w:val="auto"/>
                <w:szCs w:val="21"/>
                <w:highlight w:val="none"/>
              </w:rPr>
              <w:t>软件和信息技术服务业</w:t>
            </w:r>
          </w:p>
        </w:tc>
        <w:tc>
          <w:tcPr>
            <w:tcW w:w="7060" w:type="dxa"/>
            <w:vAlign w:val="center"/>
          </w:tcPr>
          <w:p w14:paraId="43BE673D">
            <w:pPr>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按照《网络货运承运平台经营管理办法》(以下简称《办法》)及《省级网络货运信息监测系统建设指南》(以下简称《指南》)要求，完成监测系统技术服务的相关内容，主要服务内容如下：</w:t>
            </w:r>
          </w:p>
          <w:p w14:paraId="7A8B61CE">
            <w:pPr>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1.监测系统功能服务</w:t>
            </w:r>
          </w:p>
          <w:p w14:paraId="50340316">
            <w:pPr>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提供对县级交通运输主管部门提交的网络货运申请者相关信息进行线上服务能力认定的功能，包括系统联调测试服务、出具线上服务能力认定意见（作为自治区交通运输主管部门对网络货运申请者线上服务能力的认定依据）与线上服务能力证书生成。(2)提供网络货运企业具备运营资质后的业务数据接入功能。(3)按照交通运输部规则，提供数据规则升级服务，提供将网络货运企业上传的业务数据进行过滤清洗后，按国密算法加密转发上传至部交互系统的功能。(4)提供查询服务、异常监测服务、异常统计、短信报警等功能。</w:t>
            </w:r>
          </w:p>
          <w:p w14:paraId="76674884">
            <w:pPr>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2.业务支撑技术服务</w:t>
            </w:r>
          </w:p>
          <w:p w14:paraId="7355F4E0">
            <w:pPr>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提供按采购人要求进行账号密码分配、协助开展企业数据接入的联调测试、企业平台系统复核、数据备份及导出等业务支撑技术服务。提供网络货运企业业务异常数据指导服务，通过现场培训、网络、Q群、微信群、电话相结合的方式为网络货运提供系统使用问题与日常上报数据异常问题解答指导服务。提供短信报警功能优化服务。</w:t>
            </w:r>
          </w:p>
          <w:p w14:paraId="43A01835">
            <w:pPr>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3.系统运维服务</w:t>
            </w:r>
          </w:p>
          <w:p w14:paraId="6FCD7335">
            <w:pPr>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保障系统软件的稳定运行，在部交互系统接入单据规则发生变化时，中标人免费更新升级监测系统，以满足部最新要求。</w:t>
            </w:r>
          </w:p>
          <w:p w14:paraId="37C99CCF">
            <w:pPr>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基础设施运行维护，系统软件运行维护服务，运维内容包括：运服务器、防火墙等日常维护，提供系统安全、稳定的环境。操作系统、数据库管理、网络管理、备份及杀毒软件等的更新维护及日常管理：定期（按月）对系统进行巡检，避免或减少系统故障，保持业务持续性运行：巡检内容包括软件系统性能巡查、设备巡查、存储系统巡查、系统日志巡查、网络安全系统巡查、数据库系统巡查、各份系统巡查等。</w:t>
            </w:r>
          </w:p>
          <w:p w14:paraId="4C91820C">
            <w:pPr>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应用软件的日常维护服务，运维内容包括：应用软件系统故障、数据备份及管理、技术业务支持、应用软件日常功能修改、灾后数据恢复以及软件日常升级服务、数据规范和处理、系统性能优化、应用服务维护、与各有关单位据交换的接口维护服务。</w:t>
            </w:r>
          </w:p>
          <w:p w14:paraId="0536DFD4">
            <w:pPr>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（3）系统漏洞处理服务：按月对广西网络货运信息监测平台进行全面的安全检查，及时发现操作系统、应用程序中存在的安全漏洞和潜在风险，结合政务云扫描结果做好漏洞补丁等安全防护措施。</w:t>
            </w:r>
          </w:p>
          <w:p w14:paraId="253576D9">
            <w:pPr>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4.培训服务</w:t>
            </w:r>
          </w:p>
          <w:p w14:paraId="0F1D2A77">
            <w:pPr>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开展系统使用相关的技术培训。</w:t>
            </w:r>
          </w:p>
        </w:tc>
      </w:tr>
      <w:tr w14:paraId="6979A9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211" w:type="dxa"/>
            <w:gridSpan w:val="5"/>
            <w:tcBorders>
              <w:top w:val="single" w:color="auto" w:sz="4" w:space="0"/>
              <w:left w:val="single" w:color="auto" w:sz="4" w:space="0"/>
              <w:bottom w:val="single" w:color="auto" w:sz="4" w:space="0"/>
              <w:right w:val="single" w:color="auto" w:sz="4" w:space="0"/>
            </w:tcBorders>
          </w:tcPr>
          <w:p w14:paraId="3D11A87D">
            <w:pPr>
              <w:spacing w:line="360" w:lineRule="exact"/>
              <w:rPr>
                <w:rFonts w:hint="eastAsia" w:ascii="宋体" w:hAnsi="宋体" w:cs="宋体"/>
                <w:b/>
                <w:bCs/>
                <w:color w:val="auto"/>
                <w:szCs w:val="21"/>
                <w:highlight w:val="none"/>
              </w:rPr>
            </w:pPr>
            <w:r>
              <w:rPr>
                <w:rFonts w:hint="eastAsia" w:ascii="宋体" w:hAnsi="宋体" w:cs="宋体"/>
                <w:b/>
                <w:color w:val="auto"/>
                <w:szCs w:val="21"/>
                <w:highlight w:val="none"/>
              </w:rPr>
              <w:t>商务要求</w:t>
            </w:r>
          </w:p>
        </w:tc>
      </w:tr>
      <w:tr w14:paraId="2E3BEF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609" w:type="dxa"/>
            <w:gridSpan w:val="2"/>
            <w:tcBorders>
              <w:top w:val="single" w:color="auto" w:sz="4" w:space="0"/>
              <w:left w:val="single" w:color="auto" w:sz="4" w:space="0"/>
              <w:bottom w:val="single" w:color="auto" w:sz="4" w:space="0"/>
              <w:right w:val="single" w:color="auto" w:sz="4" w:space="0"/>
            </w:tcBorders>
            <w:vAlign w:val="center"/>
          </w:tcPr>
          <w:p w14:paraId="7B755C31">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合同签订期</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605EC1C1">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自中标通知书发出之日起 25 日内。</w:t>
            </w:r>
          </w:p>
        </w:tc>
      </w:tr>
      <w:tr w14:paraId="315B26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609" w:type="dxa"/>
            <w:gridSpan w:val="2"/>
            <w:tcBorders>
              <w:top w:val="single" w:color="auto" w:sz="4" w:space="0"/>
              <w:left w:val="single" w:color="auto" w:sz="4" w:space="0"/>
              <w:bottom w:val="single" w:color="auto" w:sz="4" w:space="0"/>
              <w:right w:val="single" w:color="auto" w:sz="4" w:space="0"/>
            </w:tcBorders>
            <w:vAlign w:val="center"/>
          </w:tcPr>
          <w:p w14:paraId="4C72A5CF">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服务期限及服务地点</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654FDB6D">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1、服务期限：2026年7月1日至2027年6月30日。</w:t>
            </w:r>
          </w:p>
          <w:p w14:paraId="43A1CDA6">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2、服务地点：广西区内（采购人指定地点）。</w:t>
            </w:r>
          </w:p>
        </w:tc>
      </w:tr>
      <w:tr w14:paraId="328AA0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609" w:type="dxa"/>
            <w:gridSpan w:val="2"/>
            <w:tcBorders>
              <w:top w:val="single" w:color="auto" w:sz="4" w:space="0"/>
              <w:left w:val="single" w:color="auto" w:sz="4" w:space="0"/>
              <w:bottom w:val="single" w:color="auto" w:sz="4" w:space="0"/>
              <w:right w:val="single" w:color="auto" w:sz="4" w:space="0"/>
            </w:tcBorders>
            <w:vAlign w:val="center"/>
          </w:tcPr>
          <w:p w14:paraId="10D1BA9F">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报价要求</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58F10CF3">
            <w:pPr>
              <w:spacing w:line="36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本项目报价为总包干价。</w:t>
            </w:r>
            <w:r>
              <w:rPr>
                <w:rFonts w:hint="eastAsia"/>
                <w:color w:val="auto"/>
                <w:highlight w:val="none"/>
              </w:rPr>
              <w:t>报价包含本项目所有服务内容、</w:t>
            </w:r>
            <w:r>
              <w:rPr>
                <w:rFonts w:hint="eastAsia" w:ascii="宋体" w:hAnsi="宋体" w:cs="宋体"/>
                <w:color w:val="auto"/>
                <w:szCs w:val="21"/>
                <w:highlight w:val="none"/>
              </w:rPr>
              <w:t>服务中包含货物</w:t>
            </w:r>
            <w:r>
              <w:rPr>
                <w:rFonts w:hint="eastAsia"/>
                <w:color w:val="auto"/>
                <w:highlight w:val="none"/>
              </w:rPr>
              <w:t>所涉及的设备、备品备件、标准附件、专用工具、人员薪酬、交通费、安装、调试、技术支持、培训、检测检验、必要的保费、各项税费、招标代理服务费及其它所有成本费用的总和。</w:t>
            </w:r>
            <w:r>
              <w:rPr>
                <w:rFonts w:hint="eastAsia" w:ascii="宋体" w:hAnsi="宋体" w:cs="宋体"/>
                <w:color w:val="auto"/>
                <w:highlight w:val="none"/>
              </w:rPr>
              <w:t>由</w:t>
            </w:r>
            <w:r>
              <w:rPr>
                <w:rFonts w:hint="eastAsia" w:ascii="宋体" w:hAnsi="宋体" w:cs="宋体"/>
                <w:color w:val="auto"/>
                <w:szCs w:val="21"/>
                <w:highlight w:val="none"/>
              </w:rPr>
              <w:t>投标人</w:t>
            </w:r>
            <w:r>
              <w:rPr>
                <w:rFonts w:hint="eastAsia" w:ascii="宋体" w:hAnsi="宋体" w:cs="宋体"/>
                <w:color w:val="auto"/>
                <w:highlight w:val="none"/>
              </w:rPr>
              <w:t>根据采购文件所提供的资料自行测算投标报价；一经中标，投标报价总价作为中标人与采购人签订的合同金额，合同期限内不</w:t>
            </w:r>
            <w:r>
              <w:rPr>
                <w:rFonts w:hint="eastAsia" w:ascii="宋体" w:hAnsi="宋体" w:cs="宋体"/>
                <w:color w:val="auto"/>
                <w:szCs w:val="21"/>
                <w:highlight w:val="none"/>
              </w:rPr>
              <w:t>做调整。</w:t>
            </w:r>
          </w:p>
        </w:tc>
      </w:tr>
      <w:tr w14:paraId="7D677B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609" w:type="dxa"/>
            <w:gridSpan w:val="2"/>
            <w:tcBorders>
              <w:top w:val="single" w:color="auto" w:sz="4" w:space="0"/>
              <w:left w:val="single" w:color="auto" w:sz="4" w:space="0"/>
              <w:bottom w:val="single" w:color="auto" w:sz="4" w:space="0"/>
              <w:right w:val="single" w:color="auto" w:sz="4" w:space="0"/>
            </w:tcBorders>
            <w:vAlign w:val="center"/>
          </w:tcPr>
          <w:p w14:paraId="0B2A90B4">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7AFE008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签订后，三十个工作日内，采购人向中标人支付全部合同金额的50%；完成服务能力验收后十五个工作日内，采购人向中标人支付全部合同款的40%；在中标供应商签订合同四个月后，采购人于十个工作日内向中标供应商支付全部合同款的</w:t>
            </w:r>
            <w:r>
              <w:rPr>
                <w:rFonts w:ascii="宋体" w:hAnsi="宋体" w:cs="宋体"/>
                <w:color w:val="auto"/>
                <w:szCs w:val="21"/>
                <w:highlight w:val="none"/>
              </w:rPr>
              <w:t>10%</w:t>
            </w:r>
            <w:r>
              <w:rPr>
                <w:rFonts w:hint="eastAsia" w:ascii="宋体" w:hAnsi="宋体" w:cs="宋体"/>
                <w:color w:val="auto"/>
                <w:szCs w:val="21"/>
                <w:highlight w:val="none"/>
              </w:rPr>
              <w:t>。采购人付款前，中标人应向采购人开具等额有效的增值税发票，采购人未收到发票的，有权不予支付相应款项直至中标人提供合格发票，并不承担延迟付款责任。</w:t>
            </w:r>
          </w:p>
        </w:tc>
      </w:tr>
      <w:tr w14:paraId="5786B4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609" w:type="dxa"/>
            <w:gridSpan w:val="2"/>
            <w:tcBorders>
              <w:top w:val="single" w:color="auto" w:sz="4" w:space="0"/>
              <w:left w:val="single" w:color="auto" w:sz="4" w:space="0"/>
              <w:bottom w:val="single" w:color="auto" w:sz="4" w:space="0"/>
              <w:right w:val="single" w:color="auto" w:sz="4" w:space="0"/>
            </w:tcBorders>
            <w:vAlign w:val="center"/>
          </w:tcPr>
          <w:p w14:paraId="060C41E6">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其他要求</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1F48D5D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（一）服务质量要求</w:t>
            </w:r>
          </w:p>
          <w:p w14:paraId="483F94C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1、投标人具备相关信息化系统的开发和运行维护经验。</w:t>
            </w:r>
          </w:p>
          <w:p w14:paraId="4A3B9F0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提供7*24小时专人职守服务，实时响应内部服务请求，详细记录问题解决情况。配合1名或以上运维人员通过现场服务、远程技术服务、预防性服务、定期专访、远程监控等服务方式，提供7×24小时维保服务。面向各级交通运输管理部门、省内网络货运企业提供技术和业务支持，包括通过网络、电话和邮件远程技术协助，现场技术支持。</w:t>
            </w:r>
          </w:p>
          <w:p w14:paraId="6C51091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3、投标人应建立规范的内部管理制度。严格管理专职专业技术人员，保证服务态度良好、问题解决及时、重大问题及时反馈、运维记录详细。</w:t>
            </w:r>
          </w:p>
          <w:p w14:paraId="7BD5A11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4、投标人应建立常见系统故障应急预案，以便出现问题后，及时作出响应，降低事故后果。</w:t>
            </w:r>
          </w:p>
          <w:p w14:paraId="4D931B4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5、投标人有义务对专职专业技术人员进行岗前操作培训，以便更好地掌握平台运维技能。</w:t>
            </w:r>
          </w:p>
          <w:p w14:paraId="1F8A0D6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6、当出现系统崩溃导致业务停止、数据丢失等系统故障时，投标人必须在10分钟内进行响应，2小时内提出处理方案，12小时内解决故障。</w:t>
            </w:r>
          </w:p>
          <w:p w14:paraId="0E30A1A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（二）服务规范要求</w:t>
            </w:r>
          </w:p>
          <w:p w14:paraId="7AB7365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1、遵守用户的规章制度，严格按照规章制度办事。</w:t>
            </w:r>
          </w:p>
          <w:p w14:paraId="61ACDFA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2、对被支持单位的网络、主机、系统软件、应用软件等的密码、核心参数、业务数据等负有保密责任，不得随意复制和传播。</w:t>
            </w:r>
          </w:p>
          <w:p w14:paraId="400C018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严格按照服务工作流程规范进行日常工作，如果发生由于日常工作遗漏和疏忽导致业户的数据丢失或被攻击、未授权的配置变更等影响业主业务正常开展的情况，将根据情节严重对相关责任人进行相应的处罚。</w:t>
            </w:r>
          </w:p>
          <w:p w14:paraId="27A349F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服务期间须按照国家网络安全及信息保密安全有关管理规定做好网络安全保密工作。指定具体网络安全责任人，建立独立的管理技术团队负责项目实施过程中的网络安全管理。网络安全责任人及工作人员有变更、中标人工作人员有业务转型或中标人因自身原因有合并重组等的须提前向采购人进行书面说明，未经采购人同意，中标人不得私自将在采购人工作期间的项目任务进行分包、转包。中标人必须承担为采购人保守相关保密信息的义务和责任，包括以下内容：中标人应严格控制了解项目关键资料的人员范围，对参与项目运维的有关工作人员要明确保密责任，严格保密纪律，不得泄漏、使用系统数据信息用于其他用途。</w:t>
            </w:r>
          </w:p>
          <w:p w14:paraId="3E58A1B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服务期间涉及的政务数据和其他数据须分开处理，不得自私将工作中处理的数据进行变更处理。中标人在服务期间处理数据，涉及到个人信息时，须按照国家个人信息保护相关管理规定，做好数据处理存储工作。采购人具有所有权、使用权和访问权，中标人不得私自更改、访问、利用和销毁服务期间涉及到的政务数据信息。</w:t>
            </w:r>
          </w:p>
          <w:p w14:paraId="6940599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做好网络安全漏洞检查，如定期修改系统管理员密码，提醒用户及时更新密码，加强访问控制等措施，提升系统抵抗外部攻击能力，确保系统安全可靠运行。配合采购人做好网络安全应急事件处置、定期做好漏洞修复等管理维护工作。</w:t>
            </w:r>
          </w:p>
          <w:p w14:paraId="64BA08F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过数据在应用和传输过程中可能涉及到的数据质量问题，按照相关标准和规范进行维护和整理，保障数据质量，确保数据满足采购方业务需求。发现安全漏洞、缺陷及安全风险须及时通报，并形成报告向区网信、公安部门报告，安全漏洞未经网信、公安部门同意，不得向第三人公开。</w:t>
            </w:r>
          </w:p>
          <w:p w14:paraId="4FF5CE8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处理数据时优先使用国产安全可信的硬件软件产品，按照国家和自治区各项要求配合采购人完成相应的国产化服务，按照自治区有关单位要求，在2026年底前提供相应服务。硬软件信息系统须按照国家密码管理要求设置不限于数字字母特殊字符组合的强口令的密码。</w:t>
            </w:r>
          </w:p>
          <w:p w14:paraId="24010E1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8、中标人必须与采购人签订保密协议。</w:t>
            </w:r>
          </w:p>
        </w:tc>
      </w:tr>
    </w:tbl>
    <w:p w14:paraId="2BF6ECAD">
      <w:pPr>
        <w:pStyle w:val="2"/>
        <w:jc w:val="center"/>
        <w:rPr>
          <w:color w:val="auto"/>
          <w:highlight w:val="none"/>
        </w:rPr>
      </w:pPr>
      <w:r>
        <w:rPr>
          <w:rFonts w:hint="eastAsia" w:ascii="宋体" w:hAnsi="宋体" w:cs="宋体"/>
          <w:bCs/>
          <w:color w:val="auto"/>
          <w:sz w:val="24"/>
          <w:highlight w:val="none"/>
        </w:rPr>
        <w:br w:type="page"/>
      </w:r>
      <w:bookmarkStart w:id="41" w:name="_Toc10714"/>
      <w:r>
        <w:rPr>
          <w:rFonts w:hint="eastAsia"/>
          <w:color w:val="auto"/>
          <w:highlight w:val="none"/>
        </w:rPr>
        <w:t>第三章  投标人须知</w:t>
      </w:r>
      <w:bookmarkEnd w:id="41"/>
    </w:p>
    <w:p w14:paraId="3AE2702E">
      <w:pPr>
        <w:jc w:val="center"/>
        <w:rPr>
          <w:color w:val="auto"/>
          <w:sz w:val="36"/>
          <w:szCs w:val="36"/>
          <w:highlight w:val="none"/>
        </w:rPr>
      </w:pPr>
      <w:bookmarkStart w:id="42" w:name="_Toc254970667"/>
      <w:bookmarkStart w:id="43" w:name="_Toc254970526"/>
      <w:r>
        <w:rPr>
          <w:rFonts w:hint="eastAsia"/>
          <w:color w:val="auto"/>
          <w:sz w:val="36"/>
          <w:szCs w:val="36"/>
          <w:highlight w:val="none"/>
        </w:rPr>
        <w:t>投标人须知前附表</w:t>
      </w:r>
      <w:bookmarkEnd w:id="42"/>
      <w:bookmarkEnd w:id="43"/>
    </w:p>
    <w:p w14:paraId="1BF66B8E">
      <w:pPr>
        <w:jc w:val="center"/>
        <w:rPr>
          <w:color w:val="auto"/>
          <w:sz w:val="36"/>
          <w:szCs w:val="36"/>
          <w:highlight w:val="none"/>
        </w:rPr>
      </w:pPr>
    </w:p>
    <w:tbl>
      <w:tblPr>
        <w:tblStyle w:val="49"/>
        <w:tblW w:w="96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08"/>
      </w:tblGrid>
      <w:tr w14:paraId="1EA604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788EE11">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条款号</w:t>
            </w:r>
          </w:p>
        </w:tc>
        <w:tc>
          <w:tcPr>
            <w:tcW w:w="8708" w:type="dxa"/>
            <w:tcBorders>
              <w:top w:val="single" w:color="auto" w:sz="4" w:space="0"/>
              <w:left w:val="single" w:color="auto" w:sz="4" w:space="0"/>
              <w:bottom w:val="single" w:color="auto" w:sz="4" w:space="0"/>
              <w:right w:val="single" w:color="auto" w:sz="4" w:space="0"/>
            </w:tcBorders>
            <w:vAlign w:val="center"/>
          </w:tcPr>
          <w:p w14:paraId="3B21E6F4">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30B95D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1FDA40D">
            <w:pPr>
              <w:spacing w:line="40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8708" w:type="dxa"/>
            <w:tcBorders>
              <w:top w:val="single" w:color="auto" w:sz="4" w:space="0"/>
              <w:left w:val="single" w:color="auto" w:sz="4" w:space="0"/>
              <w:bottom w:val="single" w:color="auto" w:sz="4" w:space="0"/>
              <w:right w:val="single" w:color="auto" w:sz="4" w:space="0"/>
            </w:tcBorders>
            <w:vAlign w:val="center"/>
          </w:tcPr>
          <w:p w14:paraId="5A8B6548">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投标人的资格要求：详见招标公告。</w:t>
            </w:r>
          </w:p>
        </w:tc>
      </w:tr>
      <w:tr w14:paraId="1B8D14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251BD0C">
            <w:pPr>
              <w:spacing w:line="400" w:lineRule="exact"/>
              <w:jc w:val="center"/>
              <w:rPr>
                <w:rFonts w:hint="eastAsia" w:ascii="宋体" w:hAnsi="宋体"/>
                <w:color w:val="auto"/>
                <w:szCs w:val="21"/>
                <w:highlight w:val="none"/>
              </w:rPr>
            </w:pPr>
            <w:bookmarkStart w:id="44" w:name="_9.2"/>
            <w:bookmarkEnd w:id="44"/>
            <w:bookmarkStart w:id="45" w:name="_8.1"/>
            <w:bookmarkEnd w:id="45"/>
            <w:bookmarkStart w:id="46" w:name="_5"/>
            <w:bookmarkEnd w:id="46"/>
            <w:r>
              <w:rPr>
                <w:rFonts w:hint="eastAsia" w:ascii="宋体" w:hAnsi="宋体"/>
                <w:color w:val="auto"/>
                <w:szCs w:val="21"/>
                <w:highlight w:val="none"/>
              </w:rPr>
              <w:t>6.1</w:t>
            </w:r>
          </w:p>
        </w:tc>
        <w:tc>
          <w:tcPr>
            <w:tcW w:w="8708" w:type="dxa"/>
            <w:tcBorders>
              <w:top w:val="single" w:color="auto" w:sz="4" w:space="0"/>
              <w:left w:val="single" w:color="auto" w:sz="4" w:space="0"/>
              <w:bottom w:val="single" w:color="auto" w:sz="4" w:space="0"/>
              <w:right w:val="single" w:color="auto" w:sz="4" w:space="0"/>
            </w:tcBorders>
            <w:vAlign w:val="center"/>
          </w:tcPr>
          <w:p w14:paraId="24CE5B30">
            <w:pPr>
              <w:pStyle w:val="18"/>
              <w:spacing w:line="400" w:lineRule="exact"/>
              <w:rPr>
                <w:rFonts w:hint="eastAsia" w:ascii="宋体" w:hAnsi="宋体"/>
                <w:color w:val="auto"/>
                <w:szCs w:val="21"/>
                <w:highlight w:val="none"/>
              </w:rPr>
            </w:pPr>
            <w:r>
              <w:rPr>
                <w:rFonts w:hint="eastAsia" w:ascii="宋体" w:hAnsi="宋体"/>
                <w:color w:val="auto"/>
                <w:szCs w:val="21"/>
                <w:highlight w:val="none"/>
              </w:rPr>
              <w:t>本项目是否接受联合体投标：详见招标公告。</w:t>
            </w:r>
          </w:p>
        </w:tc>
      </w:tr>
      <w:tr w14:paraId="32812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E58916D">
            <w:pPr>
              <w:spacing w:line="400" w:lineRule="exact"/>
              <w:jc w:val="center"/>
              <w:rPr>
                <w:rFonts w:hint="eastAsia" w:ascii="宋体" w:hAnsi="宋体"/>
                <w:color w:val="auto"/>
                <w:szCs w:val="21"/>
                <w:highlight w:val="none"/>
              </w:rPr>
            </w:pPr>
            <w:r>
              <w:rPr>
                <w:rFonts w:ascii="宋体" w:hAnsi="宋体"/>
                <w:color w:val="auto"/>
                <w:szCs w:val="21"/>
                <w:highlight w:val="none"/>
              </w:rPr>
              <w:t>6.2</w:t>
            </w:r>
          </w:p>
        </w:tc>
        <w:tc>
          <w:tcPr>
            <w:tcW w:w="8708" w:type="dxa"/>
            <w:tcBorders>
              <w:top w:val="single" w:color="auto" w:sz="4" w:space="0"/>
              <w:left w:val="single" w:color="auto" w:sz="4" w:space="0"/>
              <w:bottom w:val="single" w:color="auto" w:sz="4" w:space="0"/>
              <w:right w:val="single" w:color="auto" w:sz="4" w:space="0"/>
            </w:tcBorders>
            <w:vAlign w:val="center"/>
          </w:tcPr>
          <w:p w14:paraId="76CFC009">
            <w:pPr>
              <w:autoSpaceDE w:val="0"/>
              <w:autoSpaceDN w:val="0"/>
              <w:snapToGrid w:val="0"/>
              <w:spacing w:line="400" w:lineRule="exact"/>
              <w:textAlignment w:val="bottom"/>
              <w:rPr>
                <w:rFonts w:hint="eastAsia" w:ascii="宋体" w:hAnsi="宋体"/>
                <w:color w:val="auto"/>
                <w:szCs w:val="21"/>
                <w:highlight w:val="none"/>
              </w:rPr>
            </w:pPr>
            <w:bookmarkStart w:id="47" w:name="_Hlk54105293"/>
            <w:r>
              <w:rPr>
                <w:rFonts w:hint="eastAsia" w:ascii="宋体" w:hAnsi="宋体"/>
                <w:color w:val="auto"/>
                <w:szCs w:val="21"/>
                <w:highlight w:val="none"/>
              </w:rPr>
              <w:t>如接受联合体投标，</w:t>
            </w:r>
            <w:bookmarkEnd w:id="47"/>
            <w:r>
              <w:rPr>
                <w:rFonts w:hint="eastAsia" w:ascii="宋体" w:hAnsi="宋体"/>
                <w:color w:val="auto"/>
                <w:szCs w:val="21"/>
                <w:highlight w:val="none"/>
              </w:rPr>
              <w:t>联合体投标要求如下：</w:t>
            </w:r>
          </w:p>
          <w:p w14:paraId="1B071760">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1、两个以上投标人可以组成一个投标联合体，以一个投标人的身份共同参加投标，联合体投标人的名称应统一按“XXX 公司与 XXX 公司的联合体”的规则填写。</w:t>
            </w:r>
            <w:r>
              <w:rPr>
                <w:rFonts w:hint="eastAsia" w:ascii="宋体" w:hAnsi="宋体"/>
                <w:color w:val="auto"/>
                <w:szCs w:val="21"/>
                <w:highlight w:val="none"/>
              </w:rPr>
              <w:tab/>
            </w:r>
          </w:p>
          <w:p w14:paraId="7A188C52">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 “3、本项目的特定资格要求”的要求。</w:t>
            </w:r>
          </w:p>
          <w:p w14:paraId="1ACC2CD0">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3、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r>
              <w:rPr>
                <w:rFonts w:hint="eastAsia" w:ascii="宋体" w:hAnsi="宋体"/>
                <w:color w:val="auto"/>
                <w:szCs w:val="21"/>
                <w:highlight w:val="none"/>
              </w:rPr>
              <w:tab/>
            </w:r>
          </w:p>
          <w:p w14:paraId="25DFE754">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4、以联合体形式参加政府采购活动的，联合体各方不得再单独参加或者与其他投标人另外组成联合体参加同一合同项下的政府采购活动，否则与之相关的投标文件作废。</w:t>
            </w:r>
            <w:r>
              <w:rPr>
                <w:rFonts w:hint="eastAsia" w:ascii="宋体" w:hAnsi="宋体"/>
                <w:color w:val="auto"/>
                <w:szCs w:val="21"/>
                <w:highlight w:val="none"/>
              </w:rPr>
              <w:tab/>
            </w:r>
            <w:r>
              <w:rPr>
                <w:rFonts w:hint="eastAsia" w:ascii="宋体" w:hAnsi="宋体"/>
                <w:color w:val="auto"/>
                <w:szCs w:val="21"/>
                <w:highlight w:val="none"/>
              </w:rPr>
              <w:tab/>
            </w:r>
          </w:p>
          <w:p w14:paraId="19BA4B19">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5、联合体中有同类资质的投标人按照联合体分工承担相同工作的，应当按照资质等级较低的投标人确定资质等级。</w:t>
            </w:r>
          </w:p>
          <w:p w14:paraId="1ADFBFCC">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6、联合体投标业绩、履约能力按照联合体各方其中较高的一方认定并计算（招标文件另有规定的除外）。</w:t>
            </w:r>
          </w:p>
          <w:p w14:paraId="14CDB40D">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7、联合体各方均应按照招标文件的规定提交资格证明文件。</w:t>
            </w:r>
          </w:p>
        </w:tc>
      </w:tr>
      <w:tr w14:paraId="3EF00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EC3F1EC">
            <w:pPr>
              <w:spacing w:line="400" w:lineRule="exact"/>
              <w:jc w:val="center"/>
              <w:rPr>
                <w:rFonts w:hint="eastAsia" w:ascii="宋体" w:hAnsi="宋体"/>
                <w:color w:val="auto"/>
                <w:szCs w:val="21"/>
                <w:highlight w:val="none"/>
              </w:rPr>
            </w:pPr>
            <w:r>
              <w:rPr>
                <w:rFonts w:hint="eastAsia" w:ascii="宋体" w:hAnsi="宋体"/>
                <w:color w:val="auto"/>
                <w:szCs w:val="21"/>
                <w:highlight w:val="none"/>
              </w:rPr>
              <w:t>7.2</w:t>
            </w:r>
          </w:p>
        </w:tc>
        <w:tc>
          <w:tcPr>
            <w:tcW w:w="8708" w:type="dxa"/>
            <w:tcBorders>
              <w:top w:val="single" w:color="auto" w:sz="4" w:space="0"/>
              <w:left w:val="single" w:color="auto" w:sz="4" w:space="0"/>
              <w:bottom w:val="single" w:color="auto" w:sz="4" w:space="0"/>
              <w:right w:val="single" w:color="auto" w:sz="4" w:space="0"/>
            </w:tcBorders>
            <w:vAlign w:val="center"/>
          </w:tcPr>
          <w:p w14:paraId="5E24A58D">
            <w:pPr>
              <w:pStyle w:val="18"/>
              <w:spacing w:line="400" w:lineRule="exact"/>
              <w:rPr>
                <w:rFonts w:hint="eastAsia" w:ascii="宋体" w:hAnsi="宋体"/>
                <w:color w:val="auto"/>
                <w:szCs w:val="21"/>
                <w:highlight w:val="none"/>
              </w:rPr>
            </w:pPr>
            <w:r>
              <w:rPr>
                <w:rFonts w:hint="eastAsia" w:ascii="宋体" w:hAnsi="宋体"/>
                <w:color w:val="auto"/>
                <w:szCs w:val="21"/>
                <w:highlight w:val="none"/>
              </w:rPr>
              <w:t>本项目不允许转包、分包。</w:t>
            </w:r>
          </w:p>
        </w:tc>
      </w:tr>
      <w:tr w14:paraId="3333A4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895" w:type="dxa"/>
            <w:vMerge w:val="restart"/>
            <w:tcBorders>
              <w:top w:val="single" w:color="auto" w:sz="4" w:space="0"/>
              <w:left w:val="single" w:color="auto" w:sz="4" w:space="0"/>
              <w:right w:val="single" w:color="auto" w:sz="4" w:space="0"/>
            </w:tcBorders>
            <w:vAlign w:val="center"/>
          </w:tcPr>
          <w:p w14:paraId="18A12C8F">
            <w:pPr>
              <w:spacing w:line="400" w:lineRule="exact"/>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5</w:t>
            </w:r>
          </w:p>
        </w:tc>
        <w:tc>
          <w:tcPr>
            <w:tcW w:w="8708" w:type="dxa"/>
            <w:tcBorders>
              <w:top w:val="single" w:color="auto" w:sz="4" w:space="0"/>
              <w:left w:val="single" w:color="auto" w:sz="4" w:space="0"/>
              <w:bottom w:val="single" w:color="auto" w:sz="4" w:space="0"/>
              <w:right w:val="single" w:color="auto" w:sz="4" w:space="0"/>
            </w:tcBorders>
            <w:vAlign w:val="center"/>
          </w:tcPr>
          <w:p w14:paraId="7A373686">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本项目不组织现场考察。</w:t>
            </w:r>
          </w:p>
        </w:tc>
      </w:tr>
      <w:tr w14:paraId="4B0A6E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895" w:type="dxa"/>
            <w:vMerge w:val="continue"/>
            <w:tcBorders>
              <w:left w:val="single" w:color="auto" w:sz="4" w:space="0"/>
              <w:bottom w:val="single" w:color="auto" w:sz="4" w:space="0"/>
              <w:right w:val="single" w:color="auto" w:sz="4" w:space="0"/>
            </w:tcBorders>
            <w:vAlign w:val="center"/>
          </w:tcPr>
          <w:p w14:paraId="5F4BB1E7">
            <w:pPr>
              <w:spacing w:line="400" w:lineRule="exact"/>
              <w:jc w:val="center"/>
              <w:rPr>
                <w:rFonts w:hint="eastAsia" w:ascii="宋体" w:hAnsi="宋体"/>
                <w:color w:val="auto"/>
                <w:szCs w:val="21"/>
                <w:highlight w:val="none"/>
              </w:rPr>
            </w:pPr>
          </w:p>
        </w:tc>
        <w:tc>
          <w:tcPr>
            <w:tcW w:w="8708" w:type="dxa"/>
            <w:tcBorders>
              <w:top w:val="single" w:color="auto" w:sz="4" w:space="0"/>
              <w:left w:val="single" w:color="auto" w:sz="4" w:space="0"/>
              <w:bottom w:val="single" w:color="auto" w:sz="4" w:space="0"/>
              <w:right w:val="single" w:color="auto" w:sz="4" w:space="0"/>
            </w:tcBorders>
            <w:vAlign w:val="center"/>
          </w:tcPr>
          <w:p w14:paraId="75F4CA86">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本项目不组织召开开标前答疑会</w:t>
            </w:r>
          </w:p>
        </w:tc>
      </w:tr>
      <w:tr w14:paraId="677D84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vAlign w:val="center"/>
          </w:tcPr>
          <w:p w14:paraId="6A321CD9">
            <w:pPr>
              <w:spacing w:line="400" w:lineRule="exact"/>
              <w:jc w:val="center"/>
              <w:rPr>
                <w:rFonts w:hint="eastAsia" w:ascii="宋体" w:hAnsi="宋体"/>
                <w:color w:val="auto"/>
                <w:szCs w:val="21"/>
                <w:highlight w:val="none"/>
              </w:rPr>
            </w:pPr>
            <w:bookmarkStart w:id="48" w:name="_13.1"/>
            <w:bookmarkEnd w:id="48"/>
            <w:r>
              <w:rPr>
                <w:rFonts w:hint="eastAsia" w:ascii="宋体" w:hAnsi="宋体"/>
                <w:color w:val="auto"/>
                <w:szCs w:val="21"/>
                <w:highlight w:val="none"/>
              </w:rPr>
              <w:t>13.</w:t>
            </w:r>
            <w:bookmarkStart w:id="49" w:name="_Hlt19632543"/>
            <w:r>
              <w:rPr>
                <w:rFonts w:hint="eastAsia" w:ascii="宋体" w:hAnsi="宋体"/>
                <w:color w:val="auto"/>
                <w:szCs w:val="21"/>
                <w:highlight w:val="none"/>
              </w:rPr>
              <w:t>1</w:t>
            </w:r>
            <w:bookmarkEnd w:id="49"/>
          </w:p>
        </w:tc>
        <w:tc>
          <w:tcPr>
            <w:tcW w:w="8708" w:type="dxa"/>
            <w:tcBorders>
              <w:top w:val="single" w:color="auto" w:sz="4" w:space="0"/>
              <w:left w:val="single" w:color="auto" w:sz="4" w:space="0"/>
              <w:bottom w:val="single" w:color="auto" w:sz="4" w:space="0"/>
              <w:right w:val="single" w:color="auto" w:sz="4" w:space="0"/>
            </w:tcBorders>
            <w:vAlign w:val="center"/>
          </w:tcPr>
          <w:p w14:paraId="1F89A2E0">
            <w:pPr>
              <w:snapToGrid w:val="0"/>
              <w:spacing w:line="400" w:lineRule="exact"/>
              <w:jc w:val="left"/>
              <w:rPr>
                <w:rFonts w:hint="eastAsia" w:ascii="宋体" w:hAnsi="宋体" w:cs="Courier New"/>
                <w:b/>
                <w:color w:val="auto"/>
                <w:szCs w:val="21"/>
                <w:highlight w:val="none"/>
              </w:rPr>
            </w:pPr>
            <w:r>
              <w:rPr>
                <w:rFonts w:hint="eastAsia" w:ascii="宋体" w:hAnsi="宋体" w:cs="Courier New"/>
                <w:b/>
                <w:color w:val="auto"/>
                <w:szCs w:val="21"/>
                <w:highlight w:val="none"/>
              </w:rPr>
              <w:t>报价文件:</w:t>
            </w:r>
          </w:p>
          <w:p w14:paraId="7E3A3061">
            <w:pPr>
              <w:tabs>
                <w:tab w:val="left" w:pos="459"/>
              </w:tabs>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p w14:paraId="195F049C">
            <w:pPr>
              <w:tabs>
                <w:tab w:val="left" w:pos="459"/>
              </w:tabs>
              <w:snapToGrid w:val="0"/>
              <w:spacing w:line="400" w:lineRule="exact"/>
              <w:jc w:val="left"/>
              <w:rPr>
                <w:rFonts w:hint="eastAsia" w:ascii="宋体" w:hAnsi="宋体"/>
                <w:color w:val="auto"/>
                <w:szCs w:val="21"/>
                <w:highlight w:val="none"/>
              </w:rPr>
            </w:pPr>
            <w:bookmarkStart w:id="50" w:name="_Hlk71299233"/>
            <w:r>
              <w:rPr>
                <w:rFonts w:hint="eastAsia" w:ascii="宋体" w:hAnsi="宋体"/>
                <w:color w:val="auto"/>
                <w:szCs w:val="21"/>
                <w:highlight w:val="none"/>
              </w:rPr>
              <w:t>2、开标一览表</w:t>
            </w:r>
            <w:bookmarkEnd w:id="50"/>
            <w:r>
              <w:rPr>
                <w:rFonts w:hint="eastAsia" w:ascii="宋体" w:hAnsi="宋体"/>
                <w:color w:val="auto"/>
                <w:szCs w:val="21"/>
                <w:highlight w:val="none"/>
              </w:rPr>
              <w:t>（格式后附）；（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D408273">
            <w:pPr>
              <w:tabs>
                <w:tab w:val="left" w:pos="459"/>
              </w:tabs>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3、中小企业声明函（格式后附）；</w:t>
            </w:r>
          </w:p>
          <w:p w14:paraId="5ED9754E">
            <w:pPr>
              <w:tabs>
                <w:tab w:val="left" w:pos="459"/>
              </w:tabs>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4、投标人针对报价需要说明的其他文件和说明（格式自拟）。（如有请提供）</w:t>
            </w:r>
          </w:p>
          <w:p w14:paraId="5776112B">
            <w:pPr>
              <w:snapToGrid w:val="0"/>
              <w:spacing w:line="400" w:lineRule="exact"/>
              <w:ind w:firstLine="420"/>
              <w:jc w:val="left"/>
              <w:rPr>
                <w:rFonts w:hint="eastAsia" w:ascii="宋体" w:hAnsi="宋体"/>
                <w:color w:val="auto"/>
                <w:szCs w:val="21"/>
                <w:highlight w:val="none"/>
              </w:rPr>
            </w:pPr>
            <w:r>
              <w:rPr>
                <w:rFonts w:hint="eastAsia" w:ascii="宋体" w:hAnsi="宋体"/>
                <w:b/>
                <w:bCs/>
                <w:color w:val="auto"/>
                <w:szCs w:val="21"/>
                <w:highlight w:val="none"/>
              </w:rPr>
              <w:t>注：投标函、开标一览表必须由法定代表人或者委托代理人在规定签章处逐一签字并加盖投标人公章，否则按无效投标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3DBCC0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5557A375">
            <w:pPr>
              <w:spacing w:line="400" w:lineRule="exact"/>
              <w:rPr>
                <w:rFonts w:hint="eastAsia" w:ascii="宋体" w:hAnsi="宋体"/>
                <w:color w:val="auto"/>
                <w:szCs w:val="21"/>
                <w:highlight w:val="none"/>
              </w:rPr>
            </w:pPr>
            <w:bookmarkStart w:id="51" w:name="_13.2"/>
            <w:bookmarkEnd w:id="51"/>
          </w:p>
        </w:tc>
        <w:tc>
          <w:tcPr>
            <w:tcW w:w="8708" w:type="dxa"/>
            <w:tcBorders>
              <w:top w:val="single" w:color="auto" w:sz="4" w:space="0"/>
              <w:left w:val="single" w:color="auto" w:sz="4" w:space="0"/>
              <w:bottom w:val="single" w:color="auto" w:sz="4" w:space="0"/>
              <w:right w:val="single" w:color="auto" w:sz="4" w:space="0"/>
            </w:tcBorders>
            <w:vAlign w:val="center"/>
          </w:tcPr>
          <w:p w14:paraId="1E26ABB4">
            <w:pPr>
              <w:snapToGrid w:val="0"/>
              <w:spacing w:line="400" w:lineRule="exact"/>
              <w:jc w:val="left"/>
              <w:rPr>
                <w:rFonts w:hint="eastAsia" w:ascii="宋体" w:hAnsi="宋体" w:cs="Courier New"/>
                <w:b/>
                <w:color w:val="auto"/>
                <w:szCs w:val="21"/>
                <w:highlight w:val="none"/>
              </w:rPr>
            </w:pPr>
            <w:r>
              <w:rPr>
                <w:rFonts w:hint="eastAsia" w:ascii="宋体" w:hAnsi="宋体" w:cs="Courier New"/>
                <w:b/>
                <w:color w:val="auto"/>
                <w:szCs w:val="21"/>
                <w:highlight w:val="none"/>
              </w:rPr>
              <w:t>资格证明文件:</w:t>
            </w:r>
          </w:p>
          <w:p w14:paraId="4C95D6F5">
            <w:pPr>
              <w:autoSpaceDE w:val="0"/>
              <w:autoSpaceDN w:val="0"/>
              <w:snapToGrid w:val="0"/>
              <w:spacing w:line="400" w:lineRule="exact"/>
              <w:textAlignment w:val="bottom"/>
              <w:rPr>
                <w:rFonts w:hint="eastAsia" w:ascii="宋体" w:hAnsi="宋体"/>
                <w:b/>
                <w:color w:val="auto"/>
                <w:szCs w:val="21"/>
                <w:highlight w:val="none"/>
              </w:rPr>
            </w:pPr>
            <w:r>
              <w:rPr>
                <w:rFonts w:hint="eastAsia" w:ascii="宋体" w:hAnsi="宋体" w:cs="宋体"/>
                <w:color w:val="auto"/>
                <w:szCs w:val="21"/>
                <w:highlight w:val="none"/>
              </w:rPr>
              <w:t>1、投标人为法人或者其他组织的，</w:t>
            </w:r>
            <w:r>
              <w:rPr>
                <w:rFonts w:hint="eastAsia" w:ascii="宋体" w:hAnsi="宋体"/>
                <w:color w:val="auto"/>
                <w:szCs w:val="21"/>
                <w:highlight w:val="none"/>
              </w:rPr>
              <w:t>证明文件为其营业执照复印件（如营业执照或者事业单位法人证书或者执业许可证等）；投标人为自然人的，证明文件为其身份证复印件；</w:t>
            </w:r>
            <w:r>
              <w:rPr>
                <w:rFonts w:hint="eastAsia" w:ascii="宋体" w:hAnsi="宋体"/>
                <w:b/>
                <w:color w:val="auto"/>
                <w:szCs w:val="21"/>
                <w:highlight w:val="none"/>
              </w:rPr>
              <w:t>（必须提供，否则投标文件按无效投标处理</w:t>
            </w:r>
            <w:r>
              <w:rPr>
                <w:rFonts w:ascii="宋体" w:hAnsi="宋体"/>
                <w:b/>
                <w:color w:val="auto"/>
                <w:szCs w:val="21"/>
                <w:highlight w:val="none"/>
              </w:rPr>
              <w:t>）</w:t>
            </w:r>
          </w:p>
          <w:p w14:paraId="2B64422E">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2、投标人依法缴纳税收的相关材料（投标截止时间前半年内连续3个月的依法缴纳税收的凭据复印件；依法免税的投标人，必须提供相应文件证明其依法免税。从</w:t>
            </w:r>
            <w:r>
              <w:rPr>
                <w:rFonts w:ascii="宋体" w:hAnsi="宋体" w:cs="宋体"/>
                <w:color w:val="auto"/>
                <w:szCs w:val="21"/>
                <w:highlight w:val="none"/>
              </w:rPr>
              <w:t>成立</w:t>
            </w:r>
            <w:r>
              <w:rPr>
                <w:rFonts w:hint="eastAsia" w:ascii="宋体" w:hAnsi="宋体" w:cs="宋体"/>
                <w:color w:val="auto"/>
                <w:szCs w:val="21"/>
                <w:highlight w:val="none"/>
              </w:rPr>
              <w:t>之日起到投标文件提交截止时间止不足要求月数的，只需提供从</w:t>
            </w:r>
            <w:r>
              <w:rPr>
                <w:rFonts w:ascii="宋体" w:hAnsi="宋体" w:cs="宋体"/>
                <w:color w:val="auto"/>
                <w:szCs w:val="21"/>
                <w:highlight w:val="none"/>
              </w:rPr>
              <w:t>成立</w:t>
            </w:r>
            <w:r>
              <w:rPr>
                <w:rFonts w:hint="eastAsia" w:ascii="宋体" w:hAnsi="宋体" w:cs="宋体"/>
                <w:color w:val="auto"/>
                <w:szCs w:val="21"/>
                <w:highlight w:val="none"/>
              </w:rPr>
              <w:t>之日起的依法缴纳税收相应证明文件）；</w:t>
            </w:r>
            <w:r>
              <w:rPr>
                <w:rFonts w:hint="eastAsia" w:ascii="宋体" w:hAnsi="宋体" w:cs="宋体"/>
                <w:b/>
                <w:color w:val="auto"/>
                <w:szCs w:val="21"/>
                <w:highlight w:val="none"/>
              </w:rPr>
              <w:t>（必须提供，否则按无效投标处理）</w:t>
            </w:r>
          </w:p>
          <w:p w14:paraId="404BBBFF">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3、投标人依法缴纳社会保障资金的相关材料[投标截止时间前半年内连续3个月的依法缴纳社会保障资金的缴费凭证（专用收据或者社会保险缴纳清单）复印件；依法不需要缴纳社会保障资金的投标人，必须提供相应文件证明不需要缴纳社会保障资金。从</w:t>
            </w:r>
            <w:r>
              <w:rPr>
                <w:rFonts w:ascii="宋体" w:hAnsi="宋体" w:cs="宋体"/>
                <w:color w:val="auto"/>
                <w:szCs w:val="21"/>
                <w:highlight w:val="none"/>
              </w:rPr>
              <w:t>成立</w:t>
            </w:r>
            <w:r>
              <w:rPr>
                <w:rFonts w:hint="eastAsia" w:ascii="宋体" w:hAnsi="宋体" w:cs="宋体"/>
                <w:color w:val="auto"/>
                <w:szCs w:val="21"/>
                <w:highlight w:val="none"/>
              </w:rPr>
              <w:t>之日起到投标文件提交截止时间止不足要求月数的只需提供从</w:t>
            </w:r>
            <w:r>
              <w:rPr>
                <w:rFonts w:ascii="宋体" w:hAnsi="宋体" w:cs="宋体"/>
                <w:color w:val="auto"/>
                <w:szCs w:val="21"/>
                <w:highlight w:val="none"/>
              </w:rPr>
              <w:t>成立</w:t>
            </w:r>
            <w:r>
              <w:rPr>
                <w:rFonts w:hint="eastAsia" w:ascii="宋体" w:hAnsi="宋体" w:cs="宋体"/>
                <w:color w:val="auto"/>
                <w:szCs w:val="21"/>
                <w:highlight w:val="none"/>
              </w:rPr>
              <w:t>之日起的依法缴纳社会保障资金的相应证明文件]；</w:t>
            </w:r>
            <w:r>
              <w:rPr>
                <w:rFonts w:hint="eastAsia" w:ascii="宋体" w:hAnsi="宋体" w:cs="宋体"/>
                <w:b/>
                <w:color w:val="auto"/>
                <w:szCs w:val="21"/>
                <w:highlight w:val="none"/>
              </w:rPr>
              <w:t>（必须提供，否则按无效投标处理）</w:t>
            </w:r>
          </w:p>
          <w:p w14:paraId="347804F2">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4、投标人财务状况报告（</w:t>
            </w:r>
            <w:r>
              <w:rPr>
                <w:rFonts w:hint="eastAsia"/>
                <w:color w:val="auto"/>
                <w:highlight w:val="none"/>
              </w:rPr>
              <w:t>2024或者2025年</w:t>
            </w:r>
            <w:r>
              <w:rPr>
                <w:rFonts w:hint="eastAsia" w:ascii="宋体" w:hAnsi="宋体" w:cs="宋体"/>
                <w:color w:val="auto"/>
                <w:szCs w:val="21"/>
                <w:highlight w:val="none"/>
              </w:rPr>
              <w:t>财务报表复印件或者银行出具的资信证明；投标人属于成立</w:t>
            </w:r>
            <w:r>
              <w:rPr>
                <w:rFonts w:ascii="宋体" w:hAnsi="宋体" w:cs="宋体"/>
                <w:color w:val="auto"/>
                <w:szCs w:val="21"/>
                <w:highlight w:val="none"/>
              </w:rPr>
              <w:t>时间</w:t>
            </w:r>
            <w:r>
              <w:rPr>
                <w:rFonts w:hint="eastAsia" w:ascii="宋体" w:hAnsi="宋体" w:cs="宋体"/>
                <w:color w:val="auto"/>
                <w:szCs w:val="21"/>
                <w:highlight w:val="none"/>
              </w:rPr>
              <w:t>在规定年度之后</w:t>
            </w:r>
            <w:r>
              <w:rPr>
                <w:rFonts w:ascii="宋体" w:hAnsi="宋体" w:cs="宋体"/>
                <w:color w:val="auto"/>
                <w:szCs w:val="21"/>
                <w:highlight w:val="none"/>
              </w:rPr>
              <w:t>的</w:t>
            </w:r>
            <w:r>
              <w:rPr>
                <w:rFonts w:hint="eastAsia" w:ascii="宋体" w:hAnsi="宋体" w:cs="宋体"/>
                <w:color w:val="auto"/>
                <w:szCs w:val="21"/>
                <w:highlight w:val="none"/>
              </w:rPr>
              <w:t>法人或其他组织</w:t>
            </w:r>
            <w:r>
              <w:rPr>
                <w:rFonts w:ascii="宋体" w:hAnsi="宋体" w:cs="宋体"/>
                <w:color w:val="auto"/>
                <w:szCs w:val="21"/>
                <w:highlight w:val="none"/>
              </w:rPr>
              <w:t>，需提供成立</w:t>
            </w:r>
            <w:r>
              <w:rPr>
                <w:rFonts w:hint="eastAsia" w:ascii="宋体" w:hAnsi="宋体" w:cs="宋体"/>
                <w:color w:val="auto"/>
                <w:szCs w:val="21"/>
                <w:highlight w:val="none"/>
              </w:rPr>
              <w:t>之日起至投标截止时间前</w:t>
            </w:r>
            <w:r>
              <w:rPr>
                <w:rFonts w:ascii="宋体" w:hAnsi="宋体" w:cs="宋体"/>
                <w:color w:val="auto"/>
                <w:szCs w:val="21"/>
                <w:highlight w:val="none"/>
              </w:rPr>
              <w:t>的月报表</w:t>
            </w:r>
            <w:r>
              <w:rPr>
                <w:rFonts w:hint="eastAsia" w:ascii="宋体" w:hAnsi="宋体" w:cs="宋体"/>
                <w:color w:val="auto"/>
                <w:szCs w:val="21"/>
                <w:highlight w:val="none"/>
              </w:rPr>
              <w:t>或银行出具的资信证明；资信证明应在有效期内，未注明有效期的，银行出具时间至投标截止时间不超过一年）；</w:t>
            </w:r>
            <w:r>
              <w:rPr>
                <w:rFonts w:hint="eastAsia" w:ascii="宋体" w:hAnsi="宋体" w:cs="宋体"/>
                <w:b/>
                <w:color w:val="auto"/>
                <w:szCs w:val="21"/>
                <w:highlight w:val="none"/>
              </w:rPr>
              <w:t>（除自然人外必须提供，否则按无效投标处理）</w:t>
            </w:r>
          </w:p>
          <w:p w14:paraId="7B62938C">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5、投标人直接控股、管理关系信息表（格式后附）；</w:t>
            </w:r>
            <w:r>
              <w:rPr>
                <w:rFonts w:hint="eastAsia" w:ascii="宋体" w:hAnsi="宋体" w:cs="宋体"/>
                <w:b/>
                <w:color w:val="auto"/>
                <w:szCs w:val="21"/>
                <w:highlight w:val="none"/>
              </w:rPr>
              <w:t>（必须提供，否则按无效投标处理）</w:t>
            </w:r>
          </w:p>
          <w:p w14:paraId="0FC367AF">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6、投标声明（格式后附）；</w:t>
            </w:r>
            <w:r>
              <w:rPr>
                <w:rFonts w:hint="eastAsia" w:ascii="宋体" w:hAnsi="宋体" w:cs="宋体"/>
                <w:b/>
                <w:color w:val="auto"/>
                <w:szCs w:val="21"/>
                <w:highlight w:val="none"/>
              </w:rPr>
              <w:t>（必须提供，否则按无效投标处理）</w:t>
            </w:r>
          </w:p>
          <w:p w14:paraId="3E3920FA">
            <w:pPr>
              <w:autoSpaceDE w:val="0"/>
              <w:autoSpaceDN w:val="0"/>
              <w:snapToGrid w:val="0"/>
              <w:spacing w:line="400" w:lineRule="exact"/>
              <w:textAlignment w:val="bottom"/>
              <w:rPr>
                <w:rFonts w:hint="eastAsia" w:ascii="宋体" w:hAnsi="宋体" w:cs="宋体"/>
                <w:bCs/>
                <w:color w:val="auto"/>
                <w:szCs w:val="21"/>
                <w:highlight w:val="none"/>
              </w:rPr>
            </w:pPr>
            <w:r>
              <w:rPr>
                <w:rFonts w:hint="eastAsia" w:ascii="宋体" w:hAnsi="宋体" w:cs="宋体"/>
                <w:color w:val="auto"/>
                <w:szCs w:val="21"/>
                <w:highlight w:val="none"/>
              </w:rPr>
              <w:t>7、除招标文件规定必须提供以外，投标人认为需要提供的其他证明材料。</w:t>
            </w:r>
          </w:p>
          <w:p w14:paraId="30B2F8E7">
            <w:pPr>
              <w:pStyle w:val="85"/>
              <w:rPr>
                <w:rFonts w:hint="eastAsia" w:ascii="宋体" w:hAnsi="宋体"/>
                <w:b/>
                <w:bCs w:val="0"/>
                <w:color w:val="auto"/>
                <w:szCs w:val="21"/>
                <w:highlight w:val="none"/>
              </w:rPr>
            </w:pPr>
          </w:p>
          <w:p w14:paraId="5D0386D7">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注：</w:t>
            </w:r>
          </w:p>
          <w:p w14:paraId="6B58C689">
            <w:pPr>
              <w:snapToGrid w:val="0"/>
              <w:spacing w:line="400" w:lineRule="exact"/>
              <w:ind w:firstLine="422" w:firstLineChars="200"/>
              <w:jc w:val="left"/>
              <w:rPr>
                <w:rFonts w:hint="eastAsia" w:ascii="宋体" w:hAnsi="宋体" w:cs="Courier New"/>
                <w:b/>
                <w:color w:val="auto"/>
                <w:szCs w:val="21"/>
                <w:highlight w:val="none"/>
              </w:rPr>
            </w:pPr>
            <w:r>
              <w:rPr>
                <w:rFonts w:hint="eastAsia" w:ascii="宋体" w:hAnsi="宋体"/>
                <w:b/>
                <w:bCs/>
                <w:color w:val="auto"/>
                <w:szCs w:val="21"/>
                <w:highlight w:val="none"/>
              </w:rPr>
              <w:t>1、以上标明“必须提供”的材料属于复印件的，必须加盖投标人公章，否则按无效投标</w:t>
            </w:r>
            <w:r>
              <w:rPr>
                <w:rFonts w:hint="eastAsia" w:ascii="宋体" w:hAnsi="宋体" w:cs="Courier New"/>
                <w:b/>
                <w:color w:val="auto"/>
                <w:szCs w:val="21"/>
                <w:highlight w:val="none"/>
              </w:rPr>
              <w:t>处理。</w:t>
            </w:r>
          </w:p>
          <w:p w14:paraId="47C56D35">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cs="Courier New"/>
                <w:b/>
                <w:color w:val="auto"/>
                <w:szCs w:val="21"/>
                <w:highlight w:val="none"/>
              </w:rPr>
              <w:t>2、</w:t>
            </w:r>
            <w:r>
              <w:rPr>
                <w:rFonts w:hint="eastAsia" w:ascii="宋体" w:hAnsi="宋体"/>
                <w:b/>
                <w:bCs/>
                <w:color w:val="auto"/>
                <w:szCs w:val="21"/>
                <w:highlight w:val="none"/>
              </w:rPr>
              <w:t>投标声明必须由法定代表人在规定签章处签字并加盖投标人公章，否则按无效投标处理。</w:t>
            </w:r>
          </w:p>
          <w:p w14:paraId="7BFB5268">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3、投标人直接控股、管理关系信息表必须由法定代表人或者委托代理人在规定签章处签字并加盖投标人公章，否则按无效投标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p w14:paraId="73955CE9">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4、联合体投标时，第1-5项资格证明文件联合体各方均必须分别提供，联合体各方分别盖章和签字，否则按无效投标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p w14:paraId="441A3DAC">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5、分公司参加投标的，应当取得总公司授权，否则按无效投标处理。</w:t>
            </w:r>
          </w:p>
        </w:tc>
      </w:tr>
      <w:tr w14:paraId="6F3695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0D1FD6DD">
            <w:pPr>
              <w:spacing w:line="400" w:lineRule="exact"/>
              <w:rPr>
                <w:rFonts w:hint="eastAsia" w:ascii="宋体" w:hAnsi="宋体"/>
                <w:color w:val="auto"/>
                <w:szCs w:val="21"/>
                <w:highlight w:val="none"/>
              </w:rPr>
            </w:pPr>
            <w:bookmarkStart w:id="52" w:name="_13.3"/>
            <w:bookmarkEnd w:id="52"/>
          </w:p>
        </w:tc>
        <w:tc>
          <w:tcPr>
            <w:tcW w:w="8708" w:type="dxa"/>
            <w:tcBorders>
              <w:top w:val="single" w:color="auto" w:sz="4" w:space="0"/>
              <w:left w:val="single" w:color="auto" w:sz="4" w:space="0"/>
              <w:bottom w:val="single" w:color="auto" w:sz="4" w:space="0"/>
              <w:right w:val="single" w:color="auto" w:sz="4" w:space="0"/>
            </w:tcBorders>
            <w:vAlign w:val="center"/>
          </w:tcPr>
          <w:p w14:paraId="19829B9A">
            <w:pPr>
              <w:snapToGrid w:val="0"/>
              <w:spacing w:line="400" w:lineRule="exact"/>
              <w:jc w:val="left"/>
              <w:rPr>
                <w:rFonts w:hint="eastAsia" w:ascii="宋体" w:hAnsi="宋体" w:cs="Courier New"/>
                <w:b/>
                <w:color w:val="auto"/>
                <w:szCs w:val="21"/>
                <w:highlight w:val="none"/>
              </w:rPr>
            </w:pPr>
            <w:r>
              <w:rPr>
                <w:rFonts w:hint="eastAsia" w:ascii="宋体" w:hAnsi="宋体" w:cs="Courier New"/>
                <w:b/>
                <w:color w:val="auto"/>
                <w:szCs w:val="21"/>
                <w:highlight w:val="none"/>
              </w:rPr>
              <w:t>商务文件：</w:t>
            </w:r>
          </w:p>
          <w:p w14:paraId="42982914">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26CBEB4">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2、投标保证金提交凭证；（</w:t>
            </w:r>
            <w:r>
              <w:rPr>
                <w:rFonts w:hint="eastAsia"/>
                <w:b/>
                <w:bCs/>
                <w:color w:val="auto"/>
                <w:highlight w:val="none"/>
              </w:rPr>
              <w:t>如要求提交投标保证金的则必须提供</w:t>
            </w:r>
            <w:r>
              <w:rPr>
                <w:rFonts w:hint="eastAsia" w:ascii="宋体" w:hAnsi="宋体"/>
                <w:b/>
                <w:color w:val="auto"/>
                <w:szCs w:val="21"/>
                <w:highlight w:val="none"/>
              </w:rPr>
              <w:t>，否则按无效投标处理</w:t>
            </w:r>
            <w:r>
              <w:rPr>
                <w:rFonts w:hint="eastAsia" w:ascii="宋体" w:hAnsi="宋体"/>
                <w:color w:val="auto"/>
                <w:szCs w:val="21"/>
                <w:highlight w:val="none"/>
              </w:rPr>
              <w:t>）</w:t>
            </w:r>
          </w:p>
          <w:p w14:paraId="00DCE273">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4E80E33">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4、授权委托书及委托代理人有效身份证正反面复印件（格式后附）；（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p w14:paraId="45758BC0">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5、商务要求偏离表（格式后附）；（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97F2632">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、服务承诺（格式自拟）；（</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DE91B71">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、投标人情况介绍（格式自拟）；（如有请提供）</w:t>
            </w:r>
          </w:p>
          <w:p w14:paraId="62CE7845">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、除招标文件规定必须提供以外，投标人认为需要提供的其他证明材料（格式自拟）。（投标人根据“第二章 采购需求”及“第四章 评标方法及评标标准”提供有关证明材料）。（如有请提供）</w:t>
            </w:r>
          </w:p>
          <w:p w14:paraId="25E8CE14">
            <w:pPr>
              <w:snapToGrid w:val="0"/>
              <w:spacing w:line="400" w:lineRule="exact"/>
              <w:ind w:firstLine="422" w:firstLineChars="200"/>
              <w:jc w:val="left"/>
              <w:rPr>
                <w:rFonts w:hint="eastAsia" w:ascii="宋体" w:hAnsi="宋体"/>
                <w:color w:val="auto"/>
                <w:szCs w:val="21"/>
                <w:highlight w:val="none"/>
              </w:rPr>
            </w:pPr>
            <w:r>
              <w:rPr>
                <w:rFonts w:hint="eastAsia" w:ascii="宋体" w:hAnsi="宋体"/>
                <w:b/>
                <w:bCs/>
                <w:color w:val="auto"/>
                <w:szCs w:val="21"/>
                <w:highlight w:val="none"/>
              </w:rPr>
              <w:t>注：以上标明“必须提供”的材料属于复印件的，必须加盖投标人公章，否则按无效投标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0074AA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vAlign w:val="center"/>
          </w:tcPr>
          <w:p w14:paraId="1C001D7D">
            <w:pPr>
              <w:spacing w:line="400" w:lineRule="exact"/>
              <w:rPr>
                <w:rFonts w:hint="eastAsia" w:ascii="宋体" w:hAnsi="宋体"/>
                <w:color w:val="auto"/>
                <w:szCs w:val="21"/>
                <w:highlight w:val="none"/>
              </w:rPr>
            </w:pPr>
            <w:bookmarkStart w:id="53" w:name="_13.4"/>
            <w:bookmarkEnd w:id="53"/>
          </w:p>
        </w:tc>
        <w:tc>
          <w:tcPr>
            <w:tcW w:w="8708" w:type="dxa"/>
            <w:tcBorders>
              <w:top w:val="single" w:color="auto" w:sz="4" w:space="0"/>
              <w:left w:val="single" w:color="auto" w:sz="4" w:space="0"/>
              <w:bottom w:val="single" w:color="auto" w:sz="4" w:space="0"/>
              <w:right w:val="single" w:color="auto" w:sz="4" w:space="0"/>
            </w:tcBorders>
            <w:vAlign w:val="center"/>
          </w:tcPr>
          <w:p w14:paraId="4B780646">
            <w:pPr>
              <w:snapToGrid w:val="0"/>
              <w:spacing w:line="360" w:lineRule="exact"/>
              <w:jc w:val="left"/>
              <w:rPr>
                <w:rFonts w:hint="eastAsia" w:ascii="宋体" w:hAnsi="宋体" w:cs="Courier New"/>
                <w:b/>
                <w:i/>
                <w:color w:val="auto"/>
                <w:szCs w:val="21"/>
                <w:highlight w:val="none"/>
              </w:rPr>
            </w:pPr>
            <w:r>
              <w:rPr>
                <w:rFonts w:hint="eastAsia" w:ascii="宋体" w:hAnsi="宋体" w:cs="Courier New"/>
                <w:b/>
                <w:color w:val="auto"/>
                <w:szCs w:val="21"/>
                <w:highlight w:val="none"/>
              </w:rPr>
              <w:t>技术文件：</w:t>
            </w:r>
          </w:p>
          <w:p w14:paraId="5695784E">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、技术要求偏离表（格式后附）；</w:t>
            </w:r>
            <w:r>
              <w:rPr>
                <w:rFonts w:hint="eastAsia" w:ascii="宋体" w:hAnsi="宋体"/>
                <w:b/>
                <w:color w:val="auto"/>
                <w:szCs w:val="21"/>
                <w:highlight w:val="none"/>
              </w:rPr>
              <w:t>（必须提供，否则按无效投标处理）</w:t>
            </w:r>
          </w:p>
          <w:p w14:paraId="3F35301D">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、服务方案（格式自拟）；</w:t>
            </w:r>
            <w:r>
              <w:rPr>
                <w:rFonts w:hint="eastAsia" w:ascii="宋体" w:hAnsi="宋体"/>
                <w:b/>
                <w:color w:val="auto"/>
                <w:szCs w:val="21"/>
                <w:highlight w:val="none"/>
              </w:rPr>
              <w:t>（必须提供，否则按无效投标处理）</w:t>
            </w:r>
          </w:p>
          <w:p w14:paraId="768391F6">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、项目实施人员一览表（格式后附）；</w:t>
            </w:r>
          </w:p>
          <w:p w14:paraId="30838ADF">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、除招标文件规定必须提供以外，投标人需要说明的其他文件和说明（格式自拟）。（如有请提供）</w:t>
            </w:r>
          </w:p>
          <w:p w14:paraId="41735445">
            <w:pPr>
              <w:snapToGrid w:val="0"/>
              <w:spacing w:line="360" w:lineRule="exact"/>
              <w:ind w:firstLine="316" w:firstLineChars="150"/>
              <w:jc w:val="left"/>
              <w:rPr>
                <w:rFonts w:hint="eastAsia" w:ascii="宋体" w:hAnsi="宋体"/>
                <w:b/>
                <w:bCs/>
                <w:color w:val="auto"/>
                <w:szCs w:val="21"/>
                <w:highlight w:val="none"/>
              </w:rPr>
            </w:pPr>
            <w:r>
              <w:rPr>
                <w:rFonts w:hint="eastAsia" w:ascii="宋体" w:hAnsi="宋体"/>
                <w:b/>
                <w:bCs/>
                <w:color w:val="auto"/>
                <w:szCs w:val="21"/>
                <w:highlight w:val="none"/>
              </w:rPr>
              <w:t>注：以上标明“必须提供”的材料属于复印件的，必须加盖投标人公章，否则按无效投标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4A5C64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6CEAB28">
            <w:pPr>
              <w:spacing w:line="400" w:lineRule="exact"/>
              <w:jc w:val="center"/>
              <w:rPr>
                <w:rFonts w:hint="eastAsia" w:ascii="宋体" w:hAnsi="宋体"/>
                <w:color w:val="auto"/>
                <w:szCs w:val="21"/>
                <w:highlight w:val="none"/>
              </w:rPr>
            </w:pPr>
            <w:bookmarkStart w:id="54" w:name="_13.5"/>
            <w:bookmarkEnd w:id="54"/>
            <w:bookmarkStart w:id="55" w:name="_16.2"/>
            <w:bookmarkEnd w:id="55"/>
            <w:r>
              <w:rPr>
                <w:rFonts w:hint="eastAsia" w:ascii="宋体" w:hAnsi="宋体"/>
                <w:color w:val="auto"/>
                <w:szCs w:val="21"/>
                <w:highlight w:val="none"/>
              </w:rPr>
              <w:t>16</w:t>
            </w:r>
            <w:bookmarkStart w:id="56" w:name="_Hlt19693758"/>
            <w:bookmarkStart w:id="57" w:name="_Hlt19194067"/>
            <w:bookmarkStart w:id="58" w:name="_Hlt19194066"/>
            <w:bookmarkStart w:id="59" w:name="_Hlt19693759"/>
            <w:r>
              <w:rPr>
                <w:rFonts w:hint="eastAsia" w:ascii="宋体" w:hAnsi="宋体"/>
                <w:color w:val="auto"/>
                <w:szCs w:val="21"/>
                <w:highlight w:val="none"/>
              </w:rPr>
              <w:t>.</w:t>
            </w:r>
            <w:bookmarkEnd w:id="56"/>
            <w:bookmarkEnd w:id="57"/>
            <w:bookmarkEnd w:id="58"/>
            <w:bookmarkEnd w:id="59"/>
            <w:r>
              <w:rPr>
                <w:rFonts w:hint="eastAsia" w:ascii="宋体" w:hAnsi="宋体"/>
                <w:color w:val="auto"/>
                <w:szCs w:val="21"/>
                <w:highlight w:val="none"/>
              </w:rPr>
              <w:t>2</w:t>
            </w:r>
          </w:p>
        </w:tc>
        <w:tc>
          <w:tcPr>
            <w:tcW w:w="8708" w:type="dxa"/>
            <w:tcBorders>
              <w:top w:val="single" w:color="auto" w:sz="4" w:space="0"/>
              <w:left w:val="single" w:color="auto" w:sz="4" w:space="0"/>
              <w:bottom w:val="single" w:color="auto" w:sz="4" w:space="0"/>
              <w:right w:val="single" w:color="auto" w:sz="4" w:space="0"/>
            </w:tcBorders>
            <w:vAlign w:val="center"/>
          </w:tcPr>
          <w:p w14:paraId="1188DB94">
            <w:pPr>
              <w:snapToGrid w:val="0"/>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本项目报价为产品送达采购人指定地点进行安装，采购人（或采购人委托的第三方）检测、验收所发生的一切费用，其包括但不限于：产品安装调试、税费、产品检验检测、互联互通测评、人员培训、验收、售后技术支持、招标代理服务费，以及合同明示所有责任、义务和一般风险等，采购人不再支付任何费用。</w:t>
            </w:r>
          </w:p>
        </w:tc>
      </w:tr>
      <w:tr w14:paraId="2F360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58EB02D">
            <w:pPr>
              <w:spacing w:line="400" w:lineRule="exact"/>
              <w:jc w:val="center"/>
              <w:rPr>
                <w:rFonts w:hint="eastAsia" w:ascii="宋体" w:hAnsi="宋体"/>
                <w:color w:val="auto"/>
                <w:szCs w:val="21"/>
                <w:highlight w:val="none"/>
              </w:rPr>
            </w:pPr>
            <w:bookmarkStart w:id="60" w:name="_17.1"/>
            <w:bookmarkEnd w:id="60"/>
            <w:r>
              <w:rPr>
                <w:rFonts w:hint="eastAsia" w:ascii="宋体" w:hAnsi="宋体"/>
                <w:color w:val="auto"/>
                <w:szCs w:val="21"/>
                <w:highlight w:val="none"/>
              </w:rPr>
              <w:t>17.</w:t>
            </w:r>
            <w:r>
              <w:rPr>
                <w:rFonts w:ascii="宋体" w:hAnsi="宋体"/>
                <w:color w:val="auto"/>
                <w:szCs w:val="21"/>
                <w:highlight w:val="none"/>
              </w:rPr>
              <w:t>2</w:t>
            </w:r>
          </w:p>
        </w:tc>
        <w:tc>
          <w:tcPr>
            <w:tcW w:w="8708" w:type="dxa"/>
            <w:tcBorders>
              <w:top w:val="single" w:color="auto" w:sz="4" w:space="0"/>
              <w:left w:val="single" w:color="auto" w:sz="4" w:space="0"/>
              <w:bottom w:val="single" w:color="auto" w:sz="4" w:space="0"/>
              <w:right w:val="single" w:color="auto" w:sz="4" w:space="0"/>
            </w:tcBorders>
            <w:vAlign w:val="center"/>
          </w:tcPr>
          <w:p w14:paraId="5E098B68">
            <w:pPr>
              <w:snapToGrid w:val="0"/>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投标有效期：投标截止之日起60天内。</w:t>
            </w:r>
          </w:p>
        </w:tc>
      </w:tr>
      <w:tr w14:paraId="500AAF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67FB3DC">
            <w:pPr>
              <w:spacing w:line="400" w:lineRule="exact"/>
              <w:jc w:val="center"/>
              <w:rPr>
                <w:rFonts w:hint="eastAsia" w:ascii="宋体" w:hAnsi="宋体"/>
                <w:color w:val="auto"/>
                <w:szCs w:val="21"/>
                <w:highlight w:val="none"/>
              </w:rPr>
            </w:pPr>
            <w:bookmarkStart w:id="61" w:name="_18"/>
            <w:bookmarkEnd w:id="61"/>
            <w:r>
              <w:rPr>
                <w:rFonts w:hint="eastAsia" w:ascii="宋体" w:hAnsi="宋体"/>
                <w:color w:val="auto"/>
                <w:szCs w:val="21"/>
                <w:highlight w:val="none"/>
              </w:rPr>
              <w:t>18</w:t>
            </w:r>
            <w:r>
              <w:rPr>
                <w:rFonts w:ascii="宋体" w:hAnsi="宋体"/>
                <w:color w:val="auto"/>
                <w:szCs w:val="21"/>
                <w:highlight w:val="none"/>
              </w:rPr>
              <w:t>.1</w:t>
            </w:r>
          </w:p>
        </w:tc>
        <w:tc>
          <w:tcPr>
            <w:tcW w:w="8708" w:type="dxa"/>
            <w:tcBorders>
              <w:top w:val="single" w:color="auto" w:sz="4" w:space="0"/>
              <w:left w:val="single" w:color="auto" w:sz="4" w:space="0"/>
              <w:bottom w:val="single" w:color="auto" w:sz="4" w:space="0"/>
              <w:right w:val="single" w:color="auto" w:sz="4" w:space="0"/>
            </w:tcBorders>
            <w:vAlign w:val="center"/>
          </w:tcPr>
          <w:p w14:paraId="2C23DD42">
            <w:pPr>
              <w:snapToGrid w:val="0"/>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本项目收取投标保证金，具体规定如下：</w:t>
            </w:r>
          </w:p>
          <w:p w14:paraId="76EBFAC0">
            <w:pPr>
              <w:snapToGrid w:val="0"/>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投标保证金人民币：</w:t>
            </w:r>
            <w:r>
              <w:rPr>
                <w:rFonts w:hint="eastAsia" w:ascii="宋体" w:hAnsi="宋体" w:cs="宋体"/>
                <w:color w:val="auto"/>
                <w:kern w:val="0"/>
                <w:szCs w:val="21"/>
                <w:highlight w:val="none"/>
                <w:u w:val="single"/>
              </w:rPr>
              <w:t>2800元。</w:t>
            </w:r>
          </w:p>
          <w:p w14:paraId="55FF866B">
            <w:pPr>
              <w:snapToGrid w:val="0"/>
              <w:spacing w:line="400" w:lineRule="exact"/>
              <w:rPr>
                <w:rFonts w:hint="eastAsia" w:ascii="宋体" w:hAnsi="宋体"/>
                <w:color w:val="auto"/>
                <w:szCs w:val="21"/>
                <w:highlight w:val="none"/>
              </w:rPr>
            </w:pPr>
            <w:r>
              <w:rPr>
                <w:rFonts w:hint="eastAsia" w:ascii="宋体" w:hAnsi="宋体" w:cs="宋体"/>
                <w:color w:val="auto"/>
                <w:kern w:val="0"/>
                <w:szCs w:val="21"/>
                <w:highlight w:val="none"/>
              </w:rPr>
              <w:t>投标保证金的交纳方式：银行转账、支票、汇票、本票或者金融、担保机构出具的保函，禁止采用现钞方式。采用银行转账方式的，在投标截止时间前交至指定账户并且到账（</w:t>
            </w:r>
            <w:r>
              <w:rPr>
                <w:rFonts w:hint="eastAsia" w:ascii="宋体" w:hAnsi="宋体" w:cs="宋体"/>
                <w:color w:val="auto"/>
                <w:szCs w:val="21"/>
                <w:highlight w:val="none"/>
              </w:rPr>
              <w:t>开户名称：广西科文招标有限公司，开户银行：广西北部湾银行南宁分行营业部，银行账号：0101012090615689</w:t>
            </w:r>
            <w:r>
              <w:rPr>
                <w:rFonts w:hint="eastAsia" w:ascii="宋体" w:hAnsi="宋体" w:cs="宋体"/>
                <w:color w:val="auto"/>
                <w:kern w:val="0"/>
                <w:szCs w:val="21"/>
                <w:highlight w:val="none"/>
              </w:rPr>
              <w:t>）；采用支票、汇票、本票或者保函等方式的，在投标截止时间前，投标人必须递交支票、汇票、本票或者保函原件。否则视为无效投标保证金。</w:t>
            </w:r>
          </w:p>
          <w:p w14:paraId="46D49BA6">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相关要求：</w:t>
            </w:r>
          </w:p>
          <w:p w14:paraId="656414E8">
            <w:pPr>
              <w:pStyle w:val="18"/>
              <w:spacing w:line="400" w:lineRule="exact"/>
              <w:rPr>
                <w:rFonts w:hint="eastAsia" w:ascii="宋体" w:hAnsi="宋体"/>
                <w:color w:val="auto"/>
                <w:szCs w:val="21"/>
                <w:highlight w:val="none"/>
              </w:rPr>
            </w:pPr>
            <w:r>
              <w:rPr>
                <w:rFonts w:hint="eastAsia" w:ascii="宋体" w:hAnsi="宋体"/>
                <w:color w:val="auto"/>
                <w:szCs w:val="21"/>
                <w:highlight w:val="none"/>
              </w:rPr>
              <w:t>1、投标保证金采用银行转账交纳方式的，在投标截止时间前交至指定账户并且到账，投标人应将银行转账底单的复印件作为投标保证金提交凭证，</w:t>
            </w:r>
            <w:r>
              <w:rPr>
                <w:rFonts w:ascii="宋体" w:hAnsi="宋体"/>
                <w:color w:val="auto"/>
                <w:szCs w:val="21"/>
                <w:highlight w:val="none"/>
              </w:rPr>
              <w:t>放置于</w:t>
            </w:r>
            <w:r>
              <w:rPr>
                <w:rFonts w:hint="eastAsia" w:ascii="宋体" w:hAnsi="宋体"/>
                <w:color w:val="auto"/>
                <w:szCs w:val="21"/>
                <w:highlight w:val="none"/>
              </w:rPr>
              <w:t>商务文件</w:t>
            </w:r>
            <w:r>
              <w:rPr>
                <w:rFonts w:ascii="宋体" w:hAnsi="宋体"/>
                <w:color w:val="auto"/>
                <w:szCs w:val="21"/>
                <w:highlight w:val="none"/>
              </w:rPr>
              <w:t>中</w:t>
            </w:r>
            <w:r>
              <w:rPr>
                <w:rFonts w:hint="eastAsia" w:ascii="宋体" w:hAnsi="宋体"/>
                <w:color w:val="auto"/>
                <w:szCs w:val="21"/>
                <w:highlight w:val="none"/>
              </w:rPr>
              <w:t>，</w:t>
            </w:r>
            <w:r>
              <w:rPr>
                <w:rFonts w:hint="eastAsia" w:ascii="宋体" w:hAnsi="宋体"/>
                <w:b/>
                <w:color w:val="auto"/>
                <w:szCs w:val="21"/>
                <w:highlight w:val="none"/>
              </w:rPr>
              <w:t>否则投标无效</w:t>
            </w:r>
            <w:r>
              <w:rPr>
                <w:rFonts w:hint="eastAsia" w:ascii="宋体" w:hAnsi="宋体"/>
                <w:color w:val="auto"/>
                <w:szCs w:val="21"/>
                <w:highlight w:val="none"/>
              </w:rPr>
              <w:t>。</w:t>
            </w:r>
          </w:p>
          <w:p w14:paraId="4B82EDCF">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2、投标保证金采用支票、汇票、本票或者金融、担保机构出具的保函交纳方式的，投标人应将支票、汇票、本票或者金融、担保机构出具的保函的复印件作为投标保证金提交凭证，放置于商务文件中，</w:t>
            </w:r>
            <w:r>
              <w:rPr>
                <w:rFonts w:hint="eastAsia" w:ascii="宋体" w:hAnsi="宋体"/>
                <w:b/>
                <w:color w:val="auto"/>
                <w:szCs w:val="21"/>
                <w:highlight w:val="none"/>
              </w:rPr>
              <w:t>否则投标无效</w:t>
            </w:r>
            <w:r>
              <w:rPr>
                <w:rFonts w:hint="eastAsia" w:ascii="宋体" w:hAnsi="宋体"/>
                <w:color w:val="auto"/>
                <w:szCs w:val="21"/>
                <w:highlight w:val="none"/>
              </w:rPr>
              <w:t>。</w:t>
            </w:r>
            <w:r>
              <w:rPr>
                <w:rFonts w:hint="eastAsia" w:ascii="宋体" w:hAnsi="宋体"/>
                <w:b/>
                <w:color w:val="auto"/>
                <w:szCs w:val="21"/>
                <w:highlight w:val="none"/>
              </w:rPr>
              <w:t>投标人必须在投标截止时间前将支票、汇票、本票或者金融、担保机构出具的保函原件提交给采购代理机构，由采购代理机构向投标人出具回执，并妥善保管。</w:t>
            </w:r>
          </w:p>
          <w:p w14:paraId="78E9FCC1">
            <w:pPr>
              <w:snapToGrid w:val="0"/>
              <w:spacing w:line="400" w:lineRule="exact"/>
              <w:rPr>
                <w:rFonts w:hint="eastAsia" w:ascii="宋体" w:hAnsi="宋体"/>
                <w:color w:val="auto"/>
                <w:szCs w:val="21"/>
                <w:highlight w:val="none"/>
              </w:rPr>
            </w:pPr>
            <w:r>
              <w:rPr>
                <w:rFonts w:hint="eastAsia" w:ascii="宋体" w:hAnsi="宋体" w:cs="宋体"/>
                <w:color w:val="auto"/>
                <w:szCs w:val="21"/>
                <w:highlight w:val="none"/>
              </w:rPr>
              <w:t>3、投标人为联合体的，可以由联合体中的一方或者多方共同交纳投标保证金，其交纳的保证金对联合体各方均具有约束力。</w:t>
            </w:r>
          </w:p>
          <w:p w14:paraId="43928128">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 xml:space="preserve">备注： </w:t>
            </w:r>
          </w:p>
          <w:p w14:paraId="6671BDE9">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1、投标保证金在投标截止时间后提交的，或者不按规定交纳方式交纳的，或者未足额交纳的（包含保函额度不足的），视为无效投标保证金。</w:t>
            </w:r>
          </w:p>
          <w:p w14:paraId="348F8071">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2、投标人采用现钞方式或者从个人账户（自然人投标除外）转出的投标保证金，视为无效投标保证金。</w:t>
            </w:r>
          </w:p>
          <w:p w14:paraId="003F3F01">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3、支票、汇票或者本票出现无效或者背书情形的，视为无效投标保证金。</w:t>
            </w:r>
          </w:p>
          <w:p w14:paraId="1560B593">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4、保函有效期低于投标有效期的，视为无效投标保证金。</w:t>
            </w:r>
          </w:p>
          <w:p w14:paraId="3A228253">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5、采用金融、担保机构出具保函的，必须为无条件保函，否则视为无效投标保证金。</w:t>
            </w:r>
          </w:p>
          <w:p w14:paraId="58EE7BA8">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6、保证金凭证应注明正确的项目编号、分标号（如有）等信息，否则，信息不明确或有误的将可能被视为无效投标保证金，并有可能影响保证金的及时退付。</w:t>
            </w:r>
          </w:p>
        </w:tc>
      </w:tr>
      <w:tr w14:paraId="0056BF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4F5E8EF">
            <w:pPr>
              <w:spacing w:line="400" w:lineRule="exact"/>
              <w:jc w:val="center"/>
              <w:rPr>
                <w:rFonts w:hint="eastAsia" w:ascii="宋体" w:hAnsi="宋体"/>
                <w:color w:val="auto"/>
                <w:szCs w:val="21"/>
                <w:highlight w:val="none"/>
              </w:rPr>
            </w:pPr>
            <w:bookmarkStart w:id="62" w:name="_19.2"/>
            <w:bookmarkEnd w:id="62"/>
            <w:r>
              <w:rPr>
                <w:rFonts w:hint="eastAsia" w:ascii="宋体" w:hAnsi="宋体"/>
                <w:color w:val="auto"/>
                <w:szCs w:val="21"/>
                <w:highlight w:val="none"/>
              </w:rPr>
              <w:t>19.2</w:t>
            </w:r>
          </w:p>
        </w:tc>
        <w:tc>
          <w:tcPr>
            <w:tcW w:w="8708" w:type="dxa"/>
            <w:tcBorders>
              <w:top w:val="single" w:color="auto" w:sz="4" w:space="0"/>
              <w:left w:val="single" w:color="auto" w:sz="4" w:space="0"/>
              <w:bottom w:val="single" w:color="auto" w:sz="4" w:space="0"/>
              <w:right w:val="single" w:color="auto" w:sz="4" w:space="0"/>
            </w:tcBorders>
            <w:vAlign w:val="center"/>
          </w:tcPr>
          <w:p w14:paraId="28F5FF7A">
            <w:pPr>
              <w:autoSpaceDE w:val="0"/>
              <w:autoSpaceDN w:val="0"/>
              <w:snapToGrid w:val="0"/>
              <w:spacing w:line="400" w:lineRule="exact"/>
              <w:textAlignment w:val="bottom"/>
              <w:rPr>
                <w:rFonts w:hint="eastAsia" w:ascii="宋体" w:hAnsi="宋体"/>
                <w:color w:val="auto"/>
                <w:szCs w:val="21"/>
                <w:highlight w:val="none"/>
              </w:rPr>
            </w:pPr>
            <w:r>
              <w:rPr>
                <w:rFonts w:hint="eastAsia" w:hAnsi="宋体"/>
                <w:color w:val="auto"/>
                <w:szCs w:val="21"/>
                <w:highlight w:val="none"/>
              </w:rPr>
              <w:t>投标文件应按报价文件、资格证明文件、商务文件、技术文件分别编制，</w:t>
            </w:r>
            <w:r>
              <w:rPr>
                <w:rFonts w:hint="eastAsia" w:ascii="宋体" w:hAnsi="宋体" w:cs="宋体"/>
                <w:color w:val="auto"/>
                <w:szCs w:val="21"/>
                <w:highlight w:val="none"/>
                <w:lang w:bidi="ar"/>
              </w:rPr>
              <w:t>并按广西政府采购云平台的要求编制、加密、上传。</w:t>
            </w:r>
          </w:p>
        </w:tc>
      </w:tr>
      <w:tr w14:paraId="0D71BB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AF651A8">
            <w:pPr>
              <w:spacing w:line="400" w:lineRule="exact"/>
              <w:jc w:val="center"/>
              <w:rPr>
                <w:rFonts w:hint="eastAsia" w:ascii="宋体" w:hAnsi="宋体"/>
                <w:color w:val="auto"/>
                <w:szCs w:val="21"/>
                <w:highlight w:val="none"/>
              </w:rPr>
            </w:pPr>
            <w:r>
              <w:rPr>
                <w:rFonts w:hint="eastAsia" w:ascii="宋体" w:hAnsi="宋体"/>
                <w:color w:val="auto"/>
                <w:szCs w:val="21"/>
                <w:highlight w:val="none"/>
              </w:rPr>
              <w:t>20.1</w:t>
            </w:r>
          </w:p>
        </w:tc>
        <w:tc>
          <w:tcPr>
            <w:tcW w:w="8708" w:type="dxa"/>
            <w:tcBorders>
              <w:top w:val="single" w:color="auto" w:sz="4" w:space="0"/>
              <w:left w:val="single" w:color="auto" w:sz="4" w:space="0"/>
              <w:bottom w:val="single" w:color="auto" w:sz="4" w:space="0"/>
              <w:right w:val="single" w:color="auto" w:sz="4" w:space="0"/>
            </w:tcBorders>
            <w:vAlign w:val="center"/>
          </w:tcPr>
          <w:p w14:paraId="76A75B98">
            <w:pPr>
              <w:autoSpaceDE w:val="0"/>
              <w:autoSpaceDN w:val="0"/>
              <w:snapToGrid w:val="0"/>
              <w:spacing w:line="400" w:lineRule="exact"/>
              <w:textAlignment w:val="bottom"/>
              <w:rPr>
                <w:rFonts w:hint="eastAsia" w:hAnsi="宋体"/>
                <w:color w:val="auto"/>
                <w:szCs w:val="21"/>
                <w:highlight w:val="none"/>
              </w:rPr>
            </w:pPr>
            <w:r>
              <w:rPr>
                <w:rFonts w:hint="eastAsia" w:ascii="宋体" w:hAnsi="宋体"/>
                <w:color w:val="auto"/>
                <w:szCs w:val="21"/>
                <w:highlight w:val="none"/>
              </w:rPr>
              <w:t>电子投标文件应在制作完成后，投标人应按广西政府采购云平台的要求进行加密，并在规定时间内解密，否则，由此产生的后果由投标人自行负责。</w:t>
            </w:r>
          </w:p>
        </w:tc>
      </w:tr>
      <w:tr w14:paraId="6DD978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5F450CB5">
            <w:pPr>
              <w:spacing w:line="400" w:lineRule="exact"/>
              <w:jc w:val="center"/>
              <w:rPr>
                <w:rFonts w:hint="eastAsia" w:ascii="宋体" w:hAnsi="宋体"/>
                <w:color w:val="auto"/>
                <w:szCs w:val="21"/>
                <w:highlight w:val="none"/>
              </w:rPr>
            </w:pPr>
            <w:bookmarkStart w:id="63" w:name="_21.1"/>
            <w:bookmarkEnd w:id="63"/>
            <w:r>
              <w:rPr>
                <w:rFonts w:hint="eastAsia" w:ascii="宋体" w:hAnsi="宋体"/>
                <w:color w:val="auto"/>
                <w:szCs w:val="21"/>
                <w:highlight w:val="none"/>
              </w:rPr>
              <w:t>21.1</w:t>
            </w:r>
          </w:p>
        </w:tc>
        <w:tc>
          <w:tcPr>
            <w:tcW w:w="8708" w:type="dxa"/>
            <w:tcBorders>
              <w:top w:val="single" w:color="auto" w:sz="4" w:space="0"/>
              <w:left w:val="single" w:color="auto" w:sz="4" w:space="0"/>
              <w:bottom w:val="single" w:color="auto" w:sz="4" w:space="0"/>
              <w:right w:val="single" w:color="auto" w:sz="4" w:space="0"/>
            </w:tcBorders>
            <w:vAlign w:val="center"/>
          </w:tcPr>
          <w:p w14:paraId="77056001">
            <w:pPr>
              <w:snapToGrid w:val="0"/>
              <w:spacing w:line="400" w:lineRule="exact"/>
              <w:rPr>
                <w:rFonts w:hint="eastAsia" w:ascii="宋体" w:hAnsi="宋体"/>
                <w:color w:val="auto"/>
                <w:szCs w:val="21"/>
                <w:highlight w:val="none"/>
                <w:u w:val="single"/>
              </w:rPr>
            </w:pPr>
            <w:r>
              <w:rPr>
                <w:rFonts w:hint="eastAsia" w:ascii="宋体" w:hAnsi="宋体"/>
                <w:color w:val="auto"/>
                <w:szCs w:val="21"/>
                <w:highlight w:val="none"/>
              </w:rPr>
              <w:t>1、投标截止时间：详见招标公告</w:t>
            </w:r>
          </w:p>
          <w:p w14:paraId="244107EB">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2、投标地点：详见招标公告</w:t>
            </w:r>
          </w:p>
        </w:tc>
      </w:tr>
      <w:tr w14:paraId="13C110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AE113A0">
            <w:pPr>
              <w:spacing w:line="400" w:lineRule="exact"/>
              <w:jc w:val="center"/>
              <w:rPr>
                <w:rFonts w:hint="eastAsia" w:ascii="宋体" w:hAnsi="宋体"/>
                <w:color w:val="auto"/>
                <w:szCs w:val="21"/>
                <w:highlight w:val="none"/>
              </w:rPr>
            </w:pPr>
            <w:bookmarkStart w:id="64" w:name="_23"/>
            <w:bookmarkEnd w:id="64"/>
            <w:r>
              <w:rPr>
                <w:rFonts w:hint="eastAsia" w:ascii="宋体" w:hAnsi="宋体"/>
                <w:color w:val="auto"/>
                <w:szCs w:val="21"/>
                <w:highlight w:val="none"/>
              </w:rPr>
              <w:t>23</w:t>
            </w:r>
          </w:p>
        </w:tc>
        <w:tc>
          <w:tcPr>
            <w:tcW w:w="8708" w:type="dxa"/>
            <w:tcBorders>
              <w:top w:val="single" w:color="auto" w:sz="4" w:space="0"/>
              <w:left w:val="single" w:color="auto" w:sz="4" w:space="0"/>
              <w:bottom w:val="single" w:color="auto" w:sz="4" w:space="0"/>
              <w:right w:val="single" w:color="auto" w:sz="4" w:space="0"/>
            </w:tcBorders>
            <w:vAlign w:val="center"/>
          </w:tcPr>
          <w:p w14:paraId="37BAB1F9">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1、开标时间：详见招标公告</w:t>
            </w:r>
          </w:p>
          <w:p w14:paraId="104A76ED">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2、开标地点：详见招标公告</w:t>
            </w:r>
          </w:p>
        </w:tc>
      </w:tr>
      <w:tr w14:paraId="717B12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0B34217">
            <w:pPr>
              <w:spacing w:line="400" w:lineRule="exact"/>
              <w:jc w:val="center"/>
              <w:rPr>
                <w:rFonts w:hint="eastAsia" w:ascii="宋体" w:hAnsi="宋体"/>
                <w:color w:val="auto"/>
                <w:szCs w:val="21"/>
                <w:highlight w:val="none"/>
              </w:rPr>
            </w:pPr>
            <w:r>
              <w:rPr>
                <w:rFonts w:hint="eastAsia" w:ascii="宋体" w:hAnsi="宋体"/>
                <w:bCs/>
                <w:color w:val="auto"/>
                <w:szCs w:val="21"/>
                <w:highlight w:val="none"/>
              </w:rPr>
              <w:t>24.2</w:t>
            </w:r>
          </w:p>
        </w:tc>
        <w:tc>
          <w:tcPr>
            <w:tcW w:w="8708" w:type="dxa"/>
            <w:tcBorders>
              <w:top w:val="single" w:color="auto" w:sz="4" w:space="0"/>
              <w:left w:val="single" w:color="auto" w:sz="4" w:space="0"/>
              <w:bottom w:val="single" w:color="auto" w:sz="4" w:space="0"/>
              <w:right w:val="single" w:color="auto" w:sz="4" w:space="0"/>
            </w:tcBorders>
            <w:vAlign w:val="center"/>
          </w:tcPr>
          <w:p w14:paraId="27FB5F13">
            <w:pPr>
              <w:snapToGrid w:val="0"/>
              <w:spacing w:line="400" w:lineRule="exact"/>
              <w:rPr>
                <w:rFonts w:hint="eastAsia" w:ascii="宋体" w:hAnsi="宋体"/>
                <w:color w:val="auto"/>
                <w:szCs w:val="21"/>
                <w:highlight w:val="none"/>
              </w:rPr>
            </w:pPr>
            <w:r>
              <w:rPr>
                <w:rFonts w:hint="eastAsia" w:ascii="宋体" w:hAnsi="宋体"/>
                <w:bCs/>
                <w:color w:val="auto"/>
                <w:szCs w:val="21"/>
                <w:highlight w:val="none"/>
              </w:rPr>
              <w:t>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b/>
                <w:bCs/>
                <w:color w:val="auto"/>
                <w:szCs w:val="21"/>
                <w:highlight w:val="none"/>
              </w:rPr>
              <w:t>投标人的法定代表人或其委托代理人须携带加密时所用的CA锁准时登录到广西政府采购云平台电子开标大厅签到</w:t>
            </w:r>
            <w:r>
              <w:rPr>
                <w:rFonts w:hint="eastAsia" w:ascii="宋体" w:hAnsi="宋体" w:cs="宋体"/>
                <w:b/>
                <w:color w:val="auto"/>
                <w:szCs w:val="21"/>
                <w:highlight w:val="none"/>
              </w:rPr>
              <w:t>并在发起解密</w:t>
            </w:r>
            <w:r>
              <w:rPr>
                <w:rFonts w:hint="eastAsia" w:ascii="宋体" w:hAnsi="宋体"/>
                <w:b/>
                <w:bCs/>
                <w:color w:val="auto"/>
                <w:szCs w:val="21"/>
                <w:highlight w:val="none"/>
              </w:rPr>
              <w:t>通知</w:t>
            </w:r>
            <w:r>
              <w:rPr>
                <w:rFonts w:hint="eastAsia" w:ascii="宋体" w:hAnsi="宋体" w:cs="宋体"/>
                <w:b/>
                <w:color w:val="auto"/>
                <w:szCs w:val="21"/>
                <w:highlight w:val="none"/>
              </w:rPr>
              <w:t>之时起30分钟内完成</w:t>
            </w:r>
            <w:r>
              <w:rPr>
                <w:rFonts w:hint="eastAsia" w:ascii="宋体" w:hAnsi="宋体"/>
                <w:b/>
                <w:bCs/>
                <w:color w:val="auto"/>
                <w:szCs w:val="21"/>
                <w:highlight w:val="none"/>
              </w:rPr>
              <w:t>对电子投标文件解密。投标文件未按时解密的，视为无效投标。</w:t>
            </w:r>
          </w:p>
        </w:tc>
      </w:tr>
      <w:tr w14:paraId="000451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993C7B5">
            <w:pPr>
              <w:spacing w:line="400" w:lineRule="exact"/>
              <w:jc w:val="center"/>
              <w:rPr>
                <w:rFonts w:hint="eastAsia" w:ascii="宋体" w:hAnsi="宋体"/>
                <w:color w:val="auto"/>
                <w:szCs w:val="21"/>
                <w:highlight w:val="none"/>
              </w:rPr>
            </w:pPr>
            <w:bookmarkStart w:id="65" w:name="_25.3"/>
            <w:bookmarkEnd w:id="65"/>
            <w:r>
              <w:rPr>
                <w:rFonts w:hint="eastAsia" w:ascii="宋体" w:hAnsi="宋体"/>
                <w:color w:val="auto"/>
                <w:szCs w:val="21"/>
                <w:highlight w:val="none"/>
              </w:rPr>
              <w:t>25.3（3）</w:t>
            </w:r>
          </w:p>
        </w:tc>
        <w:tc>
          <w:tcPr>
            <w:tcW w:w="8708" w:type="dxa"/>
            <w:tcBorders>
              <w:top w:val="single" w:color="auto" w:sz="4" w:space="0"/>
              <w:left w:val="single" w:color="auto" w:sz="4" w:space="0"/>
              <w:bottom w:val="single" w:color="auto" w:sz="4" w:space="0"/>
              <w:right w:val="single" w:color="auto" w:sz="4" w:space="0"/>
            </w:tcBorders>
            <w:vAlign w:val="center"/>
          </w:tcPr>
          <w:p w14:paraId="556117EF">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08E019F9">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查询渠道：</w:t>
            </w:r>
            <w:r>
              <w:rPr>
                <w:rFonts w:ascii="宋体" w:hAnsi="宋体"/>
                <w:color w:val="auto"/>
                <w:szCs w:val="21"/>
                <w:highlight w:val="none"/>
              </w:rPr>
              <w:t>“信用中国”网站（www.creditchina.gov.cn）、中国政府采购网（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57"/>
                <w:rFonts w:ascii="宋体" w:hAnsi="宋体"/>
                <w:color w:val="auto"/>
                <w:szCs w:val="21"/>
                <w:highlight w:val="none"/>
              </w:rPr>
              <w:t>www.ccgp.gov.cn</w:t>
            </w:r>
            <w:r>
              <w:rPr>
                <w:rStyle w:val="57"/>
                <w:rFonts w:ascii="宋体" w:hAnsi="宋体"/>
                <w:color w:val="auto"/>
                <w:szCs w:val="21"/>
                <w:highlight w:val="none"/>
              </w:rPr>
              <w:fldChar w:fldCharType="end"/>
            </w:r>
            <w:r>
              <w:rPr>
                <w:rFonts w:ascii="宋体" w:hAnsi="宋体"/>
                <w:color w:val="auto"/>
                <w:szCs w:val="21"/>
                <w:highlight w:val="none"/>
              </w:rPr>
              <w:t>）</w:t>
            </w:r>
            <w:r>
              <w:rPr>
                <w:rFonts w:hint="eastAsia" w:ascii="宋体" w:hAnsi="宋体"/>
                <w:color w:val="auto"/>
                <w:szCs w:val="21"/>
                <w:highlight w:val="none"/>
              </w:rPr>
              <w:t>。</w:t>
            </w:r>
          </w:p>
          <w:p w14:paraId="18511963">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信用查询截止时点：</w:t>
            </w:r>
            <w:r>
              <w:rPr>
                <w:rFonts w:ascii="宋体" w:hAnsi="宋体" w:cs="宋体"/>
                <w:color w:val="auto"/>
                <w:szCs w:val="21"/>
                <w:highlight w:val="none"/>
              </w:rPr>
              <w:t>资格审查结束前</w:t>
            </w:r>
            <w:r>
              <w:rPr>
                <w:rFonts w:hint="eastAsia" w:ascii="宋体" w:hAnsi="宋体" w:cs="宋体"/>
                <w:color w:val="auto"/>
                <w:szCs w:val="21"/>
                <w:highlight w:val="none"/>
              </w:rPr>
              <w:t>。</w:t>
            </w:r>
          </w:p>
          <w:p w14:paraId="7A4799B8">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查询记录和证据留存方式：</w:t>
            </w:r>
            <w:r>
              <w:rPr>
                <w:rFonts w:hint="eastAsia" w:ascii="宋体" w:hAnsi="宋体" w:cs="宋体"/>
                <w:color w:val="auto"/>
                <w:szCs w:val="21"/>
                <w:highlight w:val="none"/>
              </w:rPr>
              <w:t>将查询网站中的查询记录截图并作为评审资料保存。</w:t>
            </w:r>
          </w:p>
          <w:p w14:paraId="27E10EDF">
            <w:pPr>
              <w:snapToGrid w:val="0"/>
              <w:spacing w:line="400" w:lineRule="exact"/>
              <w:rPr>
                <w:rFonts w:hint="eastAsia" w:ascii="宋体" w:hAnsi="宋体"/>
                <w:b/>
                <w:color w:val="auto"/>
                <w:szCs w:val="21"/>
                <w:highlight w:val="none"/>
              </w:rPr>
            </w:pPr>
            <w:r>
              <w:rPr>
                <w:rFonts w:hint="eastAsia" w:ascii="宋体" w:hAnsi="宋体"/>
                <w:color w:val="auto"/>
                <w:szCs w:val="21"/>
                <w:highlight w:val="none"/>
              </w:rPr>
              <w:t>信用信息使用规则：根据财政部《关于在政府采购活动中查询及使用信用记录有关问题的通知》（财库〔2016〕125号）的规定，</w:t>
            </w:r>
            <w:r>
              <w:rPr>
                <w:rFonts w:hint="eastAsia" w:ascii="宋体" w:hAnsi="宋体" w:cs="宋体"/>
                <w:color w:val="auto"/>
                <w:szCs w:val="21"/>
                <w:highlight w:val="none"/>
                <w:lang w:bidi="ar"/>
              </w:rPr>
              <w:t>对在“信用中国”网站(www.creditchina.gov.cn)、中国政府采购网(www.ccgp.gov.cn)被列入失信被执行人、重大税收违法失信主体名单、政府采购严重违法失信行为记录名单及其他不符合《中华人民共和国政府采购法》第二十二条规定条件的投标人，不得参与政府采购活动。</w:t>
            </w:r>
          </w:p>
        </w:tc>
      </w:tr>
      <w:tr w14:paraId="3DF48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0B9BEE7">
            <w:pPr>
              <w:spacing w:line="400" w:lineRule="exact"/>
              <w:jc w:val="center"/>
              <w:rPr>
                <w:rFonts w:hint="eastAsia" w:ascii="宋体" w:hAnsi="宋体"/>
                <w:color w:val="auto"/>
                <w:szCs w:val="21"/>
                <w:highlight w:val="none"/>
              </w:rPr>
            </w:pPr>
            <w:bookmarkStart w:id="66" w:name="_26"/>
            <w:bookmarkEnd w:id="66"/>
            <w:r>
              <w:rPr>
                <w:rFonts w:hint="eastAsia" w:ascii="宋体" w:hAnsi="宋体"/>
                <w:color w:val="auto"/>
                <w:szCs w:val="21"/>
                <w:highlight w:val="none"/>
              </w:rPr>
              <w:t>26</w:t>
            </w:r>
          </w:p>
        </w:tc>
        <w:tc>
          <w:tcPr>
            <w:tcW w:w="8708" w:type="dxa"/>
            <w:tcBorders>
              <w:top w:val="single" w:color="auto" w:sz="4" w:space="0"/>
              <w:left w:val="single" w:color="auto" w:sz="4" w:space="0"/>
              <w:bottom w:val="single" w:color="auto" w:sz="4" w:space="0"/>
              <w:right w:val="single" w:color="auto" w:sz="4" w:space="0"/>
            </w:tcBorders>
            <w:vAlign w:val="center"/>
          </w:tcPr>
          <w:p w14:paraId="30DD8999">
            <w:pPr>
              <w:autoSpaceDE w:val="0"/>
              <w:autoSpaceDN w:val="0"/>
              <w:snapToGrid w:val="0"/>
              <w:spacing w:line="400" w:lineRule="exact"/>
              <w:textAlignment w:val="bottom"/>
              <w:rPr>
                <w:rFonts w:hint="eastAsia" w:ascii="宋体" w:hAnsi="宋体" w:cs="宋体"/>
                <w:color w:val="auto"/>
                <w:szCs w:val="21"/>
                <w:highlight w:val="none"/>
                <w:lang w:bidi="ar"/>
              </w:rPr>
            </w:pPr>
            <w:r>
              <w:rPr>
                <w:rFonts w:hint="eastAsia" w:ascii="宋体" w:hAnsi="宋体" w:cs="宋体"/>
                <w:color w:val="auto"/>
                <w:szCs w:val="21"/>
                <w:highlight w:val="none"/>
                <w:lang w:bidi="ar"/>
              </w:rPr>
              <w:t>评标委员会的人数：</w:t>
            </w:r>
            <w:r>
              <w:rPr>
                <w:rFonts w:hint="eastAsia" w:ascii="宋体" w:hAnsi="宋体" w:cs="宋体"/>
                <w:color w:val="0000FF"/>
                <w:szCs w:val="21"/>
                <w:highlight w:val="none"/>
                <w:lang w:val="en-US" w:eastAsia="zh-CN" w:bidi="ar"/>
              </w:rPr>
              <w:t>5</w:t>
            </w:r>
            <w:r>
              <w:rPr>
                <w:rFonts w:hint="eastAsia" w:ascii="宋体" w:hAnsi="宋体" w:cs="宋体"/>
                <w:color w:val="0000FF"/>
                <w:szCs w:val="21"/>
                <w:highlight w:val="none"/>
                <w:lang w:bidi="ar"/>
              </w:rPr>
              <w:t>人</w:t>
            </w:r>
            <w:r>
              <w:rPr>
                <w:rFonts w:hint="eastAsia" w:ascii="宋体" w:hAnsi="宋体" w:cs="宋体"/>
                <w:color w:val="auto"/>
                <w:szCs w:val="21"/>
                <w:highlight w:val="none"/>
                <w:lang w:bidi="ar"/>
              </w:rPr>
              <w:t>。</w:t>
            </w:r>
          </w:p>
        </w:tc>
      </w:tr>
      <w:tr w14:paraId="656BE9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8DBA6FE">
            <w:pPr>
              <w:spacing w:line="400" w:lineRule="exact"/>
              <w:jc w:val="center"/>
              <w:rPr>
                <w:rFonts w:hint="eastAsia" w:ascii="宋体" w:hAnsi="宋体"/>
                <w:color w:val="auto"/>
                <w:szCs w:val="21"/>
                <w:highlight w:val="none"/>
              </w:rPr>
            </w:pPr>
            <w:bookmarkStart w:id="67" w:name="_28.3"/>
            <w:bookmarkEnd w:id="67"/>
            <w:r>
              <w:rPr>
                <w:rFonts w:ascii="宋体" w:hAnsi="宋体"/>
                <w:color w:val="auto"/>
                <w:szCs w:val="21"/>
                <w:highlight w:val="none"/>
              </w:rPr>
              <w:t>29.1</w:t>
            </w:r>
          </w:p>
        </w:tc>
        <w:tc>
          <w:tcPr>
            <w:tcW w:w="8708" w:type="dxa"/>
            <w:tcBorders>
              <w:top w:val="single" w:color="auto" w:sz="4" w:space="0"/>
              <w:left w:val="single" w:color="auto" w:sz="4" w:space="0"/>
              <w:bottom w:val="single" w:color="auto" w:sz="4" w:space="0"/>
              <w:right w:val="single" w:color="auto" w:sz="4" w:space="0"/>
            </w:tcBorders>
            <w:vAlign w:val="center"/>
          </w:tcPr>
          <w:p w14:paraId="4DA24633">
            <w:pPr>
              <w:autoSpaceDE w:val="0"/>
              <w:autoSpaceDN w:val="0"/>
              <w:snapToGrid w:val="0"/>
              <w:spacing w:line="400" w:lineRule="exact"/>
              <w:textAlignment w:val="bottom"/>
              <w:rPr>
                <w:rFonts w:hint="eastAsia" w:ascii="宋体" w:hAnsi="宋体" w:cs="宋体"/>
                <w:color w:val="auto"/>
                <w:szCs w:val="21"/>
                <w:highlight w:val="none"/>
                <w:lang w:bidi="ar"/>
              </w:rPr>
            </w:pPr>
            <w:r>
              <w:rPr>
                <w:rFonts w:hint="eastAsia" w:ascii="宋体" w:hAnsi="宋体" w:cs="宋体"/>
                <w:color w:val="auto"/>
                <w:szCs w:val="21"/>
                <w:highlight w:val="none"/>
                <w:lang w:bidi="ar"/>
              </w:rPr>
              <w:t>评标方法：综合评分法</w:t>
            </w:r>
          </w:p>
        </w:tc>
      </w:tr>
      <w:tr w14:paraId="098E56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restart"/>
            <w:tcBorders>
              <w:top w:val="single" w:color="auto" w:sz="4" w:space="0"/>
              <w:left w:val="single" w:color="auto" w:sz="4" w:space="0"/>
              <w:right w:val="single" w:color="auto" w:sz="4" w:space="0"/>
            </w:tcBorders>
            <w:vAlign w:val="center"/>
          </w:tcPr>
          <w:p w14:paraId="77F8C816">
            <w:pPr>
              <w:spacing w:line="400" w:lineRule="exact"/>
              <w:jc w:val="center"/>
              <w:rPr>
                <w:rFonts w:hint="eastAsia" w:ascii="宋体" w:hAnsi="宋体"/>
                <w:color w:val="auto"/>
                <w:szCs w:val="21"/>
                <w:highlight w:val="none"/>
              </w:rPr>
            </w:pPr>
            <w:bookmarkStart w:id="68" w:name="_29.2.2（2）"/>
            <w:bookmarkEnd w:id="68"/>
            <w:r>
              <w:rPr>
                <w:rFonts w:hint="eastAsia" w:ascii="宋体" w:hAnsi="宋体"/>
                <w:color w:val="auto"/>
                <w:szCs w:val="21"/>
                <w:highlight w:val="none"/>
              </w:rPr>
              <w:t>29</w:t>
            </w:r>
            <w:r>
              <w:rPr>
                <w:rFonts w:ascii="宋体" w:hAnsi="宋体"/>
                <w:color w:val="auto"/>
                <w:szCs w:val="21"/>
                <w:highlight w:val="none"/>
              </w:rPr>
              <w:t>.2</w:t>
            </w:r>
          </w:p>
        </w:tc>
        <w:tc>
          <w:tcPr>
            <w:tcW w:w="8708" w:type="dxa"/>
            <w:tcBorders>
              <w:top w:val="single" w:color="auto" w:sz="4" w:space="0"/>
              <w:left w:val="single" w:color="auto" w:sz="4" w:space="0"/>
              <w:right w:val="single" w:color="auto" w:sz="4" w:space="0"/>
            </w:tcBorders>
            <w:vAlign w:val="center"/>
          </w:tcPr>
          <w:p w14:paraId="1E20E24A">
            <w:pPr>
              <w:snapToGrid w:val="0"/>
              <w:spacing w:line="400" w:lineRule="exact"/>
              <w:rPr>
                <w:rFonts w:hint="eastAsia" w:ascii="宋体" w:hAnsi="宋体"/>
                <w:color w:val="auto"/>
                <w:szCs w:val="21"/>
                <w:highlight w:val="none"/>
              </w:rPr>
            </w:pPr>
            <w:r>
              <w:rPr>
                <w:rFonts w:hint="eastAsia" w:ascii="宋体" w:hAnsi="宋体" w:cs="宋体"/>
                <w:color w:val="auto"/>
                <w:szCs w:val="21"/>
                <w:highlight w:val="none"/>
              </w:rPr>
              <w:t>商务要求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0</w:t>
            </w:r>
            <w:r>
              <w:rPr>
                <w:rFonts w:hint="eastAsia" w:ascii="宋体" w:hAnsi="宋体"/>
                <w:color w:val="auto"/>
                <w:szCs w:val="21"/>
                <w:highlight w:val="none"/>
              </w:rPr>
              <w:t>项。</w:t>
            </w:r>
          </w:p>
          <w:p w14:paraId="6E95F2BE">
            <w:pPr>
              <w:snapToGrid w:val="0"/>
              <w:spacing w:line="400" w:lineRule="exact"/>
              <w:rPr>
                <w:rFonts w:hint="eastAsia" w:ascii="宋体" w:hAnsi="宋体"/>
                <w:color w:val="auto"/>
                <w:szCs w:val="21"/>
                <w:highlight w:val="none"/>
              </w:rPr>
            </w:pPr>
            <w:r>
              <w:rPr>
                <w:rFonts w:hint="eastAsia" w:ascii="宋体" w:hAnsi="宋体" w:cs="宋体"/>
                <w:color w:val="auto"/>
                <w:szCs w:val="21"/>
                <w:highlight w:val="none"/>
              </w:rPr>
              <w:t>技术要求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0</w:t>
            </w:r>
            <w:r>
              <w:rPr>
                <w:rFonts w:hint="eastAsia" w:ascii="宋体" w:hAnsi="宋体"/>
                <w:color w:val="auto"/>
                <w:szCs w:val="21"/>
                <w:highlight w:val="none"/>
              </w:rPr>
              <w:t>项。</w:t>
            </w:r>
          </w:p>
        </w:tc>
      </w:tr>
      <w:tr w14:paraId="66431C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continue"/>
            <w:tcBorders>
              <w:left w:val="single" w:color="auto" w:sz="4" w:space="0"/>
              <w:right w:val="single" w:color="auto" w:sz="4" w:space="0"/>
            </w:tcBorders>
            <w:vAlign w:val="center"/>
          </w:tcPr>
          <w:p w14:paraId="34903044">
            <w:pPr>
              <w:spacing w:line="400" w:lineRule="exact"/>
              <w:jc w:val="center"/>
              <w:rPr>
                <w:rFonts w:hint="eastAsia" w:ascii="宋体" w:hAnsi="宋体"/>
                <w:color w:val="auto"/>
                <w:szCs w:val="21"/>
                <w:highlight w:val="none"/>
              </w:rPr>
            </w:pPr>
          </w:p>
        </w:tc>
        <w:tc>
          <w:tcPr>
            <w:tcW w:w="8708" w:type="dxa"/>
            <w:tcBorders>
              <w:top w:val="single" w:color="auto" w:sz="4" w:space="0"/>
              <w:left w:val="single" w:color="auto" w:sz="4" w:space="0"/>
              <w:right w:val="single" w:color="auto" w:sz="4" w:space="0"/>
            </w:tcBorders>
            <w:vAlign w:val="center"/>
          </w:tcPr>
          <w:p w14:paraId="1A987812">
            <w:pPr>
              <w:snapToGrid w:val="0"/>
              <w:spacing w:line="400" w:lineRule="exact"/>
              <w:rPr>
                <w:rFonts w:hint="eastAsia" w:ascii="宋体" w:hAnsi="宋体" w:cs="宋体"/>
                <w:color w:val="auto"/>
                <w:szCs w:val="21"/>
                <w:highlight w:val="none"/>
                <w:u w:val="single"/>
              </w:rPr>
            </w:pPr>
            <w:r>
              <w:rPr>
                <w:rFonts w:hint="eastAsia" w:hAnsi="宋体"/>
                <w:color w:val="auto"/>
                <w:highlight w:val="none"/>
              </w:rPr>
              <w:t>各分标</w:t>
            </w:r>
            <w:r>
              <w:rPr>
                <w:rFonts w:hAnsi="宋体"/>
                <w:color w:val="auto"/>
                <w:highlight w:val="none"/>
              </w:rPr>
              <w:t>中标候选人推荐数量</w:t>
            </w:r>
            <w:r>
              <w:rPr>
                <w:rFonts w:hint="eastAsia" w:hAnsi="宋体"/>
                <w:color w:val="auto"/>
                <w:highlight w:val="none"/>
              </w:rPr>
              <w:t>：3家</w:t>
            </w:r>
          </w:p>
        </w:tc>
      </w:tr>
      <w:tr w14:paraId="36CEDB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7A6BC9F">
            <w:pPr>
              <w:spacing w:line="400" w:lineRule="exact"/>
              <w:jc w:val="center"/>
              <w:rPr>
                <w:rFonts w:hint="eastAsia"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708" w:type="dxa"/>
            <w:tcBorders>
              <w:top w:val="single" w:color="auto" w:sz="4" w:space="0"/>
              <w:left w:val="single" w:color="auto" w:sz="4" w:space="0"/>
              <w:bottom w:val="single" w:color="auto" w:sz="4" w:space="0"/>
              <w:right w:val="single" w:color="auto" w:sz="4" w:space="0"/>
            </w:tcBorders>
            <w:vAlign w:val="center"/>
          </w:tcPr>
          <w:p w14:paraId="129EE1A0">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采用综合评分法的采购项目，采购人确定中标人时，出现中标候选人并列的情形，采购人按以下的方式确定中标人：按综合评分中价格分、</w:t>
            </w:r>
            <w:r>
              <w:rPr>
                <w:rFonts w:hint="eastAsia" w:hAnsi="宋体" w:cs="宋体"/>
                <w:bCs/>
                <w:color w:val="auto"/>
                <w:highlight w:val="none"/>
              </w:rPr>
              <w:t>技术分、商务分</w:t>
            </w:r>
            <w:r>
              <w:rPr>
                <w:rFonts w:hint="eastAsia" w:ascii="宋体" w:hAnsi="宋体"/>
                <w:color w:val="auto"/>
                <w:szCs w:val="21"/>
                <w:highlight w:val="none"/>
              </w:rPr>
              <w:t>得分高低依次确定。</w:t>
            </w:r>
          </w:p>
          <w:p w14:paraId="74428400">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采用最低评标价法的采购项目，采购人确定中标人时，出现中标候选人并列的情形，采购人按以下的方式确定中标人：按服务水平</w:t>
            </w:r>
            <w:r>
              <w:rPr>
                <w:rFonts w:ascii="宋体" w:hAnsi="宋体"/>
                <w:color w:val="auto"/>
                <w:szCs w:val="21"/>
                <w:highlight w:val="none"/>
              </w:rPr>
              <w:t>技术指标高优先、</w:t>
            </w:r>
            <w:r>
              <w:rPr>
                <w:rFonts w:hint="eastAsia" w:ascii="宋体" w:hAnsi="宋体"/>
                <w:color w:val="auto"/>
                <w:szCs w:val="21"/>
                <w:highlight w:val="none"/>
              </w:rPr>
              <w:t>服务方案好</w:t>
            </w:r>
            <w:r>
              <w:rPr>
                <w:rFonts w:ascii="宋体" w:hAnsi="宋体"/>
                <w:color w:val="auto"/>
                <w:szCs w:val="21"/>
                <w:highlight w:val="none"/>
              </w:rPr>
              <w:t>优先、</w:t>
            </w:r>
            <w:r>
              <w:rPr>
                <w:rFonts w:hint="eastAsia" w:ascii="宋体" w:hAnsi="宋体"/>
                <w:color w:val="auto"/>
                <w:szCs w:val="21"/>
                <w:highlight w:val="none"/>
              </w:rPr>
              <w:t>拟投入人员多</w:t>
            </w:r>
            <w:r>
              <w:rPr>
                <w:rFonts w:ascii="宋体" w:hAnsi="宋体"/>
                <w:color w:val="auto"/>
                <w:szCs w:val="21"/>
                <w:highlight w:val="none"/>
              </w:rPr>
              <w:t>优先、</w:t>
            </w:r>
            <w:r>
              <w:rPr>
                <w:rFonts w:hint="eastAsia" w:ascii="宋体" w:hAnsi="宋体"/>
                <w:color w:val="auto"/>
                <w:szCs w:val="21"/>
                <w:highlight w:val="none"/>
              </w:rPr>
              <w:t>服务</w:t>
            </w:r>
            <w:r>
              <w:rPr>
                <w:rFonts w:ascii="宋体" w:hAnsi="宋体"/>
                <w:color w:val="auto"/>
                <w:szCs w:val="21"/>
                <w:highlight w:val="none"/>
              </w:rPr>
              <w:t>响应时间短优先的</w:t>
            </w:r>
            <w:r>
              <w:rPr>
                <w:rFonts w:hint="eastAsia" w:ascii="宋体" w:hAnsi="宋体"/>
                <w:color w:val="auto"/>
                <w:szCs w:val="21"/>
                <w:highlight w:val="none"/>
              </w:rPr>
              <w:t>顺序依次确定。</w:t>
            </w:r>
          </w:p>
        </w:tc>
      </w:tr>
      <w:tr w14:paraId="7FF477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38D22ACC">
            <w:pPr>
              <w:spacing w:line="400" w:lineRule="exact"/>
              <w:jc w:val="center"/>
              <w:rPr>
                <w:rFonts w:hint="eastAsia" w:ascii="宋体" w:hAnsi="宋体"/>
                <w:color w:val="auto"/>
                <w:szCs w:val="21"/>
                <w:highlight w:val="none"/>
              </w:rPr>
            </w:pPr>
            <w:bookmarkStart w:id="69" w:name="_39.1"/>
            <w:bookmarkEnd w:id="69"/>
            <w:r>
              <w:rPr>
                <w:rFonts w:hint="eastAsia" w:ascii="宋体" w:hAnsi="宋体"/>
                <w:color w:val="auto"/>
                <w:szCs w:val="21"/>
                <w:highlight w:val="none"/>
              </w:rPr>
              <w:t>35</w:t>
            </w:r>
            <w:r>
              <w:rPr>
                <w:rFonts w:ascii="宋体" w:hAnsi="宋体"/>
                <w:color w:val="auto"/>
                <w:szCs w:val="21"/>
                <w:highlight w:val="none"/>
              </w:rPr>
              <w:t>.1</w:t>
            </w:r>
          </w:p>
        </w:tc>
        <w:tc>
          <w:tcPr>
            <w:tcW w:w="8708" w:type="dxa"/>
            <w:tcBorders>
              <w:top w:val="single" w:color="auto" w:sz="4" w:space="0"/>
              <w:left w:val="single" w:color="auto" w:sz="4" w:space="0"/>
              <w:bottom w:val="single" w:color="auto" w:sz="4" w:space="0"/>
              <w:right w:val="single" w:color="auto" w:sz="4" w:space="0"/>
            </w:tcBorders>
            <w:vAlign w:val="center"/>
          </w:tcPr>
          <w:p w14:paraId="71C0B537">
            <w:pPr>
              <w:autoSpaceDE w:val="0"/>
              <w:autoSpaceDN w:val="0"/>
              <w:snapToGrid w:val="0"/>
              <w:spacing w:line="360" w:lineRule="auto"/>
              <w:textAlignment w:val="bottom"/>
              <w:rPr>
                <w:rFonts w:hint="eastAsia" w:ascii="宋体" w:hAnsi="宋体"/>
                <w:b/>
                <w:bCs/>
                <w:color w:val="auto"/>
                <w:szCs w:val="21"/>
                <w:highlight w:val="none"/>
              </w:rPr>
            </w:pPr>
            <w:r>
              <w:rPr>
                <w:rFonts w:hint="eastAsia" w:ascii="宋体" w:hAnsi="宋体" w:cs="宋体"/>
                <w:b/>
                <w:bCs/>
                <w:color w:val="auto"/>
                <w:szCs w:val="21"/>
                <w:highlight w:val="none"/>
              </w:rPr>
              <w:t>□</w:t>
            </w:r>
            <w:r>
              <w:rPr>
                <w:rFonts w:hint="eastAsia" w:ascii="宋体" w:hAnsi="宋体"/>
                <w:b/>
                <w:bCs/>
                <w:color w:val="auto"/>
                <w:szCs w:val="21"/>
                <w:highlight w:val="none"/>
              </w:rPr>
              <w:t>本项目不收取履约保证金。</w:t>
            </w:r>
          </w:p>
          <w:p w14:paraId="08F4E869">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本项目收取履约保证金，具体规定如下：</w:t>
            </w:r>
          </w:p>
          <w:p w14:paraId="3684A723">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履约保证金金额：按暂定合同金额的2%。</w:t>
            </w:r>
          </w:p>
          <w:p w14:paraId="1A0CBCE3">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履约保证金提交方式：银行转账、支票、汇票、本票或者金融、担保机构出具的保函等非现金方式。</w:t>
            </w:r>
          </w:p>
          <w:p w14:paraId="75B71BC4">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履约保证金退付方式、时间及条件：</w:t>
            </w:r>
            <w:r>
              <w:rPr>
                <w:rFonts w:hint="eastAsia"/>
                <w:color w:val="auto"/>
                <w:highlight w:val="none"/>
              </w:rPr>
              <w:t>本项目服务期结束后三十日内，由中标人向采购人提供《广西壮族自治区政府采购项目合同验收书》（详见桂财采〔2015〕22号）及付款申请，采购人在收到合格材料后七个工作日内办理退还手续（不计利息）。</w:t>
            </w:r>
          </w:p>
          <w:p w14:paraId="0CB11D1A">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履约保证金指定账户：</w:t>
            </w:r>
          </w:p>
          <w:p w14:paraId="01B61B55">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开户名称：</w:t>
            </w:r>
            <w:r>
              <w:rPr>
                <w:rFonts w:hint="eastAsia" w:ascii="宋体" w:hAnsi="宋体"/>
                <w:color w:val="auto"/>
                <w:szCs w:val="21"/>
                <w:highlight w:val="none"/>
                <w:u w:val="single"/>
              </w:rPr>
              <w:t>广西壮族自治区道路运输发展中心</w:t>
            </w:r>
          </w:p>
          <w:p w14:paraId="424337C9">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2102101109221017081</w:t>
            </w:r>
          </w:p>
          <w:p w14:paraId="27C004CC">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银行账号：</w:t>
            </w:r>
            <w:r>
              <w:rPr>
                <w:rFonts w:hint="eastAsia" w:ascii="宋体" w:hAnsi="宋体" w:cs="宋体"/>
                <w:color w:val="auto"/>
                <w:szCs w:val="21"/>
                <w:highlight w:val="none"/>
                <w:u w:val="single"/>
              </w:rPr>
              <w:t>工行南宁市公园支行</w:t>
            </w:r>
          </w:p>
          <w:p w14:paraId="0C84CA5F">
            <w:pPr>
              <w:spacing w:line="360" w:lineRule="auto"/>
              <w:contextualSpacing/>
              <w:rPr>
                <w:rFonts w:hint="eastAsia" w:ascii="宋体" w:hAnsi="宋体" w:cs="宋体"/>
                <w:b/>
                <w:color w:val="auto"/>
                <w:szCs w:val="21"/>
                <w:highlight w:val="none"/>
              </w:rPr>
            </w:pPr>
            <w:r>
              <w:rPr>
                <w:rFonts w:hint="eastAsia" w:ascii="宋体" w:hAnsi="宋体" w:cs="宋体"/>
                <w:b/>
                <w:color w:val="auto"/>
                <w:szCs w:val="21"/>
                <w:highlight w:val="none"/>
              </w:rPr>
              <w:t>备注：</w:t>
            </w:r>
          </w:p>
          <w:p w14:paraId="5D546432">
            <w:pPr>
              <w:spacing w:line="360" w:lineRule="auto"/>
              <w:contextualSpacing/>
              <w:rPr>
                <w:rFonts w:hint="eastAsia" w:ascii="宋体" w:hAnsi="宋体" w:cs="宋体"/>
                <w:b/>
                <w:color w:val="auto"/>
                <w:szCs w:val="21"/>
                <w:highlight w:val="none"/>
              </w:rPr>
            </w:pPr>
            <w:r>
              <w:rPr>
                <w:rFonts w:hint="eastAsia" w:ascii="宋体" w:hAnsi="宋体" w:cs="宋体"/>
                <w:b/>
                <w:color w:val="auto"/>
                <w:szCs w:val="21"/>
                <w:highlight w:val="none"/>
              </w:rPr>
              <w:t>1</w:t>
            </w:r>
            <w:bookmarkStart w:id="70" w:name="_Hlk54170335"/>
            <w:r>
              <w:rPr>
                <w:rFonts w:hint="eastAsia" w:ascii="宋体" w:hAnsi="宋体" w:cs="宋体"/>
                <w:b/>
                <w:color w:val="auto"/>
                <w:szCs w:val="21"/>
                <w:highlight w:val="none"/>
              </w:rPr>
              <w:t>、</w:t>
            </w:r>
            <w:r>
              <w:rPr>
                <w:rFonts w:hint="eastAsia" w:ascii="宋体" w:hAnsi="宋体"/>
                <w:b/>
                <w:color w:val="auto"/>
                <w:szCs w:val="21"/>
                <w:highlight w:val="none"/>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70"/>
          </w:p>
          <w:p w14:paraId="0994A929">
            <w:pPr>
              <w:spacing w:line="360" w:lineRule="auto"/>
              <w:contextualSpacing/>
              <w:rPr>
                <w:rFonts w:hint="eastAsia" w:ascii="宋体" w:hAnsi="宋体" w:cs="宋体"/>
                <w:b/>
                <w:color w:val="auto"/>
                <w:szCs w:val="21"/>
                <w:highlight w:val="none"/>
              </w:rPr>
            </w:pPr>
            <w:r>
              <w:rPr>
                <w:rFonts w:hint="eastAsia" w:ascii="宋体" w:hAnsi="宋体" w:cs="宋体"/>
                <w:b/>
                <w:color w:val="auto"/>
                <w:szCs w:val="21"/>
                <w:highlight w:val="none"/>
              </w:rPr>
              <w:t>2、履约保证金不足额缴纳的，或者金融、担保机构出具的保函额度不足的或者保函有效期低于合同履行期限（即签订采购合同之日起至履行完合同约定的权利及义务之日止）的，不予签订合同。</w:t>
            </w:r>
          </w:p>
          <w:p w14:paraId="272A38F4">
            <w:pPr>
              <w:spacing w:line="360" w:lineRule="auto"/>
              <w:contextualSpacing/>
              <w:rPr>
                <w:rFonts w:hint="eastAsia" w:ascii="宋体" w:hAnsi="宋体" w:cs="宋体"/>
                <w:b/>
                <w:color w:val="auto"/>
                <w:szCs w:val="21"/>
                <w:highlight w:val="none"/>
              </w:rPr>
            </w:pPr>
            <w:r>
              <w:rPr>
                <w:rFonts w:ascii="宋体" w:hAnsi="宋体" w:cs="宋体"/>
                <w:b/>
                <w:color w:val="auto"/>
                <w:szCs w:val="21"/>
                <w:highlight w:val="none"/>
              </w:rPr>
              <w:t>3</w:t>
            </w:r>
            <w:r>
              <w:rPr>
                <w:rFonts w:hint="eastAsia" w:ascii="宋体" w:hAnsi="宋体" w:cs="宋体"/>
                <w:b/>
                <w:color w:val="auto"/>
                <w:szCs w:val="21"/>
                <w:highlight w:val="none"/>
              </w:rPr>
              <w:t>、采用金融、担保机构出具的保函的，必须为无条件保函，否则不予签订合同。</w:t>
            </w:r>
          </w:p>
          <w:p w14:paraId="19D79ED1">
            <w:pPr>
              <w:autoSpaceDE w:val="0"/>
              <w:autoSpaceDN w:val="0"/>
              <w:snapToGrid w:val="0"/>
              <w:spacing w:line="400" w:lineRule="exact"/>
              <w:textAlignment w:val="bottom"/>
              <w:rPr>
                <w:rFonts w:hint="eastAsia" w:ascii="宋体" w:hAnsi="宋体"/>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rPr>
              <w:t>、供应商为联合体的，由联合体任意一方按规定提交的履约保证金，视为有效履约保证金。</w:t>
            </w:r>
          </w:p>
        </w:tc>
      </w:tr>
      <w:tr w14:paraId="3686FC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0A92A7E">
            <w:pPr>
              <w:spacing w:line="400" w:lineRule="exact"/>
              <w:jc w:val="center"/>
              <w:rPr>
                <w:rFonts w:hint="eastAsia" w:ascii="宋体" w:hAnsi="宋体"/>
                <w:color w:val="auto"/>
                <w:szCs w:val="21"/>
                <w:highlight w:val="none"/>
              </w:rPr>
            </w:pPr>
            <w:bookmarkStart w:id="71" w:name="_40.1"/>
            <w:bookmarkEnd w:id="71"/>
            <w:r>
              <w:rPr>
                <w:rFonts w:hint="eastAsia" w:ascii="宋体" w:hAnsi="宋体"/>
                <w:color w:val="auto"/>
                <w:szCs w:val="21"/>
                <w:highlight w:val="none"/>
              </w:rPr>
              <w:t>36.1</w:t>
            </w:r>
          </w:p>
        </w:tc>
        <w:tc>
          <w:tcPr>
            <w:tcW w:w="8708" w:type="dxa"/>
            <w:tcBorders>
              <w:top w:val="single" w:color="auto" w:sz="4" w:space="0"/>
              <w:left w:val="single" w:color="auto" w:sz="4" w:space="0"/>
              <w:bottom w:val="single" w:color="auto" w:sz="4" w:space="0"/>
              <w:right w:val="single" w:color="auto" w:sz="4" w:space="0"/>
            </w:tcBorders>
            <w:vAlign w:val="center"/>
          </w:tcPr>
          <w:p w14:paraId="54CFFF8F">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4A8BFE58">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1、委托代理人负责签订合同的，须携带授权委托书及委托代理人身份证原件等其他资格证件。</w:t>
            </w:r>
          </w:p>
          <w:p w14:paraId="77A9574C">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2、法定代表人负责签订合同的，须携带法定代表人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54A895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3A2669D">
            <w:pPr>
              <w:spacing w:line="400" w:lineRule="exact"/>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708" w:type="dxa"/>
            <w:tcBorders>
              <w:top w:val="single" w:color="auto" w:sz="4" w:space="0"/>
              <w:left w:val="single" w:color="auto" w:sz="4" w:space="0"/>
              <w:bottom w:val="single" w:color="auto" w:sz="4" w:space="0"/>
              <w:right w:val="single" w:color="auto" w:sz="4" w:space="0"/>
            </w:tcBorders>
            <w:vAlign w:val="center"/>
          </w:tcPr>
          <w:p w14:paraId="384796A9">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接收质疑函方式：以纸质书面形式。</w:t>
            </w:r>
          </w:p>
          <w:p w14:paraId="2D6BB487">
            <w:pPr>
              <w:pStyle w:val="27"/>
              <w:snapToGrid w:val="0"/>
              <w:spacing w:line="360" w:lineRule="auto"/>
              <w:rPr>
                <w:rFonts w:hint="eastAsia" w:hAnsi="宋体" w:cs="宋体"/>
                <w:color w:val="auto"/>
                <w:sz w:val="21"/>
                <w:highlight w:val="none"/>
              </w:rPr>
            </w:pPr>
            <w:r>
              <w:rPr>
                <w:rFonts w:hint="eastAsia" w:hAnsi="宋体" w:cs="宋体"/>
                <w:color w:val="auto"/>
                <w:kern w:val="2"/>
                <w:sz w:val="21"/>
                <w:highlight w:val="none"/>
              </w:rPr>
              <w:t>质疑联系部门及联系方式：</w:t>
            </w:r>
            <w:r>
              <w:rPr>
                <w:rFonts w:hint="eastAsia" w:hAnsi="宋体" w:cs="宋体"/>
                <w:color w:val="auto"/>
                <w:sz w:val="21"/>
                <w:highlight w:val="none"/>
              </w:rPr>
              <w:t>广西科文招标有限公司，质疑联系人：余静  联系电话：</w:t>
            </w:r>
            <w:r>
              <w:rPr>
                <w:rFonts w:hint="eastAsia" w:hAnsi="宋体" w:cs="Arial"/>
                <w:color w:val="auto"/>
                <w:highlight w:val="none"/>
              </w:rPr>
              <w:t>0771-2023902</w:t>
            </w:r>
            <w:r>
              <w:rPr>
                <w:rFonts w:hint="eastAsia" w:hAnsi="宋体" w:cs="宋体"/>
                <w:color w:val="auto"/>
                <w:sz w:val="21"/>
                <w:highlight w:val="none"/>
              </w:rPr>
              <w:t>，</w:t>
            </w:r>
            <w:r>
              <w:rPr>
                <w:rFonts w:hAnsi="宋体" w:cs="宋体"/>
                <w:color w:val="auto"/>
                <w:sz w:val="21"/>
                <w:highlight w:val="none"/>
              </w:rPr>
              <w:t>通讯地址</w:t>
            </w:r>
            <w:r>
              <w:rPr>
                <w:rFonts w:hint="eastAsia" w:hAnsi="宋体" w:cs="宋体"/>
                <w:color w:val="auto"/>
                <w:sz w:val="21"/>
                <w:highlight w:val="none"/>
              </w:rPr>
              <w:t>：广西南宁市民族大道141号中鼎万象东方大厦D区五层</w:t>
            </w:r>
          </w:p>
          <w:p w14:paraId="17F95E6F">
            <w:pPr>
              <w:pStyle w:val="27"/>
              <w:snapToGrid w:val="0"/>
              <w:spacing w:line="360" w:lineRule="auto"/>
              <w:rPr>
                <w:rFonts w:hint="eastAsia" w:hAnsi="宋体" w:cs="宋体"/>
                <w:color w:val="auto"/>
                <w:kern w:val="2"/>
                <w:sz w:val="21"/>
                <w:highlight w:val="none"/>
              </w:rPr>
            </w:pPr>
            <w:r>
              <w:rPr>
                <w:rFonts w:hint="eastAsia" w:hAnsi="宋体" w:cs="宋体"/>
                <w:color w:val="auto"/>
                <w:sz w:val="21"/>
                <w:highlight w:val="none"/>
              </w:rPr>
              <w:t>业务时间：每天上午8时3</w:t>
            </w:r>
            <w:r>
              <w:rPr>
                <w:rFonts w:hAnsi="宋体" w:cs="宋体"/>
                <w:color w:val="auto"/>
                <w:sz w:val="21"/>
                <w:highlight w:val="none"/>
              </w:rPr>
              <w:t>0</w:t>
            </w:r>
            <w:r>
              <w:rPr>
                <w:rFonts w:hint="eastAsia" w:hAnsi="宋体" w:cs="宋体"/>
                <w:color w:val="auto"/>
                <w:sz w:val="21"/>
                <w:highlight w:val="none"/>
              </w:rPr>
              <w:t>分至12时，下午15时至18时（北京时间，</w:t>
            </w:r>
            <w:r>
              <w:rPr>
                <w:rFonts w:hAnsi="宋体" w:cs="宋体"/>
                <w:color w:val="auto"/>
                <w:sz w:val="21"/>
                <w:highlight w:val="none"/>
              </w:rPr>
              <w:t>法定节假日</w:t>
            </w:r>
            <w:r>
              <w:rPr>
                <w:rFonts w:hint="eastAsia" w:hAnsi="宋体" w:cs="宋体"/>
                <w:color w:val="auto"/>
                <w:sz w:val="21"/>
                <w:highlight w:val="none"/>
              </w:rPr>
              <w:t xml:space="preserve">除外 ） </w:t>
            </w:r>
          </w:p>
        </w:tc>
      </w:tr>
      <w:tr w14:paraId="3DD597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2794CEA">
            <w:pPr>
              <w:spacing w:line="400" w:lineRule="exact"/>
              <w:jc w:val="center"/>
              <w:rPr>
                <w:rFonts w:hint="eastAsia" w:ascii="宋体" w:hAnsi="宋体"/>
                <w:color w:val="auto"/>
                <w:szCs w:val="21"/>
                <w:highlight w:val="none"/>
              </w:rPr>
            </w:pPr>
            <w:bookmarkStart w:id="72" w:name="_41"/>
            <w:bookmarkEnd w:id="72"/>
            <w:bookmarkStart w:id="73" w:name="_42"/>
            <w:bookmarkEnd w:id="73"/>
            <w:bookmarkStart w:id="74" w:name="_Hlt17709148"/>
            <w:r>
              <w:rPr>
                <w:rFonts w:hint="eastAsia" w:ascii="宋体" w:hAnsi="宋体"/>
                <w:color w:val="auto"/>
                <w:szCs w:val="21"/>
                <w:highlight w:val="none"/>
              </w:rPr>
              <w:t>3</w:t>
            </w:r>
            <w:bookmarkEnd w:id="74"/>
            <w:r>
              <w:rPr>
                <w:rFonts w:ascii="宋体" w:hAnsi="宋体"/>
                <w:color w:val="auto"/>
                <w:szCs w:val="21"/>
                <w:highlight w:val="none"/>
              </w:rPr>
              <w:t>9.1</w:t>
            </w:r>
          </w:p>
        </w:tc>
        <w:tc>
          <w:tcPr>
            <w:tcW w:w="8708" w:type="dxa"/>
            <w:tcBorders>
              <w:top w:val="single" w:color="auto" w:sz="4" w:space="0"/>
              <w:left w:val="single" w:color="auto" w:sz="4" w:space="0"/>
              <w:bottom w:val="single" w:color="auto" w:sz="4" w:space="0"/>
              <w:right w:val="single" w:color="auto" w:sz="4" w:space="0"/>
            </w:tcBorders>
            <w:vAlign w:val="center"/>
          </w:tcPr>
          <w:p w14:paraId="62889070">
            <w:pPr>
              <w:pStyle w:val="27"/>
              <w:snapToGrid w:val="0"/>
              <w:spacing w:line="360" w:lineRule="auto"/>
              <w:rPr>
                <w:rFonts w:hint="eastAsia" w:hAnsi="宋体" w:cs="宋体"/>
                <w:color w:val="auto"/>
                <w:sz w:val="21"/>
                <w:highlight w:val="none"/>
              </w:rPr>
            </w:pPr>
            <w:r>
              <w:rPr>
                <w:rFonts w:hint="eastAsia" w:hAnsi="宋体" w:cs="宋体"/>
                <w:color w:val="auto"/>
                <w:sz w:val="21"/>
                <w:highlight w:val="none"/>
              </w:rPr>
              <w:t>1、采购代理服务费支付方式：本项目的招标代理服务费按以下收费标准向中标人收取，领取中标通知书前，中标人应向采购代理机构一次付清招标代理服务费，否则采购代理机构有权不予以办理。</w:t>
            </w:r>
          </w:p>
          <w:p w14:paraId="2C19F3F4">
            <w:pPr>
              <w:pStyle w:val="27"/>
              <w:snapToGrid w:val="0"/>
              <w:spacing w:line="360" w:lineRule="auto"/>
              <w:rPr>
                <w:rFonts w:hint="eastAsia" w:hAnsi="宋体" w:cs="宋体"/>
                <w:color w:val="auto"/>
                <w:sz w:val="21"/>
                <w:highlight w:val="none"/>
              </w:rPr>
            </w:pPr>
            <w:r>
              <w:rPr>
                <w:rFonts w:hint="eastAsia" w:hAnsi="宋体" w:cs="宋体"/>
                <w:color w:val="auto"/>
                <w:sz w:val="21"/>
                <w:highlight w:val="none"/>
              </w:rPr>
              <w:t>2、采购代理服务费收取标准：</w:t>
            </w:r>
          </w:p>
          <w:p w14:paraId="7AB09441">
            <w:pPr>
              <w:pStyle w:val="27"/>
              <w:snapToGrid w:val="0"/>
              <w:spacing w:line="360" w:lineRule="auto"/>
              <w:rPr>
                <w:rFonts w:hint="eastAsia" w:hAnsi="宋体" w:cs="宋体"/>
                <w:color w:val="auto"/>
                <w:sz w:val="21"/>
                <w:highlight w:val="none"/>
              </w:rPr>
            </w:pPr>
            <w:r>
              <w:rPr>
                <w:rFonts w:hint="eastAsia" w:hAnsi="宋体" w:cs="宋体"/>
                <w:color w:val="auto"/>
                <w:sz w:val="21"/>
                <w:highlight w:val="none"/>
              </w:rPr>
              <w:t>以</w:t>
            </w:r>
            <w:r>
              <w:rPr>
                <w:rFonts w:hint="eastAsia" w:hAnsi="宋体" w:cs="宋体"/>
                <w:color w:val="auto"/>
                <w:sz w:val="21"/>
                <w:highlight w:val="none"/>
                <w:lang w:val="en-US" w:eastAsia="zh-CN"/>
              </w:rPr>
              <w:t>中标</w:t>
            </w:r>
            <w:r>
              <w:rPr>
                <w:rFonts w:hint="eastAsia" w:hAnsi="宋体" w:cs="宋体"/>
                <w:color w:val="auto"/>
                <w:sz w:val="21"/>
                <w:highlight w:val="none"/>
              </w:rPr>
              <w:t>金额为计费额，按本须知正文第</w:t>
            </w:r>
            <w:r>
              <w:rPr>
                <w:rFonts w:hAnsi="宋体" w:cs="宋体"/>
                <w:color w:val="auto"/>
                <w:sz w:val="21"/>
                <w:highlight w:val="none"/>
              </w:rPr>
              <w:t>3</w:t>
            </w:r>
            <w:r>
              <w:rPr>
                <w:rFonts w:hint="eastAsia" w:hAnsi="宋体" w:cs="宋体"/>
                <w:color w:val="auto"/>
                <w:sz w:val="21"/>
                <w:highlight w:val="none"/>
              </w:rPr>
              <w:t>9.</w:t>
            </w:r>
            <w:r>
              <w:rPr>
                <w:rFonts w:hAnsi="宋体" w:cs="宋体"/>
                <w:color w:val="auto"/>
                <w:sz w:val="21"/>
                <w:highlight w:val="none"/>
              </w:rPr>
              <w:t>2</w:t>
            </w:r>
            <w:r>
              <w:rPr>
                <w:rFonts w:hint="eastAsia" w:hAnsi="宋体" w:cs="宋体"/>
                <w:color w:val="auto"/>
                <w:sz w:val="21"/>
                <w:highlight w:val="none"/>
              </w:rPr>
              <w:t>条规定的收费计算标准（服务类）采用差额定率累进法计算出收费基准价格，采购代理服务费收费以收费基准价格下浮20%收取。</w:t>
            </w:r>
          </w:p>
          <w:p w14:paraId="63347FCA">
            <w:pPr>
              <w:pStyle w:val="27"/>
              <w:snapToGrid w:val="0"/>
              <w:spacing w:line="360" w:lineRule="auto"/>
              <w:rPr>
                <w:rFonts w:hint="eastAsia" w:hAnsi="宋体" w:cs="宋体"/>
                <w:color w:val="auto"/>
                <w:sz w:val="21"/>
                <w:highlight w:val="none"/>
              </w:rPr>
            </w:pPr>
            <w:r>
              <w:rPr>
                <w:rFonts w:hint="eastAsia" w:hAnsi="宋体" w:cs="宋体"/>
                <w:color w:val="auto"/>
                <w:sz w:val="21"/>
                <w:highlight w:val="none"/>
              </w:rPr>
              <w:t>3、开户名称：广西科文招标有限公司南宁咨询二分公司</w:t>
            </w:r>
          </w:p>
          <w:p w14:paraId="70176416">
            <w:pPr>
              <w:pStyle w:val="27"/>
              <w:snapToGrid w:val="0"/>
              <w:spacing w:line="360" w:lineRule="auto"/>
              <w:rPr>
                <w:rFonts w:hint="eastAsia" w:hAnsi="宋体" w:cs="宋体"/>
                <w:color w:val="auto"/>
                <w:sz w:val="21"/>
                <w:highlight w:val="none"/>
              </w:rPr>
            </w:pPr>
            <w:r>
              <w:rPr>
                <w:rFonts w:hint="eastAsia" w:hAnsi="宋体" w:cs="宋体"/>
                <w:color w:val="auto"/>
                <w:sz w:val="21"/>
                <w:highlight w:val="none"/>
              </w:rPr>
              <w:t>开户银行：广西北部湾银行股份有限公司南宁市云景支行</w:t>
            </w:r>
          </w:p>
          <w:p w14:paraId="4C679BEC">
            <w:pPr>
              <w:pStyle w:val="27"/>
              <w:snapToGrid w:val="0"/>
              <w:spacing w:line="360" w:lineRule="auto"/>
              <w:rPr>
                <w:rFonts w:hint="eastAsia" w:hAnsi="宋体" w:cs="宋体"/>
                <w:color w:val="auto"/>
                <w:sz w:val="21"/>
                <w:highlight w:val="none"/>
              </w:rPr>
            </w:pPr>
            <w:r>
              <w:rPr>
                <w:rFonts w:hint="eastAsia" w:hAnsi="宋体" w:cs="宋体"/>
                <w:color w:val="auto"/>
                <w:sz w:val="21"/>
                <w:highlight w:val="none"/>
              </w:rPr>
              <w:t>银行账号：8050 3015 8300 001</w:t>
            </w:r>
          </w:p>
        </w:tc>
      </w:tr>
      <w:tr w14:paraId="0E6AE1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61C6A1B">
            <w:pPr>
              <w:snapToGrid w:val="0"/>
              <w:spacing w:line="400" w:lineRule="exact"/>
              <w:jc w:val="center"/>
              <w:rPr>
                <w:rFonts w:hint="eastAsia" w:ascii="宋体" w:hAnsi="宋体"/>
                <w:color w:val="auto"/>
                <w:szCs w:val="21"/>
                <w:highlight w:val="none"/>
              </w:rPr>
            </w:pPr>
            <w:r>
              <w:rPr>
                <w:rFonts w:ascii="宋体" w:hAnsi="宋体"/>
                <w:color w:val="auto"/>
                <w:szCs w:val="21"/>
                <w:highlight w:val="none"/>
              </w:rPr>
              <w:t>40.1</w:t>
            </w:r>
          </w:p>
        </w:tc>
        <w:tc>
          <w:tcPr>
            <w:tcW w:w="8708" w:type="dxa"/>
            <w:tcBorders>
              <w:top w:val="single" w:color="auto" w:sz="4" w:space="0"/>
              <w:left w:val="single" w:color="auto" w:sz="4" w:space="0"/>
              <w:bottom w:val="single" w:color="auto" w:sz="4" w:space="0"/>
              <w:right w:val="single" w:color="auto" w:sz="4" w:space="0"/>
            </w:tcBorders>
            <w:vAlign w:val="center"/>
          </w:tcPr>
          <w:p w14:paraId="4B1F64CD">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312AE7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568C45E">
            <w:pPr>
              <w:snapToGrid w:val="0"/>
              <w:spacing w:line="400" w:lineRule="exact"/>
              <w:jc w:val="center"/>
              <w:rPr>
                <w:rFonts w:hint="eastAsia" w:ascii="宋体" w:hAnsi="宋体"/>
                <w:color w:val="auto"/>
                <w:szCs w:val="21"/>
                <w:highlight w:val="none"/>
              </w:rPr>
            </w:pPr>
            <w:r>
              <w:rPr>
                <w:rFonts w:ascii="宋体" w:hAnsi="宋体"/>
                <w:color w:val="auto"/>
                <w:szCs w:val="21"/>
                <w:highlight w:val="none"/>
              </w:rPr>
              <w:t>40.2</w:t>
            </w:r>
          </w:p>
        </w:tc>
        <w:tc>
          <w:tcPr>
            <w:tcW w:w="8708" w:type="dxa"/>
            <w:tcBorders>
              <w:top w:val="single" w:color="auto" w:sz="4" w:space="0"/>
              <w:left w:val="single" w:color="auto" w:sz="4" w:space="0"/>
              <w:bottom w:val="single" w:color="auto" w:sz="4" w:space="0"/>
              <w:right w:val="single" w:color="auto" w:sz="4" w:space="0"/>
            </w:tcBorders>
            <w:vAlign w:val="center"/>
          </w:tcPr>
          <w:p w14:paraId="0F420A24">
            <w:pPr>
              <w:pStyle w:val="27"/>
              <w:snapToGrid w:val="0"/>
              <w:spacing w:line="400" w:lineRule="exact"/>
              <w:rPr>
                <w:rFonts w:hint="eastAsia" w:hAnsi="宋体" w:cs="宋体"/>
                <w:bCs/>
                <w:color w:val="auto"/>
                <w:sz w:val="21"/>
                <w:highlight w:val="none"/>
              </w:rPr>
            </w:pPr>
            <w:r>
              <w:rPr>
                <w:rFonts w:hint="eastAsia" w:hAnsi="宋体" w:cs="宋体"/>
                <w:bCs/>
                <w:color w:val="auto"/>
                <w:sz w:val="21"/>
                <w:highlight w:val="none"/>
              </w:rPr>
              <w:t>1、本招标文件中描述投标人的“公章”是指根据我国对公章的管理规定，用投标人法定主体行为名称制作的印章（含电子印章），除本招标文件有特殊规定外，投标人的财务章、部门章、分公司章、工会章、合同章、投标专用章、业务专用章及银行的转账章、现金收讫章、现金付讫章等其他形式印章均不能代替公章。</w:t>
            </w:r>
          </w:p>
          <w:p w14:paraId="738BBF32">
            <w:pPr>
              <w:pStyle w:val="27"/>
              <w:snapToGrid w:val="0"/>
              <w:spacing w:line="400" w:lineRule="exact"/>
              <w:rPr>
                <w:rFonts w:hint="eastAsia" w:hAnsi="宋体" w:cs="宋体"/>
                <w:bCs/>
                <w:color w:val="auto"/>
                <w:sz w:val="21"/>
                <w:highlight w:val="none"/>
              </w:rPr>
            </w:pPr>
            <w:r>
              <w:rPr>
                <w:rFonts w:hint="eastAsia" w:hAnsi="宋体" w:cs="宋体"/>
                <w:bCs/>
                <w:color w:val="auto"/>
                <w:sz w:val="21"/>
                <w:highlight w:val="none"/>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5332E33D">
            <w:pPr>
              <w:pStyle w:val="27"/>
              <w:snapToGrid w:val="0"/>
              <w:spacing w:line="400" w:lineRule="exact"/>
              <w:rPr>
                <w:rFonts w:hint="eastAsia" w:hAnsi="宋体" w:cs="宋体"/>
                <w:bCs/>
                <w:color w:val="auto"/>
                <w:sz w:val="21"/>
                <w:highlight w:val="none"/>
              </w:rPr>
            </w:pPr>
            <w:r>
              <w:rPr>
                <w:rFonts w:hint="eastAsia" w:hAnsi="宋体" w:cs="宋体"/>
                <w:bCs/>
                <w:color w:val="auto"/>
                <w:sz w:val="21"/>
                <w:highlight w:val="none"/>
              </w:rPr>
              <w:t>3、本招标文件中描述投标人的“签字”是指投标人的法定代表人或者委托代理人在文件规定签署处签名（含电子签名）的行为，私章、印鉴等其他形式均不能代替签字。</w:t>
            </w:r>
          </w:p>
          <w:p w14:paraId="62448196">
            <w:pPr>
              <w:pStyle w:val="27"/>
              <w:snapToGrid w:val="0"/>
              <w:spacing w:line="400" w:lineRule="exact"/>
              <w:rPr>
                <w:rFonts w:hint="eastAsia" w:hAnsi="宋体" w:cs="宋体"/>
                <w:bCs/>
                <w:color w:val="auto"/>
                <w:sz w:val="21"/>
                <w:highlight w:val="none"/>
              </w:rPr>
            </w:pPr>
            <w:r>
              <w:rPr>
                <w:rFonts w:hint="eastAsia" w:hAnsi="宋体" w:cs="宋体"/>
                <w:bCs/>
                <w:color w:val="auto"/>
                <w:sz w:val="21"/>
                <w:highlight w:val="none"/>
              </w:rPr>
              <w:t>4、自然人投标的，招标文件规定盖公章处由自然人摁手指指印。</w:t>
            </w:r>
          </w:p>
          <w:p w14:paraId="792C3CF1">
            <w:pPr>
              <w:spacing w:line="400" w:lineRule="exact"/>
              <w:jc w:val="left"/>
              <w:rPr>
                <w:rFonts w:hint="eastAsia" w:ascii="宋体" w:hAnsi="宋体"/>
                <w:color w:val="auto"/>
                <w:szCs w:val="21"/>
                <w:highlight w:val="none"/>
              </w:rPr>
            </w:pPr>
            <w:r>
              <w:rPr>
                <w:rFonts w:hint="eastAsia" w:ascii="宋体" w:hAnsi="宋体" w:cs="宋体"/>
                <w:bCs/>
                <w:color w:val="auto"/>
                <w:kern w:val="0"/>
                <w:szCs w:val="21"/>
                <w:highlight w:val="none"/>
              </w:rPr>
              <w:t>5、本招标文件所称的“以上”“以下”“以内”“届满”，包括本数；所称的“不满”“超过”“以外”，不包括本数。</w:t>
            </w:r>
          </w:p>
        </w:tc>
      </w:tr>
    </w:tbl>
    <w:p w14:paraId="560026BD">
      <w:pPr>
        <w:pStyle w:val="4"/>
        <w:keepNext w:val="0"/>
        <w:keepLines w:val="0"/>
        <w:jc w:val="center"/>
        <w:rPr>
          <w:color w:val="auto"/>
          <w:highlight w:val="none"/>
        </w:rPr>
      </w:pPr>
      <w:r>
        <w:rPr>
          <w:rFonts w:hint="eastAsia"/>
          <w:color w:val="auto"/>
          <w:highlight w:val="none"/>
        </w:rPr>
        <w:br w:type="page"/>
      </w:r>
      <w:r>
        <w:rPr>
          <w:rFonts w:hint="eastAsia"/>
          <w:color w:val="auto"/>
          <w:highlight w:val="none"/>
        </w:rPr>
        <w:t>投标人须知正文</w:t>
      </w:r>
    </w:p>
    <w:p w14:paraId="5EDB098F">
      <w:pPr>
        <w:pStyle w:val="4"/>
        <w:keepNext w:val="0"/>
        <w:keepLines w:val="0"/>
        <w:jc w:val="center"/>
        <w:rPr>
          <w:color w:val="auto"/>
          <w:highlight w:val="none"/>
        </w:rPr>
      </w:pPr>
      <w:r>
        <w:rPr>
          <w:rFonts w:hint="eastAsia"/>
          <w:color w:val="auto"/>
          <w:highlight w:val="none"/>
        </w:rPr>
        <w:t>一、总  则</w:t>
      </w:r>
    </w:p>
    <w:p w14:paraId="140A982E">
      <w:pPr>
        <w:pStyle w:val="6"/>
        <w:keepNext w:val="0"/>
        <w:keepLines w:val="0"/>
        <w:spacing w:before="0" w:after="0" w:line="360" w:lineRule="auto"/>
        <w:ind w:left="420" w:leftChars="200"/>
        <w:rPr>
          <w:rFonts w:hint="eastAsia" w:ascii="黑体" w:hAnsi="黑体" w:eastAsia="黑体"/>
          <w:color w:val="auto"/>
          <w:sz w:val="24"/>
          <w:highlight w:val="none"/>
        </w:rPr>
      </w:pPr>
      <w:bookmarkStart w:id="75" w:name="_Toc254970527"/>
      <w:bookmarkStart w:id="76" w:name="_Toc254970668"/>
      <w:r>
        <w:rPr>
          <w:rFonts w:hint="eastAsia" w:ascii="黑体" w:hAnsi="黑体" w:eastAsia="黑体"/>
          <w:color w:val="auto"/>
          <w:sz w:val="24"/>
          <w:highlight w:val="none"/>
        </w:rPr>
        <w:t>1.适用范围</w:t>
      </w:r>
      <w:bookmarkEnd w:id="75"/>
      <w:bookmarkEnd w:id="76"/>
    </w:p>
    <w:p w14:paraId="757CDF65">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529318DB">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702D6A70">
      <w:pPr>
        <w:pStyle w:val="6"/>
        <w:keepNext w:val="0"/>
        <w:keepLines w:val="0"/>
        <w:spacing w:before="0" w:after="0" w:line="360" w:lineRule="auto"/>
        <w:ind w:left="420" w:leftChars="200"/>
        <w:rPr>
          <w:rFonts w:hint="eastAsia" w:ascii="黑体" w:hAnsi="黑体" w:eastAsia="黑体"/>
          <w:color w:val="auto"/>
          <w:sz w:val="24"/>
          <w:highlight w:val="none"/>
        </w:rPr>
      </w:pPr>
      <w:bookmarkStart w:id="77" w:name="_Toc254970528"/>
      <w:bookmarkStart w:id="78" w:name="_Toc254970669"/>
      <w:r>
        <w:rPr>
          <w:rFonts w:hint="eastAsia" w:ascii="黑体" w:hAnsi="黑体" w:eastAsia="黑体"/>
          <w:color w:val="auto"/>
          <w:sz w:val="24"/>
          <w:highlight w:val="none"/>
        </w:rPr>
        <w:t>2.定义</w:t>
      </w:r>
      <w:bookmarkEnd w:id="77"/>
      <w:bookmarkEnd w:id="78"/>
    </w:p>
    <w:p w14:paraId="19594593">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10CEC7AF">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67CF4FA6">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2.3“投标人”是指向采购人提供货物、工程或者服务的法人、其他组织或者自然人。</w:t>
      </w:r>
    </w:p>
    <w:p w14:paraId="172F93A9">
      <w:pPr>
        <w:pStyle w:val="8"/>
        <w:spacing w:line="360" w:lineRule="auto"/>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174073A4">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2.5“货物”是指各种形态和种类的物品，包括原材料、燃料、设备、产品等；“服务”是指除货物和工程以外的其他政府采购对象。</w:t>
      </w:r>
    </w:p>
    <w:p w14:paraId="1EA12BBA">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2.6“售后服务” 是指商品出售以后所提供的各种服务，包含但不限于投标人须承担的备品备件、包装、运输、装卸、保险、货到就位以及安装、调试、培训、保修以及其他各种服务。</w:t>
      </w:r>
    </w:p>
    <w:p w14:paraId="28174D8C">
      <w:pPr>
        <w:pStyle w:val="6"/>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2.7“书面形式”是指合同书、信件和数据电文（包括电报、电传、传真、电子数据交换和电子邮件）等可以有形地表现所载内容的形式。</w:t>
      </w:r>
    </w:p>
    <w:p w14:paraId="2106B892">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2.8“实质性要求”是指招标文件中已经指明不满足则投标无效的条款，或者不能负偏离的条款，或者采购需求中带“▲”的条款。</w:t>
      </w:r>
    </w:p>
    <w:p w14:paraId="19E3822C">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olor w:val="auto"/>
          <w:szCs w:val="21"/>
          <w:highlight w:val="none"/>
        </w:rPr>
        <w:t xml:space="preserve">2.9 </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48059040">
      <w:pPr>
        <w:snapToGrid w:val="0"/>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2.10</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187BBEEB">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s="宋体"/>
          <w:color w:val="auto"/>
          <w:szCs w:val="21"/>
          <w:highlight w:val="none"/>
        </w:rPr>
        <w:t>“允许负偏离的条款”是指采购需求中的不属于“实质性要求”的条款。</w:t>
      </w:r>
      <w:bookmarkStart w:id="79" w:name="_Toc254970529"/>
      <w:bookmarkStart w:id="80" w:name="_Toc254970670"/>
    </w:p>
    <w:p w14:paraId="5E5804C7">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w:t>
      </w:r>
      <w:bookmarkEnd w:id="79"/>
      <w:bookmarkEnd w:id="80"/>
      <w:r>
        <w:rPr>
          <w:rFonts w:hint="eastAsia" w:ascii="黑体" w:hAnsi="黑体" w:eastAsia="黑体"/>
          <w:color w:val="auto"/>
          <w:sz w:val="24"/>
          <w:highlight w:val="none"/>
        </w:rPr>
        <w:t>投标人的资格要求</w:t>
      </w:r>
    </w:p>
    <w:p w14:paraId="71BC241A">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投标人的资格要求详见“投标人须知前附表”。</w:t>
      </w:r>
    </w:p>
    <w:p w14:paraId="59C1E32B">
      <w:pPr>
        <w:pStyle w:val="6"/>
        <w:keepNext w:val="0"/>
        <w:keepLines w:val="0"/>
        <w:spacing w:before="0" w:after="0" w:line="360" w:lineRule="auto"/>
        <w:ind w:left="420" w:leftChars="200"/>
        <w:rPr>
          <w:rFonts w:hint="eastAsia" w:ascii="黑体" w:hAnsi="黑体" w:eastAsia="黑体"/>
          <w:color w:val="auto"/>
          <w:sz w:val="24"/>
          <w:highlight w:val="none"/>
        </w:rPr>
      </w:pPr>
      <w:bookmarkStart w:id="81" w:name="_Toc254970671"/>
      <w:bookmarkStart w:id="82" w:name="_Toc254970530"/>
      <w:r>
        <w:rPr>
          <w:rFonts w:hint="eastAsia" w:ascii="黑体" w:hAnsi="黑体" w:eastAsia="黑体"/>
          <w:color w:val="auto"/>
          <w:sz w:val="24"/>
          <w:highlight w:val="none"/>
        </w:rPr>
        <w:t>4.投标委托</w:t>
      </w:r>
      <w:bookmarkEnd w:id="81"/>
      <w:bookmarkEnd w:id="82"/>
    </w:p>
    <w:p w14:paraId="7E34CDD9">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4AC9E6E2">
      <w:pPr>
        <w:pStyle w:val="6"/>
        <w:keepNext w:val="0"/>
        <w:keepLines w:val="0"/>
        <w:spacing w:before="0" w:after="0" w:line="360" w:lineRule="auto"/>
        <w:ind w:left="420" w:leftChars="200"/>
        <w:rPr>
          <w:rFonts w:hint="eastAsia" w:ascii="黑体" w:hAnsi="黑体" w:eastAsia="黑体"/>
          <w:color w:val="auto"/>
          <w:sz w:val="24"/>
          <w:highlight w:val="none"/>
        </w:rPr>
      </w:pPr>
      <w:bookmarkStart w:id="83" w:name="_5.投标费用"/>
      <w:bookmarkEnd w:id="83"/>
      <w:bookmarkStart w:id="84" w:name="_Toc254970672"/>
      <w:bookmarkStart w:id="85" w:name="_Toc254970531"/>
      <w:r>
        <w:rPr>
          <w:rFonts w:hint="eastAsia" w:ascii="黑体" w:hAnsi="黑体" w:eastAsia="黑体"/>
          <w:color w:val="auto"/>
          <w:sz w:val="24"/>
          <w:highlight w:val="none"/>
        </w:rPr>
        <w:t>5.投标费用</w:t>
      </w:r>
      <w:bookmarkEnd w:id="84"/>
      <w:bookmarkEnd w:id="85"/>
    </w:p>
    <w:p w14:paraId="3EAB390E">
      <w:pPr>
        <w:snapToGrid w:val="0"/>
        <w:spacing w:line="360" w:lineRule="auto"/>
        <w:ind w:firstLine="420" w:firstLineChars="200"/>
        <w:jc w:val="left"/>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49B89677">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49713EE7">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1886FE6F">
      <w:pPr>
        <w:snapToGrid w:val="0"/>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0DDBABFD">
      <w:pPr>
        <w:pStyle w:val="6"/>
        <w:keepNext w:val="0"/>
        <w:keepLines w:val="0"/>
        <w:spacing w:before="0" w:after="0" w:line="360" w:lineRule="auto"/>
        <w:ind w:firstLine="424" w:firstLineChars="202"/>
        <w:rPr>
          <w:rFonts w:hint="eastAsia" w:ascii="黑体" w:hAnsi="黑体" w:eastAsia="黑体"/>
          <w:color w:val="auto"/>
          <w:sz w:val="24"/>
          <w:highlight w:val="none"/>
        </w:rPr>
      </w:pPr>
      <w:r>
        <w:rPr>
          <w:rFonts w:hint="eastAsia" w:ascii="宋体" w:hAnsi="宋体"/>
          <w:b w:val="0"/>
          <w:bCs/>
          <w:color w:val="auto"/>
          <w:sz w:val="21"/>
          <w:szCs w:val="21"/>
          <w:highlight w:val="none"/>
        </w:rPr>
        <w:t>6.3</w:t>
      </w:r>
      <w:r>
        <w:rPr>
          <w:rFonts w:ascii="宋体" w:hAnsi="宋体"/>
          <w:b w:val="0"/>
          <w:bCs/>
          <w:color w:val="auto"/>
          <w:sz w:val="21"/>
          <w:szCs w:val="21"/>
          <w:highlight w:val="none"/>
        </w:rPr>
        <w:t xml:space="preserve"> </w:t>
      </w:r>
      <w:bookmarkStart w:id="86" w:name="_Hlk65857072"/>
      <w:r>
        <w:rPr>
          <w:rFonts w:hint="eastAsia" w:ascii="宋体" w:hAnsi="宋体"/>
          <w:b w:val="0"/>
          <w:bCs/>
          <w:color w:val="auto"/>
          <w:sz w:val="21"/>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w:t>
      </w:r>
      <w:bookmarkEnd w:id="86"/>
    </w:p>
    <w:p w14:paraId="3F61BD36">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7.转包与分包</w:t>
      </w:r>
    </w:p>
    <w:p w14:paraId="23A49237">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7.1本项目不允许转包。</w:t>
      </w:r>
    </w:p>
    <w:p w14:paraId="7B8A1A66">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7C23B3C3">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00B431A9">
      <w:pPr>
        <w:pStyle w:val="6"/>
        <w:keepNext w:val="0"/>
        <w:keepLines w:val="0"/>
        <w:spacing w:before="0" w:after="0" w:line="360" w:lineRule="auto"/>
        <w:ind w:left="420" w:leftChars="200"/>
        <w:rPr>
          <w:rFonts w:hint="eastAsia" w:ascii="黑体" w:hAnsi="黑体" w:eastAsia="黑体"/>
          <w:color w:val="auto"/>
          <w:sz w:val="24"/>
          <w:highlight w:val="none"/>
        </w:rPr>
      </w:pPr>
      <w:bookmarkStart w:id="87" w:name="_Toc254970532"/>
      <w:bookmarkStart w:id="88" w:name="_Toc254970673"/>
      <w:r>
        <w:rPr>
          <w:rFonts w:hint="eastAsia" w:ascii="黑体" w:hAnsi="黑体" w:eastAsia="黑体"/>
          <w:color w:val="auto"/>
          <w:sz w:val="24"/>
          <w:highlight w:val="none"/>
        </w:rPr>
        <w:t>8.特别说明</w:t>
      </w:r>
      <w:bookmarkEnd w:id="87"/>
      <w:bookmarkEnd w:id="88"/>
    </w:p>
    <w:p w14:paraId="1BE1D093">
      <w:pPr>
        <w:pStyle w:val="6"/>
        <w:keepNext w:val="0"/>
        <w:keepLines w:val="0"/>
        <w:spacing w:before="0" w:after="0" w:line="360" w:lineRule="auto"/>
        <w:ind w:firstLine="315" w:firstLineChars="150"/>
        <w:rPr>
          <w:rFonts w:hint="eastAsia" w:ascii="宋体" w:hAnsi="宋体"/>
          <w:b w:val="0"/>
          <w:color w:val="auto"/>
          <w:sz w:val="21"/>
          <w:szCs w:val="21"/>
          <w:highlight w:val="none"/>
        </w:rPr>
      </w:pPr>
      <w:bookmarkStart w:id="89" w:name="_8.1提供相同品牌产品且通过资格审查、符合性审查的不同投标人参加同一合"/>
      <w:bookmarkEnd w:id="89"/>
      <w:r>
        <w:rPr>
          <w:rFonts w:hint="eastAsia" w:ascii="宋体" w:hAnsi="宋体"/>
          <w:b w:val="0"/>
          <w:color w:val="auto"/>
          <w:sz w:val="21"/>
          <w:szCs w:val="21"/>
          <w:highlight w:val="none"/>
        </w:rPr>
        <w:t>8.1如果本招标文件要求提供投标人或制造商的资格、信誉、荣誉、业绩与企业认证等材料的，资格、信誉、荣誉、业绩与企业认证等必须为投标人或者制造商所拥有或自身获得 。</w:t>
      </w:r>
    </w:p>
    <w:p w14:paraId="410B6960">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8.2投标人应仔细阅读招标文件的所有内容，按照招标文件的要求提交投标文件，并对所提供的全部资料的真实性承担法律责任。</w:t>
      </w:r>
    </w:p>
    <w:p w14:paraId="6DD66246">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8.3投标人在投标活动中提供任何虚假材料，将报监管部门查处；中标后发现的，中标人须依法赔偿采购人，且民事赔偿并不免除违法投标人的行政与刑事责任。</w:t>
      </w:r>
    </w:p>
    <w:p w14:paraId="54850A38">
      <w:pPr>
        <w:pStyle w:val="6"/>
        <w:keepNext w:val="0"/>
        <w:keepLines w:val="0"/>
        <w:spacing w:before="0" w:after="0" w:line="360" w:lineRule="auto"/>
        <w:ind w:left="420" w:leftChars="200"/>
        <w:rPr>
          <w:rFonts w:hint="eastAsia"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0EE5EAAD">
      <w:pPr>
        <w:pStyle w:val="6"/>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投标人</w:t>
      </w:r>
      <w:r>
        <w:rPr>
          <w:rFonts w:ascii="宋体" w:hAnsi="宋体"/>
          <w:b w:val="0"/>
          <w:color w:val="auto"/>
          <w:sz w:val="21"/>
          <w:szCs w:val="21"/>
          <w:highlight w:val="none"/>
        </w:rPr>
        <w:t>有下列利害关系之一的，应当回避：</w:t>
      </w:r>
    </w:p>
    <w:p w14:paraId="2568AAA4">
      <w:pPr>
        <w:pStyle w:val="27"/>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1</w:t>
      </w:r>
      <w:r>
        <w:rPr>
          <w:rFonts w:hAnsi="宋体"/>
          <w:color w:val="auto"/>
          <w:kern w:val="2"/>
          <w:sz w:val="21"/>
          <w:highlight w:val="none"/>
        </w:rPr>
        <w:t>）参加采购活动前3年内与</w:t>
      </w:r>
      <w:r>
        <w:rPr>
          <w:rFonts w:hint="eastAsia" w:hAnsi="宋体"/>
          <w:color w:val="auto"/>
          <w:kern w:val="2"/>
          <w:sz w:val="21"/>
          <w:highlight w:val="none"/>
        </w:rPr>
        <w:t>投标人</w:t>
      </w:r>
      <w:r>
        <w:rPr>
          <w:rFonts w:hAnsi="宋体"/>
          <w:color w:val="auto"/>
          <w:kern w:val="2"/>
          <w:sz w:val="21"/>
          <w:highlight w:val="none"/>
        </w:rPr>
        <w:t>存在劳动关系；</w:t>
      </w:r>
    </w:p>
    <w:p w14:paraId="3B672D78">
      <w:pPr>
        <w:pStyle w:val="27"/>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2</w:t>
      </w:r>
      <w:r>
        <w:rPr>
          <w:rFonts w:hAnsi="宋体"/>
          <w:color w:val="auto"/>
          <w:kern w:val="2"/>
          <w:sz w:val="21"/>
          <w:highlight w:val="none"/>
        </w:rPr>
        <w:t>）参加采购活动前3年内担任</w:t>
      </w:r>
      <w:r>
        <w:rPr>
          <w:rFonts w:hint="eastAsia" w:hAnsi="宋体"/>
          <w:color w:val="auto"/>
          <w:kern w:val="2"/>
          <w:sz w:val="21"/>
          <w:highlight w:val="none"/>
        </w:rPr>
        <w:t>投标人</w:t>
      </w:r>
      <w:r>
        <w:rPr>
          <w:rFonts w:hAnsi="宋体"/>
          <w:color w:val="auto"/>
          <w:kern w:val="2"/>
          <w:sz w:val="21"/>
          <w:highlight w:val="none"/>
        </w:rPr>
        <w:t>的董事、监事；</w:t>
      </w:r>
    </w:p>
    <w:p w14:paraId="004830E9">
      <w:pPr>
        <w:pStyle w:val="27"/>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3</w:t>
      </w:r>
      <w:r>
        <w:rPr>
          <w:rFonts w:hAnsi="宋体"/>
          <w:color w:val="auto"/>
          <w:kern w:val="2"/>
          <w:sz w:val="21"/>
          <w:highlight w:val="none"/>
        </w:rPr>
        <w:t>）参加采购活动前3年内是</w:t>
      </w:r>
      <w:r>
        <w:rPr>
          <w:rFonts w:hint="eastAsia" w:hAnsi="宋体"/>
          <w:color w:val="auto"/>
          <w:kern w:val="2"/>
          <w:sz w:val="21"/>
          <w:highlight w:val="none"/>
        </w:rPr>
        <w:t>投标人</w:t>
      </w:r>
      <w:r>
        <w:rPr>
          <w:rFonts w:hAnsi="宋体"/>
          <w:color w:val="auto"/>
          <w:kern w:val="2"/>
          <w:sz w:val="21"/>
          <w:highlight w:val="none"/>
        </w:rPr>
        <w:t>的控股股东或者实际控制人；</w:t>
      </w:r>
    </w:p>
    <w:p w14:paraId="6C8905BA">
      <w:pPr>
        <w:pStyle w:val="27"/>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4</w:t>
      </w:r>
      <w:r>
        <w:rPr>
          <w:rFonts w:hAnsi="宋体"/>
          <w:color w:val="auto"/>
          <w:kern w:val="2"/>
          <w:sz w:val="21"/>
          <w:highlight w:val="none"/>
        </w:rPr>
        <w:t>）与</w:t>
      </w:r>
      <w:r>
        <w:rPr>
          <w:rFonts w:hint="eastAsia" w:hAnsi="宋体"/>
          <w:color w:val="auto"/>
          <w:kern w:val="2"/>
          <w:sz w:val="21"/>
          <w:highlight w:val="none"/>
        </w:rPr>
        <w:t>投标人</w:t>
      </w:r>
      <w:r>
        <w:rPr>
          <w:rFonts w:hAnsi="宋体"/>
          <w:color w:val="auto"/>
          <w:kern w:val="2"/>
          <w:sz w:val="21"/>
          <w:highlight w:val="none"/>
        </w:rPr>
        <w:t>的法定代表人或者负责人有夫妻、直系血亲、三代以内旁系血亲或者近姻亲关系；</w:t>
      </w:r>
    </w:p>
    <w:p w14:paraId="5FAD9B6B">
      <w:pPr>
        <w:pStyle w:val="27"/>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5</w:t>
      </w:r>
      <w:r>
        <w:rPr>
          <w:rFonts w:hAnsi="宋体"/>
          <w:color w:val="auto"/>
          <w:kern w:val="2"/>
          <w:sz w:val="21"/>
          <w:highlight w:val="none"/>
        </w:rPr>
        <w:t>）与</w:t>
      </w:r>
      <w:r>
        <w:rPr>
          <w:rFonts w:hint="eastAsia" w:hAnsi="宋体"/>
          <w:color w:val="auto"/>
          <w:kern w:val="2"/>
          <w:sz w:val="21"/>
          <w:highlight w:val="none"/>
        </w:rPr>
        <w:t>投标人</w:t>
      </w:r>
      <w:r>
        <w:rPr>
          <w:rFonts w:hAnsi="宋体"/>
          <w:color w:val="auto"/>
          <w:kern w:val="2"/>
          <w:sz w:val="21"/>
          <w:highlight w:val="none"/>
        </w:rPr>
        <w:t>有其他可能影响政府采购活动公平、公正进行的关系。</w:t>
      </w:r>
    </w:p>
    <w:p w14:paraId="223040D9">
      <w:pPr>
        <w:pStyle w:val="27"/>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投标人</w:t>
      </w:r>
      <w:r>
        <w:rPr>
          <w:rFonts w:hAnsi="宋体"/>
          <w:color w:val="auto"/>
          <w:kern w:val="2"/>
          <w:sz w:val="21"/>
          <w:highlight w:val="none"/>
        </w:rPr>
        <w:t>认为采购人员及相关人员与其他</w:t>
      </w:r>
      <w:r>
        <w:rPr>
          <w:rFonts w:hint="eastAsia" w:hAnsi="宋体"/>
          <w:color w:val="auto"/>
          <w:kern w:val="2"/>
          <w:sz w:val="21"/>
          <w:highlight w:val="none"/>
        </w:rPr>
        <w:t>投标人</w:t>
      </w:r>
      <w:r>
        <w:rPr>
          <w:rFonts w:hAnsi="宋体"/>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30348AAB">
      <w:pPr>
        <w:pStyle w:val="6"/>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6AB880AF">
      <w:pPr>
        <w:pStyle w:val="27"/>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 xml:space="preserve">（1）不同投标人的投标文件由同一单位或者个人编制； </w:t>
      </w:r>
    </w:p>
    <w:p w14:paraId="432DAD1D">
      <w:pPr>
        <w:pStyle w:val="27"/>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（2）不同投标人委托同一单位或者个人办理投标事宜；</w:t>
      </w:r>
    </w:p>
    <w:p w14:paraId="4A570ED2">
      <w:pPr>
        <w:pStyle w:val="27"/>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（3）不同的投标人的投标文件载明的项目管理员为同一个人；</w:t>
      </w:r>
    </w:p>
    <w:p w14:paraId="08E06D9A">
      <w:pPr>
        <w:pStyle w:val="27"/>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（4）不同投标人的投标文件异常一致或者投标报价呈规律性差异；</w:t>
      </w:r>
    </w:p>
    <w:p w14:paraId="24D96239">
      <w:pPr>
        <w:pStyle w:val="27"/>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（5）不同投标人的投标文件相互混装；</w:t>
      </w:r>
    </w:p>
    <w:p w14:paraId="4299DDCD">
      <w:pPr>
        <w:pStyle w:val="27"/>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（6）不同投标人的投标保证金从同一单位或者个人账户转出。</w:t>
      </w:r>
    </w:p>
    <w:p w14:paraId="23DEEB0C">
      <w:pPr>
        <w:pStyle w:val="6"/>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投标人有下列情形之一的，属于恶意串通行为，将报同级监督管理部门：</w:t>
      </w:r>
    </w:p>
    <w:p w14:paraId="39EC0294">
      <w:pPr>
        <w:pStyle w:val="27"/>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（1）投标人直接或者间接从采购人或者采购代理机构处获得其他投标人的相关信息并修改其投标文件或者响应文件；</w:t>
      </w:r>
    </w:p>
    <w:p w14:paraId="2E2BABBA">
      <w:pPr>
        <w:pStyle w:val="27"/>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（2）投标人按照采购人或者采购代理机构的授意撤换、修改投标文件或者响应文件；</w:t>
      </w:r>
    </w:p>
    <w:p w14:paraId="5C67CEBE">
      <w:pPr>
        <w:pStyle w:val="27"/>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（3）投标人之间协商报价、技术方案等投标文件或者响应文件的实质性内容；</w:t>
      </w:r>
    </w:p>
    <w:p w14:paraId="15733681">
      <w:pPr>
        <w:pStyle w:val="27"/>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（4）属于同一集团、协会、商会等组织成员的投标人按照该组织要求协同参加政府采购活动；</w:t>
      </w:r>
    </w:p>
    <w:p w14:paraId="7FFEA06B">
      <w:pPr>
        <w:pStyle w:val="27"/>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（5）投标人之间事先约定一致抬高或者压低投标报价，或者在招标项目中事先约定轮流以高价位或者低价位中标，或者事先约定由某一特定投标人中标，然后再参加投标；</w:t>
      </w:r>
    </w:p>
    <w:p w14:paraId="665D137E">
      <w:pPr>
        <w:pStyle w:val="27"/>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（6）投标人之间商定部分投标人放弃参加政府采购活动或者放弃中标；</w:t>
      </w:r>
    </w:p>
    <w:p w14:paraId="1BC1B4E6">
      <w:pPr>
        <w:pStyle w:val="27"/>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（7）投标人与采购人或者采购代理机构之间、投标人相互之间，为谋求特定投标人中标或者排斥其他投标人的其他串通行为。</w:t>
      </w:r>
    </w:p>
    <w:p w14:paraId="71459326">
      <w:pPr>
        <w:pStyle w:val="27"/>
        <w:snapToGrid w:val="0"/>
        <w:spacing w:line="360" w:lineRule="auto"/>
        <w:ind w:left="2" w:leftChars="1" w:firstLine="422" w:firstLineChars="200"/>
        <w:rPr>
          <w:rFonts w:hint="eastAsia" w:hAnsi="宋体"/>
          <w:b/>
          <w:color w:val="auto"/>
          <w:kern w:val="2"/>
          <w:sz w:val="21"/>
          <w:highlight w:val="none"/>
        </w:rPr>
      </w:pPr>
    </w:p>
    <w:p w14:paraId="152B1078">
      <w:pPr>
        <w:pStyle w:val="4"/>
        <w:keepNext w:val="0"/>
        <w:keepLines w:val="0"/>
        <w:jc w:val="center"/>
        <w:rPr>
          <w:color w:val="auto"/>
          <w:highlight w:val="none"/>
        </w:rPr>
      </w:pPr>
      <w:bookmarkStart w:id="90" w:name="_Toc254970675"/>
      <w:bookmarkStart w:id="91" w:name="_Toc254970534"/>
      <w:r>
        <w:rPr>
          <w:rFonts w:hint="eastAsia"/>
          <w:color w:val="auto"/>
          <w:highlight w:val="none"/>
        </w:rPr>
        <w:t>二、招标文件</w:t>
      </w:r>
      <w:bookmarkEnd w:id="90"/>
      <w:bookmarkEnd w:id="91"/>
    </w:p>
    <w:p w14:paraId="30238238">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10.招标文件的组成</w:t>
      </w:r>
    </w:p>
    <w:p w14:paraId="5D4761C7">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（1）招标公告；</w:t>
      </w:r>
    </w:p>
    <w:p w14:paraId="167EFB6B">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（2）采购需求；</w:t>
      </w:r>
    </w:p>
    <w:p w14:paraId="207FEF78">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（3）投标人须知；</w:t>
      </w:r>
    </w:p>
    <w:p w14:paraId="67129FE4">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（4）评标方法及评标标准；</w:t>
      </w:r>
    </w:p>
    <w:p w14:paraId="508CCABD">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（5）拟签订的合同文本；</w:t>
      </w:r>
    </w:p>
    <w:p w14:paraId="444A977E">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（6）投标文件格式。</w:t>
      </w:r>
    </w:p>
    <w:p w14:paraId="7CA286A6">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02149242">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11.1投标人应认真审阅本招标文件，如有疑问，或发现其中有误或有要求不合理的，应在招标公告公告期限届满之日起7个工作日内以纸质书面形式要求采购人或采购代理机构对招标文件予以澄清；否则，由此产生的后果由投标人自行负责。</w:t>
      </w:r>
    </w:p>
    <w:p w14:paraId="6A3B9C81">
      <w:pPr>
        <w:pStyle w:val="6"/>
        <w:keepNext w:val="0"/>
        <w:keepLines w:val="0"/>
        <w:numPr>
          <w:ilvl w:val="0"/>
          <w:numId w:val="0"/>
        </w:numPr>
        <w:spacing w:before="0" w:after="0" w:line="360" w:lineRule="auto"/>
        <w:ind w:firstLine="420" w:firstLineChars="200"/>
        <w:rPr>
          <w:rFonts w:hint="eastAsia" w:ascii="宋体" w:hAnsi="宋体"/>
          <w:color w:val="auto"/>
          <w:highlight w:val="none"/>
        </w:rPr>
      </w:pPr>
      <w:r>
        <w:rPr>
          <w:rFonts w:hint="eastAsia" w:ascii="宋体" w:hAnsi="宋体"/>
          <w:b w:val="0"/>
          <w:color w:val="auto"/>
          <w:sz w:val="21"/>
          <w:szCs w:val="21"/>
          <w:highlight w:val="none"/>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w:t>
      </w:r>
    </w:p>
    <w:p w14:paraId="0BEFF95B">
      <w:pPr>
        <w:spacing w:line="360" w:lineRule="auto"/>
        <w:ind w:firstLine="420" w:firstLineChars="200"/>
        <w:rPr>
          <w:rFonts w:hint="eastAsia" w:ascii="宋体" w:hAnsi="宋体"/>
          <w:color w:val="auto"/>
          <w:szCs w:val="21"/>
          <w:highlight w:val="none"/>
        </w:rPr>
      </w:pPr>
      <w:r>
        <w:rPr>
          <w:rFonts w:hint="eastAsia" w:ascii="宋体" w:hAnsi="宋体"/>
          <w:color w:val="auto"/>
          <w:highlight w:val="none"/>
        </w:rPr>
        <w:t>11.3采购人和采购代理机构可以视采购具体情况，变更投标截止时间和开标时间，并</w:t>
      </w:r>
      <w:r>
        <w:rPr>
          <w:rFonts w:hint="eastAsia" w:ascii="宋体" w:hAnsi="宋体"/>
          <w:color w:val="auto"/>
          <w:szCs w:val="21"/>
          <w:highlight w:val="none"/>
        </w:rPr>
        <w:t>在原公告发布媒体上发布更正公告。</w:t>
      </w:r>
    </w:p>
    <w:p w14:paraId="103DBF2D">
      <w:pPr>
        <w:spacing w:line="360" w:lineRule="auto"/>
        <w:ind w:firstLine="420" w:firstLineChars="200"/>
        <w:rPr>
          <w:rFonts w:hint="eastAsia" w:hAnsi="宋体"/>
          <w:color w:val="auto"/>
          <w:highlight w:val="none"/>
        </w:rPr>
      </w:pPr>
      <w:r>
        <w:rPr>
          <w:rFonts w:hint="eastAsia" w:ascii="宋体" w:hAnsi="宋体"/>
          <w:color w:val="auto"/>
          <w:szCs w:val="21"/>
          <w:highlight w:val="none"/>
        </w:rPr>
        <w:t>11.4招标文件澄清、答复、修改、补充的内容为招标文件的组成部分。</w:t>
      </w:r>
      <w:r>
        <w:rPr>
          <w:rFonts w:hint="eastAsia" w:ascii="宋体" w:hAnsi="宋体"/>
          <w:b/>
          <w:color w:val="auto"/>
          <w:szCs w:val="21"/>
          <w:highlight w:val="none"/>
        </w:rPr>
        <w:t>当招标文件与招标文件的澄清、答复、修改、补充通知就同一内容的表述不一致时，以最后发出的文件为准。</w:t>
      </w:r>
    </w:p>
    <w:p w14:paraId="2BDBCDC8">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w:t>
      </w:r>
      <w:r>
        <w:rPr>
          <w:rFonts w:hAnsi="宋体"/>
          <w:color w:val="auto"/>
          <w:sz w:val="21"/>
          <w:highlight w:val="none"/>
        </w:rPr>
        <w:t>1.</w:t>
      </w:r>
      <w:bookmarkStart w:id="92" w:name="_Hlk53134511"/>
      <w:r>
        <w:rPr>
          <w:rFonts w:hint="eastAsia" w:hAnsi="宋体"/>
          <w:color w:val="auto"/>
          <w:sz w:val="21"/>
          <w:highlight w:val="none"/>
        </w:rPr>
        <w:t>5采购人或者采购代理机构可以在招标文件提供期限截止后，组织已获取招标文件的潜在投标人现场考察或者召开开标前答疑会，具体详见“投标人须知前附表”。</w:t>
      </w:r>
    </w:p>
    <w:p w14:paraId="2A72407C">
      <w:pPr>
        <w:pStyle w:val="27"/>
        <w:snapToGrid w:val="0"/>
        <w:spacing w:line="360" w:lineRule="auto"/>
        <w:ind w:firstLine="420" w:firstLineChars="200"/>
        <w:rPr>
          <w:rFonts w:hint="eastAsia" w:hAnsi="宋体"/>
          <w:color w:val="auto"/>
          <w:sz w:val="21"/>
          <w:highlight w:val="none"/>
        </w:rPr>
      </w:pPr>
    </w:p>
    <w:bookmarkEnd w:id="92"/>
    <w:p w14:paraId="7C208BD1">
      <w:pPr>
        <w:pStyle w:val="4"/>
        <w:keepNext w:val="0"/>
        <w:keepLines w:val="0"/>
        <w:jc w:val="center"/>
        <w:rPr>
          <w:color w:val="auto"/>
          <w:highlight w:val="none"/>
        </w:rPr>
      </w:pPr>
      <w:bookmarkStart w:id="93" w:name="_Toc254970535"/>
      <w:bookmarkStart w:id="94" w:name="_Toc254970676"/>
      <w:r>
        <w:rPr>
          <w:rFonts w:hint="eastAsia"/>
          <w:color w:val="auto"/>
          <w:highlight w:val="none"/>
        </w:rPr>
        <w:t>三、投标文件的编制</w:t>
      </w:r>
      <w:bookmarkEnd w:id="93"/>
      <w:bookmarkEnd w:id="94"/>
    </w:p>
    <w:p w14:paraId="07A0C8AA">
      <w:pPr>
        <w:pStyle w:val="6"/>
        <w:keepNext w:val="0"/>
        <w:keepLines w:val="0"/>
        <w:spacing w:before="0" w:after="0" w:line="360" w:lineRule="auto"/>
        <w:ind w:left="420" w:leftChars="200"/>
        <w:rPr>
          <w:rFonts w:hint="eastAsia" w:ascii="黑体" w:hAnsi="黑体" w:eastAsia="黑体"/>
          <w:color w:val="auto"/>
          <w:sz w:val="24"/>
          <w:highlight w:val="none"/>
        </w:rPr>
      </w:pPr>
      <w:bookmarkStart w:id="95" w:name="_Toc254970677"/>
      <w:bookmarkStart w:id="96" w:name="_Toc254970536"/>
      <w:r>
        <w:rPr>
          <w:rFonts w:hint="eastAsia" w:ascii="黑体" w:hAnsi="黑体" w:eastAsia="黑体"/>
          <w:color w:val="auto"/>
          <w:sz w:val="24"/>
          <w:highlight w:val="none"/>
        </w:rPr>
        <w:t>12.投标文件的编制原则</w:t>
      </w:r>
    </w:p>
    <w:p w14:paraId="3E3EDF6D">
      <w:pPr>
        <w:snapToGrid w:val="0"/>
        <w:spacing w:line="360" w:lineRule="auto"/>
        <w:ind w:firstLine="420"/>
        <w:jc w:val="left"/>
        <w:rPr>
          <w:rFonts w:hint="eastAsia"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0D0E1EE2">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bookmarkEnd w:id="95"/>
      <w:bookmarkEnd w:id="96"/>
    </w:p>
    <w:p w14:paraId="71C3861C">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3.1</w:t>
      </w:r>
      <w:r>
        <w:rPr>
          <w:rFonts w:hint="eastAsia" w:ascii="宋体" w:hAnsi="宋体"/>
          <w:color w:val="auto"/>
          <w:szCs w:val="21"/>
          <w:highlight w:val="none"/>
        </w:rPr>
        <w:t>投标文件由报价文件、资格证明文件、商务文件、技术文件四部分组成。</w:t>
      </w:r>
    </w:p>
    <w:p w14:paraId="74FCE158">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97" w:name="_13.1报价文件:_具体材料见“投标人须知前附表”。"/>
      <w:bookmarkEnd w:id="97"/>
      <w:r>
        <w:rPr>
          <w:rFonts w:hint="eastAsia" w:ascii="宋体" w:hAnsi="宋体"/>
          <w:b w:val="0"/>
          <w:color w:val="auto"/>
          <w:sz w:val="21"/>
          <w:szCs w:val="21"/>
          <w:highlight w:val="none"/>
        </w:rPr>
        <w:t>（1）报价文件：</w:t>
      </w:r>
      <w:r>
        <w:rPr>
          <w:rFonts w:ascii="宋体" w:hAnsi="宋体"/>
          <w:b w:val="0"/>
          <w:color w:val="auto"/>
          <w:sz w:val="21"/>
          <w:szCs w:val="21"/>
          <w:highlight w:val="none"/>
        </w:rPr>
        <w:t xml:space="preserve"> 具体材料见“投标人须知前附表”</w:t>
      </w:r>
      <w:r>
        <w:rPr>
          <w:rFonts w:hint="eastAsia" w:ascii="宋体" w:hAnsi="宋体"/>
          <w:b w:val="0"/>
          <w:color w:val="auto"/>
          <w:sz w:val="21"/>
          <w:szCs w:val="21"/>
          <w:highlight w:val="none"/>
        </w:rPr>
        <w:t>。</w:t>
      </w:r>
    </w:p>
    <w:p w14:paraId="245DF2DE">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98" w:name="_13.2资格证明文件：具体材料见“投标人须知前附表”。"/>
      <w:bookmarkEnd w:id="98"/>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433AF8E7">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99" w:name="_13.3商务文件:_具体材料见“投标人须知前附表”。"/>
      <w:bookmarkEnd w:id="99"/>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486B8FFB">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00" w:name="_13.4技术文件：具体材料见“投标人须知前附表”。"/>
      <w:bookmarkEnd w:id="100"/>
      <w:r>
        <w:rPr>
          <w:rFonts w:hint="eastAsia" w:ascii="宋体" w:hAnsi="宋体"/>
          <w:b w:val="0"/>
          <w:color w:val="auto"/>
          <w:sz w:val="21"/>
          <w:szCs w:val="21"/>
          <w:highlight w:val="none"/>
        </w:rPr>
        <w:t>（</w:t>
      </w:r>
      <w:r>
        <w:rPr>
          <w:rFonts w:ascii="宋体" w:hAnsi="宋体"/>
          <w:b w:val="0"/>
          <w:color w:val="auto"/>
          <w:sz w:val="21"/>
          <w:szCs w:val="21"/>
          <w:highlight w:val="none"/>
        </w:rPr>
        <w:t>4</w:t>
      </w:r>
      <w:r>
        <w:rPr>
          <w:rFonts w:hint="eastAsia" w:ascii="宋体" w:hAnsi="宋体"/>
          <w:b w:val="0"/>
          <w:color w:val="auto"/>
          <w:sz w:val="21"/>
          <w:szCs w:val="21"/>
          <w:highlight w:val="none"/>
        </w:rPr>
        <w:t>）技术文件：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bookmarkStart w:id="101" w:name="_13.5投标文件电子版：具体材料见“投标人须知前附表”。"/>
      <w:bookmarkEnd w:id="101"/>
    </w:p>
    <w:p w14:paraId="617F76C2">
      <w:pPr>
        <w:pStyle w:val="6"/>
        <w:keepNext w:val="0"/>
        <w:keepLines w:val="0"/>
        <w:spacing w:before="0" w:after="0" w:line="360" w:lineRule="auto"/>
        <w:ind w:left="420" w:leftChars="200"/>
        <w:rPr>
          <w:rFonts w:hint="eastAsia" w:ascii="黑体" w:hAnsi="黑体" w:eastAsia="黑体"/>
          <w:color w:val="auto"/>
          <w:sz w:val="24"/>
          <w:highlight w:val="none"/>
        </w:rPr>
      </w:pPr>
      <w:bookmarkStart w:id="102" w:name="_Toc254970678"/>
      <w:bookmarkStart w:id="103" w:name="_Toc254970537"/>
      <w:r>
        <w:rPr>
          <w:rFonts w:hint="eastAsia" w:ascii="黑体" w:hAnsi="黑体" w:eastAsia="黑体"/>
          <w:color w:val="auto"/>
          <w:sz w:val="24"/>
          <w:highlight w:val="none"/>
        </w:rPr>
        <w:t>14.投标文件的语言及计量</w:t>
      </w:r>
      <w:bookmarkEnd w:id="102"/>
      <w:bookmarkEnd w:id="103"/>
    </w:p>
    <w:p w14:paraId="71FBE3DD">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14.1语言文字</w:t>
      </w:r>
    </w:p>
    <w:p w14:paraId="67618AFF">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41E4044">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37942C32">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招标文件已有明确规定的，使用招标文件规定的计量单位；招标文件没有规定的，应采用中华人民共和国法定计量单位，货币种类为人民币，否则视同未响应。</w:t>
      </w:r>
    </w:p>
    <w:p w14:paraId="4A705C8B">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15.投标的风险</w:t>
      </w:r>
    </w:p>
    <w:p w14:paraId="539B2D4B">
      <w:pPr>
        <w:pStyle w:val="27"/>
        <w:snapToGrid w:val="0"/>
        <w:spacing w:line="360" w:lineRule="auto"/>
        <w:ind w:firstLine="420" w:firstLineChars="200"/>
        <w:jc w:val="left"/>
        <w:rPr>
          <w:rFonts w:hint="eastAsia"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03256633">
      <w:pPr>
        <w:pStyle w:val="6"/>
        <w:keepNext w:val="0"/>
        <w:keepLines w:val="0"/>
        <w:spacing w:before="0" w:after="0" w:line="360" w:lineRule="auto"/>
        <w:ind w:left="420" w:leftChars="200"/>
        <w:rPr>
          <w:rFonts w:hint="eastAsia" w:ascii="黑体" w:hAnsi="黑体" w:eastAsia="黑体"/>
          <w:color w:val="auto"/>
          <w:sz w:val="24"/>
          <w:highlight w:val="none"/>
        </w:rPr>
      </w:pPr>
      <w:bookmarkStart w:id="104" w:name="_Toc254970538"/>
      <w:bookmarkStart w:id="105" w:name="_Toc254970679"/>
      <w:r>
        <w:rPr>
          <w:rFonts w:hint="eastAsia" w:ascii="黑体" w:hAnsi="黑体" w:eastAsia="黑体"/>
          <w:color w:val="auto"/>
          <w:sz w:val="24"/>
          <w:highlight w:val="none"/>
        </w:rPr>
        <w:t>16.投标报价</w:t>
      </w:r>
      <w:bookmarkEnd w:id="104"/>
      <w:bookmarkEnd w:id="105"/>
    </w:p>
    <w:p w14:paraId="4CCE5EBC">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24153296">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06" w:name="_16.2投标报价具体定义见投标人须知前附表。"/>
      <w:bookmarkEnd w:id="106"/>
      <w:r>
        <w:rPr>
          <w:rFonts w:hint="eastAsia" w:ascii="宋体" w:hAnsi="宋体"/>
          <w:b w:val="0"/>
          <w:color w:val="auto"/>
          <w:sz w:val="21"/>
          <w:szCs w:val="21"/>
          <w:highlight w:val="none"/>
        </w:rPr>
        <w:t>16.2投标报价具体包括内容详见“投标人须知前附表”。</w:t>
      </w:r>
    </w:p>
    <w:p w14:paraId="5C425844">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16.3投标人必须就所投每个分标的全部内容分别作完整唯一总价报价，不得存在漏项报价；投标人必须就所投分标的单项内容作唯一报价。</w:t>
      </w:r>
    </w:p>
    <w:p w14:paraId="7841163F">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73FF5E27">
      <w:pPr>
        <w:pStyle w:val="6"/>
        <w:keepNext w:val="0"/>
        <w:keepLines w:val="0"/>
        <w:spacing w:before="0" w:after="0" w:line="360" w:lineRule="auto"/>
        <w:ind w:firstLine="420" w:firstLineChars="200"/>
        <w:rPr>
          <w:rFonts w:hint="eastAsia" w:ascii="宋体" w:hAnsi="宋体"/>
          <w:b w:val="0"/>
          <w:color w:val="auto"/>
          <w:sz w:val="21"/>
          <w:szCs w:val="21"/>
          <w:highlight w:val="none"/>
        </w:rPr>
      </w:pPr>
      <w:bookmarkStart w:id="107" w:name="_17.1投标有效期应按“投标人须知中的前附表”规定的期限。"/>
      <w:bookmarkEnd w:id="107"/>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26CBF455">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17.2</w:t>
      </w:r>
      <w:bookmarkStart w:id="108" w:name="_Toc254970540"/>
      <w:bookmarkStart w:id="109" w:name="_Toc254970681"/>
      <w:r>
        <w:rPr>
          <w:rFonts w:hint="eastAsia" w:ascii="宋体" w:hAnsi="宋体"/>
          <w:b w:val="0"/>
          <w:color w:val="auto"/>
          <w:sz w:val="21"/>
          <w:szCs w:val="21"/>
          <w:highlight w:val="none"/>
        </w:rPr>
        <w:t xml:space="preserve"> 投标有效期应按规定的期限作出承诺，具体详见“投标人须知前附表”。</w:t>
      </w:r>
    </w:p>
    <w:p w14:paraId="79692596">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108"/>
      <w:bookmarkEnd w:id="109"/>
    </w:p>
    <w:p w14:paraId="51D3DAFC">
      <w:pPr>
        <w:pStyle w:val="6"/>
        <w:keepNext w:val="0"/>
        <w:keepLines w:val="0"/>
        <w:spacing w:before="0" w:after="0" w:line="360" w:lineRule="auto"/>
        <w:ind w:left="420" w:leftChars="200"/>
        <w:rPr>
          <w:rFonts w:hint="eastAsia" w:ascii="黑体" w:hAnsi="黑体" w:eastAsia="黑体"/>
          <w:color w:val="auto"/>
          <w:sz w:val="24"/>
          <w:highlight w:val="none"/>
        </w:rPr>
      </w:pPr>
      <w:bookmarkStart w:id="110" w:name="_18.投标保证金"/>
      <w:bookmarkEnd w:id="110"/>
      <w:bookmarkStart w:id="111" w:name="_Toc254970541"/>
      <w:bookmarkStart w:id="112" w:name="_Toc254970682"/>
      <w:r>
        <w:rPr>
          <w:rFonts w:hint="eastAsia" w:ascii="黑体" w:hAnsi="黑体" w:eastAsia="黑体"/>
          <w:color w:val="auto"/>
          <w:sz w:val="24"/>
          <w:highlight w:val="none"/>
        </w:rPr>
        <w:t>18.投标保证金</w:t>
      </w:r>
      <w:bookmarkEnd w:id="111"/>
      <w:bookmarkEnd w:id="112"/>
    </w:p>
    <w:p w14:paraId="4784DA2D">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18.1投标人须按“投标人须知前附表” 的规定提交投标保证金。</w:t>
      </w:r>
    </w:p>
    <w:p w14:paraId="4EB2C803">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18.2投标保证金的退还</w:t>
      </w:r>
    </w:p>
    <w:p w14:paraId="3BB008DC">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未中标人的投标保证金自中标通知书发出之日起4个工作日内退还；中标人的投标保证金自政府采购合同签订之日起4个工作日内退还。 </w:t>
      </w:r>
    </w:p>
    <w:p w14:paraId="6B50BDBB">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18.3除逾期退还投标保证金和终止招标的情形以外，投标保证金不计息。</w:t>
      </w:r>
    </w:p>
    <w:p w14:paraId="138B98A9">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18.4投标人有下列情形之一的，投标保证金将不予退还： </w:t>
      </w:r>
    </w:p>
    <w:p w14:paraId="6D6C4A42">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（1）投标人在投标有效期内撤销投标文件的；</w:t>
      </w:r>
    </w:p>
    <w:p w14:paraId="6E69AF06">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（2）未按规定提交履约保证金的；</w:t>
      </w:r>
    </w:p>
    <w:p w14:paraId="676C6C7E">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（3）投标人在投标过程中弄虚作假，提供虚假材料的；</w:t>
      </w:r>
    </w:p>
    <w:p w14:paraId="458B0C98">
      <w:pPr>
        <w:snapToGrid w:val="0"/>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（4）中标人无正当理由不与采购人签订合同的；</w:t>
      </w:r>
    </w:p>
    <w:p w14:paraId="026EEF8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（5）投标人出现本章第9.2、9.3情形的；</w:t>
      </w:r>
    </w:p>
    <w:p w14:paraId="74E6B18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p w14:paraId="51357271">
      <w:pPr>
        <w:pStyle w:val="6"/>
        <w:keepNext w:val="0"/>
        <w:keepLines w:val="0"/>
        <w:spacing w:before="0" w:after="0" w:line="360" w:lineRule="auto"/>
        <w:ind w:left="420" w:leftChars="200"/>
        <w:rPr>
          <w:rFonts w:hint="eastAsia" w:ascii="黑体" w:hAnsi="黑体" w:eastAsia="黑体"/>
          <w:color w:val="auto"/>
          <w:sz w:val="24"/>
          <w:highlight w:val="none"/>
        </w:rPr>
      </w:pPr>
      <w:bookmarkStart w:id="113" w:name="_Toc254970683"/>
      <w:bookmarkStart w:id="114" w:name="_Toc254970542"/>
      <w:r>
        <w:rPr>
          <w:rFonts w:hint="eastAsia" w:ascii="黑体" w:hAnsi="黑体" w:eastAsia="黑体"/>
          <w:color w:val="auto"/>
          <w:sz w:val="24"/>
          <w:highlight w:val="none"/>
        </w:rPr>
        <w:t>19.投标文件的</w:t>
      </w:r>
      <w:bookmarkEnd w:id="113"/>
      <w:bookmarkEnd w:id="114"/>
      <w:r>
        <w:rPr>
          <w:rFonts w:hint="eastAsia" w:ascii="黑体" w:hAnsi="黑体" w:eastAsia="黑体"/>
          <w:color w:val="auto"/>
          <w:sz w:val="24"/>
          <w:highlight w:val="none"/>
        </w:rPr>
        <w:t>编制</w:t>
      </w:r>
    </w:p>
    <w:p w14:paraId="0A744746">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29DF0353">
      <w:pPr>
        <w:pStyle w:val="6"/>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bookmarkStart w:id="115" w:name="_19.2投标文件应按报价文件、资格证明文件、商务文件、技术文件分别编制"/>
      <w:bookmarkEnd w:id="115"/>
      <w:r>
        <w:rPr>
          <w:rFonts w:hint="eastAsia" w:ascii="宋体" w:hAnsi="宋体"/>
          <w:b w:val="0"/>
          <w:color w:val="auto"/>
          <w:sz w:val="21"/>
          <w:szCs w:val="21"/>
          <w:highlight w:val="none"/>
        </w:rPr>
        <w:t>19.2投标文件应按报价文件、资格证明文件、商务文件、技术文件分别编制电子文件，并按广西政府采购云平台的要求编制、加密、上传。</w:t>
      </w:r>
    </w:p>
    <w:p w14:paraId="6B8F5826">
      <w:pPr>
        <w:pStyle w:val="6"/>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19.</w:t>
      </w:r>
      <w:bookmarkStart w:id="116" w:name="_Hlk65832616"/>
      <w:r>
        <w:rPr>
          <w:rFonts w:hint="eastAsia" w:ascii="宋体" w:hAnsi="宋体"/>
          <w:b w:val="0"/>
          <w:color w:val="auto"/>
          <w:sz w:val="21"/>
          <w:szCs w:val="21"/>
          <w:highlight w:val="none"/>
        </w:rPr>
        <w:t>3投标文件须由投标人在规定位置盖公章并签字</w:t>
      </w:r>
      <w:bookmarkStart w:id="117" w:name="_Hlk65832569"/>
      <w:r>
        <w:rPr>
          <w:rFonts w:hint="eastAsia" w:ascii="宋体" w:hAnsi="宋体"/>
          <w:b w:val="0"/>
          <w:color w:val="auto"/>
          <w:sz w:val="21"/>
          <w:szCs w:val="21"/>
          <w:highlight w:val="none"/>
        </w:rPr>
        <w:t>（具体以投标人须知前附表或投标文件格式规定为准）</w:t>
      </w:r>
      <w:bookmarkEnd w:id="116"/>
      <w:bookmarkEnd w:id="117"/>
      <w:r>
        <w:rPr>
          <w:rFonts w:hint="eastAsia" w:ascii="宋体" w:hAnsi="宋体"/>
          <w:b w:val="0"/>
          <w:color w:val="auto"/>
          <w:sz w:val="21"/>
          <w:szCs w:val="21"/>
          <w:highlight w:val="none"/>
        </w:rPr>
        <w:t>，</w:t>
      </w:r>
      <w:r>
        <w:rPr>
          <w:rFonts w:hint="eastAsia" w:ascii="宋体" w:hAnsi="宋体"/>
          <w:bCs/>
          <w:color w:val="auto"/>
          <w:sz w:val="21"/>
          <w:szCs w:val="21"/>
          <w:highlight w:val="none"/>
        </w:rPr>
        <w:t>否则按无效投标处理</w:t>
      </w:r>
      <w:r>
        <w:rPr>
          <w:rFonts w:hint="eastAsia" w:ascii="宋体" w:hAnsi="宋体"/>
          <w:b w:val="0"/>
          <w:color w:val="auto"/>
          <w:sz w:val="21"/>
          <w:szCs w:val="21"/>
          <w:highlight w:val="none"/>
        </w:rPr>
        <w:t>。</w:t>
      </w:r>
    </w:p>
    <w:p w14:paraId="75359134">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19.4投标文件中标注的投标人名称应与主体资格证明（如营业执照、事业单位法人证书、执业许可证、自然人身份证等）及公章一致，</w:t>
      </w:r>
      <w:r>
        <w:rPr>
          <w:rFonts w:hint="eastAsia" w:ascii="宋体" w:hAnsi="宋体"/>
          <w:color w:val="auto"/>
          <w:sz w:val="21"/>
          <w:szCs w:val="21"/>
          <w:highlight w:val="none"/>
        </w:rPr>
        <w:t>否则按无效投标处理</w:t>
      </w:r>
      <w:r>
        <w:rPr>
          <w:rFonts w:hint="eastAsia" w:ascii="宋体" w:hAnsi="宋体"/>
          <w:b w:val="0"/>
          <w:color w:val="auto"/>
          <w:sz w:val="21"/>
          <w:szCs w:val="21"/>
          <w:highlight w:val="none"/>
        </w:rPr>
        <w:t>。</w:t>
      </w:r>
    </w:p>
    <w:p w14:paraId="23106B35">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14:paraId="47ED98B6">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20.投标文件的加密、解密</w:t>
      </w:r>
    </w:p>
    <w:p w14:paraId="01084A66">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20.1电子投标文件编制完成后，投标人应按广西政府采购云平台的要求进行加密，并在规定时间内解密，否则，由此产生的后果由投标人自行负责。</w:t>
      </w:r>
    </w:p>
    <w:p w14:paraId="361ADB16">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3F539F07">
      <w:pPr>
        <w:pStyle w:val="6"/>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bookmarkStart w:id="118" w:name="_21.1投标人必须在“投标人须知中的前附表”规定的投标文件接收时间和投"/>
      <w:bookmarkEnd w:id="118"/>
      <w:r>
        <w:rPr>
          <w:rFonts w:hint="eastAsia" w:ascii="宋体" w:hAnsi="宋体"/>
          <w:b w:val="0"/>
          <w:color w:val="auto"/>
          <w:sz w:val="21"/>
          <w:szCs w:val="21"/>
          <w:highlight w:val="none"/>
        </w:rPr>
        <w:t>21.1投标人必须在“投标人须知前附表”规定的投标文件接收时间和投标地点提交投标文件。</w:t>
      </w:r>
    </w:p>
    <w:p w14:paraId="0608B227">
      <w:pPr>
        <w:pStyle w:val="6"/>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21.2本项目为全流程电子化政府采购项目，通过广西政府采购云平台（https://www.gcy.zfcg.gxzf.gov.cn）实行在线电子投标。投标人必须在“投标人须知前附表”规定的投标文件接收时间内通过网络将电子投标文件上传至广西政府采购云平台，投标人在广西政府采购云平台提交电子版投标文件时，请填写参加远程开标活动经办人联系方式。</w:t>
      </w:r>
    </w:p>
    <w:p w14:paraId="16A73725">
      <w:pPr>
        <w:pStyle w:val="6"/>
        <w:keepNext w:val="0"/>
        <w:keepLines w:val="0"/>
        <w:numPr>
          <w:ilvl w:val="0"/>
          <w:numId w:val="0"/>
        </w:numPr>
        <w:spacing w:before="0" w:after="0" w:line="360" w:lineRule="auto"/>
        <w:ind w:firstLine="420" w:firstLineChars="200"/>
        <w:jc w:val="left"/>
        <w:rPr>
          <w:rFonts w:hint="eastAsia" w:ascii="宋体" w:hAnsi="宋体"/>
          <w:b w:val="0"/>
          <w:color w:val="auto"/>
          <w:sz w:val="21"/>
          <w:szCs w:val="21"/>
          <w:highlight w:val="none"/>
        </w:rPr>
      </w:pPr>
      <w:r>
        <w:rPr>
          <w:rFonts w:hint="eastAsia" w:ascii="宋体" w:hAnsi="宋体"/>
          <w:b w:val="0"/>
          <w:color w:val="auto"/>
          <w:sz w:val="21"/>
          <w:szCs w:val="21"/>
          <w:highlight w:val="none"/>
        </w:rPr>
        <w:t>21.3未在规定时间内上传或者未按广西政府采购云平台的要求编制、加密的电子投标文件，广西政府采购云平台将拒收。</w:t>
      </w:r>
    </w:p>
    <w:p w14:paraId="27FB4A07">
      <w:pPr>
        <w:pStyle w:val="8"/>
        <w:rPr>
          <w:color w:val="auto"/>
          <w:highlight w:val="none"/>
        </w:rPr>
      </w:pPr>
      <w:r>
        <w:rPr>
          <w:rFonts w:hint="eastAsia" w:ascii="宋体" w:hAnsi="宋体"/>
          <w:color w:val="auto"/>
          <w:szCs w:val="21"/>
          <w:highlight w:val="none"/>
        </w:rPr>
        <w:t>21.4电子投标文件提交方式见“招标公告”中“四、提交投标文件截止时间、开标时间和地点”</w:t>
      </w:r>
    </w:p>
    <w:p w14:paraId="6E53C23C">
      <w:pPr>
        <w:pStyle w:val="8"/>
        <w:rPr>
          <w:color w:val="auto"/>
          <w:highlight w:val="none"/>
        </w:rPr>
      </w:pPr>
    </w:p>
    <w:p w14:paraId="1E4F73E1">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691D50C8">
      <w:pPr>
        <w:snapToGrid w:val="0"/>
        <w:spacing w:line="360" w:lineRule="auto"/>
        <w:ind w:firstLine="420"/>
        <w:jc w:val="left"/>
        <w:rPr>
          <w:rFonts w:hint="eastAsia" w:ascii="宋体" w:hAnsi="宋体"/>
          <w:color w:val="auto"/>
          <w:szCs w:val="21"/>
          <w:highlight w:val="none"/>
        </w:rPr>
      </w:pPr>
      <w:bookmarkStart w:id="119" w:name="_Toc254970543"/>
      <w:bookmarkStart w:id="120" w:name="_Toc254970684"/>
      <w:r>
        <w:rPr>
          <w:rFonts w:hint="eastAsia" w:ascii="宋体" w:hAnsi="宋体"/>
          <w:color w:val="auto"/>
          <w:szCs w:val="21"/>
          <w:highlight w:val="none"/>
        </w:rPr>
        <w:t>2</w:t>
      </w:r>
      <w:r>
        <w:rPr>
          <w:rFonts w:ascii="宋体" w:hAnsi="宋体"/>
          <w:color w:val="auto"/>
          <w:szCs w:val="21"/>
          <w:highlight w:val="none"/>
        </w:rPr>
        <w:t>2.1</w:t>
      </w:r>
      <w:r>
        <w:rPr>
          <w:rFonts w:hint="eastAsia" w:ascii="宋体" w:hAnsi="宋体"/>
          <w:color w:val="auto"/>
          <w:szCs w:val="21"/>
          <w:highlight w:val="none"/>
        </w:rPr>
        <w:t>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bookmarkEnd w:id="119"/>
    <w:bookmarkEnd w:id="120"/>
    <w:p w14:paraId="24B104E4">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22.</w:t>
      </w:r>
      <w:r>
        <w:rPr>
          <w:rFonts w:ascii="宋体" w:hAnsi="宋体"/>
          <w:color w:val="auto"/>
          <w:szCs w:val="21"/>
          <w:highlight w:val="none"/>
        </w:rPr>
        <w:t>2</w:t>
      </w:r>
      <w:r>
        <w:rPr>
          <w:rFonts w:hint="eastAsia" w:ascii="宋体" w:hAnsi="宋体"/>
          <w:color w:val="auto"/>
          <w:szCs w:val="21"/>
          <w:highlight w:val="none"/>
        </w:rPr>
        <w:t>在投标截止时间止提交投标文件的投标人不足3家时，不得开标，采购代理机构将根据广西政府采购云平台的操作将电子版投标文件退回，除此之外采购人和采购代理机构对已提交的投标文件概不退回。</w:t>
      </w:r>
    </w:p>
    <w:p w14:paraId="361558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2.3</w:t>
      </w:r>
      <w:r>
        <w:rPr>
          <w:rFonts w:hint="eastAsia" w:ascii="宋体" w:hAnsi="宋体" w:cs="宋体"/>
          <w:color w:val="auto"/>
          <w:szCs w:val="21"/>
          <w:highlight w:val="none"/>
        </w:rPr>
        <w:t xml:space="preserve"> 投标人在投标截止时间后书面通知采购人、采购代理机构撤销投标文件的，将根据本须知正文1</w:t>
      </w:r>
      <w:r>
        <w:rPr>
          <w:rFonts w:ascii="宋体" w:hAnsi="宋体" w:cs="宋体"/>
          <w:color w:val="auto"/>
          <w:szCs w:val="21"/>
          <w:highlight w:val="none"/>
        </w:rPr>
        <w:t>8</w:t>
      </w:r>
      <w:r>
        <w:rPr>
          <w:rFonts w:hint="eastAsia" w:ascii="宋体" w:hAnsi="宋体" w:cs="宋体"/>
          <w:color w:val="auto"/>
          <w:szCs w:val="21"/>
          <w:highlight w:val="none"/>
        </w:rPr>
        <w:t>.4的规定不予退还其投标保证金。</w:t>
      </w:r>
    </w:p>
    <w:p w14:paraId="6BEF0167">
      <w:pPr>
        <w:pStyle w:val="22"/>
        <w:snapToGrid w:val="0"/>
        <w:spacing w:line="360" w:lineRule="auto"/>
        <w:ind w:firstLine="739"/>
        <w:rPr>
          <w:rFonts w:hint="eastAsia" w:ascii="宋体" w:hAnsi="宋体" w:eastAsia="宋体"/>
          <w:snapToGrid w:val="0"/>
          <w:color w:val="auto"/>
          <w:sz w:val="21"/>
          <w:szCs w:val="21"/>
          <w:highlight w:val="none"/>
        </w:rPr>
      </w:pPr>
    </w:p>
    <w:p w14:paraId="4B15AD26">
      <w:pPr>
        <w:pStyle w:val="4"/>
        <w:keepNext w:val="0"/>
        <w:keepLines w:val="0"/>
        <w:jc w:val="center"/>
        <w:rPr>
          <w:color w:val="auto"/>
          <w:highlight w:val="none"/>
        </w:rPr>
      </w:pPr>
      <w:bookmarkStart w:id="121" w:name="_Toc254970685"/>
      <w:bookmarkStart w:id="122" w:name="_Toc254970544"/>
      <w:r>
        <w:rPr>
          <w:rFonts w:hint="eastAsia"/>
          <w:color w:val="auto"/>
          <w:highlight w:val="none"/>
        </w:rPr>
        <w:t>四、开    标</w:t>
      </w:r>
      <w:bookmarkEnd w:id="121"/>
      <w:bookmarkEnd w:id="122"/>
    </w:p>
    <w:p w14:paraId="19A077D4">
      <w:pPr>
        <w:pStyle w:val="6"/>
        <w:keepNext w:val="0"/>
        <w:keepLines w:val="0"/>
        <w:spacing w:before="0" w:after="0" w:line="360" w:lineRule="auto"/>
        <w:ind w:left="420" w:leftChars="200"/>
        <w:rPr>
          <w:rFonts w:hint="eastAsia" w:ascii="黑体" w:hAnsi="黑体" w:eastAsia="黑体"/>
          <w:color w:val="auto"/>
          <w:sz w:val="24"/>
          <w:highlight w:val="none"/>
        </w:rPr>
      </w:pPr>
      <w:bookmarkStart w:id="123" w:name="_23.开标时间和地点"/>
      <w:bookmarkEnd w:id="123"/>
      <w:r>
        <w:rPr>
          <w:rFonts w:hint="eastAsia" w:ascii="黑体" w:hAnsi="黑体" w:eastAsia="黑体"/>
          <w:color w:val="auto"/>
          <w:sz w:val="24"/>
          <w:highlight w:val="none"/>
        </w:rPr>
        <w:t>23.开标时间和地点</w:t>
      </w:r>
    </w:p>
    <w:p w14:paraId="3C21BE82">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23.1开标时间及地点详见“投标人须知前附表”</w:t>
      </w:r>
    </w:p>
    <w:p w14:paraId="7596476E">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23.2如投标人成功解密投标文件，但未在“政采云”电子开标大厅参加开标的，视同认可开标过程和结果，由此产生的后果由投标人自行负责。成功解密投标文件的投标人不足3家的，不得开标。</w:t>
      </w:r>
    </w:p>
    <w:p w14:paraId="213F4EBC">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24.开标程序</w:t>
      </w:r>
    </w:p>
    <w:p w14:paraId="14BC3ADF">
      <w:pPr>
        <w:autoSpaceDE w:val="0"/>
        <w:autoSpaceDN w:val="0"/>
        <w:adjustRightInd w:val="0"/>
        <w:spacing w:line="440" w:lineRule="exact"/>
        <w:ind w:firstLine="420" w:firstLineChars="200"/>
        <w:rPr>
          <w:rFonts w:hint="eastAsia" w:ascii="宋体" w:hAnsi="宋体"/>
          <w:color w:val="auto"/>
          <w:kern w:val="0"/>
          <w:szCs w:val="21"/>
          <w:highlight w:val="none"/>
        </w:rPr>
      </w:pPr>
      <w:r>
        <w:rPr>
          <w:rFonts w:hint="eastAsia" w:ascii="宋体" w:hAnsi="宋体"/>
          <w:bCs/>
          <w:color w:val="auto"/>
          <w:szCs w:val="21"/>
          <w:highlight w:val="none"/>
        </w:rPr>
        <w:t>24.1</w:t>
      </w:r>
      <w:r>
        <w:rPr>
          <w:rFonts w:hint="eastAsia" w:ascii="宋体" w:hAnsi="宋体"/>
          <w:color w:val="auto"/>
          <w:kern w:val="0"/>
          <w:szCs w:val="21"/>
          <w:highlight w:val="none"/>
        </w:rPr>
        <w:t>开标形式：</w:t>
      </w:r>
    </w:p>
    <w:p w14:paraId="142B35CF">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采购代理机构将按照招标文件规定的时间通过广西政府采购云平台组织线上开标活动、开启投标文件，所有投标人均应当准时在线参加。投标人</w:t>
      </w:r>
      <w:r>
        <w:rPr>
          <w:rFonts w:ascii="宋体" w:hAnsi="宋体"/>
          <w:bCs/>
          <w:color w:val="auto"/>
          <w:szCs w:val="21"/>
          <w:highlight w:val="none"/>
        </w:rPr>
        <w:t>如不</w:t>
      </w:r>
      <w:r>
        <w:rPr>
          <w:rFonts w:hint="eastAsia" w:ascii="宋体" w:hAnsi="宋体"/>
          <w:bCs/>
          <w:color w:val="auto"/>
          <w:szCs w:val="21"/>
          <w:highlight w:val="none"/>
        </w:rPr>
        <w:t>参加</w:t>
      </w:r>
      <w:r>
        <w:rPr>
          <w:rFonts w:ascii="宋体" w:hAnsi="宋体"/>
          <w:bCs/>
          <w:color w:val="auto"/>
          <w:szCs w:val="21"/>
          <w:highlight w:val="none"/>
        </w:rPr>
        <w:t>开标大会的，</w:t>
      </w:r>
      <w:r>
        <w:rPr>
          <w:rFonts w:hint="eastAsia" w:ascii="宋体" w:hAnsi="宋体"/>
          <w:bCs/>
          <w:color w:val="auto"/>
          <w:szCs w:val="21"/>
          <w:highlight w:val="none"/>
        </w:rPr>
        <w:t>视同认可开标结果，</w:t>
      </w:r>
      <w:r>
        <w:rPr>
          <w:rFonts w:ascii="宋体" w:hAnsi="宋体"/>
          <w:bCs/>
          <w:color w:val="auto"/>
          <w:szCs w:val="21"/>
          <w:highlight w:val="none"/>
        </w:rPr>
        <w:t>事后不得对采购相关人员、开标过程和开标结果提出异议</w:t>
      </w:r>
      <w:r>
        <w:rPr>
          <w:rFonts w:hint="eastAsia" w:ascii="宋体" w:hAnsi="宋体"/>
          <w:bCs/>
          <w:color w:val="auto"/>
          <w:szCs w:val="21"/>
          <w:highlight w:val="none"/>
        </w:rPr>
        <w:t>，同时投标人因未在线参加开标而导致投标文件无法按时解密等一切后果由投标人自己承担。</w:t>
      </w:r>
    </w:p>
    <w:p w14:paraId="58BC13E6">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24.2</w:t>
      </w:r>
      <w:r>
        <w:rPr>
          <w:rFonts w:ascii="宋体" w:hAnsi="宋体"/>
          <w:bCs/>
          <w:color w:val="auto"/>
          <w:szCs w:val="21"/>
          <w:highlight w:val="none"/>
        </w:rPr>
        <w:t>开</w:t>
      </w:r>
      <w:r>
        <w:rPr>
          <w:rFonts w:hint="eastAsia" w:ascii="宋体" w:hAnsi="宋体"/>
          <w:bCs/>
          <w:color w:val="auto"/>
          <w:szCs w:val="21"/>
          <w:highlight w:val="none"/>
        </w:rPr>
        <w:t>标</w:t>
      </w:r>
      <w:r>
        <w:rPr>
          <w:rFonts w:ascii="宋体" w:hAnsi="宋体"/>
          <w:bCs/>
          <w:color w:val="auto"/>
          <w:szCs w:val="21"/>
          <w:highlight w:val="none"/>
        </w:rPr>
        <w:t>程序：</w:t>
      </w:r>
    </w:p>
    <w:p w14:paraId="42544641">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（1）解密电子投标文件。广西政府采购云平台按开标时间自动提取所有投标文件。采购代理机构依托广西政府采购云平台向各投标人发出电子加密投标文件【开始解密】通知，由投标人进行投标文件解密。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b/>
          <w:bCs/>
          <w:color w:val="auto"/>
          <w:szCs w:val="21"/>
          <w:highlight w:val="none"/>
        </w:rPr>
        <w:t>投标人的法定代表人或其委托代理人须携带加密时所用的CA锁准时登录到广西政府采购云平台电子开标大厅签到</w:t>
      </w:r>
      <w:r>
        <w:rPr>
          <w:rFonts w:hint="eastAsia" w:ascii="宋体" w:hAnsi="宋体" w:cs="宋体"/>
          <w:b/>
          <w:color w:val="auto"/>
          <w:szCs w:val="21"/>
          <w:highlight w:val="none"/>
        </w:rPr>
        <w:t>并在发起解密</w:t>
      </w:r>
      <w:r>
        <w:rPr>
          <w:rFonts w:hint="eastAsia" w:ascii="宋体" w:hAnsi="宋体"/>
          <w:b/>
          <w:bCs/>
          <w:color w:val="auto"/>
          <w:szCs w:val="21"/>
          <w:highlight w:val="none"/>
        </w:rPr>
        <w:t>通知</w:t>
      </w:r>
      <w:r>
        <w:rPr>
          <w:rFonts w:hint="eastAsia" w:ascii="宋体" w:hAnsi="宋体" w:cs="宋体"/>
          <w:b/>
          <w:color w:val="auto"/>
          <w:szCs w:val="21"/>
          <w:highlight w:val="none"/>
        </w:rPr>
        <w:t>之时起30分钟内完成</w:t>
      </w:r>
      <w:r>
        <w:rPr>
          <w:rFonts w:hint="eastAsia" w:ascii="宋体" w:hAnsi="宋体"/>
          <w:b/>
          <w:bCs/>
          <w:color w:val="auto"/>
          <w:szCs w:val="21"/>
          <w:highlight w:val="none"/>
        </w:rPr>
        <w:t>对电子投标文件解密。投标文件未按时解密的，视为无效投标。</w:t>
      </w:r>
      <w:r>
        <w:rPr>
          <w:rFonts w:hint="eastAsia" w:ascii="宋体" w:hAnsi="宋体"/>
          <w:bCs/>
          <w:color w:val="auto"/>
          <w:szCs w:val="21"/>
          <w:highlight w:val="none"/>
        </w:rPr>
        <w:t>（解密异常情况处理：详见本章29.4 电子交易活动的中止）</w:t>
      </w:r>
    </w:p>
    <w:p w14:paraId="36181470">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（2）电子唱标。投标文件解密结束，各投标人报价均在广西政府采购云平台远程不见面开标大厅展示；</w:t>
      </w:r>
    </w:p>
    <w:p w14:paraId="54D4EAF2">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（3）签署电子《政府采购活动现场确认声明书》。通过邮件形式在远程不见面开标大厅发送各投标人签署电子《政府采购活动现场确认声明书》。</w:t>
      </w:r>
    </w:p>
    <w:p w14:paraId="07463317">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2B229F6C">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6A4AB033">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（6）开标结束。</w:t>
      </w:r>
    </w:p>
    <w:p w14:paraId="4E5676AF">
      <w:pPr>
        <w:autoSpaceDE w:val="0"/>
        <w:autoSpaceDN w:val="0"/>
        <w:adjustRightInd w:val="0"/>
        <w:spacing w:line="44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特别说明：如遇广西政府采购云平台电子化开标或评审程序调整的，按调整后执行。</w:t>
      </w:r>
    </w:p>
    <w:p w14:paraId="6613EF77">
      <w:pPr>
        <w:pStyle w:val="27"/>
        <w:snapToGrid w:val="0"/>
        <w:spacing w:line="360" w:lineRule="auto"/>
        <w:ind w:left="689" w:leftChars="228" w:hanging="210" w:hangingChars="100"/>
        <w:rPr>
          <w:rFonts w:hint="eastAsia" w:hAnsi="宋体"/>
          <w:color w:val="auto"/>
          <w:sz w:val="21"/>
          <w:highlight w:val="none"/>
        </w:rPr>
      </w:pPr>
    </w:p>
    <w:p w14:paraId="25D6848B">
      <w:pPr>
        <w:pStyle w:val="4"/>
        <w:keepNext w:val="0"/>
        <w:keepLines w:val="0"/>
        <w:jc w:val="center"/>
        <w:rPr>
          <w:color w:val="auto"/>
          <w:highlight w:val="none"/>
        </w:rPr>
      </w:pPr>
      <w:r>
        <w:rPr>
          <w:rFonts w:hint="eastAsia"/>
          <w:color w:val="auto"/>
          <w:highlight w:val="none"/>
        </w:rPr>
        <w:t>五、资格审查</w:t>
      </w:r>
    </w:p>
    <w:p w14:paraId="31A799F2">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25.资格审查</w:t>
      </w:r>
    </w:p>
    <w:p w14:paraId="05C99D67">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w:t>
      </w:r>
      <w:r>
        <w:rPr>
          <w:rFonts w:ascii="宋体" w:hAnsi="宋体"/>
          <w:b w:val="0"/>
          <w:color w:val="auto"/>
          <w:sz w:val="21"/>
          <w:szCs w:val="21"/>
          <w:highlight w:val="none"/>
        </w:rPr>
        <w:t>依法对投标人的资格进行审查。</w:t>
      </w:r>
    </w:p>
    <w:p w14:paraId="22A82CA5">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28C58092">
      <w:pPr>
        <w:pStyle w:val="6"/>
        <w:keepNext w:val="0"/>
        <w:keepLines w:val="0"/>
        <w:numPr>
          <w:ilvl w:val="0"/>
          <w:numId w:val="0"/>
        </w:numPr>
        <w:spacing w:before="0" w:after="0" w:line="360" w:lineRule="auto"/>
        <w:ind w:firstLine="422" w:firstLineChars="200"/>
        <w:rPr>
          <w:rFonts w:hint="eastAsia" w:ascii="宋体" w:hAnsi="宋体"/>
          <w:color w:val="auto"/>
          <w:sz w:val="21"/>
          <w:szCs w:val="21"/>
          <w:highlight w:val="none"/>
        </w:rPr>
      </w:pPr>
      <w:bookmarkStart w:id="124" w:name="_25.3_投标人有下列情形之一的，资格审查不通过而导致其投标无效："/>
      <w:bookmarkEnd w:id="124"/>
      <w:r>
        <w:rPr>
          <w:rFonts w:hint="eastAsia" w:ascii="宋体" w:hAnsi="宋体"/>
          <w:color w:val="auto"/>
          <w:sz w:val="21"/>
          <w:szCs w:val="21"/>
          <w:highlight w:val="none"/>
        </w:rPr>
        <w:t>25.3 投标人有下列情形之一的，资格审查不通过，作无效投标处理：</w:t>
      </w:r>
    </w:p>
    <w:p w14:paraId="3BE23795">
      <w:pPr>
        <w:pStyle w:val="27"/>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（1）未按招标文件规定的方式获取本招标文件的投标人；</w:t>
      </w:r>
    </w:p>
    <w:p w14:paraId="707B2119">
      <w:pPr>
        <w:pStyle w:val="27"/>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（2）不具备招标文件中规定的资格要求的；</w:t>
      </w:r>
    </w:p>
    <w:p w14:paraId="3EB1B158">
      <w:pPr>
        <w:pStyle w:val="27"/>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（3）在“信用中国”网站（www.creditchina.gov.cn） 、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p>
    <w:p w14:paraId="41ED6126">
      <w:pPr>
        <w:pStyle w:val="27"/>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（4）同一合同项下的不同投标人，单位负责人为同一人或者存在直接控股、管理关系的；为本项目提供过整体设计、规范编制或者项目管理、监理、检测等服务的投标人，再参加该采购项目的其他采购活动的；</w:t>
      </w:r>
    </w:p>
    <w:p w14:paraId="4AB4C306">
      <w:pPr>
        <w:pStyle w:val="27"/>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w:t>
      </w:r>
      <w:r>
        <w:rPr>
          <w:rFonts w:hAnsi="宋体"/>
          <w:b/>
          <w:color w:val="auto"/>
          <w:sz w:val="21"/>
          <w:highlight w:val="none"/>
        </w:rPr>
        <w:t>5</w:t>
      </w:r>
      <w:r>
        <w:rPr>
          <w:rFonts w:hint="eastAsia" w:hAnsi="宋体"/>
          <w:b/>
          <w:color w:val="auto"/>
          <w:sz w:val="21"/>
          <w:highlight w:val="none"/>
        </w:rPr>
        <w:t>）投标文件中的资格证明文件缺少任一项“投标人须知前附表”资格证明文件规定“必须提供”的文件资料的；</w:t>
      </w:r>
    </w:p>
    <w:p w14:paraId="13AA9D51">
      <w:pPr>
        <w:pStyle w:val="27"/>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w:t>
      </w:r>
      <w:r>
        <w:rPr>
          <w:rFonts w:hAnsi="宋体"/>
          <w:b/>
          <w:color w:val="auto"/>
          <w:sz w:val="21"/>
          <w:highlight w:val="none"/>
        </w:rPr>
        <w:t>6</w:t>
      </w:r>
      <w:r>
        <w:rPr>
          <w:rFonts w:hint="eastAsia" w:hAnsi="宋体"/>
          <w:b/>
          <w:color w:val="auto"/>
          <w:sz w:val="21"/>
          <w:highlight w:val="none"/>
        </w:rPr>
        <w:t>）投标文件中的资格证明文件出现任一项不符合“投标人须知前附表”资格证明文件规定“必须提供”的文件资料要求或者无效的。</w:t>
      </w:r>
    </w:p>
    <w:p w14:paraId="1361E1A1">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2D198F9E">
      <w:pPr>
        <w:pStyle w:val="27"/>
        <w:snapToGrid w:val="0"/>
        <w:spacing w:line="360" w:lineRule="auto"/>
        <w:ind w:left="689" w:leftChars="228" w:hanging="210" w:hangingChars="100"/>
        <w:rPr>
          <w:rFonts w:hint="eastAsia" w:hAnsi="宋体"/>
          <w:color w:val="auto"/>
          <w:sz w:val="21"/>
          <w:highlight w:val="none"/>
        </w:rPr>
      </w:pPr>
    </w:p>
    <w:p w14:paraId="48A767BB">
      <w:pPr>
        <w:pStyle w:val="4"/>
        <w:keepNext w:val="0"/>
        <w:keepLines w:val="0"/>
        <w:jc w:val="center"/>
        <w:rPr>
          <w:color w:val="auto"/>
          <w:highlight w:val="none"/>
        </w:rPr>
      </w:pPr>
      <w:r>
        <w:rPr>
          <w:rFonts w:hint="eastAsia"/>
          <w:color w:val="auto"/>
          <w:highlight w:val="none"/>
        </w:rPr>
        <w:t>六、评   标</w:t>
      </w:r>
    </w:p>
    <w:p w14:paraId="594347C6">
      <w:pPr>
        <w:pStyle w:val="6"/>
        <w:keepNext w:val="0"/>
        <w:keepLines w:val="0"/>
        <w:spacing w:before="0" w:after="0" w:line="360" w:lineRule="auto"/>
        <w:ind w:left="420" w:leftChars="200"/>
        <w:rPr>
          <w:rFonts w:hint="eastAsia" w:ascii="黑体" w:hAnsi="黑体" w:eastAsia="黑体"/>
          <w:color w:val="auto"/>
          <w:sz w:val="24"/>
          <w:highlight w:val="none"/>
        </w:rPr>
      </w:pPr>
      <w:bookmarkStart w:id="125" w:name="_26.组建评标委员会"/>
      <w:bookmarkEnd w:id="125"/>
      <w:r>
        <w:rPr>
          <w:rFonts w:hint="eastAsia" w:ascii="黑体" w:hAnsi="黑体" w:eastAsia="黑体"/>
          <w:color w:val="auto"/>
          <w:sz w:val="24"/>
          <w:highlight w:val="none"/>
        </w:rPr>
        <w:t>26.组建评标委员会</w:t>
      </w:r>
    </w:p>
    <w:p w14:paraId="052564C7">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评标委员会由采购人代表和评审专家组成，具体人数详见“投标人须知前附表”，其中评审专家不得少于成员总数的三分之二。</w:t>
      </w:r>
    </w:p>
    <w:p w14:paraId="0697E4B6">
      <w:pPr>
        <w:pStyle w:val="27"/>
        <w:snapToGrid w:val="0"/>
        <w:spacing w:line="360" w:lineRule="auto"/>
        <w:ind w:left="2" w:leftChars="1" w:firstLine="420" w:firstLineChars="200"/>
        <w:rPr>
          <w:rFonts w:hint="eastAsia" w:hAnsi="宋体"/>
          <w:color w:val="auto"/>
          <w:sz w:val="21"/>
          <w:highlight w:val="none"/>
        </w:rPr>
      </w:pPr>
      <w:r>
        <w:rPr>
          <w:rFonts w:hint="eastAsia" w:hAnsi="宋体"/>
          <w:color w:val="auto"/>
          <w:sz w:val="21"/>
          <w:highlight w:val="none"/>
        </w:rPr>
        <w:t>参加过采购项目前期咨询论证的专家，不得参加该采购项目的评审活动。</w:t>
      </w:r>
    </w:p>
    <w:p w14:paraId="0C2DD95C">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27.评标的依据</w:t>
      </w:r>
    </w:p>
    <w:p w14:paraId="55F85D96">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342B220E">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28.评标原则</w:t>
      </w:r>
    </w:p>
    <w:p w14:paraId="75C62F66">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4F1564B9">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28.2</w:t>
      </w:r>
      <w:bookmarkStart w:id="126" w:name="_28.3评标方法。本项目将按须知前附表规定的评标办法进行评标，具体评标"/>
      <w:bookmarkEnd w:id="126"/>
      <w:r>
        <w:rPr>
          <w:rFonts w:hint="eastAsia" w:hAnsi="宋体"/>
          <w:color w:val="auto"/>
          <w:sz w:val="21"/>
          <w:highlight w:val="none"/>
        </w:rPr>
        <w:t>评委表决。评标委员会成员对需要共同认定的事项存在争议的，应当按照少数服从多数的原则作出结论。</w:t>
      </w:r>
    </w:p>
    <w:p w14:paraId="02C5F30A">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F097456">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评标过程的监控。本项目评标过程实行全程录音、录像监控，</w:t>
      </w:r>
      <w:r>
        <w:rPr>
          <w:rFonts w:hint="eastAsia" w:hAnsi="宋体"/>
          <w:b/>
          <w:bCs/>
          <w:color w:val="auto"/>
          <w:sz w:val="21"/>
          <w:highlight w:val="none"/>
        </w:rPr>
        <w:t>投标人在评标过程中所进行的试图影响评标结果的不公正活动，可能导致其投标无效</w:t>
      </w:r>
      <w:r>
        <w:rPr>
          <w:rFonts w:hint="eastAsia" w:hAnsi="宋体"/>
          <w:color w:val="auto"/>
          <w:sz w:val="21"/>
          <w:highlight w:val="none"/>
        </w:rPr>
        <w:t>。</w:t>
      </w:r>
    </w:p>
    <w:p w14:paraId="28C0FFCE">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29.评标方法及中标候选人推荐</w:t>
      </w:r>
    </w:p>
    <w:p w14:paraId="0F225649">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3354D6D5">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Ansi="宋体" w:cs="宋体"/>
          <w:color w:val="auto"/>
          <w:sz w:val="21"/>
          <w:highlight w:val="none"/>
        </w:rPr>
        <w:t xml:space="preserve"> </w:t>
      </w:r>
      <w:r>
        <w:rPr>
          <w:rFonts w:hAnsi="宋体"/>
          <w:color w:val="auto"/>
          <w:sz w:val="21"/>
          <w:highlight w:val="none"/>
        </w:rPr>
        <w:t>中标候选人推荐数量详见</w:t>
      </w:r>
      <w:r>
        <w:rPr>
          <w:rFonts w:hint="eastAsia" w:hAnsi="宋体"/>
          <w:color w:val="auto"/>
          <w:sz w:val="21"/>
          <w:highlight w:val="none"/>
        </w:rPr>
        <w:t>“投标人须知前附表”。</w:t>
      </w:r>
    </w:p>
    <w:p w14:paraId="58C27894">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9.</w:t>
      </w:r>
      <w:r>
        <w:rPr>
          <w:rFonts w:hint="eastAsia" w:hAnsi="宋体"/>
          <w:color w:val="auto"/>
          <w:sz w:val="21"/>
          <w:highlight w:val="none"/>
        </w:rPr>
        <w:t>3</w:t>
      </w:r>
      <w:r>
        <w:rPr>
          <w:rFonts w:hAnsi="宋体"/>
          <w:color w:val="auto"/>
          <w:sz w:val="21"/>
          <w:highlight w:val="none"/>
        </w:rPr>
        <w:t>评标委员会</w:t>
      </w:r>
      <w:r>
        <w:rPr>
          <w:rFonts w:hint="eastAsia" w:hAnsi="宋体"/>
          <w:color w:val="auto"/>
          <w:sz w:val="21"/>
          <w:highlight w:val="none"/>
        </w:rPr>
        <w:t>将</w:t>
      </w:r>
      <w:r>
        <w:rPr>
          <w:rFonts w:hAnsi="宋体"/>
          <w:color w:val="auto"/>
          <w:sz w:val="21"/>
          <w:highlight w:val="none"/>
        </w:rPr>
        <w:t>按照</w:t>
      </w:r>
      <w:r>
        <w:rPr>
          <w:rFonts w:hint="eastAsia" w:hAnsi="宋体"/>
          <w:color w:val="auto"/>
          <w:sz w:val="21"/>
          <w:highlight w:val="none"/>
        </w:rPr>
        <w:t>“第四章 评标方法和评标标准”</w:t>
      </w:r>
      <w:r>
        <w:rPr>
          <w:rFonts w:hAnsi="宋体"/>
          <w:color w:val="auto"/>
          <w:sz w:val="21"/>
          <w:highlight w:val="none"/>
        </w:rPr>
        <w:t>规定的方法、评审因素、标准和程序对投标文件进行评审。</w:t>
      </w:r>
    </w:p>
    <w:p w14:paraId="37989F61">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29.4电子交易活动的中止。采购过程中出现以下情形，导致电子交易平台无法正常运行，或者无法保证电子交易的公平、公正和安全时，采购代理机构可中止电子交易活动：</w:t>
      </w:r>
    </w:p>
    <w:p w14:paraId="75272F5E">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 xml:space="preserve">（1）电子交易平台发生故障而无法登录访问的； </w:t>
      </w:r>
    </w:p>
    <w:p w14:paraId="7B510EE6">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（2）电子交易平台应用或数据库出现错误，不能进行正常操作的；</w:t>
      </w:r>
    </w:p>
    <w:p w14:paraId="6FB5812B">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（3）电子交易平台发现严重安全漏洞，有潜在泄密危险的；</w:t>
      </w:r>
    </w:p>
    <w:p w14:paraId="212932F4">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 xml:space="preserve">（4）病毒发作导致不能进行正常操作的； </w:t>
      </w:r>
    </w:p>
    <w:p w14:paraId="44947682">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（4）其他无法保证电子交易的公平、公正和安全的情况。</w:t>
      </w:r>
    </w:p>
    <w:p w14:paraId="0E933817">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29.5出现以上情形，不影响采购公平、公正性的，采购代理机构可以待上述情形消除后继续组织电子交易活动；影响或可能影响采购公平、公正性的，经采购代理机构确认后，应当重新采购。</w:t>
      </w:r>
    </w:p>
    <w:p w14:paraId="40DB7C2F">
      <w:pPr>
        <w:pStyle w:val="27"/>
        <w:snapToGrid w:val="0"/>
        <w:spacing w:line="360" w:lineRule="auto"/>
        <w:rPr>
          <w:rFonts w:hint="eastAsia" w:hAnsi="宋体"/>
          <w:color w:val="auto"/>
          <w:sz w:val="21"/>
          <w:highlight w:val="none"/>
        </w:rPr>
      </w:pPr>
    </w:p>
    <w:p w14:paraId="3F37E8E5">
      <w:pPr>
        <w:pStyle w:val="4"/>
        <w:keepNext w:val="0"/>
        <w:keepLines w:val="0"/>
        <w:jc w:val="center"/>
        <w:rPr>
          <w:color w:val="auto"/>
          <w:highlight w:val="none"/>
        </w:rPr>
      </w:pPr>
      <w:bookmarkStart w:id="127" w:name="_Toc254970687"/>
      <w:bookmarkStart w:id="128" w:name="_Toc254970546"/>
      <w:r>
        <w:rPr>
          <w:rFonts w:hint="eastAsia"/>
          <w:color w:val="auto"/>
          <w:highlight w:val="none"/>
        </w:rPr>
        <w:t>七、</w:t>
      </w:r>
      <w:bookmarkEnd w:id="127"/>
      <w:bookmarkEnd w:id="128"/>
      <w:r>
        <w:rPr>
          <w:rFonts w:hint="eastAsia"/>
          <w:color w:val="auto"/>
          <w:highlight w:val="none"/>
        </w:rPr>
        <w:t>中标和合同</w:t>
      </w:r>
    </w:p>
    <w:p w14:paraId="5EEE8084">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30</w:t>
      </w:r>
      <w:r>
        <w:rPr>
          <w:rFonts w:ascii="黑体" w:hAnsi="黑体" w:eastAsia="黑体"/>
          <w:color w:val="auto"/>
          <w:sz w:val="24"/>
          <w:highlight w:val="none"/>
        </w:rPr>
        <w:t xml:space="preserve"> </w:t>
      </w:r>
      <w:r>
        <w:rPr>
          <w:rFonts w:hint="eastAsia" w:ascii="黑体" w:hAnsi="黑体" w:eastAsia="黑体"/>
          <w:color w:val="auto"/>
          <w:sz w:val="24"/>
          <w:highlight w:val="none"/>
        </w:rPr>
        <w:t>确定中标人</w:t>
      </w:r>
    </w:p>
    <w:p w14:paraId="7EC5344C">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6E743A79">
      <w:pPr>
        <w:snapToGrid w:val="0"/>
        <w:spacing w:line="360" w:lineRule="auto"/>
        <w:ind w:firstLine="420" w:firstLineChars="200"/>
        <w:rPr>
          <w:rFonts w:hint="eastAsia"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7BF41F53">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30.3出现下列情形之一的，应予废标：</w:t>
      </w:r>
    </w:p>
    <w:p w14:paraId="5F62BE9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（1）符合专业条件的投标人或者对招标文件作实质响应的投标人不足三家的；</w:t>
      </w:r>
    </w:p>
    <w:p w14:paraId="6A36A86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（2）出现影响采购公正的违法、违规行为的；</w:t>
      </w:r>
    </w:p>
    <w:p w14:paraId="4DE779C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（3）投标人的报价均超过了采购预算，采购人不能支付的；</w:t>
      </w:r>
    </w:p>
    <w:p w14:paraId="44383CA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（4）因重大变故，采购任务取消的。</w:t>
      </w:r>
    </w:p>
    <w:p w14:paraId="3C7CDA8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废标后，采购人应当将废标理由通知所有投标人。</w:t>
      </w:r>
    </w:p>
    <w:p w14:paraId="1CD8DF97">
      <w:pPr>
        <w:snapToGrid w:val="0"/>
        <w:spacing w:line="360" w:lineRule="auto"/>
        <w:ind w:firstLine="420" w:firstLineChars="200"/>
        <w:rPr>
          <w:rFonts w:hint="eastAsia" w:ascii="宋体" w:hAnsi="宋体" w:cs="Courier New"/>
          <w:color w:val="auto"/>
          <w:szCs w:val="21"/>
          <w:highlight w:val="none"/>
        </w:rPr>
      </w:pPr>
      <w:r>
        <w:rPr>
          <w:rFonts w:ascii="宋体" w:hAnsi="宋体" w:cs="Courier New"/>
          <w:color w:val="auto"/>
          <w:szCs w:val="21"/>
          <w:highlight w:val="none"/>
        </w:rPr>
        <w:t>30.</w:t>
      </w:r>
      <w:r>
        <w:rPr>
          <w:rFonts w:hint="eastAsia" w:ascii="宋体" w:hAnsi="宋体" w:cs="Courier New"/>
          <w:color w:val="auto"/>
          <w:szCs w:val="21"/>
          <w:highlight w:val="none"/>
        </w:rPr>
        <w:t>4 中标人拒绝签订政府采购合同（包括但不限于放弃中标、因不可抗力不能履行合同而放弃签订合同），采购人可以按照评审报告推荐的中标候选人名单排序，确定下一候选人为中标投标人，也可以重新开展政府采购活动。</w:t>
      </w:r>
      <w:r>
        <w:rPr>
          <w:rFonts w:ascii="宋体" w:hAnsi="宋体" w:cs="Courier New"/>
          <w:color w:val="auto"/>
          <w:szCs w:val="21"/>
          <w:highlight w:val="none"/>
        </w:rPr>
        <w:t>拒绝签订政府采购合同的</w:t>
      </w:r>
      <w:r>
        <w:rPr>
          <w:rFonts w:hint="eastAsia" w:ascii="宋体" w:hAnsi="宋体" w:cs="Courier New"/>
          <w:color w:val="auto"/>
          <w:szCs w:val="21"/>
          <w:highlight w:val="none"/>
        </w:rPr>
        <w:t>中标人</w:t>
      </w:r>
      <w:r>
        <w:rPr>
          <w:rFonts w:ascii="宋体" w:hAnsi="宋体" w:cs="Courier New"/>
          <w:color w:val="auto"/>
          <w:szCs w:val="21"/>
          <w:highlight w:val="none"/>
        </w:rPr>
        <w:t>不得参加对该项目重新开展的采购活动。</w:t>
      </w:r>
    </w:p>
    <w:p w14:paraId="47065635">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31. 结果公告</w:t>
      </w:r>
    </w:p>
    <w:p w14:paraId="59260B7D">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采购人或者采购代理机构应当自中标人确定之日起2个工作日内，在省级以上财政部门指定的媒体上公告中标结果，招标文件应当随中标结果同时公告。</w:t>
      </w:r>
      <w:r>
        <w:rPr>
          <w:rFonts w:hint="eastAsia" w:ascii="宋体" w:hAnsi="宋体"/>
          <w:color w:val="auto"/>
          <w:sz w:val="21"/>
          <w:szCs w:val="21"/>
          <w:highlight w:val="none"/>
        </w:rPr>
        <w:t>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宋体" w:hAnsi="宋体"/>
          <w:b w:val="0"/>
          <w:color w:val="auto"/>
          <w:sz w:val="21"/>
          <w:szCs w:val="21"/>
          <w:highlight w:val="none"/>
        </w:rPr>
        <w:t>排名第二的中标候选人因前款规定的同样原因被取消中标资格的，采购人可以确定排名第三的中标候选人为中标人，以此类推。以上信息查询记录及相关证据与采购文件一并保存。</w:t>
      </w:r>
    </w:p>
    <w:p w14:paraId="2393AB41">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31.2中标投标人享受《政府采购促进中小企业发展管理办法》（财库〔2020〕46号）规定的中小企业扶持政策的，采购人、采购代理机构应当随中标结果公开中标投标人的《中小企业声明函》。</w:t>
      </w:r>
    </w:p>
    <w:p w14:paraId="731DA537">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32.发出中标通知书</w:t>
      </w:r>
    </w:p>
    <w:p w14:paraId="53582F8E">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在公告中标结果的同时，采购代理机构向中标人发出中标通知书。对未通过资格审查的投标人，应当告知其未通过的原因；采用综合评分办法评审的，还应当告知未中标人本人的评审得分与排序。</w:t>
      </w:r>
    </w:p>
    <w:p w14:paraId="79254F19">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33.无义务解释未中标原因</w:t>
      </w:r>
    </w:p>
    <w:p w14:paraId="27585D3B">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采购代理机构无义务向未中标的投标人解释未中标原因和退还投标文件。</w:t>
      </w:r>
    </w:p>
    <w:p w14:paraId="03FD70B0">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2CD8B1A8">
      <w:pPr>
        <w:snapToGrid w:val="0"/>
        <w:spacing w:line="360" w:lineRule="auto"/>
        <w:ind w:firstLine="420" w:firstLineChars="20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合同将授予被确定实质上响应招标文件要求，具备履行合同能力的中标人（招标文件另有约定多名中标人的除外）。</w:t>
      </w:r>
    </w:p>
    <w:p w14:paraId="102449D5">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14:paraId="5B313503">
      <w:pPr>
        <w:pStyle w:val="6"/>
        <w:keepNext w:val="0"/>
        <w:keepLines w:val="0"/>
        <w:spacing w:before="0" w:after="0" w:line="360" w:lineRule="auto"/>
        <w:ind w:firstLine="315" w:firstLineChars="150"/>
        <w:rPr>
          <w:rFonts w:hint="eastAsia" w:ascii="宋体" w:hAnsi="宋体"/>
          <w:b w:val="0"/>
          <w:color w:val="auto"/>
          <w:sz w:val="21"/>
          <w:szCs w:val="21"/>
          <w:highlight w:val="none"/>
        </w:rPr>
      </w:pPr>
      <w:bookmarkStart w:id="129" w:name="_39.1中标人须于签订合同前按本须知前附表规定的金额转账或电汇到指定账"/>
      <w:bookmarkEnd w:id="129"/>
      <w:r>
        <w:rPr>
          <w:rFonts w:ascii="宋体" w:hAnsi="宋体"/>
          <w:b w:val="0"/>
          <w:color w:val="auto"/>
          <w:sz w:val="21"/>
          <w:szCs w:val="21"/>
          <w:highlight w:val="none"/>
        </w:rPr>
        <w:t xml:space="preserve"> </w:t>
      </w:r>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 履约保证金的金额、提交方式、退付的时间和条件详见 “投标人须知前附表”。中标人未按规定提交履约保证金的，视为拒绝与采购人签订合同。</w:t>
      </w:r>
    </w:p>
    <w:p w14:paraId="09CB9C9E">
      <w:pPr>
        <w:pStyle w:val="6"/>
        <w:keepNext w:val="0"/>
        <w:keepLines w:val="0"/>
        <w:spacing w:before="0" w:after="0" w:line="360" w:lineRule="auto"/>
        <w:ind w:firstLine="316" w:firstLineChars="150"/>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b w:val="0"/>
          <w:bCs/>
          <w:color w:val="auto"/>
          <w:sz w:val="21"/>
          <w:szCs w:val="21"/>
          <w:highlight w:val="none"/>
        </w:rPr>
        <w:t>35.2在履约保证金退还日期前，若中标人的开户名称、开户银行、帐号有变动的，请以书面形式通知履约保证金收取单位，否则由此产生的后果由中标人自行承担。</w:t>
      </w:r>
    </w:p>
    <w:p w14:paraId="63441BC8">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46EAC550">
      <w:pPr>
        <w:pStyle w:val="6"/>
        <w:keepNext w:val="0"/>
        <w:keepLines w:val="0"/>
        <w:spacing w:before="0" w:after="0" w:line="360" w:lineRule="auto"/>
        <w:ind w:firstLine="315" w:firstLineChars="150"/>
        <w:rPr>
          <w:rFonts w:hint="eastAsia" w:ascii="宋体" w:hAnsi="宋体"/>
          <w:b w:val="0"/>
          <w:bCs/>
          <w:color w:val="auto"/>
          <w:sz w:val="21"/>
          <w:szCs w:val="21"/>
          <w:highlight w:val="none"/>
        </w:rPr>
      </w:pPr>
      <w:bookmarkStart w:id="130" w:name="_40.1投标人接到中标通知书后，按须知前附表规定向采购人出示相关资格证"/>
      <w:bookmarkEnd w:id="130"/>
      <w:r>
        <w:rPr>
          <w:rFonts w:hint="eastAsia" w:ascii="宋体" w:hAnsi="宋体"/>
          <w:b w:val="0"/>
          <w:color w:val="auto"/>
          <w:sz w:val="21"/>
          <w:szCs w:val="21"/>
          <w:highlight w:val="none"/>
        </w:rPr>
        <w:t xml:space="preserve"> 36.1投标人领取中标通知书（书面或电子）后，按“投标人须知前附表”规定向采购人出示相关证明材料，经采购人核验合格后方可签订采购合同（书面或电子）。</w:t>
      </w:r>
      <w:r>
        <w:rPr>
          <w:rFonts w:hint="eastAsia" w:ascii="宋体" w:hAnsi="宋体"/>
          <w:b w:val="0"/>
          <w:bCs/>
          <w:color w:val="auto"/>
          <w:sz w:val="21"/>
          <w:szCs w:val="21"/>
          <w:highlight w:val="none"/>
        </w:rPr>
        <w:t>如中标人为联合体的，</w:t>
      </w:r>
      <w:r>
        <w:rPr>
          <w:rFonts w:ascii="宋体" w:hAnsi="宋体"/>
          <w:b w:val="0"/>
          <w:bCs/>
          <w:color w:val="auto"/>
          <w:sz w:val="21"/>
          <w:szCs w:val="21"/>
          <w:highlight w:val="none"/>
        </w:rPr>
        <w:t>联合体各方应当共同与采购人签订采购合同，就采购合同约定的事项对采购人承担连带责任。</w:t>
      </w:r>
    </w:p>
    <w:p w14:paraId="37A058FE">
      <w:pPr>
        <w:pStyle w:val="6"/>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36.2签订合同时间：按中标通知书规定的时间与采购人签订合同（最长不能超过25日）。</w:t>
      </w:r>
    </w:p>
    <w:p w14:paraId="1D82D454">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36.</w:t>
      </w:r>
      <w:r>
        <w:rPr>
          <w:rFonts w:ascii="宋体" w:hAnsi="宋体"/>
          <w:b w:val="0"/>
          <w:color w:val="auto"/>
          <w:sz w:val="21"/>
          <w:szCs w:val="21"/>
          <w:highlight w:val="none"/>
        </w:rPr>
        <w:t>3</w:t>
      </w:r>
      <w:r>
        <w:rPr>
          <w:rFonts w:hint="eastAsia" w:ascii="宋体" w:hAnsi="宋体"/>
          <w:b w:val="0"/>
          <w:color w:val="auto"/>
          <w:sz w:val="21"/>
          <w:szCs w:val="21"/>
          <w:highlight w:val="none"/>
        </w:rPr>
        <w:t>中标人拒绝与采购人签订合同的，按照本须知正文第3</w:t>
      </w:r>
      <w:r>
        <w:rPr>
          <w:rFonts w:ascii="宋体" w:hAnsi="宋体"/>
          <w:b w:val="0"/>
          <w:color w:val="auto"/>
          <w:sz w:val="21"/>
          <w:szCs w:val="21"/>
          <w:highlight w:val="none"/>
        </w:rPr>
        <w:t>0.4条</w:t>
      </w:r>
      <w:r>
        <w:rPr>
          <w:rFonts w:hint="eastAsia" w:ascii="宋体" w:hAnsi="宋体"/>
          <w:b w:val="0"/>
          <w:color w:val="auto"/>
          <w:sz w:val="21"/>
          <w:szCs w:val="21"/>
          <w:highlight w:val="none"/>
        </w:rPr>
        <w:t>的规定执行。</w:t>
      </w:r>
    </w:p>
    <w:p w14:paraId="3F185C01">
      <w:pPr>
        <w:pStyle w:val="6"/>
        <w:keepNext w:val="0"/>
        <w:keepLines w:val="0"/>
        <w:spacing w:before="0" w:after="0" w:line="360" w:lineRule="auto"/>
        <w:ind w:left="420" w:leftChars="200"/>
        <w:rPr>
          <w:rFonts w:hint="eastAsia" w:ascii="黑体" w:hAnsi="黑体" w:eastAsia="黑体"/>
          <w:color w:val="auto"/>
          <w:sz w:val="24"/>
          <w:highlight w:val="none"/>
        </w:rPr>
      </w:pPr>
      <w:bookmarkStart w:id="131" w:name="_41.政府采购合同公告"/>
      <w:bookmarkEnd w:id="131"/>
      <w:r>
        <w:rPr>
          <w:rFonts w:hint="eastAsia" w:ascii="黑体" w:hAnsi="黑体" w:eastAsia="黑体"/>
          <w:color w:val="auto"/>
          <w:sz w:val="24"/>
          <w:highlight w:val="none"/>
        </w:rPr>
        <w:t>37.政府采购合同公告</w:t>
      </w:r>
    </w:p>
    <w:p w14:paraId="248E62C3">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056FA8DD">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27ADC77B">
      <w:pPr>
        <w:pStyle w:val="8"/>
        <w:spacing w:line="360" w:lineRule="auto"/>
        <w:rPr>
          <w:rFonts w:hint="eastAsia"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投标人对政府采购活动事项有疑问的，可以向采购人提出询问，采购人或者采购代理机构应当在3个工作日内对投标人依法提出的询问作出答复，但答复的内容不得涉及商业秘密。</w:t>
      </w:r>
    </w:p>
    <w:p w14:paraId="50CA7F11">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 xml:space="preserve">投标人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037990A9">
      <w:pPr>
        <w:pStyle w:val="27"/>
        <w:snapToGrid w:val="0"/>
        <w:spacing w:line="360" w:lineRule="auto"/>
        <w:ind w:firstLine="420" w:firstLineChars="20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69AF62EE">
      <w:pPr>
        <w:pStyle w:val="27"/>
        <w:snapToGrid w:val="0"/>
        <w:spacing w:line="360" w:lineRule="auto"/>
        <w:ind w:firstLine="420" w:firstLineChars="20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087345DE">
      <w:pPr>
        <w:pStyle w:val="27"/>
        <w:snapToGrid w:val="0"/>
        <w:spacing w:line="360" w:lineRule="auto"/>
        <w:ind w:firstLine="420" w:firstLineChars="200"/>
        <w:rPr>
          <w:rFonts w:hint="eastAsia"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494BFD5C">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 xml:space="preserve"> </w:t>
      </w:r>
      <w:r>
        <w:rPr>
          <w:rFonts w:hint="eastAsia" w:hAnsi="宋体"/>
          <w:bCs/>
          <w:color w:val="auto"/>
          <w:sz w:val="21"/>
          <w:highlight w:val="none"/>
        </w:rPr>
        <w:t>投标人</w:t>
      </w:r>
      <w:r>
        <w:rPr>
          <w:rFonts w:hAnsi="宋体"/>
          <w:bCs/>
          <w:color w:val="auto"/>
          <w:sz w:val="21"/>
          <w:highlight w:val="none"/>
        </w:rPr>
        <w:t>提出质疑应当提交质疑函和必要的证明材料</w:t>
      </w:r>
      <w:r>
        <w:rPr>
          <w:rFonts w:hint="eastAsia" w:hAnsi="宋体"/>
          <w:bCs/>
          <w:color w:val="auto"/>
          <w:sz w:val="21"/>
          <w:highlight w:val="none"/>
        </w:rPr>
        <w:t>，</w:t>
      </w:r>
      <w:r>
        <w:rPr>
          <w:rFonts w:hAnsi="宋体"/>
          <w:bCs/>
          <w:color w:val="auto"/>
          <w:sz w:val="21"/>
          <w:highlight w:val="none"/>
        </w:rPr>
        <w:t>针对同一采购程序环节的质疑</w:t>
      </w:r>
      <w:r>
        <w:rPr>
          <w:rFonts w:hint="eastAsia" w:hAnsi="宋体"/>
          <w:bCs/>
          <w:color w:val="auto"/>
          <w:sz w:val="21"/>
          <w:highlight w:val="none"/>
        </w:rPr>
        <w:t>必须</w:t>
      </w:r>
      <w:r>
        <w:rPr>
          <w:rFonts w:hAnsi="宋体"/>
          <w:bCs/>
          <w:color w:val="auto"/>
          <w:sz w:val="21"/>
          <w:highlight w:val="none"/>
        </w:rPr>
        <w:t>在法定质疑期内一次性提出。质疑函应当包括下列内容</w:t>
      </w:r>
      <w:r>
        <w:rPr>
          <w:rFonts w:hint="eastAsia" w:hAnsi="宋体"/>
          <w:bCs/>
          <w:color w:val="auto"/>
          <w:sz w:val="21"/>
          <w:highlight w:val="none"/>
        </w:rPr>
        <w:t>（质疑函格式后附）</w:t>
      </w:r>
      <w:r>
        <w:rPr>
          <w:rFonts w:hAnsi="宋体"/>
          <w:bCs/>
          <w:color w:val="auto"/>
          <w:sz w:val="21"/>
          <w:highlight w:val="none"/>
        </w:rPr>
        <w:t>：</w:t>
      </w:r>
    </w:p>
    <w:p w14:paraId="0343969B">
      <w:pPr>
        <w:pStyle w:val="27"/>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w:t>
      </w:r>
      <w:r>
        <w:rPr>
          <w:rFonts w:hint="eastAsia" w:hAnsi="宋体"/>
          <w:bCs/>
          <w:color w:val="auto"/>
          <w:sz w:val="21"/>
          <w:highlight w:val="none"/>
        </w:rPr>
        <w:t>投标人</w:t>
      </w:r>
      <w:r>
        <w:rPr>
          <w:rFonts w:hAnsi="宋体"/>
          <w:bCs/>
          <w:color w:val="auto"/>
          <w:sz w:val="21"/>
          <w:highlight w:val="none"/>
        </w:rPr>
        <w:t>的姓名或者名称、地址、邮编、联系人及联系电话；</w:t>
      </w:r>
    </w:p>
    <w:p w14:paraId="52F5662A">
      <w:pPr>
        <w:pStyle w:val="27"/>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2B5D3965">
      <w:pPr>
        <w:pStyle w:val="27"/>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326FA3E5">
      <w:pPr>
        <w:pStyle w:val="27"/>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7FEF579D">
      <w:pPr>
        <w:pStyle w:val="27"/>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1C01108F">
      <w:pPr>
        <w:pStyle w:val="27"/>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6FE4EE6D">
      <w:pPr>
        <w:pStyle w:val="27"/>
        <w:snapToGrid w:val="0"/>
        <w:spacing w:line="360" w:lineRule="auto"/>
        <w:ind w:firstLine="420" w:firstLineChars="200"/>
        <w:rPr>
          <w:rFonts w:hint="eastAsia" w:hAnsi="宋体"/>
          <w:bCs/>
          <w:color w:val="auto"/>
          <w:sz w:val="21"/>
          <w:highlight w:val="none"/>
        </w:rPr>
      </w:pPr>
      <w:r>
        <w:rPr>
          <w:rFonts w:hint="eastAsia" w:hAnsi="宋体"/>
          <w:bCs/>
          <w:color w:val="auto"/>
          <w:sz w:val="21"/>
          <w:highlight w:val="none"/>
        </w:rPr>
        <w:t>投标人</w:t>
      </w:r>
      <w:r>
        <w:rPr>
          <w:rFonts w:hAnsi="宋体"/>
          <w:bCs/>
          <w:color w:val="auto"/>
          <w:sz w:val="21"/>
          <w:highlight w:val="none"/>
        </w:rPr>
        <w:t>为自然人的，应当由本人签字；</w:t>
      </w:r>
      <w:r>
        <w:rPr>
          <w:rFonts w:hint="eastAsia" w:hAnsi="宋体"/>
          <w:bCs/>
          <w:color w:val="auto"/>
          <w:sz w:val="21"/>
          <w:highlight w:val="none"/>
        </w:rPr>
        <w:t>投标人</w:t>
      </w:r>
      <w:r>
        <w:rPr>
          <w:rFonts w:hAnsi="宋体"/>
          <w:bCs/>
          <w:color w:val="auto"/>
          <w:sz w:val="21"/>
          <w:highlight w:val="none"/>
        </w:rPr>
        <w:t>为法人或者其他组织的，应当由法定代表人、主要负责人，或者其委托代理人签字或者盖章，并加盖公章</w:t>
      </w:r>
      <w:r>
        <w:rPr>
          <w:rFonts w:hint="eastAsia" w:hAnsi="宋体"/>
          <w:bCs/>
          <w:color w:val="auto"/>
          <w:sz w:val="21"/>
          <w:highlight w:val="none"/>
        </w:rPr>
        <w:t>。</w:t>
      </w:r>
    </w:p>
    <w:p w14:paraId="3C9BB971">
      <w:pPr>
        <w:pStyle w:val="6"/>
        <w:keepNext w:val="0"/>
        <w:keepLines w:val="0"/>
        <w:snapToGrid w:val="0"/>
        <w:spacing w:before="0" w:after="0" w:line="360" w:lineRule="auto"/>
        <w:ind w:firstLine="420" w:firstLineChars="200"/>
        <w:rPr>
          <w:rFonts w:hint="eastAsia"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采购人、采购代理机构认为投标人质疑不成立，或者成立但未对中标结果构成影响的，继续开展采购活动；认为投标人质疑成立且影响或者可能影响中标结果的，按照下列情况处理：</w:t>
      </w:r>
    </w:p>
    <w:p w14:paraId="3D2608FB">
      <w:pPr>
        <w:pStyle w:val="27"/>
        <w:snapToGrid w:val="0"/>
        <w:spacing w:line="360" w:lineRule="auto"/>
        <w:rPr>
          <w:rFonts w:hint="eastAsia" w:hAnsi="宋体"/>
          <w:bCs/>
          <w:color w:val="auto"/>
          <w:sz w:val="21"/>
          <w:highlight w:val="none"/>
        </w:rPr>
      </w:pPr>
      <w:r>
        <w:rPr>
          <w:rFonts w:hint="eastAsia" w:hAnsi="宋体"/>
          <w:bCs/>
          <w:color w:val="auto"/>
          <w:sz w:val="21"/>
          <w:highlight w:val="none"/>
        </w:rPr>
        <w:t>　　（1）对招标文件提出的质疑，依法通过澄清或者修改可以继续开展采购活动的，澄清或者修改招标文件后继续开展采购活动；否则应当修改招标文件后重新开展采购活动。</w:t>
      </w:r>
    </w:p>
    <w:p w14:paraId="7733525B">
      <w:pPr>
        <w:pStyle w:val="27"/>
        <w:snapToGrid w:val="0"/>
        <w:spacing w:line="360" w:lineRule="auto"/>
        <w:rPr>
          <w:rFonts w:hint="eastAsia" w:hAnsi="宋体"/>
          <w:bCs/>
          <w:color w:val="auto"/>
          <w:sz w:val="21"/>
          <w:highlight w:val="none"/>
        </w:rPr>
      </w:pPr>
      <w:r>
        <w:rPr>
          <w:rFonts w:hint="eastAsia" w:hAnsi="宋体"/>
          <w:bCs/>
          <w:color w:val="auto"/>
          <w:sz w:val="21"/>
          <w:highlight w:val="none"/>
        </w:rPr>
        <w:t>　　（2）对采购过程、中标结果提出的质疑，合格投标人符合法定数量时，可以从合格的中标候选人中另行确定中标投标人的，应当依法另行确定中标投标人；否则应当重新开展采购活动。</w:t>
      </w:r>
    </w:p>
    <w:p w14:paraId="06EB70B6">
      <w:pPr>
        <w:pStyle w:val="27"/>
        <w:snapToGrid w:val="0"/>
        <w:spacing w:line="360" w:lineRule="auto"/>
        <w:ind w:firstLine="420"/>
        <w:rPr>
          <w:rFonts w:hint="eastAsia"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114FAF24">
      <w:pPr>
        <w:pStyle w:val="27"/>
        <w:snapToGrid w:val="0"/>
        <w:spacing w:line="360" w:lineRule="auto"/>
        <w:ind w:firstLine="420" w:firstLineChars="200"/>
        <w:rPr>
          <w:rFonts w:hint="eastAsia"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投标人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32" w:name="_八、其他事项"/>
      <w:bookmarkEnd w:id="132"/>
    </w:p>
    <w:p w14:paraId="38FEB452">
      <w:pPr>
        <w:pStyle w:val="27"/>
        <w:snapToGrid w:val="0"/>
        <w:spacing w:line="360" w:lineRule="auto"/>
        <w:ind w:firstLine="400" w:firstLineChars="200"/>
        <w:rPr>
          <w:color w:val="auto"/>
          <w:highlight w:val="none"/>
        </w:rPr>
      </w:pPr>
      <w:r>
        <w:rPr>
          <w:rFonts w:hint="eastAsia"/>
          <w:color w:val="auto"/>
          <w:highlight w:val="none"/>
        </w:rPr>
        <w:t xml:space="preserve"> </w:t>
      </w:r>
    </w:p>
    <w:p w14:paraId="1E588921">
      <w:pPr>
        <w:pStyle w:val="4"/>
        <w:keepNext w:val="0"/>
        <w:keepLines w:val="0"/>
        <w:jc w:val="center"/>
        <w:rPr>
          <w:color w:val="auto"/>
          <w:highlight w:val="none"/>
        </w:rPr>
      </w:pPr>
      <w:r>
        <w:rPr>
          <w:rFonts w:hint="eastAsia"/>
          <w:color w:val="auto"/>
          <w:highlight w:val="none"/>
        </w:rPr>
        <w:t>八、其他事项</w:t>
      </w:r>
    </w:p>
    <w:p w14:paraId="45917A93">
      <w:pPr>
        <w:pStyle w:val="6"/>
        <w:keepNext w:val="0"/>
        <w:keepLines w:val="0"/>
        <w:spacing w:before="0" w:after="0" w:line="360" w:lineRule="auto"/>
        <w:ind w:left="420" w:leftChars="200"/>
        <w:rPr>
          <w:rFonts w:hint="eastAsia" w:ascii="黑体" w:hAnsi="黑体" w:eastAsia="黑体"/>
          <w:color w:val="auto"/>
          <w:sz w:val="24"/>
          <w:highlight w:val="none"/>
        </w:rPr>
      </w:pPr>
      <w:bookmarkStart w:id="133" w:name="_42.代理服务费"/>
      <w:bookmarkEnd w:id="133"/>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79182D18">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w:t>
      </w:r>
      <w:r>
        <w:rPr>
          <w:rFonts w:hAnsi="宋体"/>
          <w:color w:val="auto"/>
          <w:sz w:val="21"/>
          <w:highlight w:val="none"/>
        </w:rPr>
        <w:t>9</w:t>
      </w:r>
      <w:r>
        <w:rPr>
          <w:rFonts w:hint="eastAsia" w:hAnsi="宋体"/>
          <w:color w:val="auto"/>
          <w:sz w:val="21"/>
          <w:highlight w:val="none"/>
        </w:rPr>
        <w:t>.1代理服务收取标准及缴费账户详见“投标人须知前附表”，投标人为联合体的，可以由联合体中的一方或者多方共同交纳代理服务费。</w:t>
      </w:r>
    </w:p>
    <w:p w14:paraId="2F86EDCD">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w:t>
      </w:r>
      <w:r>
        <w:rPr>
          <w:rFonts w:hAnsi="宋体"/>
          <w:color w:val="auto"/>
          <w:sz w:val="21"/>
          <w:highlight w:val="none"/>
        </w:rPr>
        <w:t>9</w:t>
      </w:r>
      <w:r>
        <w:rPr>
          <w:rFonts w:hint="eastAsia" w:hAnsi="宋体"/>
          <w:color w:val="auto"/>
          <w:sz w:val="21"/>
          <w:highlight w:val="none"/>
        </w:rPr>
        <w:t>.2代理服务收费标准：</w:t>
      </w:r>
    </w:p>
    <w:tbl>
      <w:tblPr>
        <w:tblStyle w:val="4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749"/>
        <w:gridCol w:w="1794"/>
        <w:gridCol w:w="1718"/>
      </w:tblGrid>
      <w:tr w14:paraId="42B71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665DA384">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费率</w:t>
            </w:r>
          </w:p>
          <w:p w14:paraId="3156FB2F">
            <w:pPr>
              <w:spacing w:line="360" w:lineRule="auto"/>
              <w:rPr>
                <w:rFonts w:hint="eastAsia" w:ascii="宋体" w:hAnsi="宋体"/>
                <w:color w:val="auto"/>
                <w:szCs w:val="21"/>
                <w:highlight w:val="none"/>
              </w:rPr>
            </w:pPr>
            <w:r>
              <w:rPr>
                <w:rFonts w:hint="eastAsia" w:ascii="宋体" w:hAnsi="宋体"/>
                <w:color w:val="auto"/>
                <w:szCs w:val="21"/>
                <w:highlight w:val="none"/>
              </w:rPr>
              <w:t>中标金额</w:t>
            </w:r>
          </w:p>
        </w:tc>
        <w:tc>
          <w:tcPr>
            <w:tcW w:w="1749" w:type="dxa"/>
            <w:vAlign w:val="center"/>
          </w:tcPr>
          <w:p w14:paraId="70EF1A0E">
            <w:pPr>
              <w:spacing w:line="360" w:lineRule="auto"/>
              <w:ind w:firstLine="105" w:firstLineChars="50"/>
              <w:jc w:val="center"/>
              <w:rPr>
                <w:rFonts w:hint="eastAsia" w:ascii="宋体" w:hAnsi="宋体"/>
                <w:color w:val="auto"/>
                <w:szCs w:val="21"/>
                <w:highlight w:val="none"/>
              </w:rPr>
            </w:pPr>
            <w:r>
              <w:rPr>
                <w:rFonts w:hint="eastAsia" w:ascii="宋体" w:hAnsi="宋体"/>
                <w:color w:val="auto"/>
                <w:szCs w:val="21"/>
                <w:highlight w:val="none"/>
              </w:rPr>
              <w:t>货物招标</w:t>
            </w:r>
          </w:p>
        </w:tc>
        <w:tc>
          <w:tcPr>
            <w:tcW w:w="1794" w:type="dxa"/>
            <w:vAlign w:val="center"/>
          </w:tcPr>
          <w:p w14:paraId="1FC77F14">
            <w:pPr>
              <w:spacing w:line="360" w:lineRule="auto"/>
              <w:jc w:val="center"/>
              <w:rPr>
                <w:rFonts w:hint="eastAsia" w:ascii="宋体" w:hAnsi="宋体"/>
                <w:color w:val="auto"/>
                <w:szCs w:val="21"/>
                <w:highlight w:val="none"/>
              </w:rPr>
            </w:pPr>
            <w:r>
              <w:rPr>
                <w:rFonts w:hint="eastAsia" w:ascii="宋体" w:hAnsi="宋体"/>
                <w:color w:val="auto"/>
                <w:szCs w:val="21"/>
                <w:highlight w:val="none"/>
              </w:rPr>
              <w:t>服务招标</w:t>
            </w:r>
          </w:p>
        </w:tc>
        <w:tc>
          <w:tcPr>
            <w:tcW w:w="1718" w:type="dxa"/>
            <w:vAlign w:val="center"/>
          </w:tcPr>
          <w:p w14:paraId="4362DCA3">
            <w:pPr>
              <w:spacing w:line="360" w:lineRule="auto"/>
              <w:jc w:val="center"/>
              <w:rPr>
                <w:rFonts w:hint="eastAsia" w:ascii="宋体" w:hAnsi="宋体"/>
                <w:color w:val="auto"/>
                <w:szCs w:val="21"/>
                <w:highlight w:val="none"/>
              </w:rPr>
            </w:pPr>
            <w:r>
              <w:rPr>
                <w:rFonts w:hint="eastAsia" w:ascii="宋体" w:hAnsi="宋体"/>
                <w:color w:val="auto"/>
                <w:szCs w:val="21"/>
                <w:highlight w:val="none"/>
              </w:rPr>
              <w:t>工程招标</w:t>
            </w:r>
          </w:p>
        </w:tc>
      </w:tr>
      <w:tr w14:paraId="3D4F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64BB300">
            <w:pPr>
              <w:spacing w:line="360" w:lineRule="auto"/>
              <w:jc w:val="center"/>
              <w:rPr>
                <w:rFonts w:hint="eastAsia" w:ascii="宋体" w:hAnsi="宋体"/>
                <w:color w:val="auto"/>
                <w:szCs w:val="21"/>
                <w:highlight w:val="none"/>
              </w:rPr>
            </w:pPr>
            <w:r>
              <w:rPr>
                <w:rFonts w:hint="eastAsia" w:ascii="宋体" w:hAnsi="宋体"/>
                <w:color w:val="auto"/>
                <w:szCs w:val="21"/>
                <w:highlight w:val="none"/>
              </w:rPr>
              <w:t>100万元以下</w:t>
            </w:r>
          </w:p>
        </w:tc>
        <w:tc>
          <w:tcPr>
            <w:tcW w:w="1749" w:type="dxa"/>
          </w:tcPr>
          <w:p w14:paraId="211EAAF8">
            <w:pPr>
              <w:spacing w:line="360" w:lineRule="auto"/>
              <w:jc w:val="center"/>
              <w:rPr>
                <w:rFonts w:hint="eastAsia" w:ascii="宋体" w:hAnsi="宋体"/>
                <w:color w:val="auto"/>
                <w:szCs w:val="21"/>
                <w:highlight w:val="none"/>
              </w:rPr>
            </w:pPr>
            <w:r>
              <w:rPr>
                <w:rFonts w:ascii="宋体" w:hAnsi="宋体" w:cs="宋体"/>
                <w:color w:val="auto"/>
                <w:kern w:val="0"/>
                <w:szCs w:val="21"/>
                <w:highlight w:val="none"/>
              </w:rPr>
              <w:t>1.5%</w:t>
            </w:r>
          </w:p>
        </w:tc>
        <w:tc>
          <w:tcPr>
            <w:tcW w:w="1794" w:type="dxa"/>
          </w:tcPr>
          <w:p w14:paraId="3091A6C4">
            <w:pPr>
              <w:spacing w:line="360" w:lineRule="auto"/>
              <w:jc w:val="center"/>
              <w:rPr>
                <w:rFonts w:hint="eastAsia" w:ascii="宋体" w:hAnsi="宋体"/>
                <w:color w:val="auto"/>
                <w:szCs w:val="21"/>
                <w:highlight w:val="none"/>
              </w:rPr>
            </w:pPr>
            <w:r>
              <w:rPr>
                <w:rFonts w:ascii="宋体" w:hAnsi="宋体" w:cs="宋体"/>
                <w:color w:val="auto"/>
                <w:kern w:val="0"/>
                <w:szCs w:val="21"/>
                <w:highlight w:val="none"/>
              </w:rPr>
              <w:t>1.5%</w:t>
            </w:r>
          </w:p>
        </w:tc>
        <w:tc>
          <w:tcPr>
            <w:tcW w:w="1718" w:type="dxa"/>
          </w:tcPr>
          <w:p w14:paraId="5EB7694B">
            <w:pPr>
              <w:spacing w:line="360" w:lineRule="auto"/>
              <w:jc w:val="center"/>
              <w:rPr>
                <w:rFonts w:hint="eastAsia" w:ascii="宋体" w:hAnsi="宋体"/>
                <w:color w:val="auto"/>
                <w:szCs w:val="21"/>
                <w:highlight w:val="none"/>
              </w:rPr>
            </w:pPr>
            <w:r>
              <w:rPr>
                <w:rFonts w:ascii="宋体" w:hAnsi="宋体" w:cs="宋体"/>
                <w:color w:val="auto"/>
                <w:kern w:val="0"/>
                <w:szCs w:val="21"/>
                <w:highlight w:val="none"/>
              </w:rPr>
              <w:t>1.0%</w:t>
            </w:r>
          </w:p>
        </w:tc>
      </w:tr>
      <w:tr w14:paraId="17012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7A37CEB">
            <w:pPr>
              <w:spacing w:line="360" w:lineRule="auto"/>
              <w:jc w:val="center"/>
              <w:rPr>
                <w:rFonts w:hint="eastAsia" w:ascii="宋体" w:hAnsi="宋体"/>
                <w:color w:val="auto"/>
                <w:szCs w:val="21"/>
                <w:highlight w:val="none"/>
              </w:rPr>
            </w:pPr>
            <w:r>
              <w:rPr>
                <w:rFonts w:hint="eastAsia" w:ascii="宋体" w:hAnsi="宋体"/>
                <w:color w:val="auto"/>
                <w:szCs w:val="21"/>
                <w:highlight w:val="none"/>
              </w:rPr>
              <w:t>100～500万元</w:t>
            </w:r>
          </w:p>
        </w:tc>
        <w:tc>
          <w:tcPr>
            <w:tcW w:w="1749" w:type="dxa"/>
          </w:tcPr>
          <w:p w14:paraId="45FC1651">
            <w:pPr>
              <w:spacing w:line="360" w:lineRule="auto"/>
              <w:jc w:val="center"/>
              <w:rPr>
                <w:rFonts w:hint="eastAsia" w:ascii="宋体" w:hAnsi="宋体"/>
                <w:color w:val="auto"/>
                <w:szCs w:val="21"/>
                <w:highlight w:val="none"/>
              </w:rPr>
            </w:pPr>
            <w:r>
              <w:rPr>
                <w:rFonts w:ascii="宋体" w:hAnsi="宋体" w:cs="宋体"/>
                <w:color w:val="auto"/>
                <w:kern w:val="0"/>
                <w:szCs w:val="21"/>
                <w:highlight w:val="none"/>
              </w:rPr>
              <w:t>1.1%</w:t>
            </w:r>
          </w:p>
        </w:tc>
        <w:tc>
          <w:tcPr>
            <w:tcW w:w="1794" w:type="dxa"/>
          </w:tcPr>
          <w:p w14:paraId="72F0FE2F">
            <w:pPr>
              <w:spacing w:line="360" w:lineRule="auto"/>
              <w:jc w:val="center"/>
              <w:rPr>
                <w:rFonts w:hint="eastAsia" w:ascii="宋体" w:hAnsi="宋体"/>
                <w:color w:val="auto"/>
                <w:szCs w:val="21"/>
                <w:highlight w:val="none"/>
              </w:rPr>
            </w:pPr>
            <w:r>
              <w:rPr>
                <w:rFonts w:ascii="宋体" w:hAnsi="宋体" w:cs="宋体"/>
                <w:color w:val="auto"/>
                <w:kern w:val="0"/>
                <w:szCs w:val="21"/>
                <w:highlight w:val="none"/>
              </w:rPr>
              <w:t>0.8%</w:t>
            </w:r>
          </w:p>
        </w:tc>
        <w:tc>
          <w:tcPr>
            <w:tcW w:w="1718" w:type="dxa"/>
          </w:tcPr>
          <w:p w14:paraId="22544C55">
            <w:pPr>
              <w:spacing w:line="360" w:lineRule="auto"/>
              <w:jc w:val="center"/>
              <w:rPr>
                <w:rFonts w:hint="eastAsia" w:ascii="宋体" w:hAnsi="宋体"/>
                <w:color w:val="auto"/>
                <w:szCs w:val="21"/>
                <w:highlight w:val="none"/>
              </w:rPr>
            </w:pPr>
            <w:r>
              <w:rPr>
                <w:rFonts w:ascii="宋体" w:hAnsi="宋体" w:cs="宋体"/>
                <w:color w:val="auto"/>
                <w:kern w:val="0"/>
                <w:szCs w:val="21"/>
                <w:highlight w:val="none"/>
              </w:rPr>
              <w:t>0.7%</w:t>
            </w:r>
          </w:p>
        </w:tc>
      </w:tr>
      <w:tr w14:paraId="6308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2DE5BB5">
            <w:pPr>
              <w:spacing w:line="360" w:lineRule="auto"/>
              <w:jc w:val="center"/>
              <w:rPr>
                <w:rFonts w:hint="eastAsia" w:ascii="宋体" w:hAnsi="宋体"/>
                <w:color w:val="auto"/>
                <w:szCs w:val="21"/>
                <w:highlight w:val="none"/>
              </w:rPr>
            </w:pPr>
            <w:r>
              <w:rPr>
                <w:rFonts w:hint="eastAsia" w:ascii="宋体" w:hAnsi="宋体"/>
                <w:color w:val="auto"/>
                <w:szCs w:val="21"/>
                <w:highlight w:val="none"/>
              </w:rPr>
              <w:t>500～1000万元</w:t>
            </w:r>
          </w:p>
        </w:tc>
        <w:tc>
          <w:tcPr>
            <w:tcW w:w="1749" w:type="dxa"/>
          </w:tcPr>
          <w:p w14:paraId="4771067F">
            <w:pPr>
              <w:spacing w:line="360" w:lineRule="auto"/>
              <w:jc w:val="center"/>
              <w:rPr>
                <w:rFonts w:hint="eastAsia" w:ascii="宋体" w:hAnsi="宋体"/>
                <w:color w:val="auto"/>
                <w:szCs w:val="21"/>
                <w:highlight w:val="none"/>
              </w:rPr>
            </w:pPr>
            <w:r>
              <w:rPr>
                <w:rFonts w:ascii="宋体" w:hAnsi="宋体" w:cs="宋体"/>
                <w:color w:val="auto"/>
                <w:kern w:val="0"/>
                <w:szCs w:val="21"/>
                <w:highlight w:val="none"/>
              </w:rPr>
              <w:t>0.8%</w:t>
            </w:r>
          </w:p>
        </w:tc>
        <w:tc>
          <w:tcPr>
            <w:tcW w:w="1794" w:type="dxa"/>
          </w:tcPr>
          <w:p w14:paraId="56130483">
            <w:pPr>
              <w:spacing w:line="360" w:lineRule="auto"/>
              <w:jc w:val="center"/>
              <w:rPr>
                <w:rFonts w:hint="eastAsia" w:ascii="宋体" w:hAnsi="宋体"/>
                <w:color w:val="auto"/>
                <w:szCs w:val="21"/>
                <w:highlight w:val="none"/>
              </w:rPr>
            </w:pPr>
            <w:r>
              <w:rPr>
                <w:rFonts w:ascii="宋体" w:hAnsi="宋体" w:cs="宋体"/>
                <w:color w:val="auto"/>
                <w:kern w:val="0"/>
                <w:szCs w:val="21"/>
                <w:highlight w:val="none"/>
              </w:rPr>
              <w:t>0.45%</w:t>
            </w:r>
          </w:p>
        </w:tc>
        <w:tc>
          <w:tcPr>
            <w:tcW w:w="1718" w:type="dxa"/>
          </w:tcPr>
          <w:p w14:paraId="32A0EF48">
            <w:pPr>
              <w:spacing w:line="360" w:lineRule="auto"/>
              <w:jc w:val="center"/>
              <w:rPr>
                <w:rFonts w:hint="eastAsia" w:ascii="宋体" w:hAnsi="宋体"/>
                <w:color w:val="auto"/>
                <w:szCs w:val="21"/>
                <w:highlight w:val="none"/>
              </w:rPr>
            </w:pPr>
            <w:r>
              <w:rPr>
                <w:rFonts w:ascii="宋体" w:hAnsi="宋体" w:cs="宋体"/>
                <w:color w:val="auto"/>
                <w:kern w:val="0"/>
                <w:szCs w:val="21"/>
                <w:highlight w:val="none"/>
              </w:rPr>
              <w:t>0.55%</w:t>
            </w:r>
          </w:p>
        </w:tc>
      </w:tr>
      <w:tr w14:paraId="7610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379EC75">
            <w:pPr>
              <w:spacing w:line="360" w:lineRule="auto"/>
              <w:jc w:val="center"/>
              <w:rPr>
                <w:rFonts w:hint="eastAsia" w:ascii="宋体" w:hAnsi="宋体"/>
                <w:color w:val="auto"/>
                <w:szCs w:val="21"/>
                <w:highlight w:val="none"/>
              </w:rPr>
            </w:pPr>
            <w:r>
              <w:rPr>
                <w:rFonts w:hint="eastAsia" w:ascii="宋体" w:hAnsi="宋体"/>
                <w:color w:val="auto"/>
                <w:szCs w:val="21"/>
                <w:highlight w:val="none"/>
              </w:rPr>
              <w:t>1000～5000万元</w:t>
            </w:r>
          </w:p>
        </w:tc>
        <w:tc>
          <w:tcPr>
            <w:tcW w:w="1749" w:type="dxa"/>
          </w:tcPr>
          <w:p w14:paraId="07713859">
            <w:pPr>
              <w:spacing w:line="360" w:lineRule="auto"/>
              <w:jc w:val="center"/>
              <w:rPr>
                <w:rFonts w:hint="eastAsia" w:ascii="宋体" w:hAnsi="宋体"/>
                <w:color w:val="auto"/>
                <w:szCs w:val="21"/>
                <w:highlight w:val="none"/>
              </w:rPr>
            </w:pPr>
            <w:r>
              <w:rPr>
                <w:rFonts w:ascii="宋体" w:hAnsi="宋体" w:cs="宋体"/>
                <w:color w:val="auto"/>
                <w:kern w:val="0"/>
                <w:szCs w:val="21"/>
                <w:highlight w:val="none"/>
              </w:rPr>
              <w:t>0.5%</w:t>
            </w:r>
          </w:p>
        </w:tc>
        <w:tc>
          <w:tcPr>
            <w:tcW w:w="1794" w:type="dxa"/>
          </w:tcPr>
          <w:p w14:paraId="1D8B5AC4">
            <w:pPr>
              <w:spacing w:line="360" w:lineRule="auto"/>
              <w:jc w:val="center"/>
              <w:rPr>
                <w:rFonts w:hint="eastAsia" w:ascii="宋体" w:hAnsi="宋体"/>
                <w:color w:val="auto"/>
                <w:szCs w:val="21"/>
                <w:highlight w:val="none"/>
              </w:rPr>
            </w:pPr>
            <w:r>
              <w:rPr>
                <w:rFonts w:ascii="宋体" w:hAnsi="宋体" w:cs="宋体"/>
                <w:color w:val="auto"/>
                <w:kern w:val="0"/>
                <w:szCs w:val="21"/>
                <w:highlight w:val="none"/>
              </w:rPr>
              <w:t>0.25%</w:t>
            </w:r>
          </w:p>
        </w:tc>
        <w:tc>
          <w:tcPr>
            <w:tcW w:w="1718" w:type="dxa"/>
          </w:tcPr>
          <w:p w14:paraId="0625E008">
            <w:pPr>
              <w:spacing w:line="360" w:lineRule="auto"/>
              <w:jc w:val="center"/>
              <w:rPr>
                <w:rFonts w:hint="eastAsia" w:ascii="宋体" w:hAnsi="宋体"/>
                <w:color w:val="auto"/>
                <w:szCs w:val="21"/>
                <w:highlight w:val="none"/>
              </w:rPr>
            </w:pPr>
            <w:r>
              <w:rPr>
                <w:rFonts w:ascii="宋体" w:hAnsi="宋体" w:cs="宋体"/>
                <w:color w:val="auto"/>
                <w:kern w:val="0"/>
                <w:szCs w:val="21"/>
                <w:highlight w:val="none"/>
              </w:rPr>
              <w:t>0.35%</w:t>
            </w:r>
          </w:p>
        </w:tc>
      </w:tr>
      <w:tr w14:paraId="4EEA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9E76995">
            <w:pPr>
              <w:spacing w:line="360" w:lineRule="auto"/>
              <w:jc w:val="center"/>
              <w:rPr>
                <w:rFonts w:hint="eastAsia" w:ascii="宋体" w:hAnsi="宋体"/>
                <w:color w:val="auto"/>
                <w:szCs w:val="21"/>
                <w:highlight w:val="none"/>
              </w:rPr>
            </w:pPr>
            <w:r>
              <w:rPr>
                <w:rFonts w:hint="eastAsia" w:ascii="宋体" w:hAnsi="宋体"/>
                <w:color w:val="auto"/>
                <w:szCs w:val="21"/>
                <w:highlight w:val="none"/>
              </w:rPr>
              <w:t>5000万元～1亿元</w:t>
            </w:r>
          </w:p>
        </w:tc>
        <w:tc>
          <w:tcPr>
            <w:tcW w:w="1749" w:type="dxa"/>
          </w:tcPr>
          <w:p w14:paraId="6DCA5D28">
            <w:pPr>
              <w:spacing w:line="360" w:lineRule="auto"/>
              <w:jc w:val="center"/>
              <w:rPr>
                <w:rFonts w:hint="eastAsia" w:ascii="宋体" w:hAnsi="宋体"/>
                <w:color w:val="auto"/>
                <w:szCs w:val="21"/>
                <w:highlight w:val="none"/>
              </w:rPr>
            </w:pPr>
            <w:r>
              <w:rPr>
                <w:rFonts w:ascii="宋体" w:hAnsi="宋体" w:cs="宋体"/>
                <w:color w:val="auto"/>
                <w:kern w:val="0"/>
                <w:szCs w:val="21"/>
                <w:highlight w:val="none"/>
              </w:rPr>
              <w:t>0.25%</w:t>
            </w:r>
          </w:p>
        </w:tc>
        <w:tc>
          <w:tcPr>
            <w:tcW w:w="1794" w:type="dxa"/>
          </w:tcPr>
          <w:p w14:paraId="0764B42E">
            <w:pPr>
              <w:spacing w:line="360" w:lineRule="auto"/>
              <w:jc w:val="center"/>
              <w:rPr>
                <w:rFonts w:hint="eastAsia" w:ascii="宋体" w:hAnsi="宋体"/>
                <w:color w:val="auto"/>
                <w:szCs w:val="21"/>
                <w:highlight w:val="none"/>
              </w:rPr>
            </w:pPr>
            <w:r>
              <w:rPr>
                <w:rFonts w:ascii="宋体" w:hAnsi="宋体" w:cs="宋体"/>
                <w:color w:val="auto"/>
                <w:kern w:val="0"/>
                <w:szCs w:val="21"/>
                <w:highlight w:val="none"/>
              </w:rPr>
              <w:t>0.1%</w:t>
            </w:r>
          </w:p>
        </w:tc>
        <w:tc>
          <w:tcPr>
            <w:tcW w:w="1718" w:type="dxa"/>
          </w:tcPr>
          <w:p w14:paraId="3D610AE0">
            <w:pPr>
              <w:spacing w:line="360" w:lineRule="auto"/>
              <w:jc w:val="center"/>
              <w:rPr>
                <w:rFonts w:hint="eastAsia" w:ascii="宋体" w:hAnsi="宋体"/>
                <w:color w:val="auto"/>
                <w:szCs w:val="21"/>
                <w:highlight w:val="none"/>
              </w:rPr>
            </w:pPr>
            <w:r>
              <w:rPr>
                <w:rFonts w:ascii="宋体" w:hAnsi="宋体" w:cs="宋体"/>
                <w:color w:val="auto"/>
                <w:kern w:val="0"/>
                <w:szCs w:val="21"/>
                <w:highlight w:val="none"/>
              </w:rPr>
              <w:t>0.2%</w:t>
            </w:r>
          </w:p>
        </w:tc>
      </w:tr>
      <w:tr w14:paraId="7808A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6E31122">
            <w:pPr>
              <w:spacing w:line="360" w:lineRule="auto"/>
              <w:jc w:val="center"/>
              <w:rPr>
                <w:rFonts w:hint="eastAsia" w:ascii="宋体" w:hAnsi="宋体"/>
                <w:color w:val="auto"/>
                <w:szCs w:val="21"/>
                <w:highlight w:val="none"/>
              </w:rPr>
            </w:pPr>
            <w:r>
              <w:rPr>
                <w:rFonts w:hint="eastAsia" w:ascii="宋体" w:hAnsi="宋体"/>
                <w:color w:val="auto"/>
                <w:szCs w:val="21"/>
                <w:highlight w:val="none"/>
              </w:rPr>
              <w:t>1～5亿元</w:t>
            </w:r>
          </w:p>
        </w:tc>
        <w:tc>
          <w:tcPr>
            <w:tcW w:w="1749" w:type="dxa"/>
          </w:tcPr>
          <w:p w14:paraId="70151047">
            <w:pPr>
              <w:spacing w:line="360" w:lineRule="auto"/>
              <w:jc w:val="center"/>
              <w:rPr>
                <w:rFonts w:hint="eastAsia" w:ascii="宋体" w:hAnsi="宋体"/>
                <w:color w:val="auto"/>
                <w:szCs w:val="21"/>
                <w:highlight w:val="none"/>
              </w:rPr>
            </w:pPr>
            <w:r>
              <w:rPr>
                <w:rFonts w:hint="eastAsia" w:ascii="宋体" w:hAnsi="宋体"/>
                <w:color w:val="auto"/>
                <w:szCs w:val="21"/>
                <w:highlight w:val="none"/>
              </w:rPr>
              <w:t>0.05%</w:t>
            </w:r>
          </w:p>
        </w:tc>
        <w:tc>
          <w:tcPr>
            <w:tcW w:w="1794" w:type="dxa"/>
          </w:tcPr>
          <w:p w14:paraId="731E6635">
            <w:pPr>
              <w:spacing w:line="360" w:lineRule="auto"/>
              <w:jc w:val="center"/>
              <w:rPr>
                <w:rFonts w:hint="eastAsia" w:ascii="宋体" w:hAnsi="宋体"/>
                <w:color w:val="auto"/>
                <w:szCs w:val="21"/>
                <w:highlight w:val="none"/>
              </w:rPr>
            </w:pPr>
            <w:r>
              <w:rPr>
                <w:rFonts w:hint="eastAsia" w:ascii="宋体" w:hAnsi="宋体"/>
                <w:color w:val="auto"/>
                <w:szCs w:val="21"/>
                <w:highlight w:val="none"/>
              </w:rPr>
              <w:t>0.05%</w:t>
            </w:r>
          </w:p>
        </w:tc>
        <w:tc>
          <w:tcPr>
            <w:tcW w:w="1718" w:type="dxa"/>
          </w:tcPr>
          <w:p w14:paraId="7043E72D">
            <w:pPr>
              <w:spacing w:line="360" w:lineRule="auto"/>
              <w:jc w:val="center"/>
              <w:rPr>
                <w:rFonts w:hint="eastAsia" w:ascii="宋体" w:hAnsi="宋体"/>
                <w:color w:val="auto"/>
                <w:szCs w:val="21"/>
                <w:highlight w:val="none"/>
              </w:rPr>
            </w:pPr>
            <w:r>
              <w:rPr>
                <w:rFonts w:hint="eastAsia" w:ascii="宋体" w:hAnsi="宋体"/>
                <w:color w:val="auto"/>
                <w:szCs w:val="21"/>
                <w:highlight w:val="none"/>
              </w:rPr>
              <w:t>0.05%</w:t>
            </w:r>
          </w:p>
        </w:tc>
      </w:tr>
      <w:tr w14:paraId="50288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F015C1B">
            <w:pPr>
              <w:spacing w:line="360" w:lineRule="auto"/>
              <w:jc w:val="center"/>
              <w:rPr>
                <w:rFonts w:hint="eastAsia" w:ascii="宋体" w:hAnsi="宋体"/>
                <w:color w:val="auto"/>
                <w:szCs w:val="21"/>
                <w:highlight w:val="none"/>
              </w:rPr>
            </w:pPr>
            <w:r>
              <w:rPr>
                <w:rFonts w:hint="eastAsia" w:ascii="宋体" w:hAnsi="宋体"/>
                <w:color w:val="auto"/>
                <w:szCs w:val="21"/>
                <w:highlight w:val="none"/>
              </w:rPr>
              <w:t>5～10亿元</w:t>
            </w:r>
          </w:p>
        </w:tc>
        <w:tc>
          <w:tcPr>
            <w:tcW w:w="1749" w:type="dxa"/>
          </w:tcPr>
          <w:p w14:paraId="72376906">
            <w:pPr>
              <w:spacing w:line="360" w:lineRule="auto"/>
              <w:jc w:val="center"/>
              <w:rPr>
                <w:rFonts w:hint="eastAsia" w:ascii="宋体" w:hAnsi="宋体"/>
                <w:color w:val="auto"/>
                <w:szCs w:val="21"/>
                <w:highlight w:val="none"/>
              </w:rPr>
            </w:pPr>
            <w:r>
              <w:rPr>
                <w:rFonts w:hint="eastAsia" w:ascii="宋体" w:hAnsi="宋体"/>
                <w:color w:val="auto"/>
                <w:szCs w:val="21"/>
                <w:highlight w:val="none"/>
              </w:rPr>
              <w:t>0.035%</w:t>
            </w:r>
          </w:p>
        </w:tc>
        <w:tc>
          <w:tcPr>
            <w:tcW w:w="1794" w:type="dxa"/>
          </w:tcPr>
          <w:p w14:paraId="52C4F6B3">
            <w:pPr>
              <w:spacing w:line="360" w:lineRule="auto"/>
              <w:jc w:val="center"/>
              <w:rPr>
                <w:rFonts w:hint="eastAsia" w:ascii="宋体" w:hAnsi="宋体"/>
                <w:color w:val="auto"/>
                <w:szCs w:val="21"/>
                <w:highlight w:val="none"/>
              </w:rPr>
            </w:pPr>
            <w:r>
              <w:rPr>
                <w:rFonts w:hint="eastAsia" w:ascii="宋体" w:hAnsi="宋体"/>
                <w:color w:val="auto"/>
                <w:szCs w:val="21"/>
                <w:highlight w:val="none"/>
              </w:rPr>
              <w:t>0.035%</w:t>
            </w:r>
          </w:p>
        </w:tc>
        <w:tc>
          <w:tcPr>
            <w:tcW w:w="1718" w:type="dxa"/>
          </w:tcPr>
          <w:p w14:paraId="6939240A">
            <w:pPr>
              <w:spacing w:line="360" w:lineRule="auto"/>
              <w:jc w:val="center"/>
              <w:rPr>
                <w:rFonts w:hint="eastAsia" w:ascii="宋体" w:hAnsi="宋体"/>
                <w:color w:val="auto"/>
                <w:szCs w:val="21"/>
                <w:highlight w:val="none"/>
              </w:rPr>
            </w:pPr>
            <w:r>
              <w:rPr>
                <w:rFonts w:hint="eastAsia" w:ascii="宋体" w:hAnsi="宋体"/>
                <w:color w:val="auto"/>
                <w:szCs w:val="21"/>
                <w:highlight w:val="none"/>
              </w:rPr>
              <w:t>0.035%</w:t>
            </w:r>
          </w:p>
        </w:tc>
      </w:tr>
      <w:tr w14:paraId="63CB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EB0F671">
            <w:pPr>
              <w:spacing w:line="360" w:lineRule="auto"/>
              <w:jc w:val="center"/>
              <w:rPr>
                <w:rFonts w:hint="eastAsia" w:ascii="宋体" w:hAnsi="宋体"/>
                <w:color w:val="auto"/>
                <w:szCs w:val="21"/>
                <w:highlight w:val="none"/>
              </w:rPr>
            </w:pPr>
            <w:r>
              <w:rPr>
                <w:rFonts w:hint="eastAsia" w:ascii="宋体" w:hAnsi="宋体"/>
                <w:color w:val="auto"/>
                <w:szCs w:val="21"/>
                <w:highlight w:val="none"/>
              </w:rPr>
              <w:t>10～50亿元</w:t>
            </w:r>
          </w:p>
        </w:tc>
        <w:tc>
          <w:tcPr>
            <w:tcW w:w="1749" w:type="dxa"/>
          </w:tcPr>
          <w:p w14:paraId="25EB2611">
            <w:pPr>
              <w:spacing w:line="360" w:lineRule="auto"/>
              <w:jc w:val="center"/>
              <w:rPr>
                <w:rFonts w:hint="eastAsia" w:ascii="宋体" w:hAnsi="宋体"/>
                <w:color w:val="auto"/>
                <w:szCs w:val="21"/>
                <w:highlight w:val="none"/>
              </w:rPr>
            </w:pPr>
            <w:r>
              <w:rPr>
                <w:rFonts w:hint="eastAsia" w:ascii="宋体" w:hAnsi="宋体"/>
                <w:color w:val="auto"/>
                <w:szCs w:val="21"/>
                <w:highlight w:val="none"/>
              </w:rPr>
              <w:t>0.008%</w:t>
            </w:r>
          </w:p>
        </w:tc>
        <w:tc>
          <w:tcPr>
            <w:tcW w:w="1794" w:type="dxa"/>
          </w:tcPr>
          <w:p w14:paraId="49202BEC">
            <w:pPr>
              <w:spacing w:line="360" w:lineRule="auto"/>
              <w:jc w:val="center"/>
              <w:rPr>
                <w:rFonts w:hint="eastAsia" w:ascii="宋体" w:hAnsi="宋体"/>
                <w:color w:val="auto"/>
                <w:szCs w:val="21"/>
                <w:highlight w:val="none"/>
              </w:rPr>
            </w:pPr>
            <w:r>
              <w:rPr>
                <w:rFonts w:hint="eastAsia" w:ascii="宋体" w:hAnsi="宋体"/>
                <w:color w:val="auto"/>
                <w:szCs w:val="21"/>
                <w:highlight w:val="none"/>
              </w:rPr>
              <w:t>0.008%</w:t>
            </w:r>
          </w:p>
        </w:tc>
        <w:tc>
          <w:tcPr>
            <w:tcW w:w="1718" w:type="dxa"/>
          </w:tcPr>
          <w:p w14:paraId="7241DD17">
            <w:pPr>
              <w:spacing w:line="360" w:lineRule="auto"/>
              <w:jc w:val="center"/>
              <w:rPr>
                <w:rFonts w:hint="eastAsia" w:ascii="宋体" w:hAnsi="宋体"/>
                <w:color w:val="auto"/>
                <w:szCs w:val="21"/>
                <w:highlight w:val="none"/>
              </w:rPr>
            </w:pPr>
            <w:r>
              <w:rPr>
                <w:rFonts w:hint="eastAsia" w:ascii="宋体" w:hAnsi="宋体"/>
                <w:color w:val="auto"/>
                <w:szCs w:val="21"/>
                <w:highlight w:val="none"/>
              </w:rPr>
              <w:t>0.008%</w:t>
            </w:r>
          </w:p>
        </w:tc>
      </w:tr>
      <w:tr w14:paraId="4BA5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78B89DB">
            <w:pPr>
              <w:spacing w:line="360" w:lineRule="auto"/>
              <w:jc w:val="center"/>
              <w:rPr>
                <w:rFonts w:hint="eastAsia" w:ascii="宋体" w:hAnsi="宋体"/>
                <w:color w:val="auto"/>
                <w:szCs w:val="21"/>
                <w:highlight w:val="none"/>
              </w:rPr>
            </w:pPr>
            <w:r>
              <w:rPr>
                <w:rFonts w:hint="eastAsia" w:ascii="宋体" w:hAnsi="宋体"/>
                <w:color w:val="auto"/>
                <w:szCs w:val="21"/>
                <w:highlight w:val="none"/>
              </w:rPr>
              <w:t>50～100亿元</w:t>
            </w:r>
          </w:p>
        </w:tc>
        <w:tc>
          <w:tcPr>
            <w:tcW w:w="1749" w:type="dxa"/>
          </w:tcPr>
          <w:p w14:paraId="5F3465FB">
            <w:pPr>
              <w:spacing w:line="360" w:lineRule="auto"/>
              <w:jc w:val="center"/>
              <w:rPr>
                <w:rFonts w:hint="eastAsia" w:ascii="宋体" w:hAnsi="宋体"/>
                <w:color w:val="auto"/>
                <w:szCs w:val="21"/>
                <w:highlight w:val="none"/>
              </w:rPr>
            </w:pPr>
            <w:r>
              <w:rPr>
                <w:rFonts w:hint="eastAsia" w:ascii="宋体" w:hAnsi="宋体"/>
                <w:color w:val="auto"/>
                <w:szCs w:val="21"/>
                <w:highlight w:val="none"/>
              </w:rPr>
              <w:t>0.006%</w:t>
            </w:r>
          </w:p>
        </w:tc>
        <w:tc>
          <w:tcPr>
            <w:tcW w:w="1794" w:type="dxa"/>
          </w:tcPr>
          <w:p w14:paraId="78393CB3">
            <w:pPr>
              <w:spacing w:line="360" w:lineRule="auto"/>
              <w:jc w:val="center"/>
              <w:rPr>
                <w:rFonts w:hint="eastAsia" w:ascii="宋体" w:hAnsi="宋体"/>
                <w:color w:val="auto"/>
                <w:szCs w:val="21"/>
                <w:highlight w:val="none"/>
              </w:rPr>
            </w:pPr>
            <w:r>
              <w:rPr>
                <w:rFonts w:hint="eastAsia" w:ascii="宋体" w:hAnsi="宋体"/>
                <w:color w:val="auto"/>
                <w:szCs w:val="21"/>
                <w:highlight w:val="none"/>
              </w:rPr>
              <w:t>0.006%</w:t>
            </w:r>
          </w:p>
        </w:tc>
        <w:tc>
          <w:tcPr>
            <w:tcW w:w="1718" w:type="dxa"/>
          </w:tcPr>
          <w:p w14:paraId="46DA9C28">
            <w:pPr>
              <w:spacing w:line="360" w:lineRule="auto"/>
              <w:jc w:val="center"/>
              <w:rPr>
                <w:rFonts w:hint="eastAsia" w:ascii="宋体" w:hAnsi="宋体"/>
                <w:color w:val="auto"/>
                <w:szCs w:val="21"/>
                <w:highlight w:val="none"/>
              </w:rPr>
            </w:pPr>
            <w:r>
              <w:rPr>
                <w:rFonts w:hint="eastAsia" w:ascii="宋体" w:hAnsi="宋体"/>
                <w:color w:val="auto"/>
                <w:szCs w:val="21"/>
                <w:highlight w:val="none"/>
              </w:rPr>
              <w:t>0.006%</w:t>
            </w:r>
          </w:p>
        </w:tc>
      </w:tr>
      <w:tr w14:paraId="50AD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9CDEB6D">
            <w:pPr>
              <w:spacing w:line="360" w:lineRule="auto"/>
              <w:jc w:val="center"/>
              <w:rPr>
                <w:rFonts w:hint="eastAsia" w:ascii="宋体" w:hAnsi="宋体"/>
                <w:color w:val="auto"/>
                <w:szCs w:val="21"/>
                <w:highlight w:val="none"/>
              </w:rPr>
            </w:pPr>
            <w:r>
              <w:rPr>
                <w:rFonts w:hint="eastAsia" w:ascii="宋体" w:hAnsi="宋体"/>
                <w:color w:val="auto"/>
                <w:szCs w:val="21"/>
                <w:highlight w:val="none"/>
              </w:rPr>
              <w:t>100亿以上</w:t>
            </w:r>
          </w:p>
        </w:tc>
        <w:tc>
          <w:tcPr>
            <w:tcW w:w="1749" w:type="dxa"/>
          </w:tcPr>
          <w:p w14:paraId="5BCD6B38">
            <w:pPr>
              <w:spacing w:line="360" w:lineRule="auto"/>
              <w:jc w:val="center"/>
              <w:rPr>
                <w:rFonts w:hint="eastAsia" w:ascii="宋体" w:hAnsi="宋体"/>
                <w:color w:val="auto"/>
                <w:szCs w:val="21"/>
                <w:highlight w:val="none"/>
              </w:rPr>
            </w:pPr>
            <w:r>
              <w:rPr>
                <w:rFonts w:hint="eastAsia" w:ascii="宋体" w:hAnsi="宋体"/>
                <w:color w:val="auto"/>
                <w:szCs w:val="21"/>
                <w:highlight w:val="none"/>
              </w:rPr>
              <w:t>0.004%</w:t>
            </w:r>
          </w:p>
        </w:tc>
        <w:tc>
          <w:tcPr>
            <w:tcW w:w="1794" w:type="dxa"/>
          </w:tcPr>
          <w:p w14:paraId="72972D24">
            <w:pPr>
              <w:spacing w:line="360" w:lineRule="auto"/>
              <w:jc w:val="center"/>
              <w:rPr>
                <w:rFonts w:hint="eastAsia" w:ascii="宋体" w:hAnsi="宋体"/>
                <w:color w:val="auto"/>
                <w:szCs w:val="21"/>
                <w:highlight w:val="none"/>
              </w:rPr>
            </w:pPr>
            <w:r>
              <w:rPr>
                <w:rFonts w:hint="eastAsia" w:ascii="宋体" w:hAnsi="宋体"/>
                <w:color w:val="auto"/>
                <w:szCs w:val="21"/>
                <w:highlight w:val="none"/>
              </w:rPr>
              <w:t>0.004%</w:t>
            </w:r>
          </w:p>
        </w:tc>
        <w:tc>
          <w:tcPr>
            <w:tcW w:w="1718" w:type="dxa"/>
          </w:tcPr>
          <w:p w14:paraId="2CABAA33">
            <w:pPr>
              <w:spacing w:line="360" w:lineRule="auto"/>
              <w:jc w:val="center"/>
              <w:rPr>
                <w:rFonts w:hint="eastAsia" w:ascii="宋体" w:hAnsi="宋体"/>
                <w:color w:val="auto"/>
                <w:szCs w:val="21"/>
                <w:highlight w:val="none"/>
              </w:rPr>
            </w:pPr>
            <w:r>
              <w:rPr>
                <w:rFonts w:hint="eastAsia" w:ascii="宋体" w:hAnsi="宋体"/>
                <w:color w:val="auto"/>
                <w:szCs w:val="21"/>
                <w:highlight w:val="none"/>
              </w:rPr>
              <w:t>0.004%</w:t>
            </w:r>
          </w:p>
        </w:tc>
      </w:tr>
    </w:tbl>
    <w:p w14:paraId="222C2095">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注:</w:t>
      </w:r>
      <w:r>
        <w:rPr>
          <w:rFonts w:ascii="宋体" w:hAnsi="宋体" w:cs="宋体"/>
          <w:color w:val="auto"/>
          <w:szCs w:val="21"/>
          <w:highlight w:val="none"/>
        </w:rPr>
        <w:t xml:space="preserve"> </w:t>
      </w:r>
    </w:p>
    <w:p w14:paraId="11EAA68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720478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309ACA1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服务采购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3D4836D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100 万元×l.5 %＝ 1.5 万元</w:t>
      </w:r>
    </w:p>
    <w:p w14:paraId="166D99F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 200 － 100 ）万元 ×0.8%＝0.8万元</w:t>
      </w:r>
    </w:p>
    <w:p w14:paraId="05B7B4B5">
      <w:pPr>
        <w:pStyle w:val="27"/>
        <w:snapToGrid w:val="0"/>
        <w:spacing w:line="360" w:lineRule="auto"/>
        <w:ind w:firstLine="420" w:firstLineChars="200"/>
        <w:rPr>
          <w:rFonts w:hint="eastAsia" w:hAnsi="宋体" w:cs="宋体"/>
          <w:color w:val="auto"/>
          <w:sz w:val="21"/>
          <w:highlight w:val="none"/>
        </w:rPr>
      </w:pPr>
      <w:r>
        <w:rPr>
          <w:rFonts w:hAnsi="宋体" w:cs="宋体"/>
          <w:color w:val="auto"/>
          <w:sz w:val="21"/>
          <w:highlight w:val="none"/>
        </w:rPr>
        <w:t>合计收费＝ 1.5</w:t>
      </w:r>
      <w:r>
        <w:rPr>
          <w:rFonts w:hint="eastAsia" w:hAnsi="宋体" w:cs="宋体"/>
          <w:color w:val="auto"/>
          <w:sz w:val="21"/>
          <w:highlight w:val="none"/>
        </w:rPr>
        <w:t>+</w:t>
      </w:r>
      <w:r>
        <w:rPr>
          <w:rFonts w:hAnsi="宋体" w:cs="宋体"/>
          <w:color w:val="auto"/>
          <w:sz w:val="21"/>
          <w:highlight w:val="none"/>
        </w:rPr>
        <w:t>0.8＝ 2.3（万元）</w:t>
      </w:r>
    </w:p>
    <w:p w14:paraId="739C246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 xml:space="preserve">32.9 </w:t>
      </w:r>
      <w:r>
        <w:rPr>
          <w:rFonts w:hint="eastAsia" w:ascii="宋体" w:hAnsi="宋体" w:cs="宋体"/>
          <w:color w:val="auto"/>
          <w:szCs w:val="21"/>
          <w:highlight w:val="none"/>
        </w:rPr>
        <w:t>代理服务费交纳</w:t>
      </w:r>
      <w:r>
        <w:rPr>
          <w:rFonts w:ascii="宋体" w:hAnsi="宋体" w:cs="宋体"/>
          <w:color w:val="auto"/>
          <w:szCs w:val="21"/>
          <w:highlight w:val="none"/>
        </w:rPr>
        <w:t>银行帐号信息</w:t>
      </w:r>
    </w:p>
    <w:p w14:paraId="482E2491">
      <w:pPr>
        <w:pStyle w:val="6"/>
        <w:keepNext w:val="0"/>
        <w:keepLines w:val="0"/>
        <w:spacing w:before="0" w:after="0" w:line="360" w:lineRule="auto"/>
        <w:ind w:left="420" w:leftChars="200"/>
        <w:rPr>
          <w:rFonts w:hint="eastAsia" w:ascii="宋体" w:hAnsi="宋体" w:cs="宋体"/>
          <w:b w:val="0"/>
          <w:color w:val="auto"/>
          <w:kern w:val="0"/>
          <w:sz w:val="21"/>
          <w:szCs w:val="21"/>
          <w:highlight w:val="none"/>
        </w:rPr>
      </w:pPr>
      <w:r>
        <w:rPr>
          <w:rFonts w:hint="eastAsia" w:ascii="宋体" w:hAnsi="宋体" w:cs="宋体"/>
          <w:b w:val="0"/>
          <w:color w:val="auto"/>
          <w:kern w:val="0"/>
          <w:sz w:val="21"/>
          <w:szCs w:val="21"/>
          <w:highlight w:val="none"/>
        </w:rPr>
        <w:t>开户名称：广西科文招标有限公司南宁咨询二分公司</w:t>
      </w:r>
    </w:p>
    <w:p w14:paraId="2D3DA6B8">
      <w:pPr>
        <w:pStyle w:val="6"/>
        <w:keepNext w:val="0"/>
        <w:keepLines w:val="0"/>
        <w:spacing w:before="0" w:after="0" w:line="360" w:lineRule="auto"/>
        <w:ind w:left="420" w:leftChars="200"/>
        <w:rPr>
          <w:rFonts w:hint="eastAsia" w:ascii="宋体" w:hAnsi="宋体" w:cs="宋体"/>
          <w:b w:val="0"/>
          <w:color w:val="auto"/>
          <w:kern w:val="0"/>
          <w:sz w:val="21"/>
          <w:szCs w:val="21"/>
          <w:highlight w:val="none"/>
        </w:rPr>
      </w:pPr>
      <w:r>
        <w:rPr>
          <w:rFonts w:hint="eastAsia" w:ascii="宋体" w:hAnsi="宋体" w:cs="宋体"/>
          <w:b w:val="0"/>
          <w:color w:val="auto"/>
          <w:kern w:val="0"/>
          <w:sz w:val="21"/>
          <w:szCs w:val="21"/>
          <w:highlight w:val="none"/>
        </w:rPr>
        <w:t>开户银行：广西北部湾银行股份有限公司南宁市云景支行</w:t>
      </w:r>
    </w:p>
    <w:p w14:paraId="3131A4BB">
      <w:pPr>
        <w:pStyle w:val="6"/>
        <w:keepNext w:val="0"/>
        <w:keepLines w:val="0"/>
        <w:spacing w:before="0" w:after="0" w:line="360" w:lineRule="auto"/>
        <w:ind w:left="420" w:leftChars="200"/>
        <w:rPr>
          <w:rFonts w:hint="eastAsia" w:ascii="宋体" w:hAnsi="宋体" w:cs="宋体"/>
          <w:b w:val="0"/>
          <w:color w:val="auto"/>
          <w:kern w:val="0"/>
          <w:sz w:val="21"/>
          <w:szCs w:val="21"/>
          <w:highlight w:val="none"/>
        </w:rPr>
      </w:pPr>
      <w:r>
        <w:rPr>
          <w:rFonts w:hint="eastAsia" w:ascii="宋体" w:hAnsi="宋体" w:cs="宋体"/>
          <w:b w:val="0"/>
          <w:color w:val="auto"/>
          <w:kern w:val="0"/>
          <w:sz w:val="21"/>
          <w:szCs w:val="21"/>
          <w:highlight w:val="none"/>
        </w:rPr>
        <w:t>银行账号：8050 3015 8300 001</w:t>
      </w:r>
    </w:p>
    <w:p w14:paraId="58896323">
      <w:pPr>
        <w:pStyle w:val="6"/>
        <w:keepNext w:val="0"/>
        <w:keepLines w:val="0"/>
        <w:spacing w:before="0" w:after="0" w:line="360" w:lineRule="auto"/>
        <w:ind w:left="420" w:leftChars="200"/>
        <w:rPr>
          <w:rFonts w:hint="eastAsia" w:ascii="黑体" w:hAnsi="黑体" w:eastAsia="黑体"/>
          <w:color w:val="auto"/>
          <w:sz w:val="24"/>
          <w:highlight w:val="none"/>
        </w:rPr>
      </w:pPr>
      <w:r>
        <w:rPr>
          <w:rFonts w:ascii="黑体" w:hAnsi="黑体" w:eastAsia="黑体"/>
          <w:color w:val="auto"/>
          <w:sz w:val="24"/>
          <w:highlight w:val="none"/>
        </w:rPr>
        <w:t>40. 需要补充的其他内容</w:t>
      </w:r>
    </w:p>
    <w:p w14:paraId="29AD2150">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40.1本招标文件解释规则详见“投标人须知前附表”。</w:t>
      </w:r>
    </w:p>
    <w:p w14:paraId="71E3CD9B">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40.2 其他事项详见“投标人须知前附表”。</w:t>
      </w:r>
    </w:p>
    <w:p w14:paraId="4B53A174">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40.3</w:t>
      </w:r>
      <w:bookmarkStart w:id="134"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工程或者服务符合下列情形的，享受本招标文件规定的中小企业扶持政策：</w:t>
      </w:r>
    </w:p>
    <w:p w14:paraId="6265B994">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738D45D1">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0DBC6814">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0FF17234">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在货物采购项目中，投标人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3CB6EB70">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34"/>
    </w:p>
    <w:p w14:paraId="50730A84">
      <w:pPr>
        <w:pStyle w:val="27"/>
        <w:spacing w:before="120" w:after="120" w:line="360" w:lineRule="auto"/>
        <w:ind w:firstLine="420" w:firstLineChars="200"/>
        <w:contextualSpacing/>
        <w:rPr>
          <w:rFonts w:hint="eastAsia" w:hAnsi="宋体" w:cs="宋体"/>
          <w:color w:val="auto"/>
          <w:sz w:val="21"/>
          <w:highlight w:val="none"/>
        </w:rPr>
      </w:pPr>
    </w:p>
    <w:p w14:paraId="68675A32">
      <w:pPr>
        <w:pStyle w:val="20"/>
        <w:ind w:left="479" w:leftChars="114" w:hanging="240" w:hangingChars="100"/>
        <w:rPr>
          <w:rFonts w:hint="eastAsia" w:hAnsi="宋体"/>
          <w:color w:val="auto"/>
          <w:highlight w:val="none"/>
        </w:rPr>
      </w:pPr>
      <w:r>
        <w:rPr>
          <w:rFonts w:hAnsi="宋体"/>
          <w:color w:val="auto"/>
          <w:highlight w:val="none"/>
        </w:rPr>
        <w:br w:type="page"/>
      </w:r>
    </w:p>
    <w:p w14:paraId="5FFC0DBF">
      <w:pPr>
        <w:pStyle w:val="20"/>
        <w:ind w:left="479" w:leftChars="114" w:hanging="240" w:hangingChars="100"/>
        <w:rPr>
          <w:rFonts w:hint="eastAsia" w:hAnsi="宋体"/>
          <w:color w:val="auto"/>
          <w:highlight w:val="none"/>
        </w:rPr>
      </w:pPr>
    </w:p>
    <w:p w14:paraId="63A85391">
      <w:pPr>
        <w:pStyle w:val="20"/>
        <w:ind w:left="479" w:leftChars="114" w:hanging="240" w:hangingChars="100"/>
        <w:rPr>
          <w:rFonts w:hint="eastAsia" w:hAnsi="宋体"/>
          <w:color w:val="auto"/>
          <w:highlight w:val="none"/>
        </w:rPr>
      </w:pPr>
    </w:p>
    <w:p w14:paraId="4B9AD331">
      <w:pPr>
        <w:pStyle w:val="20"/>
        <w:ind w:left="479" w:leftChars="114" w:hanging="240" w:hangingChars="100"/>
        <w:rPr>
          <w:rFonts w:hint="eastAsia" w:hAnsi="宋体"/>
          <w:color w:val="auto"/>
          <w:highlight w:val="none"/>
        </w:rPr>
      </w:pPr>
    </w:p>
    <w:p w14:paraId="0DA4DFC3">
      <w:pPr>
        <w:pStyle w:val="27"/>
        <w:snapToGrid w:val="0"/>
        <w:spacing w:before="120" w:after="120"/>
        <w:rPr>
          <w:rFonts w:hint="eastAsia" w:hAnsi="宋体"/>
          <w:color w:val="auto"/>
          <w:highlight w:val="none"/>
        </w:rPr>
      </w:pPr>
    </w:p>
    <w:p w14:paraId="0928F0F8">
      <w:pPr>
        <w:pStyle w:val="27"/>
        <w:snapToGrid w:val="0"/>
        <w:spacing w:before="120" w:after="120"/>
        <w:rPr>
          <w:rFonts w:hint="eastAsia" w:hAnsi="宋体"/>
          <w:color w:val="auto"/>
          <w:highlight w:val="none"/>
        </w:rPr>
      </w:pPr>
    </w:p>
    <w:p w14:paraId="02B10542">
      <w:pPr>
        <w:pStyle w:val="27"/>
        <w:snapToGrid w:val="0"/>
        <w:spacing w:before="120" w:after="120"/>
        <w:rPr>
          <w:rFonts w:hint="eastAsia" w:hAnsi="宋体"/>
          <w:color w:val="auto"/>
          <w:highlight w:val="none"/>
        </w:rPr>
      </w:pPr>
    </w:p>
    <w:p w14:paraId="5C235A11">
      <w:pPr>
        <w:pStyle w:val="27"/>
        <w:snapToGrid w:val="0"/>
        <w:spacing w:before="120" w:after="120"/>
        <w:rPr>
          <w:rFonts w:hint="eastAsia" w:hAnsi="宋体"/>
          <w:color w:val="auto"/>
          <w:highlight w:val="none"/>
        </w:rPr>
      </w:pPr>
    </w:p>
    <w:p w14:paraId="534314A5">
      <w:pPr>
        <w:pStyle w:val="27"/>
        <w:snapToGrid w:val="0"/>
        <w:spacing w:before="120" w:after="120"/>
        <w:rPr>
          <w:rFonts w:hint="eastAsia" w:hAnsi="宋体"/>
          <w:color w:val="auto"/>
          <w:highlight w:val="none"/>
        </w:rPr>
      </w:pPr>
    </w:p>
    <w:p w14:paraId="4F7BDFF2">
      <w:pPr>
        <w:pStyle w:val="27"/>
        <w:snapToGrid w:val="0"/>
        <w:spacing w:before="120" w:after="120"/>
        <w:rPr>
          <w:rFonts w:hint="eastAsia" w:hAnsi="宋体"/>
          <w:color w:val="auto"/>
          <w:highlight w:val="none"/>
        </w:rPr>
      </w:pPr>
    </w:p>
    <w:p w14:paraId="5E4B373B">
      <w:pPr>
        <w:pStyle w:val="2"/>
        <w:jc w:val="center"/>
        <w:rPr>
          <w:color w:val="auto"/>
          <w:highlight w:val="none"/>
        </w:rPr>
      </w:pPr>
      <w:bookmarkStart w:id="135" w:name="_Toc330456896"/>
      <w:bookmarkStart w:id="136" w:name="_Toc254970548"/>
      <w:bookmarkStart w:id="137" w:name="_Toc254970689"/>
      <w:bookmarkStart w:id="138" w:name="_Toc22041"/>
      <w:r>
        <w:rPr>
          <w:rFonts w:hint="eastAsia"/>
          <w:color w:val="auto"/>
          <w:highlight w:val="none"/>
        </w:rPr>
        <w:t>第四章  评标方法及评标标准</w:t>
      </w:r>
      <w:bookmarkEnd w:id="135"/>
      <w:bookmarkEnd w:id="136"/>
      <w:bookmarkEnd w:id="137"/>
      <w:bookmarkEnd w:id="138"/>
    </w:p>
    <w:p w14:paraId="0692B6FE">
      <w:pPr>
        <w:pStyle w:val="27"/>
        <w:spacing w:before="120" w:after="120"/>
        <w:outlineLvl w:val="0"/>
        <w:rPr>
          <w:rFonts w:hint="eastAsia" w:hAnsi="宋体"/>
          <w:b/>
          <w:color w:val="auto"/>
          <w:highlight w:val="none"/>
        </w:rPr>
      </w:pPr>
      <w:bookmarkStart w:id="139" w:name="_Toc254970549"/>
      <w:bookmarkStart w:id="140" w:name="_Toc254970690"/>
    </w:p>
    <w:bookmarkEnd w:id="139"/>
    <w:bookmarkEnd w:id="140"/>
    <w:p w14:paraId="4582D89C">
      <w:pPr>
        <w:pStyle w:val="27"/>
        <w:spacing w:before="120" w:after="120"/>
        <w:outlineLvl w:val="0"/>
        <w:rPr>
          <w:rFonts w:hint="eastAsia" w:hAnsi="宋体"/>
          <w:bCs/>
          <w:color w:val="auto"/>
          <w:sz w:val="32"/>
          <w:szCs w:val="32"/>
          <w:highlight w:val="none"/>
        </w:rPr>
      </w:pPr>
    </w:p>
    <w:p w14:paraId="47BCA433">
      <w:pPr>
        <w:pStyle w:val="27"/>
        <w:spacing w:before="120" w:after="120"/>
        <w:outlineLvl w:val="0"/>
        <w:rPr>
          <w:rFonts w:hint="eastAsia" w:hAnsi="宋体"/>
          <w:bCs/>
          <w:color w:val="auto"/>
          <w:sz w:val="32"/>
          <w:szCs w:val="32"/>
          <w:highlight w:val="none"/>
        </w:rPr>
      </w:pPr>
    </w:p>
    <w:p w14:paraId="2AF415F7">
      <w:pPr>
        <w:pStyle w:val="27"/>
        <w:spacing w:before="120" w:after="120"/>
        <w:outlineLvl w:val="0"/>
        <w:rPr>
          <w:rFonts w:hint="eastAsia" w:hAnsi="宋体"/>
          <w:bCs/>
          <w:color w:val="auto"/>
          <w:sz w:val="32"/>
          <w:szCs w:val="32"/>
          <w:highlight w:val="none"/>
        </w:rPr>
      </w:pPr>
    </w:p>
    <w:p w14:paraId="70FB6B9C">
      <w:pPr>
        <w:spacing w:before="120" w:beforeLines="50" w:after="120" w:afterLines="50" w:line="400" w:lineRule="exact"/>
        <w:rPr>
          <w:rFonts w:hint="eastAsia" w:ascii="宋体" w:hAnsi="宋体"/>
          <w:b/>
          <w:color w:val="auto"/>
          <w:sz w:val="24"/>
          <w:highlight w:val="none"/>
        </w:rPr>
      </w:pPr>
    </w:p>
    <w:p w14:paraId="785C396D">
      <w:pPr>
        <w:spacing w:before="120" w:beforeLines="50" w:after="120" w:afterLines="50" w:line="400" w:lineRule="exact"/>
        <w:rPr>
          <w:rFonts w:hint="eastAsia" w:ascii="宋体" w:hAnsi="宋体"/>
          <w:b/>
          <w:color w:val="auto"/>
          <w:sz w:val="24"/>
          <w:highlight w:val="none"/>
        </w:rPr>
      </w:pPr>
    </w:p>
    <w:p w14:paraId="0514113F">
      <w:pPr>
        <w:spacing w:before="120" w:beforeLines="50" w:after="120" w:afterLines="50" w:line="400" w:lineRule="exact"/>
        <w:rPr>
          <w:rFonts w:hint="eastAsia" w:ascii="宋体" w:hAnsi="宋体"/>
          <w:b/>
          <w:color w:val="auto"/>
          <w:sz w:val="24"/>
          <w:highlight w:val="none"/>
        </w:rPr>
      </w:pPr>
    </w:p>
    <w:p w14:paraId="6DE66118">
      <w:pPr>
        <w:spacing w:before="120" w:beforeLines="50" w:after="120" w:afterLines="50" w:line="400" w:lineRule="exact"/>
        <w:rPr>
          <w:rFonts w:hint="eastAsia" w:ascii="宋体" w:hAnsi="宋体"/>
          <w:b/>
          <w:color w:val="auto"/>
          <w:sz w:val="24"/>
          <w:highlight w:val="none"/>
        </w:rPr>
      </w:pPr>
    </w:p>
    <w:p w14:paraId="3A27D34D">
      <w:pPr>
        <w:spacing w:before="120" w:beforeLines="50" w:after="120" w:afterLines="50" w:line="400" w:lineRule="exact"/>
        <w:rPr>
          <w:rFonts w:hint="eastAsia" w:ascii="宋体" w:hAnsi="宋体"/>
          <w:b/>
          <w:color w:val="auto"/>
          <w:sz w:val="24"/>
          <w:highlight w:val="none"/>
        </w:rPr>
      </w:pPr>
    </w:p>
    <w:p w14:paraId="24E1F4EF">
      <w:pPr>
        <w:spacing w:before="120" w:beforeLines="50" w:after="120" w:afterLines="50" w:line="400" w:lineRule="exact"/>
        <w:rPr>
          <w:rFonts w:hint="eastAsia" w:ascii="宋体" w:hAnsi="宋体"/>
          <w:b/>
          <w:color w:val="auto"/>
          <w:sz w:val="24"/>
          <w:highlight w:val="none"/>
        </w:rPr>
      </w:pPr>
    </w:p>
    <w:p w14:paraId="0B7E4500">
      <w:pPr>
        <w:spacing w:before="120" w:beforeLines="50" w:after="120" w:afterLines="50" w:line="400" w:lineRule="exact"/>
        <w:rPr>
          <w:rFonts w:hint="eastAsia" w:ascii="宋体" w:hAnsi="宋体"/>
          <w:b/>
          <w:color w:val="auto"/>
          <w:sz w:val="24"/>
          <w:highlight w:val="none"/>
        </w:rPr>
      </w:pPr>
    </w:p>
    <w:p w14:paraId="0629D21E">
      <w:pPr>
        <w:pStyle w:val="27"/>
        <w:spacing w:line="360" w:lineRule="exact"/>
        <w:rPr>
          <w:rFonts w:hint="eastAsia" w:hAnsi="宋体"/>
          <w:b/>
          <w:color w:val="auto"/>
          <w:sz w:val="24"/>
          <w:highlight w:val="none"/>
        </w:rPr>
      </w:pPr>
    </w:p>
    <w:p w14:paraId="0D6E7675">
      <w:pPr>
        <w:pStyle w:val="4"/>
        <w:keepNext w:val="0"/>
        <w:keepLines w:val="0"/>
        <w:jc w:val="center"/>
        <w:rPr>
          <w:color w:val="auto"/>
          <w:sz w:val="30"/>
          <w:szCs w:val="30"/>
          <w:highlight w:val="none"/>
        </w:rPr>
      </w:pPr>
      <w:r>
        <w:rPr>
          <w:color w:val="auto"/>
          <w:sz w:val="30"/>
          <w:szCs w:val="30"/>
          <w:highlight w:val="none"/>
        </w:rPr>
        <w:br w:type="page"/>
      </w:r>
      <w:r>
        <w:rPr>
          <w:rFonts w:hint="eastAsia"/>
          <w:color w:val="auto"/>
          <w:sz w:val="30"/>
          <w:szCs w:val="30"/>
          <w:highlight w:val="none"/>
        </w:rPr>
        <w:t>一、评标方法</w:t>
      </w:r>
    </w:p>
    <w:p w14:paraId="61C32AC3">
      <w:pPr>
        <w:pStyle w:val="27"/>
        <w:spacing w:line="360" w:lineRule="auto"/>
        <w:ind w:firstLine="420"/>
        <w:rPr>
          <w:rFonts w:hint="eastAsia"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174C66E4">
      <w:pPr>
        <w:pStyle w:val="27"/>
        <w:spacing w:line="360" w:lineRule="auto"/>
        <w:ind w:firstLine="420"/>
        <w:rPr>
          <w:rFonts w:hint="eastAsia" w:hAnsi="宋体"/>
          <w:color w:val="auto"/>
          <w:sz w:val="21"/>
          <w:highlight w:val="none"/>
        </w:rPr>
      </w:pPr>
      <w:r>
        <w:rPr>
          <w:rFonts w:hint="eastAsia" w:hAnsi="宋体"/>
          <w:color w:val="auto"/>
          <w:sz w:val="21"/>
          <w:highlight w:val="none"/>
        </w:rPr>
        <w:t>最低评标价法，是指投标文件满足招标文件全部实质性要求，且投标报价最低的投标人为中标候选人的评标方法。</w:t>
      </w:r>
    </w:p>
    <w:p w14:paraId="6913E974">
      <w:pPr>
        <w:pStyle w:val="4"/>
        <w:keepNext w:val="0"/>
        <w:keepLines w:val="0"/>
        <w:jc w:val="center"/>
        <w:rPr>
          <w:color w:val="auto"/>
          <w:sz w:val="30"/>
          <w:szCs w:val="30"/>
          <w:highlight w:val="none"/>
        </w:rPr>
      </w:pPr>
      <w:r>
        <w:rPr>
          <w:rFonts w:hint="eastAsia"/>
          <w:color w:val="auto"/>
          <w:sz w:val="30"/>
          <w:szCs w:val="30"/>
          <w:highlight w:val="none"/>
        </w:rPr>
        <w:t>二、评标程序</w:t>
      </w:r>
    </w:p>
    <w:p w14:paraId="3BF002EC">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1.符合性审查</w:t>
      </w:r>
    </w:p>
    <w:p w14:paraId="01ACF446">
      <w:pPr>
        <w:pStyle w:val="27"/>
        <w:snapToGrid w:val="0"/>
        <w:spacing w:line="360" w:lineRule="auto"/>
        <w:ind w:left="1" w:firstLine="420"/>
        <w:rPr>
          <w:rFonts w:hint="eastAsia"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6323E16B">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728BA45B">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722D29C5">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49A86E5D">
      <w:pPr>
        <w:pStyle w:val="8"/>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未提供“投标人须知前附表”第13.1条规定中“必须提供”的文件资料的；</w:t>
      </w:r>
    </w:p>
    <w:p w14:paraId="5D9ED31B">
      <w:pPr>
        <w:pStyle w:val="8"/>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31158D2C">
      <w:pPr>
        <w:pStyle w:val="8"/>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各分标报价超出招标文件相应分标规定最高限价，或者超出相应分标采购预算金额的；</w:t>
      </w:r>
    </w:p>
    <w:p w14:paraId="22D5AD13">
      <w:pPr>
        <w:pStyle w:val="8"/>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7A5D6E71">
      <w:pPr>
        <w:pStyle w:val="8"/>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修正后的报价，投标人不确认的；</w:t>
      </w:r>
    </w:p>
    <w:p w14:paraId="6D62DC42">
      <w:pPr>
        <w:pStyle w:val="8"/>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04A8CFE2">
      <w:pPr>
        <w:pStyle w:val="8"/>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5B3BC6F9">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2.2在商务评审时，如发现下列情形之一的，将被视为投标无效：</w:t>
      </w:r>
    </w:p>
    <w:p w14:paraId="1F4D2F4D">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投标文件未按招标文件要求签署、盖章的；</w:t>
      </w:r>
    </w:p>
    <w:p w14:paraId="6F1C6593">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委托代理人未能出具有效身份证或者出具的身份证与授权委托书中的信息不符的；</w:t>
      </w:r>
    </w:p>
    <w:p w14:paraId="2F71B8FB">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38D24356">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投标文件未提供“投标人须知前附表”第13.</w:t>
      </w:r>
      <w:r>
        <w:rPr>
          <w:rFonts w:ascii="宋体" w:hAnsi="宋体"/>
          <w:b/>
          <w:color w:val="auto"/>
          <w:szCs w:val="21"/>
          <w:highlight w:val="none"/>
        </w:rPr>
        <w:t>1</w:t>
      </w:r>
      <w:r>
        <w:rPr>
          <w:rFonts w:hint="eastAsia" w:ascii="宋体" w:hAnsi="宋体"/>
          <w:b/>
          <w:color w:val="auto"/>
          <w:szCs w:val="21"/>
          <w:highlight w:val="none"/>
        </w:rPr>
        <w:t>条规定中“必须提供”或者“委托时必须提供”的文件资料的；</w:t>
      </w:r>
    </w:p>
    <w:p w14:paraId="756DFF06">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商务要求评审允许负偏离的条款数超过“投标人须知前附表”规定项数的；</w:t>
      </w:r>
    </w:p>
    <w:p w14:paraId="17DD7FA5">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2776972A">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0B91DEE8">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76212A0B">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7156D7F0">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2BA6FA6A">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招标文件明确不允许分包，投标文件拟分包的；</w:t>
      </w:r>
    </w:p>
    <w:p w14:paraId="3FE18176">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未响应招标文件实质性要求的；</w:t>
      </w:r>
    </w:p>
    <w:p w14:paraId="4930543F">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法律、法规和招标文件规定的其他无效情形。</w:t>
      </w:r>
    </w:p>
    <w:p w14:paraId="5E1CE08F">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2.3在技术评审时，如发现下列情形之一的，将被视为投标无效：</w:t>
      </w:r>
    </w:p>
    <w:p w14:paraId="14DFA877">
      <w:pPr>
        <w:pStyle w:val="22"/>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（1）技术要求评审允许负偏离的条款数超过“投标人须知前附表”规定项数的；</w:t>
      </w:r>
    </w:p>
    <w:p w14:paraId="634EA0E4">
      <w:pPr>
        <w:pStyle w:val="22"/>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（2）投标文件未提供“投标人须知前附表”第13.</w:t>
      </w:r>
      <w:r>
        <w:rPr>
          <w:rFonts w:ascii="宋体" w:hAnsi="宋体" w:eastAsia="宋体"/>
          <w:b/>
          <w:color w:val="auto"/>
          <w:kern w:val="2"/>
          <w:sz w:val="21"/>
          <w:szCs w:val="21"/>
          <w:highlight w:val="none"/>
        </w:rPr>
        <w:t>1</w:t>
      </w:r>
      <w:r>
        <w:rPr>
          <w:rFonts w:hint="eastAsia" w:ascii="宋体" w:hAnsi="宋体" w:eastAsia="宋体"/>
          <w:b/>
          <w:color w:val="auto"/>
          <w:kern w:val="2"/>
          <w:sz w:val="21"/>
          <w:szCs w:val="21"/>
          <w:highlight w:val="none"/>
        </w:rPr>
        <w:t>条规定中“必须提供”的文件资料的；</w:t>
      </w:r>
    </w:p>
    <w:p w14:paraId="5A7F257D">
      <w:pPr>
        <w:pStyle w:val="22"/>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（3）虚假投标，或者出现其他情形而导致被评标委员会认定无效的；</w:t>
      </w:r>
    </w:p>
    <w:p w14:paraId="5ACE245E">
      <w:pPr>
        <w:pStyle w:val="22"/>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（4）</w:t>
      </w:r>
      <w:bookmarkStart w:id="141" w:name="_Hlk71706244"/>
      <w:r>
        <w:rPr>
          <w:rFonts w:hint="eastAsia" w:ascii="宋体" w:hAnsi="宋体" w:eastAsia="宋体"/>
          <w:b/>
          <w:color w:val="auto"/>
          <w:kern w:val="2"/>
          <w:sz w:val="21"/>
          <w:szCs w:val="21"/>
          <w:highlight w:val="none"/>
        </w:rPr>
        <w:t>招标文件未载明允许提供备选（替代）投标方案或明确不允许提供备选（替代）投标方案时，投标人提供了备选（替代）投标方案的；</w:t>
      </w:r>
      <w:bookmarkEnd w:id="141"/>
    </w:p>
    <w:p w14:paraId="315622EF">
      <w:pPr>
        <w:pStyle w:val="22"/>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（5）未响应招标文件实质性要求的。</w:t>
      </w:r>
    </w:p>
    <w:p w14:paraId="5086FD2B">
      <w:pPr>
        <w:pStyle w:val="22"/>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2.4通过符合性审查的投标人不足3家，评标委员会不得继续评标，并出具评标报告。</w:t>
      </w:r>
    </w:p>
    <w:p w14:paraId="65AB4C5C">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779D5B48">
      <w:pPr>
        <w:snapToGrid w:val="0"/>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对投标文件中含义不明确、同类问题表述不一致或者有明显文字和计算错误的内容，评标委员会以</w:t>
      </w:r>
      <w:r>
        <w:rPr>
          <w:rFonts w:hint="eastAsia" w:ascii="宋体" w:hAnsi="宋体" w:cs="宋体"/>
          <w:color w:val="auto"/>
          <w:szCs w:val="21"/>
          <w:highlight w:val="none"/>
        </w:rPr>
        <w:t>电子澄清函形式</w:t>
      </w:r>
      <w:r>
        <w:rPr>
          <w:rFonts w:hint="eastAsia" w:ascii="宋体" w:hAnsi="宋体" w:cs="Courier New"/>
          <w:color w:val="auto"/>
          <w:szCs w:val="21"/>
          <w:highlight w:val="none"/>
        </w:rPr>
        <w:t>要求投标人在规定时间内作出必要的澄清、说明或者纠正。投标人的澄清、说明或者补正必须采用</w:t>
      </w:r>
      <w:r>
        <w:rPr>
          <w:rFonts w:hint="eastAsia" w:ascii="宋体" w:hAnsi="宋体" w:cs="宋体"/>
          <w:color w:val="auto"/>
          <w:szCs w:val="21"/>
          <w:highlight w:val="none"/>
        </w:rPr>
        <w:t>电子回函形式</w:t>
      </w:r>
      <w:r>
        <w:rPr>
          <w:rFonts w:hint="eastAsia" w:ascii="宋体" w:hAnsi="宋体" w:cs="Courier New"/>
          <w:color w:val="auto"/>
          <w:szCs w:val="21"/>
          <w:highlight w:val="none"/>
        </w:rPr>
        <w:t>，并加盖投标人公章，或者由法定代表人或者其授权的代表签字。投标人的澄清、说明或者补正不得超出投标文件的范围或者改变投标文件的实质性内容。</w:t>
      </w:r>
    </w:p>
    <w:p w14:paraId="6AC3CEA4">
      <w:pPr>
        <w:pStyle w:val="6"/>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74DB6296">
      <w:pPr>
        <w:pStyle w:val="6"/>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 xml:space="preserve">.1投标文件报价出现前后不一致的，按照下列规定修正： </w:t>
      </w:r>
    </w:p>
    <w:p w14:paraId="1F61FBBF">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0D038D8E">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（2）大写金额和小写金额不一致的，以大写金额为准；</w:t>
      </w:r>
    </w:p>
    <w:p w14:paraId="5C5A38C8">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0C413357">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（4）总价金额与按单价汇总金额不一致的，以单价金额计算结果为准。</w:t>
      </w:r>
    </w:p>
    <w:p w14:paraId="3C5B4C8C">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15947CB1">
      <w:pPr>
        <w:pStyle w:val="6"/>
        <w:keepNext w:val="0"/>
        <w:keepLines w:val="0"/>
        <w:spacing w:before="0" w:after="0" w:line="360" w:lineRule="auto"/>
        <w:rPr>
          <w:rFonts w:hint="eastAsia"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7C804001">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5F245EEC">
      <w:pPr>
        <w:pStyle w:val="6"/>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115A679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5.1采用综合评分法的</w:t>
      </w:r>
    </w:p>
    <w:p w14:paraId="5445D0BE">
      <w:pPr>
        <w:numPr>
          <w:ilvl w:val="0"/>
          <w:numId w:val="7"/>
        </w:num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评标委员会按照招标文件中规定的评标方法及评标标准，对符合性审查合格的投标文件进行商务和技术评估，综合比较与评价。</w:t>
      </w:r>
    </w:p>
    <w:p w14:paraId="1565F9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根据《关于推动解决政府采购异常低价问题的通知》（财库〔2026〕2号）的规定，评审中出现下列情形之一的，评标委员会应当启动异常低价投标（响应）审查程序：</w:t>
      </w:r>
    </w:p>
    <w:p w14:paraId="0426E2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1 \* GB3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①</w:t>
      </w:r>
      <w:r>
        <w:rPr>
          <w:rFonts w:hint="eastAsia" w:ascii="宋体" w:hAnsi="宋体" w:cs="宋体"/>
          <w:color w:val="auto"/>
          <w:szCs w:val="21"/>
          <w:highlight w:val="none"/>
        </w:rPr>
        <w:fldChar w:fldCharType="end"/>
      </w:r>
      <w:r>
        <w:rPr>
          <w:rFonts w:hint="eastAsia" w:ascii="宋体" w:hAnsi="宋体" w:cs="宋体"/>
          <w:color w:val="auto"/>
          <w:szCs w:val="21"/>
          <w:highlight w:val="none"/>
        </w:rPr>
        <w:t xml:space="preserve"> 投标（响应）报价低于全部通过符合性审查供应商投标（响应）报价平均值65%的，</w:t>
      </w:r>
      <w:r>
        <w:rPr>
          <w:rFonts w:hint="eastAsia" w:ascii="宋体" w:hAnsi="宋体" w:cs="宋体"/>
          <w:b/>
          <w:color w:val="auto"/>
          <w:szCs w:val="21"/>
          <w:highlight w:val="none"/>
        </w:rPr>
        <w:t>即投标（响应）报价＜全部通过符合性审查供应商投标（响应）报价平均值×65%</w:t>
      </w:r>
      <w:r>
        <w:rPr>
          <w:rFonts w:hint="eastAsia" w:ascii="宋体" w:hAnsi="宋体" w:cs="宋体"/>
          <w:color w:val="auto"/>
          <w:szCs w:val="21"/>
          <w:highlight w:val="none"/>
        </w:rPr>
        <w:t>；</w:t>
      </w:r>
    </w:p>
    <w:p w14:paraId="62D194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2 \* GB3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color w:val="auto"/>
          <w:szCs w:val="21"/>
          <w:highlight w:val="none"/>
        </w:rPr>
        <w:t>投标（响应）报价低于通过符合性审查的次低报价供应商投标（响应）报价65%的，</w:t>
      </w:r>
      <w:r>
        <w:rPr>
          <w:rFonts w:hint="eastAsia" w:ascii="宋体" w:hAnsi="宋体" w:cs="宋体"/>
          <w:b/>
          <w:color w:val="auto"/>
          <w:szCs w:val="21"/>
          <w:highlight w:val="none"/>
        </w:rPr>
        <w:t>即投标（响应）报价＜通过符合性审查的次低报价供应商投标（响应）报价×65%</w:t>
      </w:r>
      <w:r>
        <w:rPr>
          <w:rFonts w:hint="eastAsia" w:ascii="宋体" w:hAnsi="宋体" w:cs="宋体"/>
          <w:color w:val="auto"/>
          <w:szCs w:val="21"/>
          <w:highlight w:val="none"/>
        </w:rPr>
        <w:t>；</w:t>
      </w:r>
    </w:p>
    <w:p w14:paraId="1D2D8F8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3 \* GB3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③</w:t>
      </w:r>
      <w:r>
        <w:rPr>
          <w:rFonts w:hint="eastAsia" w:ascii="宋体" w:hAnsi="宋体" w:cs="宋体"/>
          <w:color w:val="auto"/>
          <w:szCs w:val="21"/>
          <w:highlight w:val="none"/>
        </w:rPr>
        <w:fldChar w:fldCharType="end"/>
      </w:r>
      <w:r>
        <w:rPr>
          <w:rFonts w:hint="eastAsia" w:ascii="宋体" w:hAnsi="宋体" w:cs="宋体"/>
          <w:color w:val="auto"/>
          <w:szCs w:val="21"/>
          <w:highlight w:val="none"/>
        </w:rPr>
        <w:t>投标（响应）报价低于采购项目最高限价65%的，</w:t>
      </w:r>
      <w:r>
        <w:rPr>
          <w:rFonts w:hint="eastAsia" w:ascii="宋体" w:hAnsi="宋体" w:cs="宋体"/>
          <w:b/>
          <w:color w:val="auto"/>
          <w:szCs w:val="21"/>
          <w:highlight w:val="none"/>
        </w:rPr>
        <w:t>即投标（响应）报价＜采购项目最高限价×65%</w:t>
      </w:r>
      <w:r>
        <w:rPr>
          <w:rFonts w:hint="eastAsia" w:ascii="宋体" w:hAnsi="宋体" w:cs="宋体"/>
          <w:color w:val="auto"/>
          <w:szCs w:val="21"/>
          <w:highlight w:val="none"/>
        </w:rPr>
        <w:t>；</w:t>
      </w:r>
    </w:p>
    <w:p w14:paraId="77E9304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4 \* GB3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④</w:t>
      </w:r>
      <w:r>
        <w:rPr>
          <w:rFonts w:hint="eastAsia" w:ascii="宋体" w:hAnsi="宋体" w:cs="宋体"/>
          <w:color w:val="auto"/>
          <w:szCs w:val="21"/>
          <w:highlight w:val="none"/>
        </w:rPr>
        <w:fldChar w:fldCharType="end"/>
      </w:r>
      <w:r>
        <w:rPr>
          <w:rFonts w:hint="eastAsia" w:ascii="宋体" w:hAnsi="宋体" w:cs="宋体"/>
          <w:color w:val="auto"/>
          <w:szCs w:val="21"/>
          <w:highlight w:val="none"/>
        </w:rPr>
        <w:t>评标委员会基于专业判断，认为供应商报价过低，有可能影响产品质量或者不能诚信履约的其他情形。</w:t>
      </w:r>
    </w:p>
    <w:p w14:paraId="47EEBB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评标委员会启动异常低价投标（响应）审查后，属于前述第1项至第4项情形的，应当要求相关供应商在评审现场</w:t>
      </w:r>
      <w:r>
        <w:rPr>
          <w:rFonts w:hint="eastAsia" w:ascii="宋体" w:hAnsi="宋体" w:cs="宋体"/>
          <w:b/>
          <w:color w:val="auto"/>
          <w:szCs w:val="21"/>
          <w:highlight w:val="none"/>
        </w:rPr>
        <w:t>30分钟</w:t>
      </w:r>
      <w:r>
        <w:rPr>
          <w:rFonts w:hint="eastAsia" w:ascii="宋体" w:hAnsi="宋体" w:cs="宋体"/>
          <w:color w:val="auto"/>
          <w:szCs w:val="21"/>
          <w:highlight w:val="none"/>
        </w:rPr>
        <w:t>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2C8EEEEF">
      <w:pPr>
        <w:snapToGrid w:val="0"/>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cs="宋体"/>
          <w:b/>
          <w:color w:val="auto"/>
          <w:szCs w:val="21"/>
          <w:highlight w:val="none"/>
        </w:rPr>
        <w:t>供应商在规定时间内不能提供书面说明、证明材料，或者提供的书面说明、证明材料不能证明其报价合理性的，评标委员会应当将其作为无效投标处理。</w:t>
      </w:r>
    </w:p>
    <w:p w14:paraId="027114E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（2）评标委员会按照招标文件中规定的评标方法和标准计算各投标人的报价得分。在计算过程中，不得去掉最高报价或者最低报价。</w:t>
      </w:r>
    </w:p>
    <w:p w14:paraId="473B9FB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（3）各投标人的得分为所有评委的有效评分的算术平均数。</w:t>
      </w:r>
    </w:p>
    <w:p w14:paraId="556BC38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（4）评标委员会按照招标文件中的规定推荐中标候选人。</w:t>
      </w:r>
    </w:p>
    <w:p w14:paraId="2238961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FE2C2D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5.2采用</w:t>
      </w:r>
      <w:r>
        <w:rPr>
          <w:rFonts w:hint="eastAsia" w:hAnsi="宋体"/>
          <w:color w:val="auto"/>
          <w:highlight w:val="none"/>
        </w:rPr>
        <w:t>最低评标价法</w:t>
      </w:r>
      <w:r>
        <w:rPr>
          <w:rFonts w:hint="eastAsia" w:ascii="宋体" w:hAnsi="宋体"/>
          <w:color w:val="auto"/>
          <w:szCs w:val="21"/>
          <w:highlight w:val="none"/>
        </w:rPr>
        <w:t>的</w:t>
      </w:r>
    </w:p>
    <w:p w14:paraId="6959FE82">
      <w:pPr>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（1）评标委员会按照招标文件中规定的评标方法及评标标准，对符合性审查合格的投标文件报价进行比较。</w:t>
      </w:r>
    </w:p>
    <w:p w14:paraId="3C85AED9">
      <w:pPr>
        <w:spacing w:line="360" w:lineRule="auto"/>
        <w:ind w:firstLine="396" w:firstLineChars="200"/>
        <w:rPr>
          <w:rFonts w:hint="eastAsia" w:ascii="宋体" w:hAnsi="宋体" w:cs="宋体"/>
          <w:color w:val="auto"/>
          <w:szCs w:val="21"/>
          <w:highlight w:val="none"/>
        </w:rPr>
      </w:pPr>
      <w:r>
        <w:rPr>
          <w:rFonts w:hint="eastAsia" w:ascii="宋体" w:hAnsi="宋体"/>
          <w:color w:val="auto"/>
          <w:spacing w:val="-6"/>
          <w:szCs w:val="21"/>
          <w:highlight w:val="none"/>
        </w:rPr>
        <w:t>（2）</w:t>
      </w:r>
      <w:r>
        <w:rPr>
          <w:rFonts w:hint="eastAsia" w:ascii="宋体" w:hAnsi="宋体" w:cs="宋体"/>
          <w:color w:val="auto"/>
          <w:szCs w:val="21"/>
          <w:highlight w:val="none"/>
        </w:rPr>
        <w:t>根据《关于推动解决政府采购异常低价问题的通知》（财库〔2026〕2号）的规定，评审中出现下列情形之一的，评标委员会应当启动异常低价投标（响应）审查程序：</w:t>
      </w:r>
    </w:p>
    <w:p w14:paraId="6F918A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1 \* GB3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①</w:t>
      </w:r>
      <w:r>
        <w:rPr>
          <w:rFonts w:hint="eastAsia" w:ascii="宋体" w:hAnsi="宋体" w:cs="宋体"/>
          <w:color w:val="auto"/>
          <w:szCs w:val="21"/>
          <w:highlight w:val="none"/>
        </w:rPr>
        <w:fldChar w:fldCharType="end"/>
      </w:r>
      <w:r>
        <w:rPr>
          <w:rFonts w:hint="eastAsia" w:ascii="宋体" w:hAnsi="宋体" w:cs="宋体"/>
          <w:color w:val="auto"/>
          <w:szCs w:val="21"/>
          <w:highlight w:val="none"/>
        </w:rPr>
        <w:t xml:space="preserve"> 投标（响应）报价低于全部通过符合性审查供应商投标（响应）报价平均值65%的，</w:t>
      </w:r>
      <w:r>
        <w:rPr>
          <w:rFonts w:hint="eastAsia" w:ascii="宋体" w:hAnsi="宋体" w:cs="宋体"/>
          <w:b/>
          <w:color w:val="auto"/>
          <w:szCs w:val="21"/>
          <w:highlight w:val="none"/>
        </w:rPr>
        <w:t>即投标（响应）报价＜全部通过符合性审查供应商投标（响应）报价平均值×65%</w:t>
      </w:r>
      <w:r>
        <w:rPr>
          <w:rFonts w:hint="eastAsia" w:ascii="宋体" w:hAnsi="宋体" w:cs="宋体"/>
          <w:color w:val="auto"/>
          <w:szCs w:val="21"/>
          <w:highlight w:val="none"/>
        </w:rPr>
        <w:t>；</w:t>
      </w:r>
    </w:p>
    <w:p w14:paraId="3D830D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2 \* GB3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color w:val="auto"/>
          <w:szCs w:val="21"/>
          <w:highlight w:val="none"/>
        </w:rPr>
        <w:t>投标（响应）报价低于通过符合性审查的次低报价供应商投标（响应）报价65%的，</w:t>
      </w:r>
      <w:r>
        <w:rPr>
          <w:rFonts w:hint="eastAsia" w:ascii="宋体" w:hAnsi="宋体" w:cs="宋体"/>
          <w:b/>
          <w:color w:val="auto"/>
          <w:szCs w:val="21"/>
          <w:highlight w:val="none"/>
        </w:rPr>
        <w:t>即投标（响应）报价＜通过符合性审查的次低报价供应商投标（响应）报价×65%</w:t>
      </w:r>
      <w:r>
        <w:rPr>
          <w:rFonts w:hint="eastAsia" w:ascii="宋体" w:hAnsi="宋体" w:cs="宋体"/>
          <w:color w:val="auto"/>
          <w:szCs w:val="21"/>
          <w:highlight w:val="none"/>
        </w:rPr>
        <w:t>；</w:t>
      </w:r>
    </w:p>
    <w:p w14:paraId="67A440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3 \* GB3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③</w:t>
      </w:r>
      <w:r>
        <w:rPr>
          <w:rFonts w:hint="eastAsia" w:ascii="宋体" w:hAnsi="宋体" w:cs="宋体"/>
          <w:color w:val="auto"/>
          <w:szCs w:val="21"/>
          <w:highlight w:val="none"/>
        </w:rPr>
        <w:fldChar w:fldCharType="end"/>
      </w:r>
      <w:r>
        <w:rPr>
          <w:rFonts w:hint="eastAsia" w:ascii="宋体" w:hAnsi="宋体" w:cs="宋体"/>
          <w:color w:val="auto"/>
          <w:szCs w:val="21"/>
          <w:highlight w:val="none"/>
        </w:rPr>
        <w:t>投标（响应）报价低于采购项目最高限价65%的，</w:t>
      </w:r>
      <w:r>
        <w:rPr>
          <w:rFonts w:hint="eastAsia" w:ascii="宋体" w:hAnsi="宋体" w:cs="宋体"/>
          <w:b/>
          <w:color w:val="auto"/>
          <w:szCs w:val="21"/>
          <w:highlight w:val="none"/>
        </w:rPr>
        <w:t>即投标（响应）报价＜采购项目最高限价×65%</w:t>
      </w:r>
      <w:r>
        <w:rPr>
          <w:rFonts w:hint="eastAsia" w:ascii="宋体" w:hAnsi="宋体" w:cs="宋体"/>
          <w:color w:val="auto"/>
          <w:szCs w:val="21"/>
          <w:highlight w:val="none"/>
        </w:rPr>
        <w:t>；</w:t>
      </w:r>
    </w:p>
    <w:p w14:paraId="234CB7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4 \* GB3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④</w:t>
      </w:r>
      <w:r>
        <w:rPr>
          <w:rFonts w:hint="eastAsia" w:ascii="宋体" w:hAnsi="宋体" w:cs="宋体"/>
          <w:color w:val="auto"/>
          <w:szCs w:val="21"/>
          <w:highlight w:val="none"/>
        </w:rPr>
        <w:fldChar w:fldCharType="end"/>
      </w:r>
      <w:r>
        <w:rPr>
          <w:rFonts w:hint="eastAsia" w:ascii="宋体" w:hAnsi="宋体" w:cs="宋体"/>
          <w:color w:val="auto"/>
          <w:szCs w:val="21"/>
          <w:highlight w:val="none"/>
        </w:rPr>
        <w:t>评标委员会基于专业判断，认为供应商报价过低，有可能影响产品质量或者不能诚信履约的其他情形。</w:t>
      </w:r>
    </w:p>
    <w:p w14:paraId="513668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评标委员会启动异常低价投标（响应）审查后，属于前述第1项至第4项情形的，应当要求相关供应商在评审现场</w:t>
      </w:r>
      <w:r>
        <w:rPr>
          <w:rFonts w:hint="eastAsia" w:ascii="宋体" w:hAnsi="宋体" w:cs="宋体"/>
          <w:b/>
          <w:color w:val="auto"/>
          <w:szCs w:val="21"/>
          <w:highlight w:val="none"/>
        </w:rPr>
        <w:t>30分钟</w:t>
      </w:r>
      <w:r>
        <w:rPr>
          <w:rFonts w:hint="eastAsia" w:ascii="宋体" w:hAnsi="宋体" w:cs="宋体"/>
          <w:color w:val="auto"/>
          <w:szCs w:val="21"/>
          <w:highlight w:val="none"/>
        </w:rPr>
        <w:t>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2F6475E3">
      <w:pPr>
        <w:snapToGrid w:val="0"/>
        <w:spacing w:line="360" w:lineRule="auto"/>
        <w:ind w:firstLine="424" w:firstLineChars="202"/>
        <w:jc w:val="left"/>
        <w:rPr>
          <w:rFonts w:hint="eastAsia" w:ascii="宋体" w:hAnsi="宋体"/>
          <w:color w:val="auto"/>
          <w:spacing w:val="-6"/>
          <w:szCs w:val="21"/>
          <w:highlight w:val="none"/>
        </w:rPr>
      </w:pPr>
      <w:r>
        <w:rPr>
          <w:rFonts w:hint="eastAsia" w:ascii="宋体" w:hAnsi="宋体" w:cs="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cs="宋体"/>
          <w:b/>
          <w:color w:val="auto"/>
          <w:szCs w:val="21"/>
          <w:highlight w:val="none"/>
        </w:rPr>
        <w:t>供应商在规定时间内不能提供书面说明、证明材料，或者提供的书面说明、证明材料不能证明其报价合理性的，评标委员会应当将其作为无效投标处理。</w:t>
      </w:r>
    </w:p>
    <w:p w14:paraId="3C0B4FDF">
      <w:pPr>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1903DFA7">
      <w:pPr>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44A7C1A4">
      <w:pPr>
        <w:snapToGrid w:val="0"/>
        <w:spacing w:line="360" w:lineRule="auto"/>
        <w:jc w:val="center"/>
        <w:rPr>
          <w:color w:val="auto"/>
          <w:highlight w:val="none"/>
        </w:rPr>
      </w:pPr>
      <w:r>
        <w:rPr>
          <w:color w:val="auto"/>
          <w:highlight w:val="none"/>
        </w:rPr>
        <w:br w:type="page"/>
      </w: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72BC7E5A">
      <w:pPr>
        <w:pStyle w:val="27"/>
        <w:spacing w:line="400" w:lineRule="exact"/>
        <w:ind w:firstLine="48" w:firstLineChars="20"/>
        <w:rPr>
          <w:rFonts w:hint="eastAsia" w:hAnsi="宋体" w:cs="宋体"/>
          <w:bCs/>
          <w:color w:val="auto"/>
          <w:sz w:val="24"/>
          <w:szCs w:val="24"/>
          <w:highlight w:val="none"/>
        </w:rPr>
      </w:pPr>
    </w:p>
    <w:p w14:paraId="4448315D">
      <w:pPr>
        <w:pStyle w:val="27"/>
        <w:spacing w:line="400" w:lineRule="exact"/>
        <w:ind w:firstLine="48" w:firstLineChars="20"/>
        <w:rPr>
          <w:rFonts w:hint="eastAsia" w:hAnsi="宋体" w:cs="宋体"/>
          <w:bCs/>
          <w:color w:val="auto"/>
          <w:sz w:val="24"/>
          <w:szCs w:val="24"/>
          <w:highlight w:val="none"/>
        </w:rPr>
      </w:pPr>
      <w:r>
        <w:rPr>
          <w:rFonts w:hint="eastAsia" w:hAnsi="宋体" w:cs="宋体"/>
          <w:bCs/>
          <w:color w:val="auto"/>
          <w:sz w:val="24"/>
          <w:szCs w:val="24"/>
          <w:highlight w:val="none"/>
        </w:rPr>
        <w:t>本项目评标方法：综合评分法</w:t>
      </w:r>
    </w:p>
    <w:p w14:paraId="209AA191">
      <w:pPr>
        <w:pStyle w:val="27"/>
        <w:spacing w:line="360" w:lineRule="auto"/>
        <w:rPr>
          <w:rFonts w:hint="eastAsia" w:hAnsi="宋体" w:cs="Courier New"/>
          <w:b/>
          <w:bCs/>
          <w:color w:val="auto"/>
          <w:kern w:val="2"/>
          <w:sz w:val="21"/>
          <w:highlight w:val="none"/>
        </w:rPr>
      </w:pPr>
    </w:p>
    <w:p w14:paraId="6734F6EA">
      <w:pPr>
        <w:pStyle w:val="27"/>
        <w:spacing w:line="400" w:lineRule="exact"/>
        <w:ind w:firstLine="42" w:firstLineChars="20"/>
        <w:rPr>
          <w:rFonts w:hint="eastAsia" w:hAnsi="宋体" w:cs="宋体"/>
          <w:bCs/>
          <w:color w:val="auto"/>
          <w:sz w:val="21"/>
          <w:highlight w:val="none"/>
        </w:rPr>
      </w:pPr>
      <w:r>
        <w:rPr>
          <w:rFonts w:hint="eastAsia" w:hAnsi="宋体" w:cs="宋体"/>
          <w:bCs/>
          <w:color w:val="auto"/>
          <w:sz w:val="21"/>
          <w:highlight w:val="none"/>
        </w:rPr>
        <w:t>一、评标原则</w:t>
      </w:r>
    </w:p>
    <w:p w14:paraId="75F15488">
      <w:pPr>
        <w:pStyle w:val="27"/>
        <w:spacing w:line="400" w:lineRule="exact"/>
        <w:ind w:firstLine="420"/>
        <w:rPr>
          <w:rFonts w:hint="eastAsia" w:hAnsi="宋体" w:cs="宋体"/>
          <w:bCs/>
          <w:color w:val="auto"/>
          <w:sz w:val="21"/>
          <w:highlight w:val="none"/>
        </w:rPr>
      </w:pPr>
      <w:r>
        <w:rPr>
          <w:rFonts w:hint="eastAsia" w:hAnsi="宋体" w:cs="宋体"/>
          <w:bCs/>
          <w:color w:val="auto"/>
          <w:sz w:val="21"/>
          <w:highlight w:val="none"/>
        </w:rPr>
        <w:t>（一）评委构成：评标委员会由采购人代表和评审专家组成，成员人数应当为5人以上单数，其中评审专家不得少于成员总数的三分之二。采购项目符合下列情形之一的，评标委员会成员人数应当为7人以上单数：1.采购预算金额在1000万元以上；2.技术复杂；3.社会影响较大。</w:t>
      </w:r>
    </w:p>
    <w:p w14:paraId="4644EA54">
      <w:pPr>
        <w:pStyle w:val="27"/>
        <w:spacing w:line="400" w:lineRule="exact"/>
        <w:ind w:firstLine="420"/>
        <w:rPr>
          <w:rFonts w:hint="eastAsia" w:hAnsi="宋体" w:cs="宋体"/>
          <w:bCs/>
          <w:color w:val="auto"/>
          <w:sz w:val="21"/>
          <w:highlight w:val="none"/>
        </w:rPr>
      </w:pPr>
      <w:r>
        <w:rPr>
          <w:rFonts w:hint="eastAsia" w:hAnsi="宋体" w:cs="宋体"/>
          <w:bCs/>
          <w:color w:val="auto"/>
          <w:sz w:val="21"/>
          <w:highlight w:val="none"/>
        </w:rPr>
        <w:t>（二）评标依据：评委将以招投标文件为评标依据，对投标人的投标报价、技术、商务等方面内容打分。</w:t>
      </w:r>
    </w:p>
    <w:p w14:paraId="5CDE7B58">
      <w:pPr>
        <w:pStyle w:val="27"/>
        <w:spacing w:line="400" w:lineRule="exact"/>
        <w:ind w:firstLine="420"/>
        <w:rPr>
          <w:rFonts w:hint="eastAsia" w:hAnsi="宋体" w:cs="宋体"/>
          <w:bCs/>
          <w:color w:val="auto"/>
          <w:sz w:val="21"/>
          <w:highlight w:val="none"/>
        </w:rPr>
      </w:pPr>
      <w:r>
        <w:rPr>
          <w:rFonts w:hint="eastAsia" w:hAnsi="宋体" w:cs="宋体"/>
          <w:bCs/>
          <w:color w:val="auto"/>
          <w:sz w:val="21"/>
          <w:highlight w:val="none"/>
        </w:rPr>
        <w:t>（三）评标方式：以封闭方式进行。</w:t>
      </w:r>
    </w:p>
    <w:p w14:paraId="5E2ECF36">
      <w:pPr>
        <w:pStyle w:val="27"/>
        <w:spacing w:line="460" w:lineRule="exact"/>
        <w:rPr>
          <w:rFonts w:hint="eastAsia" w:hAnsi="宋体" w:cs="宋体"/>
          <w:bCs/>
          <w:color w:val="auto"/>
          <w:sz w:val="21"/>
          <w:highlight w:val="none"/>
        </w:rPr>
      </w:pPr>
      <w:r>
        <w:rPr>
          <w:rFonts w:hint="eastAsia" w:hAnsi="宋体" w:cs="宋体"/>
          <w:bCs/>
          <w:color w:val="auto"/>
          <w:sz w:val="21"/>
          <w:highlight w:val="none"/>
        </w:rPr>
        <w:t>二、评定方法</w:t>
      </w:r>
    </w:p>
    <w:p w14:paraId="44D02834">
      <w:pPr>
        <w:pStyle w:val="27"/>
        <w:spacing w:line="460" w:lineRule="exact"/>
        <w:ind w:firstLine="420"/>
        <w:rPr>
          <w:rFonts w:hint="eastAsia" w:hAnsi="宋体" w:cs="宋体"/>
          <w:bCs/>
          <w:color w:val="auto"/>
          <w:sz w:val="21"/>
          <w:highlight w:val="none"/>
        </w:rPr>
      </w:pPr>
      <w:r>
        <w:rPr>
          <w:rFonts w:hint="eastAsia" w:hAnsi="宋体" w:cs="宋体"/>
          <w:bCs/>
          <w:color w:val="auto"/>
          <w:sz w:val="21"/>
          <w:highlight w:val="none"/>
        </w:rPr>
        <w:t>（一）对进入详评的，采用百分制综合评分法。</w:t>
      </w:r>
    </w:p>
    <w:p w14:paraId="00A327B7">
      <w:pPr>
        <w:pStyle w:val="27"/>
        <w:spacing w:line="460" w:lineRule="exact"/>
        <w:ind w:firstLine="420"/>
        <w:rPr>
          <w:rFonts w:hint="eastAsia" w:hAnsi="宋体" w:cs="宋体"/>
          <w:bCs/>
          <w:color w:val="auto"/>
          <w:sz w:val="21"/>
          <w:highlight w:val="none"/>
        </w:rPr>
      </w:pPr>
      <w:r>
        <w:rPr>
          <w:rFonts w:hint="eastAsia" w:hAnsi="宋体" w:cs="宋体"/>
          <w:bCs/>
          <w:color w:val="auto"/>
          <w:sz w:val="21"/>
          <w:highlight w:val="none"/>
        </w:rPr>
        <w:t>（二）计分办法（按四舍五入取至百分位）：</w:t>
      </w:r>
    </w:p>
    <w:p w14:paraId="0863AF2F">
      <w:pPr>
        <w:pStyle w:val="27"/>
        <w:spacing w:line="460" w:lineRule="exact"/>
        <w:rPr>
          <w:color w:val="auto"/>
          <w:highlight w:val="none"/>
        </w:rPr>
      </w:pPr>
    </w:p>
    <w:tbl>
      <w:tblPr>
        <w:tblStyle w:val="49"/>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145"/>
        <w:gridCol w:w="668"/>
        <w:gridCol w:w="1740"/>
        <w:gridCol w:w="5350"/>
      </w:tblGrid>
      <w:tr w14:paraId="1E13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633" w:type="dxa"/>
            <w:gridSpan w:val="5"/>
            <w:shd w:val="clear" w:color="auto" w:fill="FFFF00"/>
            <w:vAlign w:val="center"/>
          </w:tcPr>
          <w:p w14:paraId="73444B8E">
            <w:pPr>
              <w:overflowPunct w:val="0"/>
              <w:adjustRightInd w:val="0"/>
              <w:spacing w:line="410" w:lineRule="exact"/>
              <w:jc w:val="center"/>
              <w:textAlignment w:val="baseline"/>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评分标准</w:t>
            </w:r>
          </w:p>
        </w:tc>
      </w:tr>
      <w:tr w14:paraId="40C8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vAlign w:val="center"/>
          </w:tcPr>
          <w:p w14:paraId="69DF967A">
            <w:pPr>
              <w:adjustRightInd w:val="0"/>
              <w:spacing w:line="41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序号</w:t>
            </w:r>
          </w:p>
        </w:tc>
        <w:tc>
          <w:tcPr>
            <w:tcW w:w="1145" w:type="dxa"/>
            <w:vAlign w:val="center"/>
          </w:tcPr>
          <w:p w14:paraId="419CAAE0">
            <w:pPr>
              <w:adjustRightInd w:val="0"/>
              <w:spacing w:line="410" w:lineRule="exact"/>
              <w:jc w:val="center"/>
              <w:textAlignment w:val="baseline"/>
              <w:rPr>
                <w:rFonts w:hint="eastAsia" w:ascii="宋体" w:hAnsi="宋体"/>
                <w:color w:val="auto"/>
                <w:szCs w:val="21"/>
                <w:highlight w:val="none"/>
              </w:rPr>
            </w:pPr>
            <w:r>
              <w:rPr>
                <w:rFonts w:hint="eastAsia" w:ascii="宋体" w:hAnsi="宋体"/>
                <w:b/>
                <w:color w:val="auto"/>
                <w:szCs w:val="21"/>
                <w:highlight w:val="none"/>
              </w:rPr>
              <w:t>评审因素</w:t>
            </w:r>
          </w:p>
        </w:tc>
        <w:tc>
          <w:tcPr>
            <w:tcW w:w="668" w:type="dxa"/>
            <w:vAlign w:val="center"/>
          </w:tcPr>
          <w:p w14:paraId="32542413">
            <w:pPr>
              <w:adjustRightInd w:val="0"/>
              <w:spacing w:line="41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分值</w:t>
            </w:r>
          </w:p>
        </w:tc>
        <w:tc>
          <w:tcPr>
            <w:tcW w:w="7090" w:type="dxa"/>
            <w:gridSpan w:val="2"/>
            <w:vAlign w:val="center"/>
          </w:tcPr>
          <w:p w14:paraId="60F8B86E">
            <w:pPr>
              <w:adjustRightInd w:val="0"/>
              <w:spacing w:line="41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评标标准</w:t>
            </w:r>
          </w:p>
        </w:tc>
      </w:tr>
      <w:tr w14:paraId="61749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Align w:val="center"/>
          </w:tcPr>
          <w:p w14:paraId="5B1BDCEF">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1</w:t>
            </w:r>
          </w:p>
        </w:tc>
        <w:tc>
          <w:tcPr>
            <w:tcW w:w="1145" w:type="dxa"/>
            <w:vAlign w:val="center"/>
          </w:tcPr>
          <w:p w14:paraId="56F7B695">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报价</w:t>
            </w:r>
          </w:p>
        </w:tc>
        <w:tc>
          <w:tcPr>
            <w:tcW w:w="668" w:type="dxa"/>
            <w:vAlign w:val="center"/>
          </w:tcPr>
          <w:p w14:paraId="78245255">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10分</w:t>
            </w:r>
          </w:p>
        </w:tc>
        <w:tc>
          <w:tcPr>
            <w:tcW w:w="7090" w:type="dxa"/>
            <w:gridSpan w:val="2"/>
            <w:vAlign w:val="center"/>
          </w:tcPr>
          <w:p w14:paraId="3588F682">
            <w:pPr>
              <w:overflowPunct w:val="0"/>
              <w:snapToGrid w:val="0"/>
              <w:spacing w:line="360" w:lineRule="auto"/>
              <w:ind w:firstLine="233" w:firstLineChars="111"/>
              <w:rPr>
                <w:rFonts w:hint="eastAsia" w:ascii="宋体" w:hAnsi="宋体"/>
                <w:bCs/>
                <w:color w:val="auto"/>
                <w:szCs w:val="21"/>
                <w:highlight w:val="none"/>
              </w:rPr>
            </w:pPr>
            <w:r>
              <w:rPr>
                <w:rFonts w:hint="eastAsia" w:ascii="宋体" w:hAnsi="宋体"/>
                <w:bCs/>
                <w:color w:val="auto"/>
                <w:szCs w:val="21"/>
                <w:highlight w:val="none"/>
              </w:rPr>
              <w:t>（1）评标报价为投标人的投标报价进行政策性扣除后的价格，评标报价只是作为评标时使用。最终中标人的中标金额等于投标报价。</w:t>
            </w:r>
          </w:p>
          <w:p w14:paraId="731FC059">
            <w:pPr>
              <w:overflowPunct w:val="0"/>
              <w:snapToGrid w:val="0"/>
              <w:spacing w:line="360" w:lineRule="auto"/>
              <w:ind w:firstLine="233" w:firstLineChars="111"/>
              <w:rPr>
                <w:rFonts w:hint="eastAsia" w:ascii="宋体" w:hAnsi="宋体"/>
                <w:color w:val="auto"/>
                <w:szCs w:val="21"/>
                <w:highlight w:val="none"/>
              </w:rPr>
            </w:pPr>
            <w:r>
              <w:rPr>
                <w:rFonts w:hint="eastAsia" w:ascii="宋体" w:hAnsi="宋体"/>
                <w:bCs/>
                <w:color w:val="auto"/>
                <w:szCs w:val="21"/>
                <w:highlight w:val="none"/>
              </w:rPr>
              <w:t>（2）按照《政府采购促进中小企业发展管理办法》（财库〔2020〕46号）的规定，投标人在其投标文件中提供《中小企业声明函》，且其服务为小型和微型企业承接的，对其最后报价给予10%的扣除。</w:t>
            </w:r>
          </w:p>
          <w:p w14:paraId="018FABFB">
            <w:pPr>
              <w:overflowPunct w:val="0"/>
              <w:snapToGrid w:val="0"/>
              <w:spacing w:line="360" w:lineRule="auto"/>
              <w:ind w:firstLine="233" w:firstLineChars="111"/>
              <w:rPr>
                <w:rFonts w:hint="eastAsia" w:ascii="宋体" w:hAnsi="宋体"/>
                <w:bCs/>
                <w:color w:val="auto"/>
                <w:szCs w:val="21"/>
                <w:highlight w:val="none"/>
              </w:rPr>
            </w:pPr>
            <w:r>
              <w:rPr>
                <w:rFonts w:hint="eastAsia" w:ascii="宋体" w:hAnsi="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olor w:val="auto"/>
                <w:szCs w:val="21"/>
                <w:highlight w:val="none"/>
              </w:rPr>
              <w:t>监狱企业参加政府采购活动时，应当提供由省级以上监狱管理局、戒毒管理局(含新疆生产建设兵团)出具的属于监狱企业的证明文件。</w:t>
            </w:r>
            <w:r>
              <w:rPr>
                <w:rFonts w:hint="eastAsia" w:ascii="宋体" w:hAnsi="宋体"/>
                <w:bCs/>
                <w:color w:val="auto"/>
                <w:szCs w:val="21"/>
                <w:highlight w:val="none"/>
              </w:rPr>
              <w:t>不重复享受政策。</w:t>
            </w:r>
          </w:p>
          <w:p w14:paraId="27A943AD">
            <w:pPr>
              <w:overflowPunct w:val="0"/>
              <w:snapToGrid w:val="0"/>
              <w:spacing w:line="360" w:lineRule="auto"/>
              <w:ind w:firstLine="233" w:firstLineChars="111"/>
              <w:rPr>
                <w:rFonts w:hint="eastAsia" w:ascii="宋体" w:hAnsi="宋体"/>
                <w:bCs/>
                <w:color w:val="auto"/>
                <w:szCs w:val="21"/>
                <w:highlight w:val="none"/>
              </w:rPr>
            </w:pPr>
            <w:r>
              <w:rPr>
                <w:rFonts w:hint="eastAsia" w:ascii="宋体" w:hAnsi="宋体"/>
                <w:color w:val="auto"/>
                <w:szCs w:val="21"/>
                <w:highlight w:val="none"/>
              </w:rPr>
              <w:t>（4）按照</w:t>
            </w:r>
            <w:r>
              <w:rPr>
                <w:rFonts w:hint="eastAsia" w:ascii="宋体" w:hAnsi="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olor w:val="auto"/>
                <w:szCs w:val="21"/>
                <w:highlight w:val="none"/>
              </w:rPr>
              <w:t>残疾人福利性单位参加政府采购活动时，应当提供该通知规定的《残疾人福利性单位声明函》，并对声明的真实性负责。</w:t>
            </w:r>
            <w:r>
              <w:rPr>
                <w:rFonts w:hint="eastAsia" w:ascii="宋体" w:hAnsi="宋体"/>
                <w:bCs/>
                <w:color w:val="auto"/>
                <w:szCs w:val="21"/>
                <w:highlight w:val="none"/>
              </w:rPr>
              <w:t>残疾人福利性单位属于小型、微型企业的，不重复享受政策。</w:t>
            </w:r>
          </w:p>
          <w:p w14:paraId="5F0D36DC">
            <w:pPr>
              <w:overflowPunct w:val="0"/>
              <w:snapToGrid w:val="0"/>
              <w:spacing w:line="360" w:lineRule="auto"/>
              <w:ind w:firstLine="233" w:firstLineChars="111"/>
              <w:rPr>
                <w:rFonts w:hint="eastAsia" w:ascii="宋体" w:hAnsi="宋体"/>
                <w:bCs/>
                <w:color w:val="auto"/>
                <w:szCs w:val="21"/>
                <w:highlight w:val="none"/>
              </w:rPr>
            </w:pPr>
            <w:r>
              <w:rPr>
                <w:rFonts w:hint="eastAsia" w:ascii="宋体" w:hAnsi="宋体"/>
                <w:bCs/>
                <w:color w:val="auto"/>
                <w:szCs w:val="21"/>
                <w:highlight w:val="none"/>
              </w:rPr>
              <w:t>（5）政策性扣除计算方法。</w:t>
            </w:r>
          </w:p>
          <w:p w14:paraId="258C3CC0">
            <w:pPr>
              <w:overflowPunct w:val="0"/>
              <w:snapToGrid w:val="0"/>
              <w:spacing w:line="360" w:lineRule="auto"/>
              <w:ind w:firstLine="443" w:firstLineChars="211"/>
              <w:rPr>
                <w:rFonts w:hint="eastAsia" w:ascii="宋体" w:hAnsi="宋体"/>
                <w:bCs/>
                <w:color w:val="auto"/>
                <w:szCs w:val="21"/>
                <w:highlight w:val="none"/>
              </w:rPr>
            </w:pPr>
            <w:r>
              <w:rPr>
                <w:rFonts w:hint="eastAsia" w:ascii="宋体" w:hAnsi="宋体"/>
                <w:bCs/>
                <w:color w:val="auto"/>
                <w:szCs w:val="21"/>
                <w:highlight w:val="none"/>
              </w:rPr>
              <w:t>在服务采购项目中，服务由小微企业承接；对符合上述要求的投标人的投标报价给予10%的扣除，扣除后的价格为评标报价，即评标报价=投标报价×（1-1</w:t>
            </w:r>
            <w:r>
              <w:rPr>
                <w:rFonts w:ascii="宋体" w:hAnsi="宋体"/>
                <w:bCs/>
                <w:color w:val="auto"/>
                <w:szCs w:val="21"/>
                <w:highlight w:val="none"/>
              </w:rPr>
              <w:t>0</w:t>
            </w:r>
            <w:r>
              <w:rPr>
                <w:rFonts w:hint="eastAsia" w:ascii="宋体" w:hAnsi="宋体"/>
                <w:bCs/>
                <w:color w:val="auto"/>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w:t>
            </w:r>
            <w:r>
              <w:rPr>
                <w:rFonts w:hint="eastAsia" w:ascii="宋体" w:hAnsi="宋体"/>
                <w:bCs/>
                <w:color w:val="auto"/>
                <w:szCs w:val="21"/>
                <w:highlight w:val="none"/>
                <w:u w:val="single"/>
              </w:rPr>
              <w:t>%</w:t>
            </w:r>
            <w:r>
              <w:rPr>
                <w:rFonts w:hint="eastAsia" w:ascii="宋体" w:hAnsi="宋体"/>
                <w:bCs/>
                <w:color w:val="auto"/>
                <w:szCs w:val="21"/>
                <w:highlight w:val="none"/>
              </w:rPr>
              <w:t>的扣除，用扣除后的价格参加评审，扣除后的价格为评标报价，即评标报价=投标报价×（1-</w:t>
            </w:r>
            <w:r>
              <w:rPr>
                <w:rFonts w:ascii="宋体" w:hAnsi="宋体"/>
                <w:bCs/>
                <w:color w:val="auto"/>
                <w:szCs w:val="21"/>
                <w:highlight w:val="none"/>
              </w:rPr>
              <w:t xml:space="preserve"> </w:t>
            </w:r>
            <w:r>
              <w:rPr>
                <w:rFonts w:hint="eastAsia" w:ascii="宋体" w:hAnsi="宋体"/>
                <w:bCs/>
                <w:color w:val="auto"/>
                <w:szCs w:val="21"/>
                <w:highlight w:val="none"/>
              </w:rPr>
              <w:t>4%）。除上述情况外，评标报价=投标报价。</w:t>
            </w:r>
          </w:p>
          <w:p w14:paraId="38513119">
            <w:pPr>
              <w:overflowPunct w:val="0"/>
              <w:snapToGrid w:val="0"/>
              <w:spacing w:line="360" w:lineRule="auto"/>
              <w:ind w:firstLine="233" w:firstLineChars="111"/>
              <w:rPr>
                <w:rFonts w:hint="eastAsia" w:ascii="宋体" w:hAnsi="宋体"/>
                <w:bCs/>
                <w:color w:val="auto"/>
                <w:szCs w:val="21"/>
                <w:highlight w:val="none"/>
              </w:rPr>
            </w:pPr>
            <w:r>
              <w:rPr>
                <w:rFonts w:hint="eastAsia" w:ascii="宋体" w:hAnsi="宋体"/>
                <w:bCs/>
                <w:color w:val="auto"/>
                <w:szCs w:val="21"/>
                <w:highlight w:val="none"/>
              </w:rPr>
              <w:t>（6）满足招标文件要求且评标报价最低的评标报价为评标基准价，其价格分为满分。</w:t>
            </w:r>
          </w:p>
          <w:p w14:paraId="27846A16">
            <w:pPr>
              <w:overflowPunct w:val="0"/>
              <w:spacing w:line="360" w:lineRule="auto"/>
              <w:ind w:firstLine="233" w:firstLineChars="111"/>
              <w:rPr>
                <w:rFonts w:hint="eastAsia" w:ascii="宋体" w:hAnsi="宋体"/>
                <w:bCs/>
                <w:color w:val="auto"/>
                <w:szCs w:val="21"/>
                <w:highlight w:val="none"/>
              </w:rPr>
            </w:pPr>
            <w:r>
              <w:rPr>
                <w:rFonts w:hint="eastAsia" w:ascii="宋体" w:hAnsi="宋体"/>
                <w:bCs/>
                <w:color w:val="auto"/>
                <w:szCs w:val="21"/>
                <w:highlight w:val="none"/>
              </w:rPr>
              <w:t>（7）价格分计算公式：</w:t>
            </w:r>
          </w:p>
          <w:p w14:paraId="2638C4ED">
            <w:pPr>
              <w:overflowPunct w:val="0"/>
              <w:spacing w:line="360" w:lineRule="auto"/>
              <w:rPr>
                <w:rFonts w:hint="eastAsia" w:hAnsi="宋体" w:cs="Courier New"/>
                <w:bCs/>
                <w:color w:val="auto"/>
                <w:kern w:val="2"/>
                <w:sz w:val="21"/>
                <w:highlight w:val="none"/>
              </w:rPr>
            </w:pPr>
            <w:r>
              <w:rPr>
                <w:rFonts w:hint="eastAsia" w:ascii="宋体" w:hAnsi="宋体"/>
                <w:bCs/>
                <w:color w:val="auto"/>
                <w:szCs w:val="21"/>
                <w:highlight w:val="none"/>
              </w:rPr>
              <w:t>价格分=(评标基准价／评标报价)×10分</w:t>
            </w:r>
          </w:p>
        </w:tc>
      </w:tr>
      <w:tr w14:paraId="45992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vAlign w:val="center"/>
          </w:tcPr>
          <w:p w14:paraId="50F69E1E">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2</w:t>
            </w:r>
          </w:p>
        </w:tc>
        <w:tc>
          <w:tcPr>
            <w:tcW w:w="1145" w:type="dxa"/>
            <w:vMerge w:val="restart"/>
            <w:vAlign w:val="center"/>
          </w:tcPr>
          <w:p w14:paraId="201CD85D">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技术分</w:t>
            </w:r>
          </w:p>
        </w:tc>
        <w:tc>
          <w:tcPr>
            <w:tcW w:w="668" w:type="dxa"/>
            <w:vMerge w:val="restart"/>
            <w:vAlign w:val="center"/>
          </w:tcPr>
          <w:p w14:paraId="0DA53E1B">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65分</w:t>
            </w:r>
          </w:p>
        </w:tc>
        <w:tc>
          <w:tcPr>
            <w:tcW w:w="1740" w:type="dxa"/>
            <w:vAlign w:val="center"/>
          </w:tcPr>
          <w:p w14:paraId="174C4EE1">
            <w:pPr>
              <w:adjustRightInd w:val="0"/>
              <w:snapToGrid w:val="0"/>
              <w:spacing w:line="360" w:lineRule="atLeast"/>
              <w:jc w:val="center"/>
              <w:textAlignment w:val="baseline"/>
              <w:rPr>
                <w:rFonts w:hint="eastAsia" w:ascii="宋体" w:hAnsi="宋体"/>
                <w:bCs/>
                <w:color w:val="auto"/>
                <w:szCs w:val="21"/>
                <w:highlight w:val="none"/>
              </w:rPr>
            </w:pPr>
            <w:r>
              <w:rPr>
                <w:rFonts w:hint="eastAsia" w:ascii="宋体" w:hAnsi="宋体"/>
                <w:b/>
                <w:color w:val="auto"/>
                <w:szCs w:val="21"/>
                <w:highlight w:val="none"/>
              </w:rPr>
              <w:t>项目需求理解（满分15分）</w:t>
            </w:r>
          </w:p>
        </w:tc>
        <w:tc>
          <w:tcPr>
            <w:tcW w:w="5350" w:type="dxa"/>
            <w:vAlign w:val="center"/>
          </w:tcPr>
          <w:p w14:paraId="657AC2A3">
            <w:pPr>
              <w:widowControl/>
              <w:snapToGrid w:val="0"/>
              <w:spacing w:line="360" w:lineRule="auto"/>
              <w:rPr>
                <w:rFonts w:hint="eastAsia" w:hAnsi="宋体"/>
                <w:bCs/>
                <w:color w:val="auto"/>
                <w:szCs w:val="21"/>
                <w:highlight w:val="none"/>
              </w:rPr>
            </w:pPr>
            <w:r>
              <w:rPr>
                <w:rFonts w:hint="eastAsia" w:hAnsi="宋体"/>
                <w:bCs/>
                <w:color w:val="auto"/>
                <w:szCs w:val="21"/>
                <w:highlight w:val="none"/>
              </w:rPr>
              <w:t>一档（0分）：投标人未提供项目需求理解得0分。</w:t>
            </w:r>
          </w:p>
          <w:p w14:paraId="3189CA32">
            <w:pPr>
              <w:widowControl/>
              <w:snapToGrid w:val="0"/>
              <w:spacing w:line="360" w:lineRule="auto"/>
              <w:rPr>
                <w:rFonts w:hint="eastAsia" w:hAnsi="宋体"/>
                <w:bCs/>
                <w:color w:val="auto"/>
                <w:szCs w:val="21"/>
                <w:highlight w:val="none"/>
              </w:rPr>
            </w:pPr>
            <w:r>
              <w:rPr>
                <w:rFonts w:hint="eastAsia" w:hAnsi="宋体"/>
                <w:bCs/>
                <w:color w:val="auto"/>
                <w:szCs w:val="21"/>
                <w:highlight w:val="none"/>
              </w:rPr>
              <w:t>二档（3分）：投标人对本项目的理解和综合情况内容描述不清晰，仅简单提及项目，未清晰说明项目现状、服务需求、服务内容；表述零散、逻辑不清、关键信息缺失；</w:t>
            </w:r>
          </w:p>
          <w:p w14:paraId="0E1EB7FC">
            <w:pPr>
              <w:widowControl/>
              <w:snapToGrid w:val="0"/>
              <w:spacing w:line="360" w:lineRule="auto"/>
              <w:rPr>
                <w:rFonts w:hint="eastAsia" w:hAnsi="宋体"/>
                <w:bCs/>
                <w:color w:val="auto"/>
                <w:szCs w:val="21"/>
                <w:highlight w:val="none"/>
              </w:rPr>
            </w:pPr>
            <w:r>
              <w:rPr>
                <w:rFonts w:hint="eastAsia" w:hAnsi="宋体"/>
                <w:bCs/>
                <w:color w:val="auto"/>
                <w:szCs w:val="21"/>
                <w:highlight w:val="none"/>
              </w:rPr>
              <w:t>三档（8分）：投标人对本项目的理解和综合情况基本合理、清晰，对项目现状、服务需求、服务内容描述基本清晰、合理；无明显错误，内容完整度≥70%，逻辑通顺；</w:t>
            </w:r>
          </w:p>
          <w:p w14:paraId="4B84ED87">
            <w:pPr>
              <w:spacing w:line="360" w:lineRule="auto"/>
              <w:rPr>
                <w:rFonts w:hint="eastAsia" w:ascii="宋体" w:hAnsi="宋体"/>
                <w:bCs/>
                <w:color w:val="auto"/>
                <w:szCs w:val="21"/>
                <w:highlight w:val="none"/>
              </w:rPr>
            </w:pPr>
            <w:r>
              <w:rPr>
                <w:rFonts w:hint="eastAsia" w:hAnsi="宋体"/>
                <w:bCs/>
                <w:color w:val="auto"/>
                <w:szCs w:val="21"/>
                <w:highlight w:val="none"/>
              </w:rPr>
              <w:t>四档（15分）：投标人对对项目现状、服务需求、服务内容理解准确、分析透彻、表述清晰明了；内容完整、贴合项目实际，逻辑严谨、针对性强。</w:t>
            </w:r>
          </w:p>
        </w:tc>
      </w:tr>
      <w:tr w14:paraId="58B9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30" w:type="dxa"/>
            <w:vMerge w:val="continue"/>
            <w:vAlign w:val="center"/>
          </w:tcPr>
          <w:p w14:paraId="1FDE3026">
            <w:pPr>
              <w:adjustRightInd w:val="0"/>
              <w:spacing w:line="360" w:lineRule="auto"/>
              <w:jc w:val="center"/>
              <w:textAlignment w:val="baseline"/>
              <w:rPr>
                <w:rFonts w:hint="eastAsia" w:ascii="宋体" w:hAnsi="宋体"/>
                <w:b/>
                <w:color w:val="auto"/>
                <w:szCs w:val="21"/>
                <w:highlight w:val="none"/>
              </w:rPr>
            </w:pPr>
          </w:p>
        </w:tc>
        <w:tc>
          <w:tcPr>
            <w:tcW w:w="1145" w:type="dxa"/>
            <w:vMerge w:val="continue"/>
            <w:vAlign w:val="center"/>
          </w:tcPr>
          <w:p w14:paraId="29E9D98E">
            <w:pPr>
              <w:adjustRightInd w:val="0"/>
              <w:spacing w:line="360" w:lineRule="auto"/>
              <w:jc w:val="center"/>
              <w:textAlignment w:val="baseline"/>
              <w:rPr>
                <w:rFonts w:hint="eastAsia" w:ascii="宋体" w:hAnsi="宋体"/>
                <w:b/>
                <w:color w:val="auto"/>
                <w:szCs w:val="21"/>
                <w:highlight w:val="none"/>
              </w:rPr>
            </w:pPr>
          </w:p>
        </w:tc>
        <w:tc>
          <w:tcPr>
            <w:tcW w:w="668" w:type="dxa"/>
            <w:vMerge w:val="continue"/>
            <w:vAlign w:val="center"/>
          </w:tcPr>
          <w:p w14:paraId="0B4BD576">
            <w:pPr>
              <w:adjustRightInd w:val="0"/>
              <w:spacing w:line="360" w:lineRule="auto"/>
              <w:jc w:val="center"/>
              <w:textAlignment w:val="baseline"/>
              <w:rPr>
                <w:rFonts w:hint="eastAsia" w:ascii="宋体" w:hAnsi="宋体"/>
                <w:b/>
                <w:color w:val="auto"/>
                <w:szCs w:val="21"/>
                <w:highlight w:val="none"/>
              </w:rPr>
            </w:pPr>
          </w:p>
        </w:tc>
        <w:tc>
          <w:tcPr>
            <w:tcW w:w="1740" w:type="dxa"/>
            <w:vAlign w:val="center"/>
          </w:tcPr>
          <w:p w14:paraId="7748BE2B">
            <w:pPr>
              <w:adjustRightInd w:val="0"/>
              <w:spacing w:line="360" w:lineRule="auto"/>
              <w:jc w:val="center"/>
              <w:textAlignment w:val="baseline"/>
              <w:rPr>
                <w:rFonts w:hint="eastAsia" w:ascii="宋体" w:hAnsi="宋体"/>
                <w:bCs/>
                <w:color w:val="auto"/>
                <w:szCs w:val="21"/>
                <w:highlight w:val="none"/>
              </w:rPr>
            </w:pPr>
            <w:r>
              <w:rPr>
                <w:rFonts w:hint="eastAsia" w:hAnsi="宋体" w:cs="宋体"/>
                <w:b/>
                <w:bCs/>
                <w:color w:val="auto"/>
                <w:szCs w:val="21"/>
                <w:highlight w:val="none"/>
              </w:rPr>
              <w:t>技术服务方案分</w:t>
            </w:r>
            <w:r>
              <w:rPr>
                <w:rFonts w:hint="eastAsia" w:ascii="宋体" w:hAnsi="宋体" w:cs="微软雅黑"/>
                <w:b/>
                <w:color w:val="auto"/>
                <w:szCs w:val="21"/>
                <w:highlight w:val="none"/>
              </w:rPr>
              <w:t>（满分30分）</w:t>
            </w:r>
          </w:p>
        </w:tc>
        <w:tc>
          <w:tcPr>
            <w:tcW w:w="5350" w:type="dxa"/>
            <w:vAlign w:val="center"/>
          </w:tcPr>
          <w:p w14:paraId="3CB48191">
            <w:pPr>
              <w:widowControl/>
              <w:snapToGrid w:val="0"/>
              <w:spacing w:line="360" w:lineRule="auto"/>
              <w:rPr>
                <w:rFonts w:hint="eastAsia" w:hAnsi="宋体"/>
                <w:bCs/>
                <w:color w:val="auto"/>
                <w:szCs w:val="21"/>
                <w:highlight w:val="none"/>
              </w:rPr>
            </w:pPr>
            <w:r>
              <w:rPr>
                <w:rFonts w:hint="eastAsia" w:hAnsi="宋体"/>
                <w:bCs/>
                <w:color w:val="auto"/>
                <w:szCs w:val="21"/>
                <w:highlight w:val="none"/>
              </w:rPr>
              <w:t>一档（0分）：投标人未提供技术服务方案得0分。</w:t>
            </w:r>
          </w:p>
          <w:p w14:paraId="73DB5A95">
            <w:pPr>
              <w:widowControl/>
              <w:snapToGrid w:val="0"/>
              <w:spacing w:line="360" w:lineRule="auto"/>
              <w:rPr>
                <w:rFonts w:hint="eastAsia" w:hAnsi="宋体"/>
                <w:bCs/>
                <w:color w:val="auto"/>
                <w:szCs w:val="21"/>
                <w:highlight w:val="none"/>
              </w:rPr>
            </w:pPr>
            <w:r>
              <w:rPr>
                <w:rFonts w:hint="eastAsia" w:hAnsi="宋体"/>
                <w:bCs/>
                <w:color w:val="auto"/>
                <w:szCs w:val="21"/>
                <w:highlight w:val="none"/>
              </w:rPr>
              <w:t>二档（10分）：投标人提供了技术服务方案，方案描述了项目组织实施安排、技术服务方案的；</w:t>
            </w:r>
          </w:p>
          <w:p w14:paraId="412F0E33">
            <w:pPr>
              <w:widowControl/>
              <w:snapToGrid w:val="0"/>
              <w:spacing w:line="360" w:lineRule="auto"/>
              <w:rPr>
                <w:rFonts w:hint="eastAsia" w:hAnsi="宋体"/>
                <w:bCs/>
                <w:color w:val="auto"/>
                <w:szCs w:val="21"/>
                <w:highlight w:val="none"/>
              </w:rPr>
            </w:pPr>
            <w:r>
              <w:rPr>
                <w:rFonts w:hint="eastAsia" w:hAnsi="宋体"/>
                <w:bCs/>
                <w:color w:val="auto"/>
                <w:szCs w:val="21"/>
                <w:highlight w:val="none"/>
              </w:rPr>
              <w:t>三档（20分）：投标人提供了详细的技术服务方案，方案详细描述了项目组织实施安排、人员安排以及技术服务方案，且各种服务文档规范齐全；</w:t>
            </w:r>
          </w:p>
          <w:p w14:paraId="45408EF9">
            <w:pPr>
              <w:widowControl/>
              <w:snapToGrid w:val="0"/>
              <w:spacing w:line="360" w:lineRule="auto"/>
              <w:rPr>
                <w:rFonts w:hint="eastAsia" w:ascii="宋体" w:hAnsi="宋体"/>
                <w:bCs/>
                <w:color w:val="auto"/>
                <w:szCs w:val="21"/>
                <w:highlight w:val="none"/>
              </w:rPr>
            </w:pPr>
            <w:r>
              <w:rPr>
                <w:rFonts w:hint="eastAsia" w:hAnsi="宋体"/>
                <w:bCs/>
                <w:color w:val="auto"/>
                <w:szCs w:val="21"/>
                <w:highlight w:val="none"/>
              </w:rPr>
              <w:t>四档（30分）：投标人提供了可行的服务方案，方案详细描述了可行的项目组织实施安排、人员安排以及针对本项目提供的技术服务方案，具有针对本项目定制的相关业务系统匹配服务方案，以及人员培训方案，且各种服务文档规范齐全。</w:t>
            </w:r>
          </w:p>
        </w:tc>
      </w:tr>
      <w:tr w14:paraId="5454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6766A88C">
            <w:pPr>
              <w:adjustRightInd w:val="0"/>
              <w:spacing w:line="360" w:lineRule="auto"/>
              <w:jc w:val="center"/>
              <w:textAlignment w:val="baseline"/>
              <w:rPr>
                <w:rFonts w:hint="eastAsia" w:ascii="宋体" w:hAnsi="宋体"/>
                <w:b/>
                <w:color w:val="auto"/>
                <w:szCs w:val="21"/>
                <w:highlight w:val="none"/>
              </w:rPr>
            </w:pPr>
          </w:p>
        </w:tc>
        <w:tc>
          <w:tcPr>
            <w:tcW w:w="1145" w:type="dxa"/>
            <w:vMerge w:val="continue"/>
            <w:vAlign w:val="center"/>
          </w:tcPr>
          <w:p w14:paraId="685D02D6">
            <w:pPr>
              <w:adjustRightInd w:val="0"/>
              <w:spacing w:line="360" w:lineRule="auto"/>
              <w:jc w:val="center"/>
              <w:textAlignment w:val="baseline"/>
              <w:rPr>
                <w:rFonts w:hint="eastAsia" w:ascii="宋体" w:hAnsi="宋体"/>
                <w:b/>
                <w:color w:val="auto"/>
                <w:szCs w:val="21"/>
                <w:highlight w:val="none"/>
              </w:rPr>
            </w:pPr>
          </w:p>
        </w:tc>
        <w:tc>
          <w:tcPr>
            <w:tcW w:w="668" w:type="dxa"/>
            <w:vMerge w:val="continue"/>
            <w:vAlign w:val="center"/>
          </w:tcPr>
          <w:p w14:paraId="5342AEDF">
            <w:pPr>
              <w:adjustRightInd w:val="0"/>
              <w:spacing w:line="360" w:lineRule="auto"/>
              <w:jc w:val="center"/>
              <w:textAlignment w:val="baseline"/>
              <w:rPr>
                <w:rFonts w:hint="eastAsia" w:ascii="宋体" w:hAnsi="宋体"/>
                <w:b/>
                <w:color w:val="auto"/>
                <w:szCs w:val="21"/>
                <w:highlight w:val="none"/>
              </w:rPr>
            </w:pPr>
          </w:p>
        </w:tc>
        <w:tc>
          <w:tcPr>
            <w:tcW w:w="1740" w:type="dxa"/>
            <w:vAlign w:val="center"/>
          </w:tcPr>
          <w:p w14:paraId="403B86C4">
            <w:pPr>
              <w:adjustRightInd w:val="0"/>
              <w:spacing w:line="360" w:lineRule="auto"/>
              <w:jc w:val="center"/>
              <w:textAlignment w:val="baseline"/>
              <w:rPr>
                <w:rFonts w:hint="eastAsia" w:ascii="宋体" w:hAnsi="宋体"/>
                <w:bCs/>
                <w:color w:val="auto"/>
                <w:szCs w:val="21"/>
                <w:highlight w:val="none"/>
              </w:rPr>
            </w:pPr>
            <w:r>
              <w:rPr>
                <w:rFonts w:hint="eastAsia" w:hAnsi="宋体" w:cs="宋体"/>
                <w:b/>
                <w:bCs/>
                <w:color w:val="auto"/>
                <w:szCs w:val="21"/>
                <w:highlight w:val="none"/>
              </w:rPr>
              <w:t>运维售后服务方案分</w:t>
            </w:r>
            <w:r>
              <w:rPr>
                <w:rFonts w:hint="eastAsia" w:ascii="宋体" w:hAnsi="宋体" w:cs="微软雅黑"/>
                <w:b/>
                <w:color w:val="auto"/>
                <w:szCs w:val="21"/>
                <w:highlight w:val="none"/>
              </w:rPr>
              <w:t>（满分2</w:t>
            </w:r>
            <w:r>
              <w:rPr>
                <w:rFonts w:ascii="宋体" w:hAnsi="宋体" w:cs="微软雅黑"/>
                <w:b/>
                <w:color w:val="auto"/>
                <w:szCs w:val="21"/>
                <w:highlight w:val="none"/>
              </w:rPr>
              <w:t>0</w:t>
            </w:r>
            <w:r>
              <w:rPr>
                <w:rFonts w:hint="eastAsia" w:ascii="宋体" w:hAnsi="宋体" w:cs="微软雅黑"/>
                <w:b/>
                <w:color w:val="auto"/>
                <w:szCs w:val="21"/>
                <w:highlight w:val="none"/>
              </w:rPr>
              <w:t>分）</w:t>
            </w:r>
          </w:p>
        </w:tc>
        <w:tc>
          <w:tcPr>
            <w:tcW w:w="5350" w:type="dxa"/>
            <w:vAlign w:val="center"/>
          </w:tcPr>
          <w:p w14:paraId="46ADDA4E">
            <w:pPr>
              <w:pStyle w:val="27"/>
              <w:spacing w:line="360" w:lineRule="auto"/>
              <w:rPr>
                <w:rFonts w:ascii="Calibri" w:hAnsi="Calibri"/>
                <w:bCs/>
                <w:color w:val="auto"/>
                <w:kern w:val="2"/>
                <w:sz w:val="21"/>
                <w:szCs w:val="24"/>
                <w:highlight w:val="none"/>
                <w:shd w:val="clear" w:color="auto" w:fill="FFFFFF"/>
              </w:rPr>
            </w:pPr>
            <w:r>
              <w:rPr>
                <w:rFonts w:hint="eastAsia" w:ascii="Calibri" w:hAnsi="Calibri"/>
                <w:bCs/>
                <w:color w:val="auto"/>
                <w:kern w:val="2"/>
                <w:sz w:val="21"/>
                <w:szCs w:val="24"/>
                <w:highlight w:val="none"/>
                <w:shd w:val="clear" w:color="auto" w:fill="FFFFFF"/>
              </w:rPr>
              <w:t>一档（0分）：投标人未提供运维售后服务方案得0分。</w:t>
            </w:r>
          </w:p>
          <w:p w14:paraId="169CB8A8">
            <w:pPr>
              <w:widowControl/>
              <w:snapToGrid w:val="0"/>
              <w:spacing w:line="360" w:lineRule="auto"/>
              <w:rPr>
                <w:rFonts w:hint="eastAsia" w:hAnsi="宋体"/>
                <w:bCs/>
                <w:color w:val="auto"/>
                <w:szCs w:val="21"/>
                <w:highlight w:val="none"/>
              </w:rPr>
            </w:pPr>
            <w:r>
              <w:rPr>
                <w:rFonts w:hint="eastAsia" w:hAnsi="宋体"/>
                <w:bCs/>
                <w:color w:val="auto"/>
                <w:szCs w:val="21"/>
                <w:highlight w:val="none"/>
              </w:rPr>
              <w:t>二档（7分）：质量保证措施和售后服务承诺简单；售后响应时间不及时或较慢，无具体承诺或不适用，服务内容、保障措施简单。</w:t>
            </w:r>
          </w:p>
          <w:p w14:paraId="1564C21A">
            <w:pPr>
              <w:widowControl/>
              <w:snapToGrid w:val="0"/>
              <w:spacing w:line="360" w:lineRule="auto"/>
              <w:rPr>
                <w:rFonts w:hint="eastAsia" w:hAnsi="宋体"/>
                <w:bCs/>
                <w:color w:val="auto"/>
                <w:szCs w:val="21"/>
                <w:highlight w:val="none"/>
              </w:rPr>
            </w:pPr>
            <w:r>
              <w:rPr>
                <w:rFonts w:hint="eastAsia" w:hAnsi="宋体"/>
                <w:bCs/>
                <w:color w:val="auto"/>
                <w:szCs w:val="21"/>
                <w:highlight w:val="none"/>
              </w:rPr>
              <w:t>三档（14分）：质量保证措施和售后服务承诺基本满足采购文件要求，安排较具体，内容完整、可行，售后响应时间满足招标文件要求，有具体承诺，服务内容、保障措施较为详细。</w:t>
            </w:r>
          </w:p>
          <w:p w14:paraId="55771458">
            <w:pPr>
              <w:widowControl/>
              <w:snapToGrid w:val="0"/>
              <w:spacing w:line="360" w:lineRule="auto"/>
              <w:rPr>
                <w:rFonts w:hint="eastAsia" w:ascii="宋体" w:hAnsi="宋体"/>
                <w:bCs/>
                <w:color w:val="auto"/>
                <w:szCs w:val="21"/>
                <w:highlight w:val="none"/>
              </w:rPr>
            </w:pPr>
            <w:r>
              <w:rPr>
                <w:rFonts w:hint="eastAsia" w:hAnsi="宋体"/>
                <w:bCs/>
                <w:color w:val="auto"/>
                <w:szCs w:val="21"/>
                <w:highlight w:val="none"/>
              </w:rPr>
              <w:t>四档（2</w:t>
            </w:r>
            <w:r>
              <w:rPr>
                <w:rFonts w:hAnsi="宋体"/>
                <w:bCs/>
                <w:color w:val="auto"/>
                <w:szCs w:val="21"/>
                <w:highlight w:val="none"/>
              </w:rPr>
              <w:t>0</w:t>
            </w:r>
            <w:r>
              <w:rPr>
                <w:rFonts w:hint="eastAsia" w:hAnsi="宋体"/>
                <w:bCs/>
                <w:color w:val="auto"/>
                <w:szCs w:val="21"/>
                <w:highlight w:val="none"/>
              </w:rPr>
              <w:t>分）：质量保证措施和售后服务承诺充分满足采购文件要求，安排详细具体，提供具体技术支持服务、服务质量保障、服务管理规范、应急处置方案等内容，内容完整、齐全、可行，有针对性。</w:t>
            </w:r>
          </w:p>
        </w:tc>
      </w:tr>
      <w:tr w14:paraId="236E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vAlign w:val="center"/>
          </w:tcPr>
          <w:p w14:paraId="42988018">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3</w:t>
            </w:r>
          </w:p>
        </w:tc>
        <w:tc>
          <w:tcPr>
            <w:tcW w:w="1145" w:type="dxa"/>
            <w:vMerge w:val="restart"/>
            <w:vAlign w:val="center"/>
          </w:tcPr>
          <w:p w14:paraId="6F76EE0F">
            <w:pPr>
              <w:spacing w:line="360" w:lineRule="exact"/>
              <w:jc w:val="center"/>
              <w:rPr>
                <w:rFonts w:hint="eastAsia" w:ascii="宋体" w:hAnsi="宋体"/>
                <w:b/>
                <w:color w:val="auto"/>
                <w:szCs w:val="21"/>
                <w:highlight w:val="none"/>
              </w:rPr>
            </w:pPr>
            <w:r>
              <w:rPr>
                <w:rFonts w:hint="eastAsia" w:ascii="宋体" w:hAnsi="宋体"/>
                <w:b/>
                <w:bCs/>
                <w:color w:val="auto"/>
                <w:szCs w:val="21"/>
                <w:highlight w:val="none"/>
              </w:rPr>
              <w:t>商务分</w:t>
            </w:r>
          </w:p>
        </w:tc>
        <w:tc>
          <w:tcPr>
            <w:tcW w:w="668" w:type="dxa"/>
            <w:vMerge w:val="restart"/>
            <w:vAlign w:val="center"/>
          </w:tcPr>
          <w:p w14:paraId="4097B162">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25分</w:t>
            </w:r>
          </w:p>
        </w:tc>
        <w:tc>
          <w:tcPr>
            <w:tcW w:w="1740" w:type="dxa"/>
            <w:vAlign w:val="center"/>
          </w:tcPr>
          <w:p w14:paraId="167CC0DD">
            <w:pPr>
              <w:widowControl/>
              <w:spacing w:line="360" w:lineRule="auto"/>
              <w:jc w:val="center"/>
              <w:rPr>
                <w:rFonts w:hint="eastAsia" w:hAnsi="宋体"/>
                <w:b/>
                <w:bCs/>
                <w:color w:val="auto"/>
                <w:highlight w:val="none"/>
              </w:rPr>
            </w:pPr>
            <w:r>
              <w:rPr>
                <w:rFonts w:hint="eastAsia" w:ascii="宋体" w:hAnsi="宋体" w:cs="Courier New"/>
                <w:b/>
                <w:color w:val="auto"/>
                <w:szCs w:val="21"/>
                <w:highlight w:val="none"/>
              </w:rPr>
              <w:t>项目人员配备分（满分9分）</w:t>
            </w:r>
          </w:p>
        </w:tc>
        <w:tc>
          <w:tcPr>
            <w:tcW w:w="5350" w:type="dxa"/>
          </w:tcPr>
          <w:p w14:paraId="4AFFA3F8">
            <w:pPr>
              <w:pStyle w:val="27"/>
              <w:spacing w:line="360" w:lineRule="auto"/>
              <w:rPr>
                <w:rFonts w:hint="eastAsia" w:hAnsi="宋体" w:cs="Courier New"/>
                <w:bCs/>
                <w:color w:val="auto"/>
                <w:kern w:val="2"/>
                <w:sz w:val="21"/>
                <w:highlight w:val="none"/>
              </w:rPr>
            </w:pPr>
            <w:r>
              <w:rPr>
                <w:rFonts w:hint="eastAsia" w:hAnsi="宋体" w:cs="Courier New"/>
                <w:bCs/>
                <w:color w:val="auto"/>
                <w:kern w:val="2"/>
                <w:sz w:val="21"/>
                <w:highlight w:val="none"/>
              </w:rPr>
              <w:t>1、投标人提供拟投入人员分配方案中对各组织的职责（任务）、人员构成包括主要人员的专业水平及经验方面的情况进行了详细阐述的，得5分。</w:t>
            </w:r>
          </w:p>
          <w:p w14:paraId="4C423816">
            <w:pPr>
              <w:pStyle w:val="27"/>
              <w:spacing w:line="360" w:lineRule="auto"/>
              <w:rPr>
                <w:rFonts w:hint="eastAsia" w:hAnsi="宋体" w:cs="宋体"/>
                <w:bCs/>
                <w:color w:val="auto"/>
                <w:highlight w:val="none"/>
              </w:rPr>
            </w:pPr>
            <w:r>
              <w:rPr>
                <w:rFonts w:hint="eastAsia" w:hAnsi="宋体" w:cs="Courier New"/>
                <w:bCs/>
                <w:color w:val="auto"/>
                <w:kern w:val="2"/>
                <w:sz w:val="21"/>
                <w:highlight w:val="none"/>
              </w:rPr>
              <w:t>2、</w:t>
            </w:r>
            <w:r>
              <w:rPr>
                <w:rFonts w:hint="eastAsia" w:hAnsi="宋体" w:cs="Courier New"/>
                <w:bCs/>
                <w:color w:val="auto"/>
                <w:sz w:val="21"/>
                <w:highlight w:val="none"/>
              </w:rPr>
              <w:t>项目实施人员配置具有中级及以上职称证书或具有中华人民共和国工业和信息化部颁发的软考中级及以上职称证书的</w:t>
            </w:r>
            <w:r>
              <w:rPr>
                <w:rFonts w:hint="eastAsia" w:hAnsi="宋体" w:cs="Courier New"/>
                <w:bCs/>
                <w:color w:val="auto"/>
                <w:kern w:val="2"/>
                <w:sz w:val="21"/>
                <w:highlight w:val="none"/>
              </w:rPr>
              <w:t>，每人得1分，满分</w:t>
            </w:r>
            <w:r>
              <w:rPr>
                <w:rFonts w:hAnsi="宋体" w:cs="Courier New"/>
                <w:bCs/>
                <w:color w:val="auto"/>
                <w:kern w:val="2"/>
                <w:sz w:val="21"/>
                <w:highlight w:val="none"/>
              </w:rPr>
              <w:t>4</w:t>
            </w:r>
            <w:r>
              <w:rPr>
                <w:rFonts w:hint="eastAsia" w:hAnsi="宋体" w:cs="Courier New"/>
                <w:bCs/>
                <w:color w:val="auto"/>
                <w:kern w:val="2"/>
                <w:sz w:val="21"/>
                <w:highlight w:val="none"/>
              </w:rPr>
              <w:t>分</w:t>
            </w:r>
            <w:r>
              <w:rPr>
                <w:rFonts w:hint="eastAsia" w:hAnsi="宋体" w:cs="Courier New"/>
                <w:bCs/>
                <w:color w:val="auto"/>
                <w:sz w:val="21"/>
                <w:highlight w:val="none"/>
              </w:rPr>
              <w:t>（人员必须如实投入，未经允许不能更换）</w:t>
            </w:r>
            <w:r>
              <w:rPr>
                <w:rFonts w:hint="eastAsia" w:hAnsi="宋体" w:cs="Courier New"/>
                <w:bCs/>
                <w:color w:val="auto"/>
                <w:kern w:val="2"/>
                <w:sz w:val="21"/>
                <w:highlight w:val="none"/>
              </w:rPr>
              <w:t>。</w:t>
            </w:r>
            <w:r>
              <w:rPr>
                <w:rFonts w:hint="eastAsia" w:hAnsi="宋体" w:cs="宋体"/>
                <w:bCs/>
                <w:color w:val="auto"/>
                <w:kern w:val="2"/>
                <w:sz w:val="21"/>
                <w:highlight w:val="none"/>
              </w:rPr>
              <w:t>［</w:t>
            </w:r>
            <w:r>
              <w:rPr>
                <w:rFonts w:hint="eastAsia" w:hAnsi="宋体" w:cs="Courier New"/>
                <w:bCs/>
                <w:color w:val="auto"/>
                <w:kern w:val="2"/>
                <w:sz w:val="21"/>
                <w:highlight w:val="none"/>
              </w:rPr>
              <w:t>须提供拟投入本项目的相关专业技术人员相关证明材料（如：职称证书等），评审时以提供的证明材料为准。</w:t>
            </w:r>
            <w:r>
              <w:rPr>
                <w:rFonts w:hint="eastAsia" w:hAnsi="宋体" w:cs="宋体"/>
                <w:bCs/>
                <w:color w:val="auto"/>
                <w:kern w:val="2"/>
                <w:sz w:val="21"/>
                <w:highlight w:val="none"/>
              </w:rPr>
              <w:t>］</w:t>
            </w:r>
          </w:p>
        </w:tc>
      </w:tr>
      <w:tr w14:paraId="25BB1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60348DAE">
            <w:pPr>
              <w:adjustRightInd w:val="0"/>
              <w:spacing w:line="360" w:lineRule="auto"/>
              <w:jc w:val="center"/>
              <w:textAlignment w:val="baseline"/>
              <w:rPr>
                <w:rFonts w:hint="eastAsia" w:ascii="宋体" w:hAnsi="宋体"/>
                <w:b/>
                <w:color w:val="auto"/>
                <w:szCs w:val="21"/>
                <w:highlight w:val="none"/>
              </w:rPr>
            </w:pPr>
          </w:p>
        </w:tc>
        <w:tc>
          <w:tcPr>
            <w:tcW w:w="1145" w:type="dxa"/>
            <w:vMerge w:val="continue"/>
            <w:vAlign w:val="center"/>
          </w:tcPr>
          <w:p w14:paraId="5B2C3290">
            <w:pPr>
              <w:spacing w:line="360" w:lineRule="exact"/>
              <w:jc w:val="center"/>
              <w:rPr>
                <w:rFonts w:hint="eastAsia" w:ascii="宋体" w:hAnsi="宋体"/>
                <w:b/>
                <w:bCs/>
                <w:color w:val="auto"/>
                <w:szCs w:val="21"/>
                <w:highlight w:val="none"/>
              </w:rPr>
            </w:pPr>
          </w:p>
        </w:tc>
        <w:tc>
          <w:tcPr>
            <w:tcW w:w="668" w:type="dxa"/>
            <w:vMerge w:val="continue"/>
            <w:vAlign w:val="center"/>
          </w:tcPr>
          <w:p w14:paraId="499C9CCC">
            <w:pPr>
              <w:adjustRightInd w:val="0"/>
              <w:spacing w:line="360" w:lineRule="auto"/>
              <w:jc w:val="center"/>
              <w:textAlignment w:val="baseline"/>
              <w:rPr>
                <w:rFonts w:hint="eastAsia" w:ascii="宋体" w:hAnsi="宋体"/>
                <w:b/>
                <w:color w:val="auto"/>
                <w:szCs w:val="21"/>
                <w:highlight w:val="none"/>
              </w:rPr>
            </w:pPr>
          </w:p>
        </w:tc>
        <w:tc>
          <w:tcPr>
            <w:tcW w:w="1740" w:type="dxa"/>
            <w:vAlign w:val="center"/>
          </w:tcPr>
          <w:p w14:paraId="183819D3">
            <w:pPr>
              <w:widowControl/>
              <w:spacing w:line="360" w:lineRule="auto"/>
              <w:jc w:val="center"/>
              <w:rPr>
                <w:rFonts w:hint="eastAsia" w:ascii="宋体" w:hAnsi="宋体"/>
                <w:color w:val="auto"/>
                <w:szCs w:val="21"/>
                <w:highlight w:val="none"/>
              </w:rPr>
            </w:pPr>
            <w:r>
              <w:rPr>
                <w:rFonts w:hint="eastAsia" w:ascii="宋体" w:hAnsi="宋体" w:cs="微软雅黑"/>
                <w:b/>
                <w:bCs/>
                <w:color w:val="auto"/>
                <w:szCs w:val="21"/>
                <w:highlight w:val="none"/>
              </w:rPr>
              <w:t>业绩分（满分</w:t>
            </w:r>
            <w:r>
              <w:rPr>
                <w:rFonts w:ascii="宋体" w:hAnsi="宋体" w:cs="微软雅黑"/>
                <w:b/>
                <w:bCs/>
                <w:color w:val="auto"/>
                <w:szCs w:val="21"/>
                <w:highlight w:val="none"/>
              </w:rPr>
              <w:t>10</w:t>
            </w:r>
            <w:r>
              <w:rPr>
                <w:rFonts w:hint="eastAsia" w:ascii="宋体" w:hAnsi="宋体" w:cs="微软雅黑"/>
                <w:b/>
                <w:bCs/>
                <w:color w:val="auto"/>
                <w:szCs w:val="21"/>
                <w:highlight w:val="none"/>
              </w:rPr>
              <w:t>分）</w:t>
            </w:r>
          </w:p>
        </w:tc>
        <w:tc>
          <w:tcPr>
            <w:tcW w:w="5350" w:type="dxa"/>
          </w:tcPr>
          <w:p w14:paraId="3B4373B7">
            <w:pPr>
              <w:widowControl/>
              <w:snapToGrid w:val="0"/>
              <w:spacing w:line="360" w:lineRule="auto"/>
              <w:rPr>
                <w:rFonts w:hint="eastAsia" w:hAnsi="宋体"/>
                <w:color w:val="auto"/>
                <w:highlight w:val="none"/>
              </w:rPr>
            </w:pPr>
            <w:r>
              <w:rPr>
                <w:rFonts w:hint="eastAsia" w:hAnsi="宋体"/>
                <w:bCs/>
                <w:color w:val="auto"/>
                <w:szCs w:val="21"/>
                <w:highlight w:val="none"/>
              </w:rPr>
              <w:t>投标人自2023年01月01日以来完成过类似项目业绩的，每提供1项得2分，满分10分；不提供不得分。（须提供项目合同以及中标（成交）通知书复印件并加盖投标人公章）</w:t>
            </w:r>
          </w:p>
        </w:tc>
      </w:tr>
      <w:tr w14:paraId="3277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15B8606B">
            <w:pPr>
              <w:adjustRightInd w:val="0"/>
              <w:spacing w:line="360" w:lineRule="auto"/>
              <w:jc w:val="center"/>
              <w:textAlignment w:val="baseline"/>
              <w:rPr>
                <w:rFonts w:hint="eastAsia" w:ascii="宋体" w:hAnsi="宋体"/>
                <w:b/>
                <w:color w:val="auto"/>
                <w:szCs w:val="21"/>
                <w:highlight w:val="none"/>
              </w:rPr>
            </w:pPr>
          </w:p>
        </w:tc>
        <w:tc>
          <w:tcPr>
            <w:tcW w:w="1145" w:type="dxa"/>
            <w:vMerge w:val="continue"/>
            <w:vAlign w:val="center"/>
          </w:tcPr>
          <w:p w14:paraId="5D57A94F">
            <w:pPr>
              <w:adjustRightInd w:val="0"/>
              <w:spacing w:line="360" w:lineRule="auto"/>
              <w:jc w:val="center"/>
              <w:textAlignment w:val="baseline"/>
              <w:rPr>
                <w:rFonts w:hint="eastAsia" w:ascii="宋体" w:hAnsi="宋体"/>
                <w:b/>
                <w:color w:val="auto"/>
                <w:szCs w:val="21"/>
                <w:highlight w:val="none"/>
              </w:rPr>
            </w:pPr>
          </w:p>
        </w:tc>
        <w:tc>
          <w:tcPr>
            <w:tcW w:w="668" w:type="dxa"/>
            <w:vMerge w:val="continue"/>
            <w:vAlign w:val="center"/>
          </w:tcPr>
          <w:p w14:paraId="07071DA2">
            <w:pPr>
              <w:adjustRightInd w:val="0"/>
              <w:spacing w:line="440" w:lineRule="exact"/>
              <w:jc w:val="center"/>
              <w:textAlignment w:val="baseline"/>
              <w:rPr>
                <w:rFonts w:hint="eastAsia" w:ascii="宋体" w:hAnsi="宋体" w:cs="Courier New"/>
                <w:bCs/>
                <w:color w:val="auto"/>
                <w:szCs w:val="21"/>
                <w:highlight w:val="none"/>
              </w:rPr>
            </w:pPr>
          </w:p>
        </w:tc>
        <w:tc>
          <w:tcPr>
            <w:tcW w:w="1740" w:type="dxa"/>
            <w:vAlign w:val="center"/>
          </w:tcPr>
          <w:p w14:paraId="370892D7">
            <w:pPr>
              <w:widowControl/>
              <w:spacing w:line="360" w:lineRule="auto"/>
              <w:jc w:val="center"/>
              <w:rPr>
                <w:rFonts w:hint="eastAsia" w:ascii="宋体" w:hAnsi="宋体" w:cs="Courier New"/>
                <w:bCs/>
                <w:color w:val="auto"/>
                <w:szCs w:val="21"/>
                <w:highlight w:val="none"/>
              </w:rPr>
            </w:pPr>
            <w:r>
              <w:rPr>
                <w:rFonts w:hint="eastAsia" w:ascii="宋体" w:hAnsi="宋体" w:cs="微软雅黑"/>
                <w:b/>
                <w:bCs/>
                <w:color w:val="auto"/>
                <w:szCs w:val="21"/>
                <w:highlight w:val="none"/>
              </w:rPr>
              <w:t>服务能力（满分6分）</w:t>
            </w:r>
          </w:p>
        </w:tc>
        <w:tc>
          <w:tcPr>
            <w:tcW w:w="5350" w:type="dxa"/>
          </w:tcPr>
          <w:p w14:paraId="5EF6046A">
            <w:pPr>
              <w:pStyle w:val="27"/>
              <w:spacing w:line="360" w:lineRule="auto"/>
              <w:rPr>
                <w:rFonts w:hint="eastAsia" w:hAnsi="宋体" w:cs="Courier New"/>
                <w:bCs/>
                <w:color w:val="auto"/>
                <w:kern w:val="2"/>
                <w:sz w:val="21"/>
                <w:highlight w:val="none"/>
              </w:rPr>
            </w:pPr>
            <w:r>
              <w:rPr>
                <w:rFonts w:hint="eastAsia" w:hAnsi="宋体" w:cs="Courier New"/>
                <w:bCs/>
                <w:color w:val="auto"/>
                <w:kern w:val="2"/>
                <w:sz w:val="21"/>
                <w:highlight w:val="none"/>
              </w:rPr>
              <w:t>1、投标人具有ISO9001质量管理体系认证证书得2分（须提供有效的认证证书复印件并加盖投标人公章）；</w:t>
            </w:r>
          </w:p>
          <w:p w14:paraId="1F144D32">
            <w:pPr>
              <w:pStyle w:val="27"/>
              <w:spacing w:line="360" w:lineRule="auto"/>
              <w:rPr>
                <w:rFonts w:hint="eastAsia" w:hAnsi="宋体" w:cs="Courier New"/>
                <w:bCs/>
                <w:color w:val="auto"/>
                <w:kern w:val="2"/>
                <w:sz w:val="21"/>
                <w:highlight w:val="none"/>
              </w:rPr>
            </w:pPr>
            <w:r>
              <w:rPr>
                <w:rFonts w:hint="eastAsia" w:hAnsi="宋体" w:cs="Courier New"/>
                <w:bCs/>
                <w:color w:val="auto"/>
                <w:kern w:val="2"/>
                <w:sz w:val="21"/>
                <w:highlight w:val="none"/>
              </w:rPr>
              <w:t>2、投标人具有ISO20000信息技术服务管理体系认证证书得2分（须提供有效的认证证书复印件并加盖投标人公章）；</w:t>
            </w:r>
          </w:p>
          <w:p w14:paraId="68E24636">
            <w:pPr>
              <w:pStyle w:val="27"/>
              <w:spacing w:line="360" w:lineRule="auto"/>
              <w:rPr>
                <w:rFonts w:hint="eastAsia" w:hAnsi="宋体" w:cs="Courier New"/>
                <w:bCs/>
                <w:color w:val="auto"/>
                <w:kern w:val="2"/>
                <w:sz w:val="21"/>
                <w:highlight w:val="none"/>
              </w:rPr>
            </w:pPr>
            <w:r>
              <w:rPr>
                <w:rFonts w:hint="eastAsia" w:hAnsi="宋体" w:cs="Courier New"/>
                <w:bCs/>
                <w:color w:val="auto"/>
                <w:kern w:val="2"/>
                <w:sz w:val="21"/>
                <w:highlight w:val="none"/>
              </w:rPr>
              <w:t>3、投标人具有ISO27001信息安全管理体系认证证书得2分（须提供有效的认证证书复印件并加盖投标人公章）；</w:t>
            </w:r>
          </w:p>
          <w:p w14:paraId="4BAC77A8">
            <w:pPr>
              <w:pStyle w:val="27"/>
              <w:spacing w:line="360" w:lineRule="auto"/>
              <w:rPr>
                <w:rFonts w:hint="eastAsia" w:hAnsi="宋体" w:cs="Courier New"/>
                <w:bCs/>
                <w:color w:val="auto"/>
                <w:highlight w:val="none"/>
              </w:rPr>
            </w:pPr>
            <w:r>
              <w:rPr>
                <w:rFonts w:hint="eastAsia" w:hAnsi="宋体" w:cs="Courier New"/>
                <w:bCs/>
                <w:color w:val="auto"/>
                <w:kern w:val="2"/>
                <w:sz w:val="21"/>
                <w:highlight w:val="none"/>
              </w:rPr>
              <w:t>注：不提供不得分。</w:t>
            </w:r>
          </w:p>
        </w:tc>
      </w:tr>
      <w:tr w14:paraId="4DD6B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3" w:type="dxa"/>
            <w:gridSpan w:val="5"/>
            <w:vAlign w:val="center"/>
          </w:tcPr>
          <w:p w14:paraId="26C77B6C">
            <w:pPr>
              <w:pStyle w:val="27"/>
              <w:spacing w:line="360" w:lineRule="auto"/>
              <w:rPr>
                <w:rFonts w:hint="eastAsia" w:hAnsi="宋体" w:cs="Courier New"/>
                <w:bCs/>
                <w:color w:val="auto"/>
                <w:kern w:val="2"/>
                <w:sz w:val="21"/>
                <w:highlight w:val="none"/>
              </w:rPr>
            </w:pPr>
            <w:r>
              <w:rPr>
                <w:rFonts w:hint="eastAsia" w:hAnsi="宋体" w:cs="Courier New"/>
                <w:b/>
                <w:bCs/>
                <w:color w:val="auto"/>
                <w:kern w:val="2"/>
                <w:sz w:val="21"/>
                <w:highlight w:val="none"/>
              </w:rPr>
              <w:t>总得分=1+2+3。</w:t>
            </w:r>
          </w:p>
        </w:tc>
      </w:tr>
    </w:tbl>
    <w:p w14:paraId="40860C67">
      <w:pPr>
        <w:rPr>
          <w:rFonts w:hint="eastAsia" w:hAnsi="宋体" w:cs="宋体"/>
          <w:bCs/>
          <w:color w:val="auto"/>
          <w:highlight w:val="none"/>
        </w:rPr>
      </w:pPr>
    </w:p>
    <w:p w14:paraId="7196AB19">
      <w:pPr>
        <w:rPr>
          <w:rFonts w:hint="eastAsia" w:hAnsi="宋体" w:cs="宋体"/>
          <w:bCs/>
          <w:color w:val="auto"/>
          <w:highlight w:val="none"/>
        </w:rPr>
      </w:pPr>
    </w:p>
    <w:p w14:paraId="177B0827">
      <w:pPr>
        <w:rPr>
          <w:rFonts w:hint="eastAsia" w:hAnsi="宋体" w:cs="宋体"/>
          <w:bCs/>
          <w:color w:val="auto"/>
          <w:highlight w:val="none"/>
        </w:rPr>
      </w:pPr>
      <w:r>
        <w:rPr>
          <w:rFonts w:hint="eastAsia" w:hAnsi="宋体" w:cs="宋体"/>
          <w:bCs/>
          <w:color w:val="auto"/>
          <w:highlight w:val="none"/>
        </w:rPr>
        <w:br w:type="page"/>
      </w:r>
    </w:p>
    <w:p w14:paraId="65F4834D">
      <w:pPr>
        <w:pStyle w:val="27"/>
        <w:spacing w:line="460" w:lineRule="exact"/>
        <w:ind w:firstLine="420"/>
        <w:rPr>
          <w:rFonts w:hint="eastAsia" w:hAnsi="宋体" w:cs="宋体"/>
          <w:bCs/>
          <w:color w:val="auto"/>
          <w:sz w:val="21"/>
          <w:highlight w:val="none"/>
        </w:rPr>
      </w:pPr>
    </w:p>
    <w:p w14:paraId="705E1795">
      <w:pPr>
        <w:pStyle w:val="4"/>
        <w:keepNext w:val="0"/>
        <w:keepLines w:val="0"/>
        <w:jc w:val="center"/>
        <w:rPr>
          <w:color w:val="auto"/>
          <w:sz w:val="30"/>
          <w:szCs w:val="30"/>
          <w:highlight w:val="none"/>
        </w:rPr>
      </w:pPr>
      <w:r>
        <w:rPr>
          <w:rFonts w:hint="eastAsia"/>
          <w:color w:val="auto"/>
          <w:sz w:val="30"/>
          <w:szCs w:val="30"/>
          <w:highlight w:val="none"/>
        </w:rPr>
        <w:t>四、中标候选人推荐原则</w:t>
      </w:r>
    </w:p>
    <w:p w14:paraId="64BB9D92">
      <w:pPr>
        <w:pStyle w:val="27"/>
        <w:spacing w:line="360" w:lineRule="auto"/>
        <w:ind w:firstLine="420" w:firstLineChars="200"/>
        <w:contextualSpacing/>
        <w:rPr>
          <w:rFonts w:hint="eastAsia" w:hAnsi="宋体"/>
          <w:b/>
          <w:bCs/>
          <w:color w:val="auto"/>
          <w:sz w:val="21"/>
          <w:highlight w:val="none"/>
        </w:rPr>
      </w:pPr>
      <w:r>
        <w:rPr>
          <w:rFonts w:hint="eastAsia" w:hAnsi="宋体"/>
          <w:color w:val="auto"/>
          <w:sz w:val="21"/>
          <w:highlight w:val="none"/>
        </w:rPr>
        <w:t>评标委员会将根据总得分由高到低排列次序并推荐中标候选人。</w:t>
      </w:r>
      <w:r>
        <w:rPr>
          <w:rFonts w:hAnsi="宋体"/>
          <w:color w:val="auto"/>
          <w:sz w:val="21"/>
          <w:highlight w:val="none"/>
        </w:rPr>
        <w:t>得分相同的，按投标报价由低到高顺序排列。得分且投标报价相同的并列。投标文件满足招标文件全部实质性要求，且按照评审因素的量化指标评审得分最高的投标人为排名第一的中标候选人。</w:t>
      </w:r>
    </w:p>
    <w:p w14:paraId="0C98E05B">
      <w:pPr>
        <w:pStyle w:val="2"/>
        <w:jc w:val="center"/>
        <w:rPr>
          <w:color w:val="auto"/>
          <w:highlight w:val="none"/>
        </w:rPr>
      </w:pPr>
      <w:bookmarkStart w:id="142" w:name="_Toc12053"/>
      <w:r>
        <w:rPr>
          <w:rFonts w:hint="eastAsia"/>
          <w:color w:val="auto"/>
          <w:highlight w:val="none"/>
        </w:rPr>
        <w:br w:type="page"/>
      </w:r>
    </w:p>
    <w:p w14:paraId="5FE3AF44">
      <w:pPr>
        <w:pStyle w:val="2"/>
        <w:jc w:val="center"/>
        <w:rPr>
          <w:color w:val="auto"/>
          <w:highlight w:val="none"/>
        </w:rPr>
      </w:pPr>
    </w:p>
    <w:p w14:paraId="3CC7A3FD">
      <w:pPr>
        <w:pStyle w:val="2"/>
        <w:jc w:val="center"/>
        <w:rPr>
          <w:color w:val="auto"/>
          <w:highlight w:val="none"/>
        </w:rPr>
      </w:pPr>
    </w:p>
    <w:p w14:paraId="51EAE40C">
      <w:pPr>
        <w:pStyle w:val="2"/>
        <w:jc w:val="center"/>
        <w:rPr>
          <w:color w:val="auto"/>
          <w:highlight w:val="none"/>
        </w:rPr>
      </w:pPr>
      <w:r>
        <w:rPr>
          <w:rFonts w:hint="eastAsia"/>
          <w:color w:val="auto"/>
          <w:highlight w:val="none"/>
        </w:rPr>
        <w:t>第五章  拟签订的合同文本</w:t>
      </w:r>
      <w:bookmarkEnd w:id="142"/>
    </w:p>
    <w:p w14:paraId="3B3B709C">
      <w:pPr>
        <w:snapToGrid w:val="0"/>
        <w:jc w:val="center"/>
        <w:rPr>
          <w:rFonts w:hint="eastAsia" w:ascii="宋体" w:hAnsi="宋体"/>
          <w:bCs/>
          <w:color w:val="auto"/>
          <w:sz w:val="32"/>
          <w:szCs w:val="32"/>
          <w:highlight w:val="none"/>
        </w:rPr>
      </w:pPr>
    </w:p>
    <w:p w14:paraId="725BD8C0">
      <w:pPr>
        <w:snapToGrid w:val="0"/>
        <w:jc w:val="center"/>
        <w:rPr>
          <w:rFonts w:hint="eastAsia" w:ascii="宋体" w:hAnsi="宋体"/>
          <w:bCs/>
          <w:color w:val="auto"/>
          <w:sz w:val="32"/>
          <w:szCs w:val="32"/>
          <w:highlight w:val="none"/>
        </w:rPr>
      </w:pPr>
    </w:p>
    <w:p w14:paraId="489733E9">
      <w:pPr>
        <w:snapToGrid w:val="0"/>
        <w:jc w:val="center"/>
        <w:rPr>
          <w:rFonts w:hint="eastAsia" w:ascii="宋体" w:hAnsi="宋体"/>
          <w:bCs/>
          <w:color w:val="auto"/>
          <w:sz w:val="32"/>
          <w:szCs w:val="32"/>
          <w:highlight w:val="none"/>
        </w:rPr>
      </w:pPr>
    </w:p>
    <w:p w14:paraId="6BAF5CB7">
      <w:pPr>
        <w:snapToGrid w:val="0"/>
        <w:jc w:val="center"/>
        <w:rPr>
          <w:rFonts w:hint="eastAsia" w:ascii="宋体" w:hAnsi="宋体"/>
          <w:bCs/>
          <w:color w:val="auto"/>
          <w:sz w:val="32"/>
          <w:szCs w:val="32"/>
          <w:highlight w:val="none"/>
        </w:rPr>
      </w:pPr>
    </w:p>
    <w:p w14:paraId="4184C7F9">
      <w:pPr>
        <w:snapToGrid w:val="0"/>
        <w:jc w:val="center"/>
        <w:rPr>
          <w:rFonts w:hint="eastAsia" w:ascii="宋体" w:hAnsi="宋体"/>
          <w:bCs/>
          <w:color w:val="auto"/>
          <w:sz w:val="32"/>
          <w:szCs w:val="32"/>
          <w:highlight w:val="none"/>
        </w:rPr>
      </w:pPr>
    </w:p>
    <w:p w14:paraId="1DF88017">
      <w:pPr>
        <w:snapToGrid w:val="0"/>
        <w:jc w:val="center"/>
        <w:rPr>
          <w:rFonts w:hint="eastAsia" w:ascii="宋体" w:hAnsi="宋体"/>
          <w:bCs/>
          <w:color w:val="auto"/>
          <w:sz w:val="32"/>
          <w:szCs w:val="32"/>
          <w:highlight w:val="none"/>
        </w:rPr>
      </w:pPr>
    </w:p>
    <w:p w14:paraId="6156A3A8">
      <w:pPr>
        <w:snapToGrid w:val="0"/>
        <w:jc w:val="center"/>
        <w:rPr>
          <w:rFonts w:hint="eastAsia" w:ascii="宋体" w:hAnsi="宋体"/>
          <w:bCs/>
          <w:color w:val="auto"/>
          <w:sz w:val="32"/>
          <w:szCs w:val="32"/>
          <w:highlight w:val="none"/>
        </w:rPr>
      </w:pPr>
    </w:p>
    <w:p w14:paraId="53D151CD">
      <w:pPr>
        <w:snapToGrid w:val="0"/>
        <w:jc w:val="center"/>
        <w:rPr>
          <w:rFonts w:hint="eastAsia" w:ascii="宋体" w:hAnsi="宋体"/>
          <w:bCs/>
          <w:color w:val="auto"/>
          <w:sz w:val="32"/>
          <w:szCs w:val="32"/>
          <w:highlight w:val="none"/>
        </w:rPr>
      </w:pPr>
    </w:p>
    <w:p w14:paraId="203C0349">
      <w:pPr>
        <w:snapToGrid w:val="0"/>
        <w:jc w:val="center"/>
        <w:rPr>
          <w:rFonts w:hint="eastAsia" w:ascii="宋体" w:hAnsi="宋体"/>
          <w:bCs/>
          <w:color w:val="auto"/>
          <w:sz w:val="32"/>
          <w:szCs w:val="32"/>
          <w:highlight w:val="none"/>
        </w:rPr>
      </w:pPr>
    </w:p>
    <w:p w14:paraId="3956CAE1">
      <w:pPr>
        <w:snapToGrid w:val="0"/>
        <w:jc w:val="center"/>
        <w:rPr>
          <w:rFonts w:hint="eastAsia" w:ascii="宋体" w:hAnsi="宋体"/>
          <w:bCs/>
          <w:color w:val="auto"/>
          <w:sz w:val="32"/>
          <w:szCs w:val="32"/>
          <w:highlight w:val="none"/>
        </w:rPr>
      </w:pPr>
    </w:p>
    <w:p w14:paraId="51B1FEE4">
      <w:pPr>
        <w:snapToGrid w:val="0"/>
        <w:jc w:val="center"/>
        <w:rPr>
          <w:rFonts w:hint="eastAsia" w:ascii="宋体" w:hAnsi="宋体"/>
          <w:bCs/>
          <w:color w:val="auto"/>
          <w:sz w:val="32"/>
          <w:szCs w:val="32"/>
          <w:highlight w:val="none"/>
        </w:rPr>
      </w:pPr>
    </w:p>
    <w:p w14:paraId="348C52E9">
      <w:pPr>
        <w:snapToGrid w:val="0"/>
        <w:jc w:val="left"/>
        <w:rPr>
          <w:rFonts w:hint="eastAsia" w:ascii="仿宋_GB2312" w:hAnsi="华文中宋" w:eastAsia="仿宋_GB2312"/>
          <w:b/>
          <w:bCs/>
          <w:color w:val="auto"/>
          <w:sz w:val="32"/>
          <w:szCs w:val="32"/>
          <w:highlight w:val="none"/>
        </w:rPr>
      </w:pPr>
      <w:bookmarkStart w:id="143" w:name="_Hlk55381736"/>
      <w:r>
        <w:rPr>
          <w:rFonts w:hint="eastAsia" w:ascii="宋体" w:hAnsi="宋体"/>
          <w:color w:val="auto"/>
          <w:szCs w:val="21"/>
          <w:highlight w:val="none"/>
        </w:rPr>
        <w:br w:type="page"/>
      </w:r>
    </w:p>
    <w:bookmarkEnd w:id="143"/>
    <w:p w14:paraId="06558592">
      <w:pPr>
        <w:spacing w:line="360" w:lineRule="auto"/>
        <w:ind w:right="800"/>
        <w:rPr>
          <w:rFonts w:hint="eastAsia" w:ascii="宋体" w:hAnsi="宋体" w:cs="宋体"/>
          <w:color w:val="auto"/>
          <w:szCs w:val="21"/>
          <w:highlight w:val="none"/>
        </w:rPr>
      </w:pPr>
    </w:p>
    <w:p w14:paraId="19F1EC1C">
      <w:pPr>
        <w:spacing w:line="360" w:lineRule="auto"/>
        <w:ind w:right="800"/>
        <w:rPr>
          <w:rFonts w:hint="eastAsia" w:ascii="宋体" w:hAnsi="宋体" w:cs="宋体"/>
          <w:bCs/>
          <w:color w:val="auto"/>
          <w:szCs w:val="21"/>
          <w:highlight w:val="none"/>
          <w:u w:val="single"/>
        </w:rPr>
      </w:pPr>
      <w:r>
        <w:rPr>
          <w:rFonts w:hint="eastAsia" w:ascii="宋体" w:hAnsi="宋体" w:cs="宋体"/>
          <w:color w:val="auto"/>
          <w:szCs w:val="21"/>
          <w:highlight w:val="none"/>
        </w:rPr>
        <w:t>采购计划号：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bCs/>
          <w:color w:val="auto"/>
          <w:szCs w:val="21"/>
          <w:highlight w:val="none"/>
        </w:rPr>
        <w:t>合同编号：</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70FBBF3E">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供应商（乙方）：</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4E49BE6">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项目编号：</w:t>
      </w:r>
      <w:r>
        <w:rPr>
          <w:rFonts w:ascii="宋体" w:hAnsi="宋体" w:cs="宋体"/>
          <w:color w:val="auto"/>
          <w:szCs w:val="21"/>
          <w:highlight w:val="none"/>
          <w:u w:val="single"/>
        </w:rPr>
        <w:t xml:space="preserve">                          </w:t>
      </w:r>
    </w:p>
    <w:p w14:paraId="513D6919">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3BF5B3C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（是/否）</w:t>
      </w:r>
      <w:r>
        <w:rPr>
          <w:rFonts w:hint="eastAsia" w:ascii="宋体" w:hAnsi="宋体" w:cs="宋体"/>
          <w:color w:val="auto"/>
          <w:szCs w:val="21"/>
          <w:highlight w:val="none"/>
        </w:rPr>
        <w:t>。</w:t>
      </w:r>
    </w:p>
    <w:p w14:paraId="5BFFC9DD">
      <w:pPr>
        <w:widowControl/>
        <w:adjustRightInd w:val="0"/>
        <w:snapToGrid w:val="0"/>
        <w:spacing w:line="41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根据《中华人民共和国政府采购法》、《中华人民共和国民法典》等法律、法规规定，按照</w:t>
      </w:r>
      <w:r>
        <w:rPr>
          <w:rFonts w:hint="eastAsia" w:ascii="宋体" w:hAnsi="宋体"/>
          <w:color w:val="auto"/>
          <w:kern w:val="0"/>
          <w:szCs w:val="21"/>
          <w:highlight w:val="none"/>
          <w:lang w:val="en-US" w:eastAsia="zh-CN"/>
        </w:rPr>
        <w:t>招标</w:t>
      </w:r>
      <w:r>
        <w:rPr>
          <w:rFonts w:hint="eastAsia" w:ascii="宋体" w:hAnsi="宋体"/>
          <w:color w:val="auto"/>
          <w:kern w:val="0"/>
          <w:szCs w:val="21"/>
          <w:highlight w:val="none"/>
        </w:rPr>
        <w:t>文件规定条款和乙方</w:t>
      </w:r>
      <w:r>
        <w:rPr>
          <w:rFonts w:hint="eastAsia" w:ascii="宋体" w:hAnsi="宋体"/>
          <w:bCs/>
          <w:color w:val="auto"/>
          <w:szCs w:val="21"/>
          <w:highlight w:val="none"/>
        </w:rPr>
        <w:t>投标</w:t>
      </w:r>
      <w:r>
        <w:rPr>
          <w:rFonts w:hint="eastAsia" w:ascii="宋体" w:hAnsi="宋体"/>
          <w:color w:val="auto"/>
          <w:kern w:val="0"/>
          <w:szCs w:val="21"/>
          <w:highlight w:val="none"/>
        </w:rPr>
        <w:t>文件及其承诺，甲乙双方签订本合同。</w:t>
      </w:r>
    </w:p>
    <w:p w14:paraId="7EF00FED">
      <w:pPr>
        <w:snapToGrid w:val="0"/>
        <w:spacing w:before="120"/>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第一条　合同标的</w:t>
      </w:r>
    </w:p>
    <w:p w14:paraId="5AA005D6">
      <w:pPr>
        <w:snapToGrid w:val="0"/>
        <w:spacing w:before="120"/>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1、服务内容一览表</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31"/>
        <w:gridCol w:w="2506"/>
        <w:gridCol w:w="850"/>
        <w:gridCol w:w="760"/>
        <w:gridCol w:w="1275"/>
        <w:gridCol w:w="1295"/>
      </w:tblGrid>
      <w:tr w14:paraId="7A21B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636" w:type="dxa"/>
            <w:vAlign w:val="center"/>
          </w:tcPr>
          <w:p w14:paraId="480CBDA1">
            <w:pPr>
              <w:snapToGrid w:val="0"/>
              <w:spacing w:before="120"/>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731" w:type="dxa"/>
            <w:vAlign w:val="center"/>
          </w:tcPr>
          <w:p w14:paraId="2BD3AFFE">
            <w:pPr>
              <w:snapToGrid w:val="0"/>
              <w:spacing w:before="120"/>
              <w:jc w:val="center"/>
              <w:rPr>
                <w:rFonts w:hint="eastAsia" w:ascii="宋体" w:hAnsi="宋体" w:cs="宋体"/>
                <w:b/>
                <w:color w:val="auto"/>
                <w:szCs w:val="21"/>
                <w:highlight w:val="none"/>
              </w:rPr>
            </w:pPr>
            <w:r>
              <w:rPr>
                <w:rFonts w:hint="eastAsia" w:ascii="宋体" w:hAnsi="宋体" w:cs="宋体"/>
                <w:b/>
                <w:color w:val="auto"/>
                <w:szCs w:val="21"/>
                <w:highlight w:val="none"/>
              </w:rPr>
              <w:t>服务名称</w:t>
            </w:r>
          </w:p>
        </w:tc>
        <w:tc>
          <w:tcPr>
            <w:tcW w:w="2506" w:type="dxa"/>
            <w:vAlign w:val="center"/>
          </w:tcPr>
          <w:p w14:paraId="73136954">
            <w:pPr>
              <w:snapToGrid w:val="0"/>
              <w:spacing w:before="120"/>
              <w:jc w:val="center"/>
              <w:rPr>
                <w:rFonts w:hint="eastAsia" w:ascii="宋体" w:hAnsi="宋体" w:cs="宋体"/>
                <w:b/>
                <w:color w:val="auto"/>
                <w:szCs w:val="21"/>
                <w:highlight w:val="none"/>
              </w:rPr>
            </w:pPr>
            <w:r>
              <w:rPr>
                <w:rFonts w:hint="eastAsia" w:ascii="宋体" w:hAnsi="宋体" w:cs="宋体"/>
                <w:b/>
                <w:color w:val="auto"/>
                <w:szCs w:val="21"/>
                <w:highlight w:val="none"/>
              </w:rPr>
              <w:t>服务内容</w:t>
            </w:r>
          </w:p>
        </w:tc>
        <w:tc>
          <w:tcPr>
            <w:tcW w:w="850" w:type="dxa"/>
            <w:vAlign w:val="center"/>
          </w:tcPr>
          <w:p w14:paraId="4ABCB559">
            <w:pPr>
              <w:snapToGrid w:val="0"/>
              <w:spacing w:before="120"/>
              <w:jc w:val="center"/>
              <w:rPr>
                <w:rFonts w:hint="eastAsia" w:ascii="宋体" w:hAnsi="宋体" w:cs="宋体"/>
                <w:b/>
                <w:color w:val="auto"/>
                <w:szCs w:val="21"/>
                <w:highlight w:val="none"/>
              </w:rPr>
            </w:pPr>
            <w:r>
              <w:rPr>
                <w:rFonts w:hint="eastAsia" w:ascii="宋体" w:hAnsi="宋体" w:cs="宋体"/>
                <w:b/>
                <w:color w:val="auto"/>
                <w:szCs w:val="21"/>
                <w:highlight w:val="none"/>
              </w:rPr>
              <w:t>数量</w:t>
            </w:r>
          </w:p>
        </w:tc>
        <w:tc>
          <w:tcPr>
            <w:tcW w:w="760" w:type="dxa"/>
            <w:vAlign w:val="center"/>
          </w:tcPr>
          <w:p w14:paraId="4485FEA8">
            <w:pPr>
              <w:snapToGrid w:val="0"/>
              <w:spacing w:before="120"/>
              <w:jc w:val="center"/>
              <w:rPr>
                <w:rFonts w:hint="eastAsia" w:ascii="宋体" w:hAnsi="宋体" w:cs="宋体"/>
                <w:b/>
                <w:color w:val="auto"/>
                <w:szCs w:val="21"/>
                <w:highlight w:val="none"/>
              </w:rPr>
            </w:pPr>
            <w:r>
              <w:rPr>
                <w:rFonts w:hint="eastAsia" w:ascii="宋体" w:hAnsi="宋体" w:cs="宋体"/>
                <w:b/>
                <w:color w:val="auto"/>
                <w:szCs w:val="21"/>
                <w:highlight w:val="none"/>
              </w:rPr>
              <w:t>单位</w:t>
            </w:r>
          </w:p>
        </w:tc>
        <w:tc>
          <w:tcPr>
            <w:tcW w:w="1275" w:type="dxa"/>
            <w:vAlign w:val="center"/>
          </w:tcPr>
          <w:p w14:paraId="63875F60">
            <w:pPr>
              <w:snapToGrid w:val="0"/>
              <w:spacing w:before="120"/>
              <w:jc w:val="center"/>
              <w:rPr>
                <w:rFonts w:hint="eastAsia" w:ascii="宋体" w:hAnsi="宋体" w:cs="宋体"/>
                <w:b/>
                <w:color w:val="auto"/>
                <w:szCs w:val="21"/>
                <w:highlight w:val="none"/>
              </w:rPr>
            </w:pPr>
            <w:r>
              <w:rPr>
                <w:rFonts w:hint="eastAsia" w:ascii="宋体" w:hAnsi="宋体" w:cs="宋体"/>
                <w:b/>
                <w:color w:val="auto"/>
                <w:szCs w:val="21"/>
                <w:highlight w:val="none"/>
              </w:rPr>
              <w:t>单价（元）</w:t>
            </w:r>
          </w:p>
        </w:tc>
        <w:tc>
          <w:tcPr>
            <w:tcW w:w="1295" w:type="dxa"/>
            <w:vAlign w:val="center"/>
          </w:tcPr>
          <w:p w14:paraId="5B62D8BD">
            <w:pPr>
              <w:snapToGrid w:val="0"/>
              <w:spacing w:before="120"/>
              <w:jc w:val="center"/>
              <w:rPr>
                <w:rFonts w:hint="eastAsia" w:ascii="宋体" w:hAnsi="宋体" w:cs="宋体"/>
                <w:b/>
                <w:color w:val="auto"/>
                <w:szCs w:val="21"/>
                <w:highlight w:val="none"/>
              </w:rPr>
            </w:pPr>
            <w:r>
              <w:rPr>
                <w:rFonts w:hint="eastAsia" w:ascii="宋体" w:hAnsi="宋体" w:cs="宋体"/>
                <w:b/>
                <w:color w:val="auto"/>
                <w:szCs w:val="21"/>
                <w:highlight w:val="none"/>
              </w:rPr>
              <w:t>金额（元）</w:t>
            </w:r>
          </w:p>
        </w:tc>
      </w:tr>
      <w:tr w14:paraId="4087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636" w:type="dxa"/>
            <w:vAlign w:val="center"/>
          </w:tcPr>
          <w:p w14:paraId="7A4E5609">
            <w:pPr>
              <w:snapToGrid w:val="0"/>
              <w:spacing w:before="12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731" w:type="dxa"/>
            <w:vAlign w:val="center"/>
          </w:tcPr>
          <w:p w14:paraId="2A4795FA">
            <w:pPr>
              <w:snapToGrid w:val="0"/>
              <w:spacing w:before="120"/>
              <w:jc w:val="center"/>
              <w:rPr>
                <w:rFonts w:hint="eastAsia" w:ascii="宋体" w:hAnsi="宋体" w:cs="宋体"/>
                <w:color w:val="auto"/>
                <w:szCs w:val="21"/>
                <w:highlight w:val="none"/>
              </w:rPr>
            </w:pPr>
          </w:p>
        </w:tc>
        <w:tc>
          <w:tcPr>
            <w:tcW w:w="2506" w:type="dxa"/>
            <w:vAlign w:val="center"/>
          </w:tcPr>
          <w:p w14:paraId="1751514B">
            <w:pPr>
              <w:snapToGrid w:val="0"/>
              <w:spacing w:before="120"/>
              <w:jc w:val="center"/>
              <w:rPr>
                <w:rFonts w:hint="eastAsia" w:ascii="宋体" w:hAnsi="宋体" w:cs="宋体"/>
                <w:color w:val="auto"/>
                <w:szCs w:val="21"/>
                <w:highlight w:val="none"/>
              </w:rPr>
            </w:pPr>
          </w:p>
        </w:tc>
        <w:tc>
          <w:tcPr>
            <w:tcW w:w="850" w:type="dxa"/>
            <w:vAlign w:val="center"/>
          </w:tcPr>
          <w:p w14:paraId="25A869F0">
            <w:pPr>
              <w:snapToGrid w:val="0"/>
              <w:spacing w:before="120"/>
              <w:jc w:val="center"/>
              <w:rPr>
                <w:rFonts w:hint="eastAsia" w:ascii="宋体" w:hAnsi="宋体" w:cs="宋体"/>
                <w:color w:val="auto"/>
                <w:szCs w:val="21"/>
                <w:highlight w:val="none"/>
              </w:rPr>
            </w:pPr>
          </w:p>
        </w:tc>
        <w:tc>
          <w:tcPr>
            <w:tcW w:w="760" w:type="dxa"/>
            <w:vAlign w:val="center"/>
          </w:tcPr>
          <w:p w14:paraId="48F4DECC">
            <w:pPr>
              <w:snapToGrid w:val="0"/>
              <w:spacing w:before="120"/>
              <w:jc w:val="center"/>
              <w:rPr>
                <w:rFonts w:hint="eastAsia" w:ascii="宋体" w:hAnsi="宋体" w:cs="宋体"/>
                <w:color w:val="auto"/>
                <w:szCs w:val="21"/>
                <w:highlight w:val="none"/>
              </w:rPr>
            </w:pPr>
          </w:p>
        </w:tc>
        <w:tc>
          <w:tcPr>
            <w:tcW w:w="1275" w:type="dxa"/>
            <w:vAlign w:val="center"/>
          </w:tcPr>
          <w:p w14:paraId="7514244E">
            <w:pPr>
              <w:snapToGrid w:val="0"/>
              <w:spacing w:before="120"/>
              <w:jc w:val="center"/>
              <w:rPr>
                <w:rFonts w:hint="eastAsia" w:ascii="宋体" w:hAnsi="宋体" w:cs="宋体"/>
                <w:color w:val="auto"/>
                <w:szCs w:val="21"/>
                <w:highlight w:val="none"/>
              </w:rPr>
            </w:pPr>
          </w:p>
        </w:tc>
        <w:tc>
          <w:tcPr>
            <w:tcW w:w="1295" w:type="dxa"/>
            <w:vAlign w:val="center"/>
          </w:tcPr>
          <w:p w14:paraId="20C1A944">
            <w:pPr>
              <w:snapToGrid w:val="0"/>
              <w:spacing w:before="120"/>
              <w:jc w:val="center"/>
              <w:rPr>
                <w:rFonts w:hint="eastAsia" w:ascii="宋体" w:hAnsi="宋体" w:cs="宋体"/>
                <w:color w:val="auto"/>
                <w:szCs w:val="21"/>
                <w:highlight w:val="none"/>
              </w:rPr>
            </w:pPr>
          </w:p>
        </w:tc>
      </w:tr>
      <w:tr w14:paraId="68B16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636" w:type="dxa"/>
            <w:vAlign w:val="center"/>
          </w:tcPr>
          <w:p w14:paraId="24EC0EE6">
            <w:pPr>
              <w:snapToGrid w:val="0"/>
              <w:spacing w:before="120"/>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731" w:type="dxa"/>
            <w:vAlign w:val="center"/>
          </w:tcPr>
          <w:p w14:paraId="0F044262">
            <w:pPr>
              <w:snapToGrid w:val="0"/>
              <w:spacing w:before="120"/>
              <w:jc w:val="center"/>
              <w:rPr>
                <w:rFonts w:hint="eastAsia" w:ascii="宋体" w:hAnsi="宋体" w:cs="宋体"/>
                <w:color w:val="auto"/>
                <w:szCs w:val="21"/>
                <w:highlight w:val="none"/>
              </w:rPr>
            </w:pPr>
          </w:p>
        </w:tc>
        <w:tc>
          <w:tcPr>
            <w:tcW w:w="2506" w:type="dxa"/>
            <w:vAlign w:val="center"/>
          </w:tcPr>
          <w:p w14:paraId="31735F40">
            <w:pPr>
              <w:snapToGrid w:val="0"/>
              <w:spacing w:before="120"/>
              <w:jc w:val="center"/>
              <w:rPr>
                <w:rFonts w:hint="eastAsia" w:ascii="宋体" w:hAnsi="宋体" w:cs="宋体"/>
                <w:color w:val="auto"/>
                <w:szCs w:val="21"/>
                <w:highlight w:val="none"/>
              </w:rPr>
            </w:pPr>
          </w:p>
        </w:tc>
        <w:tc>
          <w:tcPr>
            <w:tcW w:w="850" w:type="dxa"/>
            <w:vAlign w:val="center"/>
          </w:tcPr>
          <w:p w14:paraId="3219F630">
            <w:pPr>
              <w:snapToGrid w:val="0"/>
              <w:spacing w:before="120"/>
              <w:jc w:val="center"/>
              <w:rPr>
                <w:rFonts w:hint="eastAsia" w:ascii="宋体" w:hAnsi="宋体" w:cs="宋体"/>
                <w:color w:val="auto"/>
                <w:szCs w:val="21"/>
                <w:highlight w:val="none"/>
              </w:rPr>
            </w:pPr>
          </w:p>
        </w:tc>
        <w:tc>
          <w:tcPr>
            <w:tcW w:w="760" w:type="dxa"/>
            <w:vAlign w:val="center"/>
          </w:tcPr>
          <w:p w14:paraId="29066468">
            <w:pPr>
              <w:snapToGrid w:val="0"/>
              <w:spacing w:before="120"/>
              <w:jc w:val="center"/>
              <w:rPr>
                <w:rFonts w:hint="eastAsia" w:ascii="宋体" w:hAnsi="宋体" w:cs="宋体"/>
                <w:color w:val="auto"/>
                <w:szCs w:val="21"/>
                <w:highlight w:val="none"/>
              </w:rPr>
            </w:pPr>
          </w:p>
        </w:tc>
        <w:tc>
          <w:tcPr>
            <w:tcW w:w="1275" w:type="dxa"/>
            <w:vAlign w:val="center"/>
          </w:tcPr>
          <w:p w14:paraId="7546C2DE">
            <w:pPr>
              <w:snapToGrid w:val="0"/>
              <w:spacing w:before="120"/>
              <w:jc w:val="center"/>
              <w:rPr>
                <w:rFonts w:hint="eastAsia" w:ascii="宋体" w:hAnsi="宋体" w:cs="宋体"/>
                <w:color w:val="auto"/>
                <w:szCs w:val="21"/>
                <w:highlight w:val="none"/>
              </w:rPr>
            </w:pPr>
          </w:p>
        </w:tc>
        <w:tc>
          <w:tcPr>
            <w:tcW w:w="1295" w:type="dxa"/>
            <w:vAlign w:val="center"/>
          </w:tcPr>
          <w:p w14:paraId="36AEBDBA">
            <w:pPr>
              <w:snapToGrid w:val="0"/>
              <w:spacing w:before="120"/>
              <w:jc w:val="center"/>
              <w:rPr>
                <w:rFonts w:hint="eastAsia" w:ascii="宋体" w:hAnsi="宋体" w:cs="宋体"/>
                <w:color w:val="auto"/>
                <w:szCs w:val="21"/>
                <w:highlight w:val="none"/>
              </w:rPr>
            </w:pPr>
          </w:p>
        </w:tc>
      </w:tr>
      <w:tr w14:paraId="40E6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053" w:type="dxa"/>
            <w:gridSpan w:val="7"/>
            <w:vAlign w:val="center"/>
          </w:tcPr>
          <w:p w14:paraId="787523AD">
            <w:pPr>
              <w:snapToGrid w:val="0"/>
              <w:spacing w:before="120"/>
              <w:jc w:val="left"/>
              <w:rPr>
                <w:rFonts w:hint="eastAsia" w:ascii="宋体" w:hAnsi="宋体" w:cs="宋体"/>
                <w:color w:val="auto"/>
                <w:szCs w:val="21"/>
                <w:highlight w:val="none"/>
              </w:rPr>
            </w:pPr>
            <w:r>
              <w:rPr>
                <w:rFonts w:hint="eastAsia" w:ascii="宋体" w:hAnsi="宋体" w:cs="宋体"/>
                <w:color w:val="auto"/>
                <w:szCs w:val="21"/>
                <w:highlight w:val="none"/>
              </w:rPr>
              <w:t>合计：</w:t>
            </w:r>
          </w:p>
        </w:tc>
      </w:tr>
    </w:tbl>
    <w:p w14:paraId="689B3636">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2、合同合计金额包括但不限于满足本次投标全部采购需求所应提供的服务，以及伴随的货物和工程（如有）的价格；包含投标服务、货物、工程的成本、运输（含保险）、安装（如有）、调试、检验、技术服务、培训、税费等所有费用。如采购文件对其另有规定的，从其规定。</w:t>
      </w:r>
    </w:p>
    <w:p w14:paraId="257BB11A">
      <w:pPr>
        <w:widowControl/>
        <w:adjustRightInd w:val="0"/>
        <w:snapToGrid w:val="0"/>
        <w:spacing w:line="410" w:lineRule="exact"/>
        <w:jc w:val="left"/>
        <w:rPr>
          <w:rFonts w:hint="eastAsia" w:ascii="宋体" w:hAnsi="宋体"/>
          <w:color w:val="auto"/>
          <w:kern w:val="0"/>
          <w:szCs w:val="21"/>
          <w:highlight w:val="none"/>
        </w:rPr>
      </w:pPr>
      <w:r>
        <w:rPr>
          <w:rFonts w:hint="eastAsia" w:ascii="宋体" w:hAnsi="宋体"/>
          <w:color w:val="auto"/>
          <w:kern w:val="0"/>
          <w:szCs w:val="21"/>
          <w:highlight w:val="none"/>
        </w:rPr>
        <w:t>第二条 质量保证</w:t>
      </w:r>
    </w:p>
    <w:p w14:paraId="1545F31D">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乙方所提供的服务及服务内容必须与投标文件承诺相一致，有</w:t>
      </w:r>
      <w:r>
        <w:rPr>
          <w:rFonts w:hint="eastAsia" w:ascii="宋体" w:hAnsi="宋体" w:cs="宋体"/>
          <w:color w:val="auto"/>
          <w:kern w:val="0"/>
          <w:szCs w:val="21"/>
          <w:highlight w:val="none"/>
        </w:rPr>
        <w:t>研发、开发等相关实施团队驻场进行开发实施服务，</w:t>
      </w:r>
      <w:r>
        <w:rPr>
          <w:rFonts w:hint="eastAsia" w:ascii="宋体" w:hAnsi="宋体"/>
          <w:color w:val="auto"/>
          <w:kern w:val="0"/>
          <w:szCs w:val="21"/>
          <w:highlight w:val="none"/>
        </w:rPr>
        <w:t>有国家强制性标准的，还必须符合国家强制性标准的规定，没有国家强制性标准但有其他强制性标准的，必须符合其他强制性标准的规定。</w:t>
      </w:r>
    </w:p>
    <w:p w14:paraId="378C49A5">
      <w:pPr>
        <w:widowControl/>
        <w:adjustRightInd w:val="0"/>
        <w:snapToGrid w:val="0"/>
        <w:spacing w:line="410" w:lineRule="exact"/>
        <w:jc w:val="left"/>
        <w:rPr>
          <w:rFonts w:hint="eastAsia" w:ascii="宋体" w:hAnsi="宋体"/>
          <w:color w:val="auto"/>
          <w:kern w:val="0"/>
          <w:szCs w:val="21"/>
          <w:highlight w:val="none"/>
        </w:rPr>
      </w:pPr>
      <w:r>
        <w:rPr>
          <w:rFonts w:hint="eastAsia" w:ascii="宋体" w:hAnsi="宋体"/>
          <w:color w:val="auto"/>
          <w:kern w:val="0"/>
          <w:szCs w:val="21"/>
          <w:highlight w:val="none"/>
        </w:rPr>
        <w:t>第三条 权利保证</w:t>
      </w:r>
    </w:p>
    <w:p w14:paraId="1BF21BEE">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1、乙方应保证所提供服务在使用时不会侵犯任何第三方的专利权、商标权、工业设计权等知识产权及其他合法权利，且所有权、处分权等没有受到任何限制。</w:t>
      </w:r>
    </w:p>
    <w:p w14:paraId="32263CE6">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7FFB094F">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3、服务期间须按照国家网络安全及信息保密安全有关管理规定做好网络安全保密工作。指定具体网络安全责任人，建立独立的管理技术团队负责项目实施过程中的网络安全管理。网络安全责任人及工作人员有变更、乙方工作人员有业务转型或乙方因自身原因有合并重组等的须提前向甲方进行书面说明，未经甲方同意，乙方不得私自将在甲方工作期间的项目任务进行分包、转包。</w:t>
      </w:r>
    </w:p>
    <w:p w14:paraId="5CA12005">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4、服务期间涉及的政务数据和其他数据须分开处理，不得私自将工作中处理的数据进行变更处理。乙方在服务期间处理数据，涉及到个人信息时，须按照国家个人信息保护相关管理规定，做好数据处理存储工作。甲方具有所有权、使用权和访问权，乙方不得私自更改、访问、利用和销毁服务期间涉及到的政务数据信息。</w:t>
      </w:r>
    </w:p>
    <w:p w14:paraId="2C5657A1">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5、做好网络安全漏洞检查，发现安全漏洞、缺陷及安全风险须及时通报甲方，并形成报告向区网信、公安部门报告，安全漏洞未经网信、公安部门同意，不得向第三人公开。</w:t>
      </w:r>
    </w:p>
    <w:p w14:paraId="076C7FFA">
      <w:pPr>
        <w:widowControl/>
        <w:adjustRightInd w:val="0"/>
        <w:snapToGrid w:val="0"/>
        <w:spacing w:line="410" w:lineRule="exact"/>
        <w:ind w:firstLine="525" w:firstLineChars="250"/>
        <w:jc w:val="left"/>
        <w:rPr>
          <w:rFonts w:hint="eastAsia" w:ascii="仿宋_GB2312" w:hAnsi="宋体" w:eastAsia="仿宋_GB2312"/>
          <w:color w:val="auto"/>
          <w:highlight w:val="none"/>
        </w:rPr>
      </w:pPr>
      <w:r>
        <w:rPr>
          <w:rFonts w:hint="eastAsia" w:ascii="宋体" w:hAnsi="宋体"/>
          <w:color w:val="auto"/>
          <w:kern w:val="0"/>
          <w:szCs w:val="21"/>
          <w:highlight w:val="none"/>
        </w:rPr>
        <w:t>6、处理数据时优先使用国产安全可信的硬件软件产品，硬软件信息系统须按照国家密码管理要求设置不限于数字字母特殊字符组合的强口令的密码。</w:t>
      </w:r>
    </w:p>
    <w:p w14:paraId="68764E0B">
      <w:pPr>
        <w:pStyle w:val="33"/>
        <w:rPr>
          <w:color w:val="auto"/>
          <w:highlight w:val="none"/>
        </w:rPr>
      </w:pPr>
    </w:p>
    <w:p w14:paraId="1D9CECFE">
      <w:pPr>
        <w:widowControl/>
        <w:adjustRightInd w:val="0"/>
        <w:snapToGrid w:val="0"/>
        <w:spacing w:line="410" w:lineRule="exact"/>
        <w:jc w:val="left"/>
        <w:rPr>
          <w:rFonts w:hint="eastAsia" w:ascii="宋体" w:hAnsi="宋体"/>
          <w:color w:val="auto"/>
          <w:kern w:val="0"/>
          <w:szCs w:val="21"/>
          <w:highlight w:val="none"/>
        </w:rPr>
      </w:pPr>
      <w:r>
        <w:rPr>
          <w:rFonts w:hint="eastAsia" w:ascii="宋体" w:hAnsi="宋体"/>
          <w:color w:val="auto"/>
          <w:kern w:val="0"/>
          <w:szCs w:val="21"/>
          <w:highlight w:val="none"/>
        </w:rPr>
        <w:t>第四条 交付和验收</w:t>
      </w:r>
    </w:p>
    <w:p w14:paraId="283C7C74">
      <w:pPr>
        <w:widowControl/>
        <w:adjustRightInd w:val="0"/>
        <w:snapToGrid w:val="0"/>
        <w:spacing w:line="410" w:lineRule="exact"/>
        <w:ind w:firstLine="630" w:firstLineChars="300"/>
        <w:jc w:val="left"/>
        <w:rPr>
          <w:rFonts w:hint="eastAsia" w:ascii="宋体" w:hAnsi="宋体"/>
          <w:color w:val="auto"/>
          <w:kern w:val="0"/>
          <w:szCs w:val="21"/>
          <w:highlight w:val="none"/>
        </w:rPr>
      </w:pPr>
      <w:r>
        <w:rPr>
          <w:rFonts w:hint="eastAsia" w:ascii="宋体" w:hAnsi="宋体"/>
          <w:color w:val="auto"/>
          <w:kern w:val="0"/>
          <w:szCs w:val="21"/>
          <w:highlight w:val="none"/>
        </w:rPr>
        <w:t>1、服务期限：</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14:paraId="337F401D">
      <w:pPr>
        <w:widowControl/>
        <w:adjustRightInd w:val="0"/>
        <w:snapToGrid w:val="0"/>
        <w:spacing w:line="410" w:lineRule="exact"/>
        <w:ind w:firstLine="630" w:firstLineChars="300"/>
        <w:jc w:val="left"/>
        <w:rPr>
          <w:rFonts w:hint="eastAsia" w:ascii="宋体" w:hAnsi="宋体"/>
          <w:color w:val="auto"/>
          <w:kern w:val="0"/>
          <w:szCs w:val="21"/>
          <w:highlight w:val="none"/>
        </w:rPr>
      </w:pPr>
      <w:r>
        <w:rPr>
          <w:rFonts w:hint="eastAsia" w:ascii="宋体" w:hAnsi="宋体"/>
          <w:color w:val="auto"/>
          <w:kern w:val="0"/>
          <w:szCs w:val="21"/>
          <w:highlight w:val="none"/>
        </w:rPr>
        <w:t>2、服务地点：</w:t>
      </w:r>
      <w:r>
        <w:rPr>
          <w:rFonts w:hint="eastAsia" w:ascii="宋体" w:hAnsi="宋体"/>
          <w:color w:val="auto"/>
          <w:szCs w:val="21"/>
          <w:highlight w:val="none"/>
        </w:rPr>
        <w:t>广西区内（甲方指定地点）</w:t>
      </w:r>
      <w:r>
        <w:rPr>
          <w:rFonts w:hint="eastAsia" w:ascii="宋体" w:hAnsi="宋体"/>
          <w:color w:val="auto"/>
          <w:kern w:val="0"/>
          <w:szCs w:val="21"/>
          <w:highlight w:val="none"/>
        </w:rPr>
        <w:t>。</w:t>
      </w:r>
    </w:p>
    <w:p w14:paraId="33CB6770">
      <w:pPr>
        <w:widowControl/>
        <w:adjustRightInd w:val="0"/>
        <w:snapToGrid w:val="0"/>
        <w:spacing w:line="410" w:lineRule="exact"/>
        <w:ind w:firstLine="630" w:firstLineChars="300"/>
        <w:jc w:val="left"/>
        <w:rPr>
          <w:rFonts w:hint="eastAsia" w:ascii="宋体" w:hAnsi="宋体"/>
          <w:color w:val="auto"/>
          <w:kern w:val="0"/>
          <w:szCs w:val="21"/>
          <w:highlight w:val="none"/>
        </w:rPr>
      </w:pPr>
      <w:r>
        <w:rPr>
          <w:rFonts w:hint="eastAsia" w:ascii="宋体" w:hAnsi="宋体"/>
          <w:color w:val="auto"/>
          <w:kern w:val="0"/>
          <w:szCs w:val="21"/>
          <w:highlight w:val="none"/>
        </w:rPr>
        <w:t>3、乙方应按投标文件的承诺向甲方提供相应的服务，并提供所服务内容的相关技术资料。</w:t>
      </w:r>
    </w:p>
    <w:p w14:paraId="1D4BF16E">
      <w:pPr>
        <w:widowControl/>
        <w:adjustRightInd w:val="0"/>
        <w:snapToGrid w:val="0"/>
        <w:spacing w:line="410" w:lineRule="exact"/>
        <w:ind w:firstLine="630" w:firstLineChars="300"/>
        <w:jc w:val="left"/>
        <w:rPr>
          <w:rFonts w:hint="eastAsia" w:ascii="宋体" w:hAnsi="宋体"/>
          <w:color w:val="auto"/>
          <w:kern w:val="0"/>
          <w:szCs w:val="21"/>
          <w:highlight w:val="none"/>
        </w:rPr>
      </w:pPr>
      <w:r>
        <w:rPr>
          <w:rFonts w:hint="eastAsia" w:ascii="宋体" w:hAnsi="宋体"/>
          <w:color w:val="auto"/>
          <w:kern w:val="0"/>
          <w:szCs w:val="21"/>
          <w:highlight w:val="none"/>
        </w:rPr>
        <w:t>4、乙方提供不符合投标文件和本合同规定的服务成果，甲方有权拒绝接受。</w:t>
      </w:r>
    </w:p>
    <w:p w14:paraId="0579D637">
      <w:pPr>
        <w:widowControl/>
        <w:adjustRightInd w:val="0"/>
        <w:snapToGrid w:val="0"/>
        <w:spacing w:line="410" w:lineRule="exact"/>
        <w:ind w:firstLine="630" w:firstLineChars="300"/>
        <w:jc w:val="left"/>
        <w:rPr>
          <w:rFonts w:hint="eastAsia" w:ascii="宋体" w:hAnsi="宋体"/>
          <w:color w:val="auto"/>
          <w:kern w:val="0"/>
          <w:szCs w:val="21"/>
          <w:highlight w:val="none"/>
        </w:rPr>
      </w:pPr>
      <w:r>
        <w:rPr>
          <w:rFonts w:hint="eastAsia" w:ascii="宋体" w:hAnsi="宋体"/>
          <w:color w:val="auto"/>
          <w:kern w:val="0"/>
          <w:szCs w:val="21"/>
          <w:highlight w:val="none"/>
        </w:rPr>
        <w:t>5、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2E1BB9DF">
      <w:pPr>
        <w:widowControl/>
        <w:adjustRightInd w:val="0"/>
        <w:snapToGrid w:val="0"/>
        <w:spacing w:line="410" w:lineRule="exact"/>
        <w:ind w:firstLine="638" w:firstLineChars="304"/>
        <w:jc w:val="left"/>
        <w:rPr>
          <w:rFonts w:hint="eastAsia" w:ascii="宋体" w:hAnsi="宋体"/>
          <w:color w:val="auto"/>
          <w:kern w:val="0"/>
          <w:szCs w:val="21"/>
          <w:highlight w:val="none"/>
        </w:rPr>
      </w:pPr>
      <w:r>
        <w:rPr>
          <w:rFonts w:hint="eastAsia" w:ascii="宋体" w:hAnsi="宋体"/>
          <w:color w:val="auto"/>
          <w:kern w:val="0"/>
          <w:szCs w:val="21"/>
          <w:highlight w:val="none"/>
        </w:rPr>
        <w:t>6、甲乙双方应按照双方合同、投标文件验收。</w:t>
      </w:r>
    </w:p>
    <w:p w14:paraId="78B67B32">
      <w:pPr>
        <w:widowControl/>
        <w:adjustRightInd w:val="0"/>
        <w:snapToGrid w:val="0"/>
        <w:spacing w:line="410" w:lineRule="exact"/>
        <w:ind w:firstLine="638" w:firstLineChars="304"/>
        <w:jc w:val="left"/>
        <w:rPr>
          <w:rFonts w:hint="eastAsia" w:ascii="宋体" w:hAnsi="宋体"/>
          <w:color w:val="auto"/>
          <w:kern w:val="0"/>
          <w:szCs w:val="21"/>
          <w:highlight w:val="none"/>
        </w:rPr>
      </w:pPr>
      <w:r>
        <w:rPr>
          <w:rFonts w:hint="eastAsia" w:ascii="宋体" w:hAnsi="宋体"/>
          <w:color w:val="auto"/>
          <w:kern w:val="0"/>
          <w:szCs w:val="21"/>
          <w:highlight w:val="none"/>
        </w:rPr>
        <w:t>7、甲方在初步验收或者最终验收过程中如发现乙方提供的服务成果不满足投标文件及本合同规定的，可暂缓向乙方付款，直到乙方及时完善并提交相应的服务成果且经甲方验收合格后，方可办理付款。</w:t>
      </w:r>
    </w:p>
    <w:p w14:paraId="0BA12F8B">
      <w:pPr>
        <w:widowControl/>
        <w:adjustRightInd w:val="0"/>
        <w:snapToGrid w:val="0"/>
        <w:spacing w:line="410" w:lineRule="exact"/>
        <w:ind w:firstLine="638" w:firstLineChars="304"/>
        <w:jc w:val="left"/>
        <w:rPr>
          <w:rFonts w:hint="eastAsia" w:ascii="宋体" w:hAnsi="宋体"/>
          <w:color w:val="auto"/>
          <w:kern w:val="0"/>
          <w:szCs w:val="21"/>
          <w:highlight w:val="none"/>
        </w:rPr>
      </w:pPr>
      <w:r>
        <w:rPr>
          <w:rFonts w:hint="eastAsia" w:ascii="宋体" w:hAnsi="宋体"/>
          <w:color w:val="auto"/>
          <w:kern w:val="0"/>
          <w:szCs w:val="21"/>
          <w:highlight w:val="none"/>
        </w:rPr>
        <w:t>8、甲方验收时以书面形式提出异议的，乙方应自收到甲方书面异议后五个工作日内及时予以解决，否则甲方有权不出具服务验收合格单。</w:t>
      </w:r>
    </w:p>
    <w:p w14:paraId="41A99D12">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9、甲方可对系统平台对接、接口互通、数据上报、数据校验等功能进行验证，验证结果达不到招标文件预期效果及功能不满足的，经双方协商无效后按违约处理，同时甲方有权上报相关监督管理部门，由此造成甲方损失的由乙方负责承担全部赔偿责任。</w:t>
      </w:r>
    </w:p>
    <w:p w14:paraId="22FB9083">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10、乙方交付物应包含但不限于平台系统开发的源代码、系统管理员账号、配置或操作文档、标准接口文档、数据库表结构等内容 。</w:t>
      </w:r>
    </w:p>
    <w:p w14:paraId="27E3A451">
      <w:pPr>
        <w:widowControl/>
        <w:adjustRightInd w:val="0"/>
        <w:snapToGrid w:val="0"/>
        <w:spacing w:line="410" w:lineRule="exact"/>
        <w:jc w:val="left"/>
        <w:rPr>
          <w:rFonts w:hint="eastAsia" w:ascii="宋体" w:hAnsi="宋体"/>
          <w:color w:val="auto"/>
          <w:kern w:val="0"/>
          <w:szCs w:val="21"/>
          <w:highlight w:val="none"/>
        </w:rPr>
      </w:pPr>
      <w:r>
        <w:rPr>
          <w:rFonts w:hint="eastAsia" w:ascii="宋体" w:hAnsi="宋体"/>
          <w:color w:val="auto"/>
          <w:kern w:val="0"/>
          <w:szCs w:val="21"/>
          <w:highlight w:val="none"/>
        </w:rPr>
        <w:t>第五条  售后服务及培训</w:t>
      </w:r>
    </w:p>
    <w:p w14:paraId="63239024">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1、乙方应按照国家有关法律法规和本合同所附的《售后服务承诺》要求为甲方提供相应的售后服务。</w:t>
      </w:r>
    </w:p>
    <w:p w14:paraId="665D9150">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2、甲方应提供必要测试条件（如场地、电源、水源等）。</w:t>
      </w:r>
    </w:p>
    <w:p w14:paraId="2E9C9AE8">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3、乙方负责甲方有关人员的培训。培训时间、地点：</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14:paraId="48EF7EE3">
      <w:pPr>
        <w:widowControl/>
        <w:adjustRightInd w:val="0"/>
        <w:snapToGrid w:val="0"/>
        <w:spacing w:line="410" w:lineRule="exact"/>
        <w:jc w:val="left"/>
        <w:rPr>
          <w:rFonts w:hint="eastAsia" w:ascii="宋体" w:hAnsi="宋体"/>
          <w:color w:val="auto"/>
          <w:kern w:val="0"/>
          <w:szCs w:val="21"/>
          <w:highlight w:val="none"/>
          <w:u w:val="single"/>
        </w:rPr>
      </w:pPr>
      <w:r>
        <w:rPr>
          <w:rFonts w:hint="eastAsia" w:ascii="宋体" w:hAnsi="宋体"/>
          <w:color w:val="auto"/>
          <w:kern w:val="0"/>
          <w:szCs w:val="21"/>
          <w:highlight w:val="none"/>
        </w:rPr>
        <w:t>第六条 付款方式</w:t>
      </w:r>
    </w:p>
    <w:p w14:paraId="26E3A4AE">
      <w:pPr>
        <w:widowControl/>
        <w:adjustRightInd w:val="0"/>
        <w:snapToGrid w:val="0"/>
        <w:spacing w:line="410" w:lineRule="exact"/>
        <w:ind w:firstLine="525" w:firstLineChars="250"/>
        <w:jc w:val="left"/>
        <w:outlineLvl w:val="0"/>
        <w:rPr>
          <w:rFonts w:hint="eastAsia" w:ascii="宋体" w:hAnsi="宋体"/>
          <w:color w:val="auto"/>
          <w:kern w:val="0"/>
          <w:szCs w:val="21"/>
          <w:highlight w:val="none"/>
          <w:u w:val="single"/>
        </w:rPr>
      </w:pPr>
      <w:r>
        <w:rPr>
          <w:rFonts w:hint="eastAsia" w:ascii="宋体" w:hAnsi="宋体"/>
          <w:color w:val="auto"/>
          <w:kern w:val="0"/>
          <w:szCs w:val="21"/>
          <w:highlight w:val="none"/>
        </w:rPr>
        <w:t>付款方式：</w:t>
      </w:r>
      <w:r>
        <w:rPr>
          <w:rFonts w:hint="eastAsia" w:ascii="宋体" w:hAnsi="宋体"/>
          <w:color w:val="auto"/>
          <w:kern w:val="0"/>
          <w:szCs w:val="21"/>
          <w:highlight w:val="none"/>
          <w:u w:val="single"/>
        </w:rPr>
        <w:t xml:space="preserve">                                                                          </w:t>
      </w:r>
    </w:p>
    <w:p w14:paraId="0631755D">
      <w:pPr>
        <w:widowControl/>
        <w:adjustRightInd w:val="0"/>
        <w:snapToGrid w:val="0"/>
        <w:spacing w:line="410" w:lineRule="exact"/>
        <w:jc w:val="left"/>
        <w:rPr>
          <w:rFonts w:hint="eastAsia" w:ascii="宋体" w:hAnsi="宋体"/>
          <w:color w:val="auto"/>
          <w:kern w:val="0"/>
          <w:szCs w:val="21"/>
          <w:highlight w:val="none"/>
        </w:rPr>
      </w:pPr>
      <w:r>
        <w:rPr>
          <w:rFonts w:hint="eastAsia" w:ascii="宋体" w:hAnsi="宋体"/>
          <w:color w:val="auto"/>
          <w:kern w:val="0"/>
          <w:szCs w:val="21"/>
          <w:highlight w:val="none"/>
        </w:rPr>
        <w:t>第七条 履约保证金</w:t>
      </w:r>
    </w:p>
    <w:p w14:paraId="32703592">
      <w:pPr>
        <w:spacing w:line="360" w:lineRule="auto"/>
        <w:ind w:firstLine="420" w:firstLineChars="200"/>
        <w:contextualSpacing/>
        <w:rPr>
          <w:rFonts w:hint="eastAsia" w:hAnsi="宋体"/>
          <w:color w:val="auto"/>
          <w:szCs w:val="21"/>
          <w:highlight w:val="none"/>
        </w:rPr>
      </w:pPr>
      <w:r>
        <w:rPr>
          <w:rFonts w:hint="eastAsia"/>
          <w:color w:val="auto"/>
          <w:highlight w:val="none"/>
        </w:rPr>
        <w:t>履约保证金：乙方向甲方指定账户交纳合同金额的</w:t>
      </w:r>
      <w:r>
        <w:rPr>
          <w:rFonts w:hint="eastAsia"/>
          <w:color w:val="auto"/>
          <w:highlight w:val="none"/>
          <w:u w:val="single"/>
        </w:rPr>
        <w:t xml:space="preserve"> 2 %</w:t>
      </w:r>
      <w:r>
        <w:rPr>
          <w:rFonts w:hint="eastAsia"/>
          <w:color w:val="auto"/>
          <w:highlight w:val="none"/>
        </w:rPr>
        <w:t>作为本项目的履约保证金。</w:t>
      </w:r>
      <w:r>
        <w:rPr>
          <w:rFonts w:hint="eastAsia" w:hAnsi="宋体"/>
          <w:color w:val="auto"/>
          <w:szCs w:val="21"/>
          <w:highlight w:val="none"/>
        </w:rPr>
        <w:t>合同签订前支付到甲方指定账户。</w:t>
      </w:r>
    </w:p>
    <w:p w14:paraId="15C3F224">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履约保证金指定账户：</w:t>
      </w:r>
    </w:p>
    <w:p w14:paraId="192D09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开户名称：</w:t>
      </w:r>
      <w:r>
        <w:rPr>
          <w:rFonts w:hint="eastAsia" w:ascii="宋体" w:hAnsi="宋体" w:cs="宋体"/>
          <w:color w:val="auto"/>
          <w:szCs w:val="21"/>
          <w:highlight w:val="none"/>
          <w:u w:val="single"/>
        </w:rPr>
        <w:t>广西壮族自治区道路运输发展中心</w:t>
      </w:r>
    </w:p>
    <w:p w14:paraId="6FC7A7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银行账户：</w:t>
      </w:r>
      <w:r>
        <w:rPr>
          <w:rFonts w:hint="eastAsia" w:ascii="宋体" w:hAnsi="宋体" w:cs="宋体"/>
          <w:color w:val="auto"/>
          <w:szCs w:val="21"/>
          <w:highlight w:val="none"/>
          <w:u w:val="single"/>
        </w:rPr>
        <w:t>2102101109221017081</w:t>
      </w:r>
    </w:p>
    <w:p w14:paraId="597B34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工行南宁市公园支行</w:t>
      </w:r>
    </w:p>
    <w:p w14:paraId="669F1A91">
      <w:pPr>
        <w:pStyle w:val="27"/>
        <w:spacing w:line="300" w:lineRule="exact"/>
        <w:ind w:firstLine="400" w:firstLineChars="200"/>
        <w:jc w:val="left"/>
        <w:rPr>
          <w:color w:val="auto"/>
          <w:highlight w:val="none"/>
        </w:rPr>
      </w:pPr>
      <w:r>
        <w:rPr>
          <w:rFonts w:hint="eastAsia" w:hAnsi="宋体" w:cs="宋体"/>
          <w:color w:val="auto"/>
          <w:highlight w:val="none"/>
        </w:rPr>
        <w:t>行号：</w:t>
      </w:r>
      <w:r>
        <w:rPr>
          <w:rFonts w:hint="eastAsia" w:hAnsi="宋体" w:cs="宋体"/>
          <w:color w:val="auto"/>
          <w:kern w:val="2"/>
          <w:sz w:val="21"/>
          <w:highlight w:val="none"/>
          <w:u w:val="single"/>
        </w:rPr>
        <w:t>102611010117</w:t>
      </w:r>
    </w:p>
    <w:p w14:paraId="00CB2637">
      <w:pPr>
        <w:widowControl/>
        <w:adjustRightInd w:val="0"/>
        <w:snapToGrid w:val="0"/>
        <w:spacing w:line="410" w:lineRule="exact"/>
        <w:ind w:firstLine="420" w:firstLineChars="200"/>
        <w:jc w:val="left"/>
        <w:rPr>
          <w:rFonts w:hint="eastAsia" w:ascii="宋体" w:hAnsi="宋体" w:cs="宋体"/>
          <w:color w:val="auto"/>
          <w:szCs w:val="21"/>
          <w:highlight w:val="none"/>
        </w:rPr>
      </w:pPr>
      <w:r>
        <w:rPr>
          <w:rFonts w:hint="eastAsia"/>
          <w:color w:val="auto"/>
          <w:highlight w:val="none"/>
        </w:rPr>
        <w:t>履约保证金退付方式、时间及条件：本项目服务期结束后三十日内，由乙方向甲方提供《广西壮族自治区政府采购项目合同验收书》（详见桂财采〔2015〕22号）及付款申请，甲方在收到合格材料后七个工作日内办理退还手续（不计利息）。</w:t>
      </w:r>
    </w:p>
    <w:p w14:paraId="0C85B0EC">
      <w:pPr>
        <w:widowControl/>
        <w:adjustRightInd w:val="0"/>
        <w:snapToGrid w:val="0"/>
        <w:spacing w:line="410" w:lineRule="exact"/>
        <w:jc w:val="left"/>
        <w:rPr>
          <w:rFonts w:hint="eastAsia" w:ascii="宋体" w:hAnsi="宋体"/>
          <w:color w:val="auto"/>
          <w:kern w:val="0"/>
          <w:szCs w:val="21"/>
          <w:highlight w:val="none"/>
        </w:rPr>
      </w:pPr>
      <w:r>
        <w:rPr>
          <w:rFonts w:hint="eastAsia" w:ascii="宋体" w:hAnsi="宋体"/>
          <w:color w:val="auto"/>
          <w:kern w:val="0"/>
          <w:szCs w:val="21"/>
          <w:highlight w:val="none"/>
        </w:rPr>
        <w:t>第八条  税费</w:t>
      </w:r>
    </w:p>
    <w:p w14:paraId="7FE11643">
      <w:pPr>
        <w:widowControl/>
        <w:adjustRightInd w:val="0"/>
        <w:snapToGrid w:val="0"/>
        <w:spacing w:line="41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本合同执行中相关的一切税费均由乙方负担，合同另有约定的除外。</w:t>
      </w:r>
    </w:p>
    <w:p w14:paraId="79200D72">
      <w:pPr>
        <w:widowControl/>
        <w:adjustRightInd w:val="0"/>
        <w:snapToGrid w:val="0"/>
        <w:spacing w:line="410" w:lineRule="exact"/>
        <w:jc w:val="left"/>
        <w:rPr>
          <w:rFonts w:hint="eastAsia" w:ascii="宋体" w:hAnsi="宋体"/>
          <w:color w:val="auto"/>
          <w:kern w:val="0"/>
          <w:szCs w:val="21"/>
          <w:highlight w:val="none"/>
        </w:rPr>
      </w:pPr>
      <w:r>
        <w:rPr>
          <w:rFonts w:hint="eastAsia" w:ascii="宋体" w:hAnsi="宋体"/>
          <w:color w:val="auto"/>
          <w:kern w:val="0"/>
          <w:szCs w:val="21"/>
          <w:highlight w:val="none"/>
        </w:rPr>
        <w:t>第九条 违约责任</w:t>
      </w:r>
    </w:p>
    <w:p w14:paraId="5DB0D5CF">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1、除不可抗力原因外，乙方没有按照合同规定的时间提供服务的，甲方可要求乙方支付违约金。每推迟一天按合同金额的3‰支付违约金，该违约金累计不超过合同金额的10%。</w:t>
      </w:r>
    </w:p>
    <w:p w14:paraId="640748BA">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2、乙方提供的服务如侵犯了第三方合法权益而引发的任何纠纷或者诉讼，均由乙方负责交涉并承担全部责任。</w:t>
      </w:r>
    </w:p>
    <w:p w14:paraId="067E024F">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3、甲方延期付款的，每天向乙方偿付延期款额3‰滞纳金，但滞纳金累计不得超过延期款额5%。</w:t>
      </w:r>
    </w:p>
    <w:p w14:paraId="2B2B320B">
      <w:pPr>
        <w:widowControl/>
        <w:adjustRightInd w:val="0"/>
        <w:snapToGrid w:val="0"/>
        <w:spacing w:line="410" w:lineRule="exact"/>
        <w:jc w:val="left"/>
        <w:rPr>
          <w:rFonts w:hint="eastAsia" w:ascii="宋体" w:hAnsi="宋体"/>
          <w:color w:val="auto"/>
          <w:kern w:val="0"/>
          <w:szCs w:val="21"/>
          <w:highlight w:val="none"/>
        </w:rPr>
      </w:pPr>
      <w:r>
        <w:rPr>
          <w:rFonts w:hint="eastAsia" w:ascii="宋体" w:hAnsi="宋体"/>
          <w:color w:val="auto"/>
          <w:kern w:val="0"/>
          <w:szCs w:val="21"/>
          <w:highlight w:val="none"/>
        </w:rPr>
        <w:t>第十条  不可抗力事件处理</w:t>
      </w:r>
    </w:p>
    <w:p w14:paraId="332BA351">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1、在合同有效期内，任何一方因不可抗力事件导致不能履行合同，则合同履行期可延长，其延长期与不可抗力影响期相同。</w:t>
      </w:r>
    </w:p>
    <w:p w14:paraId="2C2533AB">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2、不可抗力事件发生后，应立即通知对方，并寄送有关权威机构出具的证明。</w:t>
      </w:r>
    </w:p>
    <w:p w14:paraId="2A3BE769">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3、不可抗力事件延续一百二十天以上，双方应通过友好协商，确定是否继续履行合同。</w:t>
      </w:r>
    </w:p>
    <w:p w14:paraId="57297B23">
      <w:pPr>
        <w:widowControl/>
        <w:adjustRightInd w:val="0"/>
        <w:snapToGrid w:val="0"/>
        <w:spacing w:line="410" w:lineRule="exact"/>
        <w:jc w:val="left"/>
        <w:rPr>
          <w:rFonts w:hint="eastAsia" w:ascii="宋体" w:hAnsi="宋体"/>
          <w:color w:val="auto"/>
          <w:kern w:val="0"/>
          <w:szCs w:val="21"/>
          <w:highlight w:val="none"/>
        </w:rPr>
      </w:pPr>
      <w:r>
        <w:rPr>
          <w:rFonts w:hint="eastAsia" w:ascii="宋体" w:hAnsi="宋体"/>
          <w:color w:val="auto"/>
          <w:kern w:val="0"/>
          <w:szCs w:val="21"/>
          <w:highlight w:val="none"/>
        </w:rPr>
        <w:t>第十一条  合同争议解决</w:t>
      </w:r>
    </w:p>
    <w:p w14:paraId="6D65DF4E">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1、因服务质量问题发生争议的，应邀请国家认可的质量检测机构进行鉴定。服务符合标准的，鉴定费由甲方承担；服务不符合标准的，鉴定费由乙方承担。</w:t>
      </w:r>
    </w:p>
    <w:p w14:paraId="78349B42">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2、因履行本合同引起的或者与本合同有关的争议，甲乙双方应首先通过友好协商解决，如果协商不能解决，向甲方所在地有管辖权人民法院提起诉讼。</w:t>
      </w:r>
    </w:p>
    <w:p w14:paraId="153530C9">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3、诉讼期间，本合同继续履行。</w:t>
      </w:r>
    </w:p>
    <w:p w14:paraId="349D4199">
      <w:pPr>
        <w:widowControl/>
        <w:adjustRightInd w:val="0"/>
        <w:snapToGrid w:val="0"/>
        <w:spacing w:line="410" w:lineRule="exact"/>
        <w:jc w:val="left"/>
        <w:rPr>
          <w:rFonts w:hint="eastAsia" w:ascii="宋体" w:hAnsi="宋体"/>
          <w:color w:val="auto"/>
          <w:kern w:val="0"/>
          <w:szCs w:val="21"/>
          <w:highlight w:val="none"/>
        </w:rPr>
      </w:pPr>
      <w:r>
        <w:rPr>
          <w:rFonts w:hint="eastAsia" w:ascii="宋体" w:hAnsi="宋体"/>
          <w:color w:val="auto"/>
          <w:kern w:val="0"/>
          <w:szCs w:val="21"/>
          <w:highlight w:val="none"/>
        </w:rPr>
        <w:t>第十二条  合同生效及其它</w:t>
      </w:r>
    </w:p>
    <w:p w14:paraId="0FEA555D">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1、合同自双方法定代表人或者授权代表签字并加盖单位公章之日起生效（委托代理人签字的需后附法定代表人授权委托书，格式自拟）。</w:t>
      </w:r>
    </w:p>
    <w:p w14:paraId="2BD98EE7">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2、合同执行中涉及采购资金和采购内容修改或者补充的，并签订补充协议，方可作为主合同不可分割的一部分。</w:t>
      </w:r>
    </w:p>
    <w:p w14:paraId="544BFDA6">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3、本合同未尽事宜，遵照《中华人民共和国政府采购法》、《中华人民共和国民法典》有关条文执行。</w:t>
      </w:r>
    </w:p>
    <w:p w14:paraId="024E98F5">
      <w:pPr>
        <w:widowControl/>
        <w:adjustRightInd w:val="0"/>
        <w:snapToGrid w:val="0"/>
        <w:spacing w:line="410" w:lineRule="exact"/>
        <w:jc w:val="left"/>
        <w:rPr>
          <w:rFonts w:hint="eastAsia" w:ascii="宋体" w:hAnsi="宋体"/>
          <w:color w:val="auto"/>
          <w:kern w:val="0"/>
          <w:szCs w:val="21"/>
          <w:highlight w:val="none"/>
        </w:rPr>
      </w:pPr>
      <w:r>
        <w:rPr>
          <w:rFonts w:hint="eastAsia" w:ascii="宋体" w:hAnsi="宋体"/>
          <w:color w:val="auto"/>
          <w:kern w:val="0"/>
          <w:szCs w:val="21"/>
          <w:highlight w:val="none"/>
        </w:rPr>
        <w:t>第十三条 合同的变更、终止与转让</w:t>
      </w:r>
    </w:p>
    <w:p w14:paraId="1C4EA5B4">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1、除采购文件规定的情形外，本合同一经签订，甲乙双方不得擅自变更、中止或者终止。</w:t>
      </w:r>
    </w:p>
    <w:p w14:paraId="1037B4CD">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2、乙方不得擅自转让其应履行的合同义务。</w:t>
      </w:r>
    </w:p>
    <w:p w14:paraId="441FCEC0">
      <w:pPr>
        <w:widowControl/>
        <w:adjustRightInd w:val="0"/>
        <w:snapToGrid w:val="0"/>
        <w:spacing w:line="410" w:lineRule="exact"/>
        <w:jc w:val="left"/>
        <w:rPr>
          <w:rFonts w:hint="eastAsia" w:ascii="宋体" w:hAnsi="宋体"/>
          <w:color w:val="auto"/>
          <w:kern w:val="0"/>
          <w:szCs w:val="21"/>
          <w:highlight w:val="none"/>
        </w:rPr>
      </w:pPr>
      <w:r>
        <w:rPr>
          <w:rFonts w:hint="eastAsia" w:ascii="宋体" w:hAnsi="宋体"/>
          <w:color w:val="auto"/>
          <w:kern w:val="0"/>
          <w:szCs w:val="21"/>
          <w:highlight w:val="none"/>
        </w:rPr>
        <w:t>第十四条 签订本合同依据</w:t>
      </w:r>
    </w:p>
    <w:p w14:paraId="134B7105">
      <w:pPr>
        <w:widowControl/>
        <w:adjustRightInd w:val="0"/>
        <w:snapToGrid w:val="0"/>
        <w:spacing w:line="410" w:lineRule="exact"/>
        <w:ind w:firstLine="525" w:firstLineChars="250"/>
        <w:jc w:val="left"/>
        <w:rPr>
          <w:rFonts w:hint="eastAsia" w:ascii="宋体" w:hAnsi="宋体"/>
          <w:color w:val="auto"/>
          <w:kern w:val="0"/>
          <w:szCs w:val="21"/>
          <w:highlight w:val="none"/>
        </w:rPr>
      </w:pPr>
      <w:bookmarkStart w:id="144" w:name="_Toc9541_WPSOffice_Level2"/>
      <w:bookmarkStart w:id="145" w:name="_Toc9624_WPSOffice_Level2"/>
      <w:r>
        <w:rPr>
          <w:rFonts w:hint="eastAsia" w:ascii="宋体" w:hAnsi="宋体"/>
          <w:color w:val="auto"/>
          <w:kern w:val="0"/>
          <w:szCs w:val="21"/>
          <w:highlight w:val="none"/>
        </w:rPr>
        <w:t>1、政府采购招标文件；</w:t>
      </w:r>
      <w:bookmarkEnd w:id="144"/>
      <w:bookmarkEnd w:id="145"/>
    </w:p>
    <w:p w14:paraId="503B9B6A">
      <w:pPr>
        <w:widowControl/>
        <w:adjustRightInd w:val="0"/>
        <w:snapToGrid w:val="0"/>
        <w:spacing w:line="410" w:lineRule="exact"/>
        <w:ind w:firstLine="525" w:firstLineChars="250"/>
        <w:jc w:val="left"/>
        <w:rPr>
          <w:rFonts w:hint="eastAsia" w:ascii="宋体" w:hAnsi="宋体"/>
          <w:color w:val="auto"/>
          <w:kern w:val="0"/>
          <w:szCs w:val="21"/>
          <w:highlight w:val="none"/>
        </w:rPr>
      </w:pPr>
      <w:bookmarkStart w:id="146" w:name="_Toc16872_WPSOffice_Level2"/>
      <w:bookmarkStart w:id="147" w:name="_Toc25725_WPSOffice_Level2"/>
      <w:r>
        <w:rPr>
          <w:rFonts w:hint="eastAsia" w:ascii="宋体" w:hAnsi="宋体"/>
          <w:color w:val="auto"/>
          <w:kern w:val="0"/>
          <w:szCs w:val="21"/>
          <w:highlight w:val="none"/>
        </w:rPr>
        <w:t>2、乙方提供的采购投标（或澄清）文件；</w:t>
      </w:r>
      <w:bookmarkEnd w:id="146"/>
      <w:bookmarkEnd w:id="147"/>
    </w:p>
    <w:p w14:paraId="19C6201B">
      <w:pPr>
        <w:widowControl/>
        <w:adjustRightInd w:val="0"/>
        <w:snapToGrid w:val="0"/>
        <w:spacing w:line="410" w:lineRule="exact"/>
        <w:ind w:firstLine="525" w:firstLineChars="250"/>
        <w:jc w:val="left"/>
        <w:rPr>
          <w:rFonts w:hint="eastAsia" w:ascii="宋体" w:hAnsi="宋体"/>
          <w:color w:val="auto"/>
          <w:kern w:val="0"/>
          <w:szCs w:val="21"/>
          <w:highlight w:val="none"/>
        </w:rPr>
      </w:pPr>
      <w:bookmarkStart w:id="148" w:name="_Toc32077_WPSOffice_Level2"/>
      <w:bookmarkStart w:id="149" w:name="_Toc11025_WPSOffice_Level2"/>
      <w:r>
        <w:rPr>
          <w:rFonts w:hint="eastAsia" w:ascii="宋体" w:hAnsi="宋体"/>
          <w:color w:val="auto"/>
          <w:kern w:val="0"/>
          <w:szCs w:val="21"/>
          <w:highlight w:val="none"/>
        </w:rPr>
        <w:t>3、中标通知书。</w:t>
      </w:r>
      <w:bookmarkEnd w:id="148"/>
      <w:bookmarkEnd w:id="149"/>
    </w:p>
    <w:p w14:paraId="60CA632E">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4、上述合同文件互相补充和解释。如果合同文件之间存在矛盾或者不一致之处，以上述文件的排列顺序在先者为准。</w:t>
      </w:r>
    </w:p>
    <w:p w14:paraId="4F4BBE77">
      <w:pPr>
        <w:widowControl/>
        <w:adjustRightInd w:val="0"/>
        <w:snapToGrid w:val="0"/>
        <w:spacing w:line="410" w:lineRule="exact"/>
        <w:jc w:val="left"/>
        <w:rPr>
          <w:rFonts w:hint="eastAsia" w:ascii="宋体" w:hAnsi="宋体"/>
          <w:color w:val="auto"/>
          <w:kern w:val="0"/>
          <w:szCs w:val="21"/>
          <w:highlight w:val="none"/>
        </w:rPr>
      </w:pPr>
      <w:r>
        <w:rPr>
          <w:rFonts w:hint="eastAsia" w:ascii="宋体" w:hAnsi="宋体"/>
          <w:color w:val="auto"/>
          <w:kern w:val="0"/>
          <w:szCs w:val="21"/>
          <w:highlight w:val="none"/>
        </w:rPr>
        <w:t>第十五条 本合同一式五份，具有同等法律效力，采购代理机构一份，甲乙双方各两份（可根据需要另增加）。</w:t>
      </w:r>
    </w:p>
    <w:p w14:paraId="27D6C482">
      <w:pPr>
        <w:widowControl/>
        <w:adjustRightInd w:val="0"/>
        <w:snapToGrid w:val="0"/>
        <w:spacing w:line="410" w:lineRule="exact"/>
        <w:ind w:firstLine="630" w:firstLineChars="300"/>
        <w:jc w:val="left"/>
        <w:rPr>
          <w:rFonts w:hint="eastAsia" w:ascii="宋体" w:hAnsi="宋体"/>
          <w:color w:val="auto"/>
          <w:kern w:val="0"/>
          <w:szCs w:val="21"/>
          <w:highlight w:val="none"/>
        </w:rPr>
      </w:pPr>
      <w:r>
        <w:rPr>
          <w:rFonts w:hint="eastAsia" w:ascii="宋体" w:hAnsi="宋体"/>
          <w:color w:val="auto"/>
          <w:kern w:val="0"/>
          <w:szCs w:val="21"/>
          <w:highlight w:val="none"/>
        </w:rPr>
        <w:t>本合同甲乙双方签字盖章后生效。</w:t>
      </w:r>
    </w:p>
    <w:tbl>
      <w:tblPr>
        <w:tblStyle w:val="49"/>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38AB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5" w:hRule="atLeast"/>
        </w:trPr>
        <w:tc>
          <w:tcPr>
            <w:tcW w:w="4582" w:type="dxa"/>
            <w:tcBorders>
              <w:top w:val="single" w:color="auto" w:sz="4" w:space="0"/>
              <w:left w:val="single" w:color="auto" w:sz="4" w:space="0"/>
              <w:bottom w:val="single" w:color="auto" w:sz="4" w:space="0"/>
              <w:right w:val="single" w:color="auto" w:sz="4" w:space="0"/>
            </w:tcBorders>
            <w:vAlign w:val="center"/>
          </w:tcPr>
          <w:p w14:paraId="753D6A91">
            <w:pPr>
              <w:widowControl/>
              <w:adjustRightInd w:val="0"/>
              <w:snapToGrid w:val="0"/>
              <w:spacing w:line="410" w:lineRule="exact"/>
              <w:jc w:val="left"/>
              <w:rPr>
                <w:rFonts w:hint="eastAsia" w:ascii="宋体" w:hAnsi="宋体"/>
                <w:color w:val="auto"/>
                <w:szCs w:val="21"/>
                <w:highlight w:val="none"/>
              </w:rPr>
            </w:pPr>
            <w:r>
              <w:rPr>
                <w:rFonts w:hint="eastAsia" w:ascii="宋体" w:hAnsi="宋体"/>
                <w:color w:val="auto"/>
                <w:szCs w:val="21"/>
                <w:highlight w:val="none"/>
              </w:rPr>
              <w:t>甲方：（章）</w:t>
            </w:r>
          </w:p>
          <w:p w14:paraId="502E377C">
            <w:pPr>
              <w:widowControl/>
              <w:adjustRightInd w:val="0"/>
              <w:snapToGrid w:val="0"/>
              <w:spacing w:line="410" w:lineRule="exact"/>
              <w:jc w:val="left"/>
              <w:rPr>
                <w:rFonts w:hint="eastAsia" w:ascii="宋体" w:hAnsi="宋体"/>
                <w:color w:val="auto"/>
                <w:szCs w:val="21"/>
                <w:highlight w:val="none"/>
              </w:rPr>
            </w:pPr>
          </w:p>
          <w:p w14:paraId="18135ECD">
            <w:pPr>
              <w:widowControl/>
              <w:adjustRightInd w:val="0"/>
              <w:snapToGrid w:val="0"/>
              <w:spacing w:line="410" w:lineRule="exact"/>
              <w:jc w:val="right"/>
              <w:rPr>
                <w:rFonts w:hint="eastAsia" w:ascii="宋体" w:hAnsi="宋体"/>
                <w:color w:val="auto"/>
                <w:szCs w:val="21"/>
                <w:highlight w:val="none"/>
              </w:rPr>
            </w:pPr>
            <w:r>
              <w:rPr>
                <w:rFonts w:hint="eastAsia" w:ascii="宋体" w:hAnsi="宋体"/>
                <w:color w:val="auto"/>
                <w:szCs w:val="21"/>
                <w:highlight w:val="none"/>
              </w:rPr>
              <w:t>年   月   日</w:t>
            </w:r>
          </w:p>
        </w:tc>
        <w:tc>
          <w:tcPr>
            <w:tcW w:w="4583" w:type="dxa"/>
            <w:tcBorders>
              <w:top w:val="single" w:color="auto" w:sz="4" w:space="0"/>
              <w:left w:val="nil"/>
              <w:bottom w:val="single" w:color="auto" w:sz="4" w:space="0"/>
              <w:right w:val="single" w:color="auto" w:sz="4" w:space="0"/>
            </w:tcBorders>
            <w:vAlign w:val="center"/>
          </w:tcPr>
          <w:p w14:paraId="3A288E47">
            <w:pPr>
              <w:widowControl/>
              <w:adjustRightInd w:val="0"/>
              <w:snapToGrid w:val="0"/>
              <w:spacing w:line="410" w:lineRule="exact"/>
              <w:jc w:val="left"/>
              <w:rPr>
                <w:rFonts w:hint="eastAsia" w:ascii="宋体" w:hAnsi="宋体"/>
                <w:color w:val="auto"/>
                <w:szCs w:val="21"/>
                <w:highlight w:val="none"/>
              </w:rPr>
            </w:pPr>
            <w:r>
              <w:rPr>
                <w:rFonts w:hint="eastAsia" w:ascii="宋体" w:hAnsi="宋体"/>
                <w:color w:val="auto"/>
                <w:szCs w:val="21"/>
                <w:highlight w:val="none"/>
              </w:rPr>
              <w:t xml:space="preserve">乙方：（章）       </w:t>
            </w:r>
          </w:p>
          <w:p w14:paraId="40E70F49">
            <w:pPr>
              <w:widowControl/>
              <w:adjustRightInd w:val="0"/>
              <w:snapToGrid w:val="0"/>
              <w:spacing w:line="410" w:lineRule="exact"/>
              <w:jc w:val="left"/>
              <w:rPr>
                <w:rFonts w:hint="eastAsia" w:ascii="宋体" w:hAnsi="宋体"/>
                <w:color w:val="auto"/>
                <w:szCs w:val="21"/>
                <w:highlight w:val="none"/>
              </w:rPr>
            </w:pPr>
          </w:p>
          <w:p w14:paraId="7B424705">
            <w:pPr>
              <w:widowControl/>
              <w:adjustRightInd w:val="0"/>
              <w:snapToGrid w:val="0"/>
              <w:spacing w:line="410" w:lineRule="exact"/>
              <w:jc w:val="right"/>
              <w:rPr>
                <w:rFonts w:hint="eastAsia" w:ascii="宋体" w:hAnsi="宋体"/>
                <w:color w:val="auto"/>
                <w:szCs w:val="21"/>
                <w:highlight w:val="none"/>
              </w:rPr>
            </w:pPr>
            <w:r>
              <w:rPr>
                <w:rFonts w:hint="eastAsia" w:ascii="宋体" w:hAnsi="宋体"/>
                <w:color w:val="auto"/>
                <w:szCs w:val="21"/>
                <w:highlight w:val="none"/>
              </w:rPr>
              <w:t xml:space="preserve"> 年   月   日</w:t>
            </w:r>
          </w:p>
        </w:tc>
      </w:tr>
      <w:tr w14:paraId="26EB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29430215">
            <w:pPr>
              <w:widowControl/>
              <w:adjustRightInd w:val="0"/>
              <w:snapToGrid w:val="0"/>
              <w:spacing w:line="410" w:lineRule="exact"/>
              <w:jc w:val="left"/>
              <w:rPr>
                <w:rFonts w:hint="eastAsia" w:ascii="宋体" w:hAnsi="宋体"/>
                <w:color w:val="auto"/>
                <w:szCs w:val="21"/>
                <w:highlight w:val="none"/>
              </w:rPr>
            </w:pPr>
            <w:r>
              <w:rPr>
                <w:rFonts w:hint="eastAsia" w:ascii="宋体" w:hAnsi="宋体"/>
                <w:color w:val="auto"/>
                <w:szCs w:val="21"/>
                <w:highlight w:val="none"/>
              </w:rPr>
              <w:t>单位地址： </w:t>
            </w:r>
          </w:p>
        </w:tc>
        <w:tc>
          <w:tcPr>
            <w:tcW w:w="4583" w:type="dxa"/>
            <w:tcBorders>
              <w:top w:val="single" w:color="auto" w:sz="4" w:space="0"/>
              <w:left w:val="nil"/>
              <w:bottom w:val="single" w:color="auto" w:sz="4" w:space="0"/>
              <w:right w:val="single" w:color="auto" w:sz="4" w:space="0"/>
            </w:tcBorders>
            <w:vAlign w:val="center"/>
          </w:tcPr>
          <w:p w14:paraId="0AB3986E">
            <w:pPr>
              <w:widowControl/>
              <w:adjustRightInd w:val="0"/>
              <w:snapToGrid w:val="0"/>
              <w:spacing w:line="410" w:lineRule="exact"/>
              <w:jc w:val="left"/>
              <w:rPr>
                <w:rFonts w:hint="eastAsia" w:ascii="宋体" w:hAnsi="宋体"/>
                <w:color w:val="auto"/>
                <w:szCs w:val="21"/>
                <w:highlight w:val="none"/>
              </w:rPr>
            </w:pPr>
            <w:r>
              <w:rPr>
                <w:rFonts w:hint="eastAsia" w:ascii="宋体" w:hAnsi="宋体"/>
                <w:color w:val="auto"/>
                <w:szCs w:val="21"/>
                <w:highlight w:val="none"/>
              </w:rPr>
              <w:t xml:space="preserve">单位地址： </w:t>
            </w:r>
          </w:p>
        </w:tc>
      </w:tr>
      <w:tr w14:paraId="6C9A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2E1A5A50">
            <w:pPr>
              <w:widowControl/>
              <w:adjustRightInd w:val="0"/>
              <w:snapToGrid w:val="0"/>
              <w:spacing w:line="410" w:lineRule="exact"/>
              <w:jc w:val="left"/>
              <w:rPr>
                <w:rFonts w:hint="eastAsia" w:ascii="宋体" w:hAnsi="宋体"/>
                <w:color w:val="auto"/>
                <w:szCs w:val="21"/>
                <w:highlight w:val="none"/>
              </w:rPr>
            </w:pPr>
            <w:r>
              <w:rPr>
                <w:rFonts w:hint="eastAsia" w:ascii="宋体" w:hAnsi="宋体"/>
                <w:color w:val="auto"/>
                <w:szCs w:val="21"/>
                <w:highlight w:val="none"/>
              </w:rPr>
              <w:t>法定代表人：</w:t>
            </w:r>
          </w:p>
        </w:tc>
        <w:tc>
          <w:tcPr>
            <w:tcW w:w="4583" w:type="dxa"/>
            <w:tcBorders>
              <w:top w:val="single" w:color="auto" w:sz="4" w:space="0"/>
              <w:left w:val="nil"/>
              <w:bottom w:val="single" w:color="auto" w:sz="4" w:space="0"/>
              <w:right w:val="single" w:color="auto" w:sz="4" w:space="0"/>
            </w:tcBorders>
            <w:vAlign w:val="center"/>
          </w:tcPr>
          <w:p w14:paraId="44077186">
            <w:pPr>
              <w:widowControl/>
              <w:adjustRightInd w:val="0"/>
              <w:snapToGrid w:val="0"/>
              <w:spacing w:line="410" w:lineRule="exact"/>
              <w:jc w:val="left"/>
              <w:rPr>
                <w:rFonts w:hint="eastAsia" w:ascii="宋体" w:hAnsi="宋体"/>
                <w:color w:val="auto"/>
                <w:szCs w:val="21"/>
                <w:highlight w:val="none"/>
              </w:rPr>
            </w:pPr>
            <w:r>
              <w:rPr>
                <w:rFonts w:hint="eastAsia" w:ascii="宋体" w:hAnsi="宋体"/>
                <w:color w:val="auto"/>
                <w:szCs w:val="21"/>
                <w:highlight w:val="none"/>
              </w:rPr>
              <w:t>法定代表人：</w:t>
            </w:r>
          </w:p>
        </w:tc>
      </w:tr>
      <w:tr w14:paraId="56EC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1159875C">
            <w:pPr>
              <w:widowControl/>
              <w:adjustRightInd w:val="0"/>
              <w:snapToGrid w:val="0"/>
              <w:spacing w:line="410" w:lineRule="exact"/>
              <w:jc w:val="left"/>
              <w:rPr>
                <w:rFonts w:hint="eastAsia" w:ascii="宋体" w:hAnsi="宋体"/>
                <w:color w:val="auto"/>
                <w:szCs w:val="21"/>
                <w:highlight w:val="none"/>
              </w:rPr>
            </w:pPr>
            <w:r>
              <w:rPr>
                <w:rFonts w:hint="eastAsia" w:ascii="宋体" w:hAnsi="宋体"/>
                <w:color w:val="auto"/>
                <w:szCs w:val="21"/>
                <w:highlight w:val="none"/>
              </w:rPr>
              <w:t>委托代理人：</w:t>
            </w:r>
          </w:p>
        </w:tc>
        <w:tc>
          <w:tcPr>
            <w:tcW w:w="4583" w:type="dxa"/>
            <w:tcBorders>
              <w:top w:val="single" w:color="auto" w:sz="4" w:space="0"/>
              <w:left w:val="nil"/>
              <w:bottom w:val="single" w:color="auto" w:sz="4" w:space="0"/>
              <w:right w:val="single" w:color="auto" w:sz="4" w:space="0"/>
            </w:tcBorders>
            <w:vAlign w:val="center"/>
          </w:tcPr>
          <w:p w14:paraId="32AAA0ED">
            <w:pPr>
              <w:widowControl/>
              <w:adjustRightInd w:val="0"/>
              <w:snapToGrid w:val="0"/>
              <w:spacing w:line="410" w:lineRule="exact"/>
              <w:jc w:val="left"/>
              <w:rPr>
                <w:rFonts w:hint="eastAsia" w:ascii="宋体" w:hAnsi="宋体"/>
                <w:color w:val="auto"/>
                <w:szCs w:val="21"/>
                <w:highlight w:val="none"/>
              </w:rPr>
            </w:pPr>
            <w:r>
              <w:rPr>
                <w:rFonts w:hint="eastAsia" w:ascii="宋体" w:hAnsi="宋体"/>
                <w:color w:val="auto"/>
                <w:szCs w:val="21"/>
                <w:highlight w:val="none"/>
              </w:rPr>
              <w:t>委托代理人：</w:t>
            </w:r>
          </w:p>
        </w:tc>
      </w:tr>
      <w:tr w14:paraId="3FD3C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468635F1">
            <w:pPr>
              <w:widowControl/>
              <w:adjustRightInd w:val="0"/>
              <w:snapToGrid w:val="0"/>
              <w:spacing w:line="410" w:lineRule="exact"/>
              <w:jc w:val="left"/>
              <w:rPr>
                <w:rFonts w:hint="eastAsia" w:ascii="宋体" w:hAnsi="宋体"/>
                <w:color w:val="auto"/>
                <w:szCs w:val="21"/>
                <w:highlight w:val="none"/>
              </w:rPr>
            </w:pPr>
            <w:r>
              <w:rPr>
                <w:rFonts w:hint="eastAsia" w:ascii="宋体" w:hAnsi="宋体"/>
                <w:color w:val="auto"/>
                <w:szCs w:val="21"/>
                <w:highlight w:val="none"/>
              </w:rPr>
              <w:t>电话：</w:t>
            </w:r>
          </w:p>
        </w:tc>
        <w:tc>
          <w:tcPr>
            <w:tcW w:w="4583" w:type="dxa"/>
            <w:tcBorders>
              <w:top w:val="single" w:color="auto" w:sz="4" w:space="0"/>
              <w:left w:val="nil"/>
              <w:bottom w:val="single" w:color="auto" w:sz="4" w:space="0"/>
              <w:right w:val="single" w:color="auto" w:sz="4" w:space="0"/>
            </w:tcBorders>
            <w:vAlign w:val="center"/>
          </w:tcPr>
          <w:p w14:paraId="25D036D1">
            <w:pPr>
              <w:widowControl/>
              <w:adjustRightInd w:val="0"/>
              <w:snapToGrid w:val="0"/>
              <w:spacing w:line="410" w:lineRule="exact"/>
              <w:jc w:val="left"/>
              <w:rPr>
                <w:rFonts w:hint="eastAsia" w:ascii="宋体" w:hAnsi="宋体"/>
                <w:color w:val="auto"/>
                <w:szCs w:val="21"/>
                <w:highlight w:val="none"/>
              </w:rPr>
            </w:pPr>
            <w:r>
              <w:rPr>
                <w:rFonts w:hint="eastAsia" w:ascii="宋体" w:hAnsi="宋体"/>
                <w:color w:val="auto"/>
                <w:szCs w:val="21"/>
                <w:highlight w:val="none"/>
              </w:rPr>
              <w:t>电话：</w:t>
            </w:r>
          </w:p>
        </w:tc>
      </w:tr>
      <w:tr w14:paraId="5950E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3AC7F7B0">
            <w:pPr>
              <w:widowControl/>
              <w:adjustRightInd w:val="0"/>
              <w:snapToGrid w:val="0"/>
              <w:spacing w:line="410" w:lineRule="exact"/>
              <w:jc w:val="left"/>
              <w:rPr>
                <w:rFonts w:hint="eastAsia" w:ascii="宋体" w:hAnsi="宋体"/>
                <w:color w:val="auto"/>
                <w:szCs w:val="21"/>
                <w:highlight w:val="none"/>
              </w:rPr>
            </w:pPr>
            <w:r>
              <w:rPr>
                <w:rFonts w:hint="eastAsia" w:ascii="宋体" w:hAnsi="宋体"/>
                <w:color w:val="auto"/>
                <w:szCs w:val="21"/>
                <w:highlight w:val="none"/>
              </w:rPr>
              <w:t xml:space="preserve">开户银行： </w:t>
            </w:r>
          </w:p>
        </w:tc>
        <w:tc>
          <w:tcPr>
            <w:tcW w:w="4583" w:type="dxa"/>
            <w:tcBorders>
              <w:top w:val="single" w:color="auto" w:sz="4" w:space="0"/>
              <w:left w:val="nil"/>
              <w:bottom w:val="single" w:color="auto" w:sz="4" w:space="0"/>
              <w:right w:val="single" w:color="auto" w:sz="4" w:space="0"/>
            </w:tcBorders>
            <w:vAlign w:val="center"/>
          </w:tcPr>
          <w:p w14:paraId="2475E14C">
            <w:pPr>
              <w:widowControl/>
              <w:adjustRightInd w:val="0"/>
              <w:snapToGrid w:val="0"/>
              <w:spacing w:line="410" w:lineRule="exact"/>
              <w:jc w:val="left"/>
              <w:rPr>
                <w:rFonts w:hint="eastAsia" w:ascii="宋体" w:hAnsi="宋体"/>
                <w:color w:val="auto"/>
                <w:szCs w:val="21"/>
                <w:highlight w:val="none"/>
              </w:rPr>
            </w:pPr>
            <w:r>
              <w:rPr>
                <w:rFonts w:hint="eastAsia" w:ascii="宋体" w:hAnsi="宋体"/>
                <w:color w:val="auto"/>
                <w:szCs w:val="21"/>
                <w:highlight w:val="none"/>
              </w:rPr>
              <w:t xml:space="preserve">开户银行： </w:t>
            </w:r>
          </w:p>
        </w:tc>
      </w:tr>
      <w:tr w14:paraId="4322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101E1C8D">
            <w:pPr>
              <w:widowControl/>
              <w:adjustRightInd w:val="0"/>
              <w:snapToGrid w:val="0"/>
              <w:spacing w:line="410" w:lineRule="exact"/>
              <w:jc w:val="left"/>
              <w:rPr>
                <w:rFonts w:hint="eastAsia" w:ascii="宋体" w:hAnsi="宋体"/>
                <w:color w:val="auto"/>
                <w:szCs w:val="21"/>
                <w:highlight w:val="none"/>
              </w:rPr>
            </w:pPr>
            <w:r>
              <w:rPr>
                <w:rFonts w:hint="eastAsia" w:ascii="宋体" w:hAnsi="宋体"/>
                <w:color w:val="auto"/>
                <w:szCs w:val="21"/>
                <w:highlight w:val="none"/>
              </w:rPr>
              <w:t>账号：</w:t>
            </w:r>
          </w:p>
        </w:tc>
        <w:tc>
          <w:tcPr>
            <w:tcW w:w="4583" w:type="dxa"/>
            <w:tcBorders>
              <w:top w:val="single" w:color="auto" w:sz="4" w:space="0"/>
              <w:left w:val="nil"/>
              <w:bottom w:val="single" w:color="auto" w:sz="4" w:space="0"/>
              <w:right w:val="single" w:color="auto" w:sz="4" w:space="0"/>
            </w:tcBorders>
            <w:vAlign w:val="center"/>
          </w:tcPr>
          <w:p w14:paraId="6E3A06C4">
            <w:pPr>
              <w:widowControl/>
              <w:adjustRightInd w:val="0"/>
              <w:snapToGrid w:val="0"/>
              <w:spacing w:line="410" w:lineRule="exact"/>
              <w:jc w:val="left"/>
              <w:rPr>
                <w:rFonts w:hint="eastAsia" w:ascii="宋体" w:hAnsi="宋体"/>
                <w:color w:val="auto"/>
                <w:szCs w:val="21"/>
                <w:highlight w:val="none"/>
              </w:rPr>
            </w:pPr>
            <w:r>
              <w:rPr>
                <w:rFonts w:hint="eastAsia" w:ascii="宋体" w:hAnsi="宋体"/>
                <w:color w:val="auto"/>
                <w:szCs w:val="21"/>
                <w:highlight w:val="none"/>
              </w:rPr>
              <w:t>账号：</w:t>
            </w:r>
          </w:p>
        </w:tc>
      </w:tr>
      <w:tr w14:paraId="33017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1CB7C1A3">
            <w:pPr>
              <w:widowControl/>
              <w:adjustRightInd w:val="0"/>
              <w:snapToGrid w:val="0"/>
              <w:spacing w:line="410" w:lineRule="exact"/>
              <w:jc w:val="left"/>
              <w:rPr>
                <w:rFonts w:hint="eastAsia" w:ascii="宋体" w:hAnsi="宋体"/>
                <w:color w:val="auto"/>
                <w:szCs w:val="21"/>
                <w:highlight w:val="none"/>
              </w:rPr>
            </w:pPr>
            <w:r>
              <w:rPr>
                <w:rFonts w:hint="eastAsia" w:ascii="宋体" w:hAnsi="宋体" w:cs="宋体"/>
                <w:color w:val="auto"/>
                <w:szCs w:val="21"/>
                <w:highlight w:val="none"/>
              </w:rPr>
              <w:t>纳税人识别号或统一社会信用代码：</w:t>
            </w:r>
          </w:p>
        </w:tc>
        <w:tc>
          <w:tcPr>
            <w:tcW w:w="4583" w:type="dxa"/>
            <w:tcBorders>
              <w:top w:val="single" w:color="auto" w:sz="4" w:space="0"/>
              <w:left w:val="nil"/>
              <w:bottom w:val="single" w:color="auto" w:sz="4" w:space="0"/>
              <w:right w:val="single" w:color="auto" w:sz="4" w:space="0"/>
            </w:tcBorders>
            <w:vAlign w:val="center"/>
          </w:tcPr>
          <w:p w14:paraId="508C5764">
            <w:pPr>
              <w:widowControl/>
              <w:adjustRightInd w:val="0"/>
              <w:snapToGrid w:val="0"/>
              <w:spacing w:line="410" w:lineRule="exact"/>
              <w:jc w:val="left"/>
              <w:rPr>
                <w:rFonts w:hint="eastAsia" w:ascii="宋体" w:hAnsi="宋体"/>
                <w:color w:val="auto"/>
                <w:szCs w:val="21"/>
                <w:highlight w:val="none"/>
              </w:rPr>
            </w:pPr>
            <w:r>
              <w:rPr>
                <w:rFonts w:hint="eastAsia" w:ascii="宋体" w:hAnsi="宋体" w:cs="宋体"/>
                <w:color w:val="auto"/>
                <w:szCs w:val="21"/>
                <w:highlight w:val="none"/>
              </w:rPr>
              <w:t>纳税人识别号或统一社会信用代码：</w:t>
            </w:r>
          </w:p>
        </w:tc>
      </w:tr>
      <w:tr w14:paraId="57C5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59E38A58">
            <w:pPr>
              <w:widowControl/>
              <w:adjustRightInd w:val="0"/>
              <w:snapToGrid w:val="0"/>
              <w:spacing w:line="410" w:lineRule="exact"/>
              <w:jc w:val="left"/>
              <w:rPr>
                <w:rFonts w:hint="eastAsia" w:ascii="宋体" w:hAnsi="宋体"/>
                <w:color w:val="auto"/>
                <w:szCs w:val="21"/>
                <w:highlight w:val="none"/>
              </w:rPr>
            </w:pPr>
            <w:r>
              <w:rPr>
                <w:rFonts w:hint="eastAsia" w:ascii="宋体" w:hAnsi="宋体"/>
                <w:color w:val="auto"/>
                <w:szCs w:val="21"/>
                <w:highlight w:val="none"/>
              </w:rPr>
              <w:t>邮政编码：</w:t>
            </w:r>
          </w:p>
        </w:tc>
        <w:tc>
          <w:tcPr>
            <w:tcW w:w="4583" w:type="dxa"/>
            <w:tcBorders>
              <w:top w:val="single" w:color="auto" w:sz="4" w:space="0"/>
              <w:left w:val="nil"/>
              <w:bottom w:val="single" w:color="auto" w:sz="4" w:space="0"/>
              <w:right w:val="single" w:color="auto" w:sz="4" w:space="0"/>
            </w:tcBorders>
            <w:vAlign w:val="center"/>
          </w:tcPr>
          <w:p w14:paraId="093F2D9C">
            <w:pPr>
              <w:widowControl/>
              <w:adjustRightInd w:val="0"/>
              <w:snapToGrid w:val="0"/>
              <w:spacing w:line="410" w:lineRule="exact"/>
              <w:jc w:val="left"/>
              <w:rPr>
                <w:rFonts w:hint="eastAsia" w:ascii="宋体" w:hAnsi="宋体"/>
                <w:color w:val="auto"/>
                <w:szCs w:val="21"/>
                <w:highlight w:val="none"/>
              </w:rPr>
            </w:pPr>
            <w:r>
              <w:rPr>
                <w:rFonts w:hint="eastAsia" w:ascii="宋体" w:hAnsi="宋体"/>
                <w:color w:val="auto"/>
                <w:szCs w:val="21"/>
                <w:highlight w:val="none"/>
              </w:rPr>
              <w:t>邮政编码：</w:t>
            </w:r>
          </w:p>
        </w:tc>
      </w:tr>
    </w:tbl>
    <w:p w14:paraId="4CD0B2C7">
      <w:pPr>
        <w:spacing w:before="4"/>
        <w:rPr>
          <w:rFonts w:hint="eastAsia" w:ascii="宋体" w:hAnsi="宋体" w:cs="宋体"/>
          <w:color w:val="auto"/>
          <w:sz w:val="6"/>
          <w:szCs w:val="6"/>
          <w:highlight w:val="none"/>
        </w:rPr>
      </w:pPr>
    </w:p>
    <w:p w14:paraId="7D675382">
      <w:pPr>
        <w:rPr>
          <w:color w:val="auto"/>
          <w:highlight w:val="none"/>
        </w:rPr>
      </w:pPr>
      <w:bookmarkStart w:id="150" w:name="_Toc31786"/>
      <w:r>
        <w:rPr>
          <w:rFonts w:hint="eastAsia"/>
          <w:color w:val="auto"/>
          <w:highlight w:val="none"/>
        </w:rPr>
        <w:br w:type="page"/>
      </w:r>
    </w:p>
    <w:p w14:paraId="7FFB8C8C">
      <w:pPr>
        <w:pStyle w:val="2"/>
        <w:jc w:val="center"/>
        <w:rPr>
          <w:color w:val="auto"/>
          <w:highlight w:val="none"/>
        </w:rPr>
      </w:pPr>
    </w:p>
    <w:p w14:paraId="704BCD78">
      <w:pPr>
        <w:pStyle w:val="2"/>
        <w:jc w:val="center"/>
        <w:rPr>
          <w:color w:val="auto"/>
          <w:highlight w:val="none"/>
        </w:rPr>
      </w:pPr>
      <w:r>
        <w:rPr>
          <w:rFonts w:hint="eastAsia"/>
          <w:color w:val="auto"/>
          <w:highlight w:val="none"/>
        </w:rPr>
        <w:t>第六章　投标文件格式</w:t>
      </w:r>
      <w:bookmarkEnd w:id="150"/>
    </w:p>
    <w:p w14:paraId="2716631D">
      <w:pPr>
        <w:snapToGrid w:val="0"/>
        <w:spacing w:before="50" w:after="50"/>
        <w:outlineLvl w:val="1"/>
        <w:rPr>
          <w:rFonts w:hint="eastAsia" w:ascii="宋体" w:hAnsi="宋体"/>
          <w:color w:val="auto"/>
          <w:sz w:val="32"/>
          <w:szCs w:val="20"/>
          <w:highlight w:val="none"/>
        </w:rPr>
      </w:pPr>
    </w:p>
    <w:p w14:paraId="20E52661">
      <w:pPr>
        <w:snapToGrid w:val="0"/>
        <w:spacing w:before="50" w:after="50"/>
        <w:outlineLvl w:val="1"/>
        <w:rPr>
          <w:rFonts w:hint="eastAsia" w:ascii="宋体" w:hAnsi="宋体"/>
          <w:color w:val="auto"/>
          <w:sz w:val="32"/>
          <w:szCs w:val="20"/>
          <w:highlight w:val="none"/>
        </w:rPr>
      </w:pPr>
    </w:p>
    <w:p w14:paraId="11FE1EB9">
      <w:pPr>
        <w:snapToGrid w:val="0"/>
        <w:spacing w:before="50" w:after="50"/>
        <w:outlineLvl w:val="1"/>
        <w:rPr>
          <w:rFonts w:hint="eastAsia" w:ascii="宋体" w:hAnsi="宋体"/>
          <w:color w:val="auto"/>
          <w:sz w:val="32"/>
          <w:szCs w:val="20"/>
          <w:highlight w:val="none"/>
        </w:rPr>
      </w:pPr>
    </w:p>
    <w:p w14:paraId="5CED5D9F">
      <w:pPr>
        <w:snapToGrid w:val="0"/>
        <w:spacing w:before="50" w:after="50"/>
        <w:outlineLvl w:val="1"/>
        <w:rPr>
          <w:rFonts w:hint="eastAsia" w:ascii="宋体" w:hAnsi="宋体"/>
          <w:color w:val="auto"/>
          <w:sz w:val="32"/>
          <w:szCs w:val="20"/>
          <w:highlight w:val="none"/>
        </w:rPr>
      </w:pPr>
    </w:p>
    <w:p w14:paraId="192D825E">
      <w:pPr>
        <w:snapToGrid w:val="0"/>
        <w:spacing w:before="50" w:after="50"/>
        <w:outlineLvl w:val="1"/>
        <w:rPr>
          <w:rFonts w:hint="eastAsia" w:ascii="宋体" w:hAnsi="宋体"/>
          <w:color w:val="auto"/>
          <w:sz w:val="32"/>
          <w:szCs w:val="20"/>
          <w:highlight w:val="none"/>
        </w:rPr>
      </w:pPr>
    </w:p>
    <w:p w14:paraId="01EF0F51">
      <w:pPr>
        <w:snapToGrid w:val="0"/>
        <w:spacing w:before="50" w:after="50"/>
        <w:outlineLvl w:val="1"/>
        <w:rPr>
          <w:rFonts w:hint="eastAsia" w:ascii="宋体" w:hAnsi="宋体"/>
          <w:color w:val="auto"/>
          <w:sz w:val="32"/>
          <w:szCs w:val="20"/>
          <w:highlight w:val="none"/>
        </w:rPr>
      </w:pPr>
    </w:p>
    <w:p w14:paraId="4B2B4E9F">
      <w:pPr>
        <w:snapToGrid w:val="0"/>
        <w:spacing w:before="50" w:after="50"/>
        <w:outlineLvl w:val="1"/>
        <w:rPr>
          <w:rFonts w:hint="eastAsia" w:ascii="宋体" w:hAnsi="宋体"/>
          <w:color w:val="auto"/>
          <w:sz w:val="32"/>
          <w:szCs w:val="20"/>
          <w:highlight w:val="none"/>
        </w:rPr>
      </w:pPr>
    </w:p>
    <w:p w14:paraId="57740C72">
      <w:pPr>
        <w:snapToGrid w:val="0"/>
        <w:spacing w:before="50" w:after="50"/>
        <w:outlineLvl w:val="1"/>
        <w:rPr>
          <w:rFonts w:hint="eastAsia" w:ascii="宋体" w:hAnsi="宋体"/>
          <w:color w:val="auto"/>
          <w:sz w:val="32"/>
          <w:szCs w:val="20"/>
          <w:highlight w:val="none"/>
        </w:rPr>
      </w:pPr>
    </w:p>
    <w:p w14:paraId="1A0E445D">
      <w:pPr>
        <w:snapToGrid w:val="0"/>
        <w:spacing w:before="50" w:after="50"/>
        <w:outlineLvl w:val="1"/>
        <w:rPr>
          <w:rFonts w:hint="eastAsia" w:ascii="宋体" w:hAnsi="宋体"/>
          <w:color w:val="auto"/>
          <w:sz w:val="32"/>
          <w:szCs w:val="20"/>
          <w:highlight w:val="none"/>
        </w:rPr>
      </w:pPr>
    </w:p>
    <w:p w14:paraId="30615A2F">
      <w:pPr>
        <w:snapToGrid w:val="0"/>
        <w:spacing w:before="50" w:after="50"/>
        <w:outlineLvl w:val="1"/>
        <w:rPr>
          <w:rFonts w:hint="eastAsia" w:ascii="宋体" w:hAnsi="宋体"/>
          <w:color w:val="auto"/>
          <w:sz w:val="32"/>
          <w:szCs w:val="20"/>
          <w:highlight w:val="none"/>
        </w:rPr>
      </w:pPr>
    </w:p>
    <w:p w14:paraId="21CD91F8">
      <w:pPr>
        <w:snapToGrid w:val="0"/>
        <w:spacing w:before="50" w:after="50"/>
        <w:outlineLvl w:val="1"/>
        <w:rPr>
          <w:rFonts w:hint="eastAsia" w:ascii="宋体" w:hAnsi="宋体"/>
          <w:color w:val="auto"/>
          <w:sz w:val="32"/>
          <w:szCs w:val="20"/>
          <w:highlight w:val="none"/>
        </w:rPr>
      </w:pPr>
    </w:p>
    <w:p w14:paraId="6665A937">
      <w:pPr>
        <w:snapToGrid w:val="0"/>
        <w:spacing w:before="120" w:beforeLines="50" w:after="50"/>
        <w:jc w:val="center"/>
        <w:outlineLvl w:val="1"/>
        <w:rPr>
          <w:rFonts w:hint="eastAsia" w:ascii="宋体" w:hAnsi="宋体"/>
          <w:color w:val="auto"/>
          <w:highlight w:val="none"/>
        </w:rPr>
      </w:pPr>
    </w:p>
    <w:p w14:paraId="65197FD1">
      <w:pPr>
        <w:rPr>
          <w:b/>
          <w:color w:val="auto"/>
          <w:sz w:val="28"/>
          <w:szCs w:val="28"/>
          <w:highlight w:val="none"/>
        </w:rPr>
      </w:pPr>
      <w:bookmarkStart w:id="151" w:name="_Toc19686836"/>
      <w:bookmarkStart w:id="152" w:name="_Toc254970557"/>
      <w:bookmarkStart w:id="153" w:name="_Toc254970698"/>
      <w:r>
        <w:rPr>
          <w:b/>
          <w:color w:val="auto"/>
          <w:sz w:val="28"/>
          <w:szCs w:val="28"/>
          <w:highlight w:val="none"/>
        </w:rPr>
        <w:br w:type="page"/>
      </w:r>
      <w:r>
        <w:rPr>
          <w:rFonts w:hint="eastAsia"/>
          <w:b/>
          <w:color w:val="auto"/>
          <w:sz w:val="28"/>
          <w:szCs w:val="28"/>
          <w:highlight w:val="none"/>
        </w:rPr>
        <w:t>一、报价文件格式</w:t>
      </w:r>
      <w:bookmarkEnd w:id="151"/>
    </w:p>
    <w:p w14:paraId="1E4950CA">
      <w:pPr>
        <w:snapToGrid w:val="0"/>
        <w:spacing w:before="120" w:beforeLines="50" w:after="50" w:line="360" w:lineRule="auto"/>
        <w:ind w:left="142"/>
        <w:jc w:val="left"/>
        <w:rPr>
          <w:rFonts w:hint="eastAsia" w:ascii="宋体" w:hAnsi="宋体"/>
          <w:color w:val="auto"/>
          <w:sz w:val="24"/>
          <w:szCs w:val="20"/>
          <w:highlight w:val="none"/>
        </w:rPr>
      </w:pPr>
      <w:r>
        <w:rPr>
          <w:rFonts w:hint="eastAsia" w:ascii="宋体" w:hAnsi="宋体"/>
          <w:b/>
          <w:color w:val="auto"/>
          <w:sz w:val="24"/>
          <w:highlight w:val="none"/>
        </w:rPr>
        <w:t xml:space="preserve">1. 报价文件封面格式： </w:t>
      </w:r>
    </w:p>
    <w:p w14:paraId="7DAD2361">
      <w:pPr>
        <w:snapToGrid w:val="0"/>
        <w:spacing w:before="120" w:beforeLines="50" w:after="50" w:line="400" w:lineRule="exact"/>
        <w:rPr>
          <w:rFonts w:hint="eastAsia" w:ascii="宋体" w:hAnsi="宋体"/>
          <w:bCs/>
          <w:color w:val="auto"/>
          <w:sz w:val="32"/>
          <w:szCs w:val="20"/>
          <w:highlight w:val="none"/>
        </w:rPr>
      </w:pPr>
      <w:r>
        <w:rPr>
          <w:rFonts w:hint="eastAsia" w:ascii="宋体" w:hAnsi="宋体"/>
          <w:color w:val="auto"/>
          <w:sz w:val="24"/>
          <w:highlight w:val="none"/>
        </w:rPr>
        <w:t xml:space="preserve">                                                   </w:t>
      </w:r>
    </w:p>
    <w:p w14:paraId="763343CF">
      <w:pPr>
        <w:snapToGrid w:val="0"/>
        <w:spacing w:before="120" w:beforeLines="50" w:after="50" w:line="400" w:lineRule="exact"/>
        <w:jc w:val="center"/>
        <w:rPr>
          <w:rFonts w:hint="eastAsia" w:ascii="宋体" w:hAnsi="宋体"/>
          <w:bCs/>
          <w:color w:val="auto"/>
          <w:sz w:val="24"/>
          <w:szCs w:val="20"/>
          <w:highlight w:val="none"/>
        </w:rPr>
      </w:pPr>
    </w:p>
    <w:p w14:paraId="27BD5AE8">
      <w:pPr>
        <w:snapToGrid w:val="0"/>
        <w:spacing w:before="120" w:beforeLines="50" w:after="50"/>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投  标  文  件</w:t>
      </w:r>
    </w:p>
    <w:p w14:paraId="26552FC1">
      <w:pPr>
        <w:snapToGrid w:val="0"/>
        <w:spacing w:before="120" w:beforeLines="50" w:after="50" w:line="400" w:lineRule="exact"/>
        <w:jc w:val="center"/>
        <w:rPr>
          <w:rFonts w:hint="eastAsia" w:ascii="宋体" w:hAnsi="宋体"/>
          <w:bCs/>
          <w:color w:val="auto"/>
          <w:sz w:val="32"/>
          <w:szCs w:val="32"/>
          <w:highlight w:val="none"/>
        </w:rPr>
      </w:pPr>
    </w:p>
    <w:p w14:paraId="2D15BECE">
      <w:pPr>
        <w:snapToGrid w:val="0"/>
        <w:spacing w:before="120" w:beforeLines="50" w:after="50" w:line="40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报  价  文  件</w:t>
      </w:r>
    </w:p>
    <w:p w14:paraId="3645A773">
      <w:pPr>
        <w:snapToGrid w:val="0"/>
        <w:spacing w:before="120" w:beforeLines="50" w:after="50" w:line="400" w:lineRule="exact"/>
        <w:rPr>
          <w:rFonts w:hint="eastAsia" w:ascii="宋体" w:hAnsi="宋体"/>
          <w:bCs/>
          <w:color w:val="auto"/>
          <w:sz w:val="24"/>
          <w:szCs w:val="20"/>
          <w:highlight w:val="none"/>
        </w:rPr>
      </w:pPr>
    </w:p>
    <w:p w14:paraId="2935AC9D">
      <w:pPr>
        <w:snapToGrid w:val="0"/>
        <w:spacing w:before="120" w:beforeLines="50" w:after="50" w:line="400" w:lineRule="exact"/>
        <w:rPr>
          <w:rFonts w:hint="eastAsia" w:ascii="宋体" w:hAnsi="宋体"/>
          <w:bCs/>
          <w:color w:val="auto"/>
          <w:sz w:val="24"/>
          <w:szCs w:val="20"/>
          <w:highlight w:val="none"/>
        </w:rPr>
      </w:pPr>
    </w:p>
    <w:p w14:paraId="0B2BC19B">
      <w:pPr>
        <w:snapToGrid w:val="0"/>
        <w:spacing w:before="120" w:beforeLines="50" w:after="50" w:line="400" w:lineRule="exact"/>
        <w:rPr>
          <w:rFonts w:hint="eastAsia" w:ascii="宋体" w:hAnsi="宋体"/>
          <w:bCs/>
          <w:color w:val="auto"/>
          <w:sz w:val="24"/>
          <w:szCs w:val="20"/>
          <w:highlight w:val="none"/>
        </w:rPr>
      </w:pPr>
    </w:p>
    <w:p w14:paraId="28AEFE20">
      <w:pPr>
        <w:snapToGrid w:val="0"/>
        <w:spacing w:before="120" w:beforeLines="50" w:after="50" w:line="400" w:lineRule="exact"/>
        <w:rPr>
          <w:rFonts w:hint="eastAsia" w:ascii="宋体" w:hAnsi="宋体"/>
          <w:bCs/>
          <w:color w:val="auto"/>
          <w:sz w:val="24"/>
          <w:szCs w:val="20"/>
          <w:highlight w:val="none"/>
        </w:rPr>
      </w:pPr>
    </w:p>
    <w:p w14:paraId="5C57C88C">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项目名称： </w:t>
      </w:r>
    </w:p>
    <w:p w14:paraId="2EB5822B">
      <w:pPr>
        <w:snapToGrid w:val="0"/>
        <w:spacing w:before="120" w:beforeLines="50" w:after="50" w:line="400" w:lineRule="exact"/>
        <w:ind w:firstLine="360" w:firstLineChars="150"/>
        <w:rPr>
          <w:rFonts w:hint="eastAsia" w:ascii="宋体" w:hAnsi="宋体"/>
          <w:bCs/>
          <w:color w:val="auto"/>
          <w:sz w:val="24"/>
          <w:highlight w:val="none"/>
        </w:rPr>
      </w:pPr>
    </w:p>
    <w:p w14:paraId="044F8743">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项目编号： </w:t>
      </w:r>
    </w:p>
    <w:p w14:paraId="7A04CE6F">
      <w:pPr>
        <w:snapToGrid w:val="0"/>
        <w:spacing w:before="120" w:beforeLines="50" w:after="50" w:line="400" w:lineRule="exact"/>
        <w:ind w:firstLine="360" w:firstLineChars="150"/>
        <w:rPr>
          <w:rFonts w:hint="eastAsia" w:ascii="宋体" w:hAnsi="宋体"/>
          <w:bCs/>
          <w:color w:val="auto"/>
          <w:sz w:val="24"/>
          <w:highlight w:val="none"/>
        </w:rPr>
      </w:pPr>
    </w:p>
    <w:p w14:paraId="257061E6">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63688BD8">
      <w:pPr>
        <w:snapToGrid w:val="0"/>
        <w:spacing w:before="120" w:beforeLines="50" w:after="50" w:line="400" w:lineRule="exact"/>
        <w:ind w:firstLine="360" w:firstLineChars="150"/>
        <w:rPr>
          <w:rFonts w:hint="eastAsia" w:ascii="宋体" w:hAnsi="宋体"/>
          <w:bCs/>
          <w:color w:val="auto"/>
          <w:sz w:val="24"/>
          <w:highlight w:val="none"/>
        </w:rPr>
      </w:pPr>
    </w:p>
    <w:p w14:paraId="3CC9CEC3">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250DDAE5">
      <w:pPr>
        <w:snapToGrid w:val="0"/>
        <w:spacing w:before="120" w:beforeLines="50" w:after="50" w:line="400" w:lineRule="exact"/>
        <w:ind w:firstLine="360" w:firstLineChars="150"/>
        <w:rPr>
          <w:rFonts w:hint="eastAsia" w:ascii="宋体" w:hAnsi="宋体"/>
          <w:bCs/>
          <w:color w:val="auto"/>
          <w:sz w:val="24"/>
          <w:highlight w:val="none"/>
        </w:rPr>
      </w:pPr>
    </w:p>
    <w:p w14:paraId="1F9344AE">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6FBE979B">
      <w:pPr>
        <w:pStyle w:val="8"/>
        <w:snapToGrid w:val="0"/>
        <w:spacing w:before="50" w:after="50" w:line="400" w:lineRule="exact"/>
        <w:ind w:firstLine="960" w:firstLineChars="400"/>
        <w:rPr>
          <w:rFonts w:hint="eastAsia" w:ascii="宋体" w:hAnsi="宋体"/>
          <w:bCs/>
          <w:color w:val="auto"/>
          <w:sz w:val="24"/>
          <w:szCs w:val="24"/>
          <w:highlight w:val="none"/>
        </w:rPr>
      </w:pPr>
    </w:p>
    <w:p w14:paraId="7DCB11B0">
      <w:pPr>
        <w:snapToGrid w:val="0"/>
        <w:spacing w:before="120" w:beforeLines="50" w:after="50" w:line="400" w:lineRule="exact"/>
        <w:rPr>
          <w:rFonts w:hint="eastAsia" w:ascii="宋体" w:hAnsi="宋体"/>
          <w:color w:val="auto"/>
          <w:sz w:val="30"/>
          <w:szCs w:val="20"/>
          <w:highlight w:val="none"/>
        </w:rPr>
      </w:pPr>
      <w:r>
        <w:rPr>
          <w:rFonts w:hint="eastAsia" w:ascii="宋体" w:hAnsi="宋体"/>
          <w:color w:val="auto"/>
          <w:sz w:val="24"/>
          <w:highlight w:val="none"/>
        </w:rPr>
        <w:t xml:space="preserve">                                   年  月  日</w:t>
      </w:r>
    </w:p>
    <w:p w14:paraId="72727ADB">
      <w:pPr>
        <w:snapToGrid w:val="0"/>
        <w:spacing w:before="120" w:beforeLines="50" w:after="50" w:line="360" w:lineRule="auto"/>
        <w:jc w:val="left"/>
        <w:rPr>
          <w:rFonts w:hint="eastAsia"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2CE00F62">
      <w:pPr>
        <w:snapToGrid w:val="0"/>
        <w:spacing w:before="50" w:after="120" w:afterLines="50" w:line="360" w:lineRule="auto"/>
        <w:jc w:val="left"/>
        <w:rPr>
          <w:color w:val="auto"/>
          <w:highlight w:val="none"/>
        </w:rPr>
      </w:pPr>
      <w:r>
        <w:rPr>
          <w:rFonts w:hint="eastAsia" w:ascii="宋体" w:hAnsi="宋体"/>
          <w:color w:val="auto"/>
          <w:szCs w:val="21"/>
          <w:highlight w:val="none"/>
        </w:rPr>
        <w:t>根据招标文件规定及投标人提供的材料自行编写目录。</w:t>
      </w:r>
    </w:p>
    <w:p w14:paraId="2ABAE4C4">
      <w:pPr>
        <w:tabs>
          <w:tab w:val="left" w:pos="459"/>
        </w:tabs>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1、投标函</w:t>
      </w:r>
      <w:r>
        <w:rPr>
          <w:rFonts w:ascii="Arial" w:hAnsi="Arial" w:cs="Arial"/>
          <w:color w:val="auto"/>
          <w:szCs w:val="21"/>
          <w:highlight w:val="none"/>
        </w:rPr>
        <w:t>………………………………………</w:t>
      </w:r>
      <w:r>
        <w:rPr>
          <w:rFonts w:hint="eastAsia" w:ascii="Arial" w:hAnsi="Arial" w:cs="Arial"/>
          <w:color w:val="auto"/>
          <w:szCs w:val="21"/>
          <w:highlight w:val="none"/>
        </w:rPr>
        <w:t>页码</w:t>
      </w:r>
    </w:p>
    <w:p w14:paraId="5EE6F597">
      <w:pPr>
        <w:tabs>
          <w:tab w:val="left" w:pos="459"/>
        </w:tabs>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2、开标一览表</w:t>
      </w:r>
      <w:r>
        <w:rPr>
          <w:rFonts w:ascii="Arial" w:hAnsi="Arial" w:cs="Arial"/>
          <w:color w:val="auto"/>
          <w:szCs w:val="21"/>
          <w:highlight w:val="none"/>
        </w:rPr>
        <w:t>…………………………………</w:t>
      </w:r>
      <w:r>
        <w:rPr>
          <w:rFonts w:hint="eastAsia" w:ascii="Arial" w:hAnsi="Arial" w:cs="Arial"/>
          <w:color w:val="auto"/>
          <w:szCs w:val="21"/>
          <w:highlight w:val="none"/>
        </w:rPr>
        <w:t>页码</w:t>
      </w:r>
    </w:p>
    <w:p w14:paraId="5D687925">
      <w:pPr>
        <w:tabs>
          <w:tab w:val="left" w:pos="459"/>
        </w:tabs>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3、中小企业声明函</w:t>
      </w:r>
      <w:r>
        <w:rPr>
          <w:rFonts w:ascii="宋体" w:hAnsi="宋体"/>
          <w:color w:val="auto"/>
          <w:szCs w:val="21"/>
          <w:highlight w:val="none"/>
        </w:rPr>
        <w:t>……………………………</w:t>
      </w:r>
      <w:r>
        <w:rPr>
          <w:rFonts w:hint="eastAsia" w:ascii="宋体" w:hAnsi="宋体"/>
          <w:color w:val="auto"/>
          <w:szCs w:val="21"/>
          <w:highlight w:val="none"/>
        </w:rPr>
        <w:t>页码</w:t>
      </w:r>
    </w:p>
    <w:p w14:paraId="0BFC71BD">
      <w:pPr>
        <w:tabs>
          <w:tab w:val="left" w:pos="459"/>
        </w:tabs>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4、投标人针对报价需要说明的其他文件和说明</w:t>
      </w:r>
      <w:r>
        <w:rPr>
          <w:rFonts w:ascii="宋体" w:hAnsi="宋体"/>
          <w:color w:val="auto"/>
          <w:szCs w:val="21"/>
          <w:highlight w:val="none"/>
        </w:rPr>
        <w:t>…………………………</w:t>
      </w:r>
      <w:r>
        <w:rPr>
          <w:rFonts w:hint="eastAsia" w:ascii="宋体" w:hAnsi="宋体"/>
          <w:color w:val="auto"/>
          <w:szCs w:val="21"/>
          <w:highlight w:val="none"/>
        </w:rPr>
        <w:t>页码</w:t>
      </w:r>
    </w:p>
    <w:p w14:paraId="6EA40559">
      <w:pPr>
        <w:snapToGrid w:val="0"/>
        <w:spacing w:before="50" w:after="120" w:afterLines="50" w:line="360" w:lineRule="auto"/>
        <w:jc w:val="left"/>
        <w:rPr>
          <w:color w:val="auto"/>
          <w:highlight w:val="none"/>
        </w:rPr>
      </w:pPr>
    </w:p>
    <w:p w14:paraId="256E0F2F">
      <w:pPr>
        <w:snapToGrid w:val="0"/>
        <w:spacing w:before="120" w:beforeLines="50" w:after="50"/>
        <w:rPr>
          <w:rFonts w:hint="eastAsia" w:ascii="宋体" w:hAnsi="宋体"/>
          <w:b/>
          <w:color w:val="auto"/>
          <w:sz w:val="24"/>
          <w:highlight w:val="none"/>
        </w:rPr>
      </w:pPr>
    </w:p>
    <w:p w14:paraId="0A494EA0">
      <w:pPr>
        <w:snapToGrid w:val="0"/>
        <w:spacing w:before="120" w:beforeLines="50" w:after="50"/>
        <w:rPr>
          <w:rFonts w:hint="eastAsia" w:ascii="宋体" w:hAnsi="宋体"/>
          <w:b/>
          <w:color w:val="auto"/>
          <w:sz w:val="24"/>
          <w:highlight w:val="none"/>
        </w:rPr>
      </w:pPr>
    </w:p>
    <w:p w14:paraId="395A0DB7">
      <w:pPr>
        <w:snapToGrid w:val="0"/>
        <w:spacing w:before="120" w:beforeLines="50" w:after="50"/>
        <w:rPr>
          <w:rFonts w:hint="eastAsia" w:ascii="宋体" w:hAnsi="宋体"/>
          <w:b/>
          <w:color w:val="auto"/>
          <w:sz w:val="24"/>
          <w:highlight w:val="none"/>
        </w:rPr>
      </w:pPr>
    </w:p>
    <w:p w14:paraId="4ECD0B28">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投标函格式：</w:t>
      </w:r>
    </w:p>
    <w:p w14:paraId="2B31EA07">
      <w:pPr>
        <w:snapToGrid w:val="0"/>
        <w:spacing w:before="120" w:beforeLines="50" w:after="50" w:line="360" w:lineRule="auto"/>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投 标 函</w:t>
      </w:r>
    </w:p>
    <w:p w14:paraId="34EBE8FB">
      <w:pPr>
        <w:spacing w:line="400" w:lineRule="exact"/>
        <w:contextualSpacing/>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p>
    <w:p w14:paraId="5955C83D">
      <w:pPr>
        <w:spacing w:line="400" w:lineRule="exact"/>
        <w:ind w:firstLine="480"/>
        <w:contextualSpacing/>
        <w:rPr>
          <w:rFonts w:hint="eastAsia"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）的招标公告，签字代表______</w:t>
      </w:r>
      <w:r>
        <w:rPr>
          <w:rFonts w:hint="eastAsia" w:ascii="宋体" w:hAnsi="宋体"/>
          <w:color w:val="auto"/>
          <w:sz w:val="24"/>
          <w:highlight w:val="none"/>
          <w:u w:val="single"/>
        </w:rPr>
        <w:t xml:space="preserve">     </w:t>
      </w:r>
      <w:r>
        <w:rPr>
          <w:rFonts w:hint="eastAsia" w:ascii="宋体" w:hAnsi="宋体"/>
          <w:color w:val="auto"/>
          <w:sz w:val="24"/>
          <w:highlight w:val="none"/>
        </w:rPr>
        <w:t>（姓名）经正式授权并代表投标人</w:t>
      </w:r>
      <w:r>
        <w:rPr>
          <w:rFonts w:hint="eastAsia" w:ascii="宋体" w:hAnsi="宋体"/>
          <w:color w:val="auto"/>
          <w:sz w:val="24"/>
          <w:highlight w:val="none"/>
          <w:u w:val="single"/>
        </w:rPr>
        <w:t xml:space="preserve">                 </w:t>
      </w:r>
      <w:r>
        <w:rPr>
          <w:rFonts w:hint="eastAsia" w:ascii="宋体" w:hAnsi="宋体"/>
          <w:color w:val="auto"/>
          <w:sz w:val="24"/>
          <w:highlight w:val="none"/>
        </w:rPr>
        <w:t>（投标人名称）提交投标文件。</w:t>
      </w:r>
    </w:p>
    <w:p w14:paraId="4AEFAAF2">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据此函，我方宣布同意如下：</w:t>
      </w:r>
    </w:p>
    <w:p w14:paraId="677DD722">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61B32FA8">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323826FC">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3.本投标有效期自投标截止之日起</w:t>
      </w:r>
      <w:r>
        <w:rPr>
          <w:rFonts w:ascii="宋体" w:hAnsi="宋体"/>
          <w:color w:val="auto"/>
          <w:sz w:val="24"/>
          <w:highlight w:val="none"/>
          <w:u w:val="single"/>
        </w:rPr>
        <w:t xml:space="preserve">    </w:t>
      </w:r>
      <w:r>
        <w:rPr>
          <w:rFonts w:hint="eastAsia" w:ascii="宋体" w:hAnsi="宋体"/>
          <w:color w:val="auto"/>
          <w:sz w:val="24"/>
          <w:highlight w:val="none"/>
        </w:rPr>
        <w:t>日。</w:t>
      </w:r>
    </w:p>
    <w:p w14:paraId="2F3C5B0E">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397DE2D5">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2D73C871">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4DDD6055">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40C56915">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705D1A0D">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3EBD533E">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02F485F">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9.与本投标有关的一切正式往来信函请寄：</w:t>
      </w:r>
    </w:p>
    <w:p w14:paraId="30F805A2">
      <w:pPr>
        <w:spacing w:line="400" w:lineRule="exact"/>
        <w:ind w:firstLine="480" w:firstLineChars="200"/>
        <w:contextualSpacing/>
        <w:rPr>
          <w:rFonts w:hint="eastAsia"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35FCD645">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p>
    <w:p w14:paraId="3FB4E2B1">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p>
    <w:p w14:paraId="19698109">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开户银行：</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银行帐号：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7F87FCD9">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法定代表人或者委托代理人签字：___________ </w:t>
      </w:r>
    </w:p>
    <w:p w14:paraId="1EFC1515">
      <w:pPr>
        <w:pStyle w:val="27"/>
        <w:spacing w:line="400" w:lineRule="exact"/>
        <w:contextualSpacing/>
        <w:jc w:val="center"/>
        <w:rPr>
          <w:rFonts w:hint="eastAsia" w:hAnsi="宋体"/>
          <w:color w:val="auto"/>
          <w:sz w:val="24"/>
          <w:szCs w:val="24"/>
          <w:highlight w:val="none"/>
          <w:u w:val="single"/>
        </w:rPr>
      </w:pPr>
      <w:r>
        <w:rPr>
          <w:rFonts w:hint="eastAsia" w:hAnsi="宋体"/>
          <w:color w:val="auto"/>
          <w:sz w:val="24"/>
          <w:highlight w:val="none"/>
        </w:rPr>
        <w:t xml:space="preserve"> </w:t>
      </w:r>
      <w:r>
        <w:rPr>
          <w:rFonts w:hAnsi="宋体"/>
          <w:color w:val="auto"/>
          <w:sz w:val="24"/>
          <w:highlight w:val="none"/>
        </w:rPr>
        <w:t xml:space="preserve">                                   </w:t>
      </w:r>
      <w:r>
        <w:rPr>
          <w:rFonts w:hint="eastAsia" w:hAnsi="宋体"/>
          <w:color w:val="auto"/>
          <w:sz w:val="24"/>
          <w:highlight w:val="none"/>
        </w:rPr>
        <w:t>投标人（盖公章）：</w:t>
      </w:r>
    </w:p>
    <w:p w14:paraId="47C19108">
      <w:pPr>
        <w:pStyle w:val="27"/>
        <w:spacing w:line="400" w:lineRule="exact"/>
        <w:contextualSpacing/>
        <w:rPr>
          <w:rFonts w:hint="eastAsia" w:hAnsi="宋体"/>
          <w:color w:val="auto"/>
          <w:sz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67E5C7E8">
      <w:pPr>
        <w:snapToGrid w:val="0"/>
        <w:spacing w:before="120" w:beforeLines="50" w:after="50" w:line="440" w:lineRule="exact"/>
        <w:jc w:val="left"/>
        <w:rPr>
          <w:rFonts w:hint="eastAsia" w:ascii="宋体" w:hAnsi="宋体"/>
          <w:b/>
          <w:color w:val="auto"/>
          <w:sz w:val="24"/>
          <w:szCs w:val="20"/>
          <w:highlight w:val="none"/>
        </w:rPr>
      </w:pPr>
      <w:r>
        <w:rPr>
          <w:rFonts w:hAnsi="宋体"/>
          <w:color w:val="auto"/>
          <w:highlight w:val="none"/>
          <w:u w:val="single"/>
        </w:rPr>
        <w:br w:type="page"/>
      </w:r>
      <w:r>
        <w:rPr>
          <w:rFonts w:hint="eastAsia" w:ascii="宋体" w:hAnsi="宋体"/>
          <w:b/>
          <w:color w:val="auto"/>
          <w:sz w:val="24"/>
          <w:highlight w:val="none"/>
        </w:rPr>
        <w:t>4. 开标一览表（服务类格式）</w:t>
      </w:r>
    </w:p>
    <w:p w14:paraId="7532ED9D">
      <w:pPr>
        <w:snapToGrid w:val="0"/>
        <w:spacing w:before="50" w:after="50"/>
        <w:jc w:val="center"/>
        <w:rPr>
          <w:rFonts w:hint="eastAsia" w:ascii="宋体" w:hAnsi="宋体"/>
          <w:b/>
          <w:color w:val="auto"/>
          <w:sz w:val="30"/>
          <w:highlight w:val="none"/>
        </w:rPr>
      </w:pPr>
      <w:r>
        <w:rPr>
          <w:rFonts w:hint="eastAsia" w:ascii="宋体" w:hAnsi="宋体"/>
          <w:b/>
          <w:color w:val="auto"/>
          <w:sz w:val="30"/>
          <w:highlight w:val="none"/>
        </w:rPr>
        <w:t>开标一览表</w:t>
      </w:r>
    </w:p>
    <w:p w14:paraId="3DD2942D">
      <w:pPr>
        <w:snapToGrid w:val="0"/>
        <w:spacing w:before="50" w:after="50"/>
        <w:jc w:val="center"/>
        <w:rPr>
          <w:rFonts w:hint="eastAsia" w:ascii="宋体" w:hAnsi="宋体"/>
          <w:b/>
          <w:color w:val="auto"/>
          <w:sz w:val="30"/>
          <w:szCs w:val="20"/>
          <w:highlight w:val="none"/>
        </w:rPr>
      </w:pPr>
    </w:p>
    <w:p w14:paraId="528B4ACD">
      <w:pPr>
        <w:snapToGrid w:val="0"/>
        <w:spacing w:before="50" w:after="50"/>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p>
    <w:p w14:paraId="44C18D1D">
      <w:pPr>
        <w:snapToGrid w:val="0"/>
        <w:spacing w:before="50" w:after="50"/>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tbl>
      <w:tblPr>
        <w:tblStyle w:val="49"/>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3457"/>
        <w:gridCol w:w="1767"/>
        <w:gridCol w:w="1511"/>
        <w:gridCol w:w="1697"/>
      </w:tblGrid>
      <w:tr w14:paraId="0645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504F67ED">
            <w:pPr>
              <w:spacing w:line="312"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序号</w:t>
            </w:r>
          </w:p>
        </w:tc>
        <w:tc>
          <w:tcPr>
            <w:tcW w:w="3457" w:type="dxa"/>
            <w:vAlign w:val="center"/>
          </w:tcPr>
          <w:p w14:paraId="1152D980">
            <w:pPr>
              <w:spacing w:line="312"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标的名称</w:t>
            </w:r>
          </w:p>
        </w:tc>
        <w:tc>
          <w:tcPr>
            <w:tcW w:w="1767" w:type="dxa"/>
            <w:vAlign w:val="center"/>
          </w:tcPr>
          <w:p w14:paraId="326EB448">
            <w:pPr>
              <w:spacing w:line="312"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数量及</w:t>
            </w:r>
          </w:p>
          <w:p w14:paraId="5C06EB26">
            <w:pPr>
              <w:spacing w:line="312"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单位</w:t>
            </w:r>
          </w:p>
        </w:tc>
        <w:tc>
          <w:tcPr>
            <w:tcW w:w="1511" w:type="dxa"/>
            <w:vAlign w:val="center"/>
          </w:tcPr>
          <w:p w14:paraId="1077E51A">
            <w:pPr>
              <w:spacing w:line="312"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单价</w:t>
            </w:r>
          </w:p>
          <w:p w14:paraId="629CD72E">
            <w:pPr>
              <w:spacing w:line="312"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（元）</w:t>
            </w:r>
          </w:p>
        </w:tc>
        <w:tc>
          <w:tcPr>
            <w:tcW w:w="1697" w:type="dxa"/>
            <w:vAlign w:val="center"/>
          </w:tcPr>
          <w:p w14:paraId="35F7FD84">
            <w:pPr>
              <w:spacing w:line="312"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金额</w:t>
            </w:r>
          </w:p>
          <w:p w14:paraId="05C589D2">
            <w:pPr>
              <w:spacing w:line="312"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（元）</w:t>
            </w:r>
          </w:p>
        </w:tc>
      </w:tr>
      <w:tr w14:paraId="61AD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772" w:type="dxa"/>
            <w:vAlign w:val="center"/>
          </w:tcPr>
          <w:p w14:paraId="204804AF">
            <w:pPr>
              <w:widowControl/>
              <w:spacing w:line="360" w:lineRule="exact"/>
              <w:jc w:val="center"/>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1</w:t>
            </w:r>
          </w:p>
        </w:tc>
        <w:tc>
          <w:tcPr>
            <w:tcW w:w="3457" w:type="dxa"/>
            <w:vAlign w:val="center"/>
          </w:tcPr>
          <w:p w14:paraId="05E876EF">
            <w:pPr>
              <w:widowControl/>
              <w:spacing w:line="360" w:lineRule="exact"/>
              <w:jc w:val="left"/>
              <w:rPr>
                <w:rFonts w:hint="eastAsia" w:ascii="宋体" w:hAnsi="宋体" w:cs="宋体"/>
                <w:color w:val="auto"/>
                <w:kern w:val="0"/>
                <w:sz w:val="24"/>
                <w:highlight w:val="none"/>
                <w:shd w:val="clear" w:color="auto" w:fill="FFFFFF"/>
              </w:rPr>
            </w:pPr>
          </w:p>
        </w:tc>
        <w:tc>
          <w:tcPr>
            <w:tcW w:w="1767" w:type="dxa"/>
            <w:vAlign w:val="center"/>
          </w:tcPr>
          <w:p w14:paraId="42275BA2">
            <w:pPr>
              <w:widowControl/>
              <w:spacing w:line="360" w:lineRule="exact"/>
              <w:jc w:val="center"/>
              <w:rPr>
                <w:rFonts w:hint="eastAsia" w:ascii="宋体" w:hAnsi="宋体" w:cs="宋体"/>
                <w:color w:val="auto"/>
                <w:kern w:val="0"/>
                <w:sz w:val="24"/>
                <w:highlight w:val="none"/>
                <w:shd w:val="clear" w:color="auto" w:fill="FFFFFF"/>
              </w:rPr>
            </w:pPr>
          </w:p>
        </w:tc>
        <w:tc>
          <w:tcPr>
            <w:tcW w:w="1511" w:type="dxa"/>
            <w:vAlign w:val="center"/>
          </w:tcPr>
          <w:p w14:paraId="7AF32127">
            <w:pPr>
              <w:spacing w:line="312" w:lineRule="auto"/>
              <w:jc w:val="center"/>
              <w:rPr>
                <w:rFonts w:hint="eastAsia" w:ascii="宋体" w:hAnsi="宋体" w:cs="宋体"/>
                <w:color w:val="auto"/>
                <w:kern w:val="0"/>
                <w:sz w:val="24"/>
                <w:highlight w:val="none"/>
              </w:rPr>
            </w:pPr>
          </w:p>
        </w:tc>
        <w:tc>
          <w:tcPr>
            <w:tcW w:w="1697" w:type="dxa"/>
            <w:vAlign w:val="center"/>
          </w:tcPr>
          <w:p w14:paraId="5C4BC40F">
            <w:pPr>
              <w:spacing w:line="312" w:lineRule="auto"/>
              <w:jc w:val="center"/>
              <w:rPr>
                <w:rFonts w:hint="eastAsia" w:ascii="宋体" w:hAnsi="宋体" w:cs="宋体"/>
                <w:color w:val="auto"/>
                <w:kern w:val="0"/>
                <w:sz w:val="24"/>
                <w:highlight w:val="none"/>
              </w:rPr>
            </w:pPr>
          </w:p>
        </w:tc>
      </w:tr>
      <w:tr w14:paraId="39CB3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9204" w:type="dxa"/>
            <w:gridSpan w:val="5"/>
            <w:vAlign w:val="center"/>
          </w:tcPr>
          <w:p w14:paraId="553DAAB8">
            <w:pPr>
              <w:spacing w:line="312" w:lineRule="auto"/>
              <w:rPr>
                <w:rFonts w:hint="eastAsia" w:ascii="宋体" w:hAnsi="宋体" w:cs="宋体"/>
                <w:color w:val="auto"/>
                <w:sz w:val="24"/>
                <w:highlight w:val="none"/>
              </w:rPr>
            </w:pPr>
            <w:r>
              <w:rPr>
                <w:rFonts w:hint="eastAsia" w:ascii="宋体" w:hAnsi="宋体" w:cs="宋体"/>
                <w:color w:val="auto"/>
                <w:sz w:val="24"/>
                <w:highlight w:val="none"/>
              </w:rPr>
              <w:t>总报价（人民币大写）：</w:t>
            </w:r>
            <w:r>
              <w:rPr>
                <w:rFonts w:hint="eastAsia" w:ascii="宋体" w:hAnsi="宋体" w:cs="宋体"/>
                <w:color w:val="auto"/>
                <w:sz w:val="24"/>
                <w:highlight w:val="none"/>
                <w:u w:val="single"/>
              </w:rPr>
              <w:t xml:space="preserve">                                   （¥            ）</w:t>
            </w:r>
          </w:p>
        </w:tc>
      </w:tr>
    </w:tbl>
    <w:p w14:paraId="45546405">
      <w:pPr>
        <w:snapToGrid w:val="0"/>
        <w:spacing w:before="50" w:after="50"/>
        <w:rPr>
          <w:rFonts w:hint="eastAsia" w:ascii="宋体" w:hAnsi="宋体" w:cs="仿宋_GB2312"/>
          <w:color w:val="auto"/>
          <w:sz w:val="24"/>
          <w:highlight w:val="none"/>
        </w:rPr>
      </w:pPr>
      <w:r>
        <w:rPr>
          <w:rFonts w:hint="eastAsia" w:ascii="宋体" w:hAnsi="宋体"/>
          <w:color w:val="auto"/>
          <w:sz w:val="24"/>
          <w:highlight w:val="none"/>
        </w:rPr>
        <w:t xml:space="preserve">                   </w:t>
      </w:r>
      <w:r>
        <w:rPr>
          <w:rFonts w:hint="eastAsia" w:ascii="宋体" w:hAnsi="宋体" w:cs="仿宋_GB2312"/>
          <w:color w:val="auto"/>
          <w:sz w:val="24"/>
          <w:highlight w:val="none"/>
        </w:rPr>
        <w:t xml:space="preserve">                                        </w:t>
      </w:r>
    </w:p>
    <w:p w14:paraId="518DE291">
      <w:pPr>
        <w:snapToGrid w:val="0"/>
        <w:spacing w:before="50" w:after="50"/>
        <w:jc w:val="left"/>
        <w:rPr>
          <w:rFonts w:hint="eastAsia" w:ascii="宋体" w:hAnsi="宋体"/>
          <w:color w:val="auto"/>
          <w:sz w:val="24"/>
          <w:highlight w:val="none"/>
        </w:rPr>
      </w:pPr>
      <w:r>
        <w:rPr>
          <w:rFonts w:hint="eastAsia" w:ascii="宋体" w:hAnsi="宋体"/>
          <w:color w:val="auto"/>
          <w:sz w:val="24"/>
          <w:highlight w:val="none"/>
        </w:rPr>
        <w:t xml:space="preserve">注: </w:t>
      </w:r>
    </w:p>
    <w:p w14:paraId="4B39AAD8">
      <w:pPr>
        <w:snapToGrid w:val="0"/>
        <w:spacing w:before="50" w:after="50"/>
        <w:ind w:firstLine="480" w:firstLineChars="200"/>
        <w:jc w:val="left"/>
        <w:rPr>
          <w:rFonts w:hint="eastAsia" w:ascii="宋体" w:hAnsi="宋体"/>
          <w:color w:val="auto"/>
          <w:sz w:val="24"/>
          <w:highlight w:val="none"/>
        </w:rPr>
      </w:pPr>
      <w:r>
        <w:rPr>
          <w:rFonts w:hint="eastAsia" w:ascii="宋体" w:hAnsi="宋体"/>
          <w:color w:val="auto"/>
          <w:sz w:val="24"/>
          <w:highlight w:val="none"/>
        </w:rPr>
        <w:t>1.投标人的开标一览表必须加盖投标人公章并由</w:t>
      </w:r>
      <w:r>
        <w:rPr>
          <w:rFonts w:ascii="宋体" w:hAnsi="宋体"/>
          <w:color w:val="auto"/>
          <w:sz w:val="24"/>
          <w:highlight w:val="none"/>
        </w:rPr>
        <w:t>法定代表人或者委托代理人</w:t>
      </w:r>
      <w:r>
        <w:rPr>
          <w:rFonts w:hint="eastAsia" w:ascii="宋体" w:hAnsi="宋体"/>
          <w:color w:val="auto"/>
          <w:sz w:val="24"/>
          <w:highlight w:val="none"/>
        </w:rPr>
        <w:t>签字，</w:t>
      </w:r>
      <w:r>
        <w:rPr>
          <w:rFonts w:hint="eastAsia" w:ascii="宋体" w:hAnsi="宋体"/>
          <w:b/>
          <w:color w:val="auto"/>
          <w:sz w:val="24"/>
          <w:highlight w:val="none"/>
        </w:rPr>
        <w:t>否则其投标作无效标处理</w:t>
      </w:r>
      <w:r>
        <w:rPr>
          <w:rFonts w:hint="eastAsia" w:ascii="宋体" w:hAnsi="宋体"/>
          <w:color w:val="auto"/>
          <w:sz w:val="24"/>
          <w:highlight w:val="none"/>
        </w:rPr>
        <w:t>。</w:t>
      </w:r>
    </w:p>
    <w:p w14:paraId="7E5BF5F5">
      <w:pPr>
        <w:snapToGrid w:val="0"/>
        <w:spacing w:before="50" w:after="50"/>
        <w:ind w:firstLine="480" w:firstLineChars="200"/>
        <w:jc w:val="left"/>
        <w:rPr>
          <w:rFonts w:hint="eastAsia" w:ascii="宋体" w:hAnsi="宋体"/>
          <w:b/>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报价一经涂改，应在涂改处加盖投标人公章或者由法定代表人或者委托代理人签字或者盖章</w:t>
      </w:r>
      <w:r>
        <w:rPr>
          <w:rFonts w:hint="eastAsia" w:ascii="宋体" w:hAnsi="宋体"/>
          <w:b/>
          <w:color w:val="auto"/>
          <w:sz w:val="24"/>
          <w:highlight w:val="none"/>
        </w:rPr>
        <w:t>，否则其投标作无效标处理。</w:t>
      </w:r>
    </w:p>
    <w:p w14:paraId="28F7C1E0">
      <w:pPr>
        <w:snapToGrid w:val="0"/>
        <w:spacing w:before="50" w:after="50"/>
        <w:ind w:firstLine="480" w:firstLineChars="200"/>
        <w:jc w:val="left"/>
        <w:rPr>
          <w:rFonts w:hint="eastAsia" w:ascii="宋体" w:hAnsi="宋体"/>
          <w:color w:val="auto"/>
          <w:sz w:val="24"/>
          <w:highlight w:val="none"/>
        </w:rPr>
      </w:pPr>
      <w:r>
        <w:rPr>
          <w:rFonts w:hint="eastAsia" w:ascii="宋体" w:hAnsi="宋体"/>
          <w:color w:val="auto"/>
          <w:sz w:val="24"/>
          <w:highlight w:val="none"/>
        </w:rPr>
        <w:t>3.如为联合体投标，“投标人名称”处必须列明联合体各方名称，并标注联合体牵头人名称，</w:t>
      </w:r>
      <w:r>
        <w:rPr>
          <w:rFonts w:hint="eastAsia" w:ascii="宋体" w:hAnsi="宋体"/>
          <w:b/>
          <w:color w:val="auto"/>
          <w:sz w:val="24"/>
          <w:highlight w:val="none"/>
        </w:rPr>
        <w:t>否则其投标作无效标处理。</w:t>
      </w:r>
    </w:p>
    <w:p w14:paraId="43D56A3E">
      <w:pPr>
        <w:snapToGrid w:val="0"/>
        <w:spacing w:before="50" w:after="50"/>
        <w:ind w:firstLine="456" w:firstLineChars="200"/>
        <w:jc w:val="left"/>
        <w:rPr>
          <w:rFonts w:hint="eastAsia" w:ascii="宋体" w:hAnsi="宋体"/>
          <w:color w:val="auto"/>
          <w:spacing w:val="-6"/>
          <w:sz w:val="24"/>
          <w:highlight w:val="none"/>
        </w:rPr>
      </w:pPr>
      <w:r>
        <w:rPr>
          <w:rFonts w:hint="eastAsia" w:ascii="宋体" w:hAnsi="宋体"/>
          <w:color w:val="auto"/>
          <w:spacing w:val="-6"/>
          <w:sz w:val="24"/>
          <w:highlight w:val="none"/>
        </w:rPr>
        <w:t>4.如为联合体投标，盖章处须加盖联合体各方公章，</w:t>
      </w:r>
      <w:r>
        <w:rPr>
          <w:rFonts w:hint="eastAsia" w:ascii="宋体" w:hAnsi="宋体"/>
          <w:b/>
          <w:color w:val="auto"/>
          <w:spacing w:val="-6"/>
          <w:sz w:val="24"/>
          <w:highlight w:val="none"/>
        </w:rPr>
        <w:t>否则其投标作无效标处理。</w:t>
      </w:r>
    </w:p>
    <w:p w14:paraId="6D59AB61">
      <w:pPr>
        <w:snapToGrid w:val="0"/>
        <w:spacing w:before="50" w:after="50"/>
        <w:ind w:firstLine="480" w:firstLineChars="200"/>
        <w:rPr>
          <w:rFonts w:hint="eastAsia" w:ascii="宋体" w:hAnsi="宋体"/>
          <w:b/>
          <w:color w:val="auto"/>
          <w:sz w:val="24"/>
          <w:highlight w:val="none"/>
        </w:rPr>
      </w:pPr>
      <w:r>
        <w:rPr>
          <w:rFonts w:hint="eastAsia" w:ascii="宋体" w:hAnsi="宋体"/>
          <w:color w:val="auto"/>
          <w:sz w:val="24"/>
          <w:highlight w:val="none"/>
        </w:rPr>
        <w:t>5.如有多分标，按分标分别提供开标一览表，</w:t>
      </w:r>
      <w:r>
        <w:rPr>
          <w:rFonts w:hint="eastAsia" w:ascii="宋体" w:hAnsi="宋体"/>
          <w:b/>
          <w:color w:val="auto"/>
          <w:sz w:val="24"/>
          <w:highlight w:val="none"/>
        </w:rPr>
        <w:t>否则投标无效。</w:t>
      </w:r>
    </w:p>
    <w:p w14:paraId="2410A6CB">
      <w:pPr>
        <w:snapToGrid w:val="0"/>
        <w:spacing w:before="50" w:after="50"/>
        <w:ind w:firstLine="482" w:firstLineChars="200"/>
        <w:rPr>
          <w:rFonts w:hint="eastAsia" w:ascii="宋体" w:hAnsi="宋体"/>
          <w:b/>
          <w:color w:val="auto"/>
          <w:sz w:val="24"/>
          <w:highlight w:val="none"/>
        </w:rPr>
      </w:pPr>
    </w:p>
    <w:p w14:paraId="2DDB8BA5">
      <w:pPr>
        <w:snapToGrid w:val="0"/>
        <w:spacing w:before="50" w:after="50"/>
        <w:ind w:left="-2" w:leftChars="-1" w:right="-817" w:rightChars="-389"/>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                    </w:t>
      </w:r>
    </w:p>
    <w:p w14:paraId="5A8900DF">
      <w:pPr>
        <w:snapToGrid w:val="0"/>
        <w:spacing w:before="50" w:after="50"/>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投标人（盖公章）：                                 日期：    年   月   日</w:t>
      </w:r>
    </w:p>
    <w:p w14:paraId="54F3533C">
      <w:pPr>
        <w:snapToGrid w:val="0"/>
        <w:spacing w:before="50" w:after="50" w:line="360" w:lineRule="auto"/>
        <w:ind w:left="3" w:leftChars="-15" w:right="-817" w:rightChars="-389" w:hanging="34" w:hangingChars="12"/>
        <w:rPr>
          <w:b/>
          <w:color w:val="auto"/>
          <w:sz w:val="28"/>
          <w:szCs w:val="28"/>
          <w:highlight w:val="none"/>
        </w:rPr>
      </w:pPr>
      <w:bookmarkStart w:id="154" w:name="_Toc19686837"/>
      <w:r>
        <w:rPr>
          <w:rFonts w:hint="eastAsia"/>
          <w:b/>
          <w:color w:val="auto"/>
          <w:sz w:val="28"/>
          <w:szCs w:val="28"/>
          <w:highlight w:val="none"/>
        </w:rPr>
        <w:br w:type="page"/>
      </w:r>
      <w:r>
        <w:rPr>
          <w:rFonts w:hint="eastAsia"/>
          <w:b/>
          <w:color w:val="auto"/>
          <w:sz w:val="28"/>
          <w:szCs w:val="28"/>
          <w:highlight w:val="none"/>
        </w:rPr>
        <w:t>二、资格证明文件格式</w:t>
      </w:r>
      <w:bookmarkEnd w:id="152"/>
      <w:bookmarkEnd w:id="153"/>
      <w:bookmarkEnd w:id="154"/>
    </w:p>
    <w:p w14:paraId="15CD180A">
      <w:pPr>
        <w:numPr>
          <w:ilvl w:val="2"/>
          <w:numId w:val="8"/>
        </w:numPr>
        <w:snapToGrid w:val="0"/>
        <w:spacing w:before="120" w:beforeLines="50" w:after="50" w:line="360" w:lineRule="auto"/>
        <w:ind w:left="0" w:firstLine="0"/>
        <w:jc w:val="left"/>
        <w:rPr>
          <w:rFonts w:hint="eastAsia" w:ascii="宋体" w:hAnsi="宋体"/>
          <w:b/>
          <w:color w:val="auto"/>
          <w:sz w:val="24"/>
          <w:highlight w:val="none"/>
        </w:rPr>
      </w:pPr>
      <w:r>
        <w:rPr>
          <w:rFonts w:hint="eastAsia" w:ascii="宋体" w:hAnsi="宋体"/>
          <w:b/>
          <w:color w:val="auto"/>
          <w:sz w:val="24"/>
          <w:highlight w:val="none"/>
        </w:rPr>
        <w:t xml:space="preserve">资格证明文件封面格式： </w:t>
      </w:r>
    </w:p>
    <w:p w14:paraId="781FF90B">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7DA20AC9">
      <w:pPr>
        <w:snapToGrid w:val="0"/>
        <w:spacing w:before="120" w:beforeLines="50" w:after="50"/>
        <w:rPr>
          <w:rFonts w:hint="eastAsia" w:ascii="宋体" w:hAnsi="宋体"/>
          <w:color w:val="auto"/>
          <w:sz w:val="24"/>
          <w:szCs w:val="20"/>
          <w:highlight w:val="none"/>
        </w:rPr>
      </w:pPr>
    </w:p>
    <w:p w14:paraId="4C84C185">
      <w:pPr>
        <w:snapToGrid w:val="0"/>
        <w:spacing w:before="120" w:beforeLines="50" w:after="50"/>
        <w:rPr>
          <w:rFonts w:hint="eastAsia" w:ascii="宋体" w:hAnsi="宋体"/>
          <w:color w:val="auto"/>
          <w:sz w:val="24"/>
          <w:szCs w:val="20"/>
          <w:highlight w:val="none"/>
        </w:rPr>
      </w:pPr>
    </w:p>
    <w:p w14:paraId="1C00F8F0">
      <w:pPr>
        <w:snapToGrid w:val="0"/>
        <w:spacing w:before="120" w:beforeLines="50" w:after="50"/>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投  标  文  件</w:t>
      </w:r>
    </w:p>
    <w:p w14:paraId="6C5ADF0F">
      <w:pPr>
        <w:snapToGrid w:val="0"/>
        <w:spacing w:before="120" w:beforeLines="50" w:after="50"/>
        <w:rPr>
          <w:rFonts w:hint="eastAsia" w:ascii="宋体" w:hAnsi="宋体"/>
          <w:color w:val="auto"/>
          <w:sz w:val="24"/>
          <w:szCs w:val="20"/>
          <w:highlight w:val="none"/>
        </w:rPr>
      </w:pPr>
    </w:p>
    <w:p w14:paraId="752C346A">
      <w:pPr>
        <w:snapToGrid w:val="0"/>
        <w:spacing w:before="120" w:beforeLines="50" w:after="50"/>
        <w:rPr>
          <w:rFonts w:hint="eastAsia" w:ascii="宋体" w:hAnsi="宋体"/>
          <w:color w:val="auto"/>
          <w:sz w:val="24"/>
          <w:szCs w:val="20"/>
          <w:highlight w:val="none"/>
        </w:rPr>
      </w:pPr>
    </w:p>
    <w:p w14:paraId="3BE3AAFD">
      <w:pPr>
        <w:snapToGrid w:val="0"/>
        <w:spacing w:before="120"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 格 证 明 文 件</w:t>
      </w:r>
    </w:p>
    <w:p w14:paraId="282375B7">
      <w:pPr>
        <w:snapToGrid w:val="0"/>
        <w:spacing w:before="120" w:beforeLines="50" w:after="50"/>
        <w:rPr>
          <w:rFonts w:hint="eastAsia" w:ascii="宋体" w:hAnsi="宋体"/>
          <w:bCs/>
          <w:color w:val="auto"/>
          <w:sz w:val="24"/>
          <w:szCs w:val="20"/>
          <w:highlight w:val="none"/>
        </w:rPr>
      </w:pPr>
    </w:p>
    <w:p w14:paraId="7367C418">
      <w:pPr>
        <w:snapToGrid w:val="0"/>
        <w:spacing w:before="120" w:beforeLines="50" w:after="50"/>
        <w:rPr>
          <w:rFonts w:hint="eastAsia" w:ascii="宋体" w:hAnsi="宋体"/>
          <w:bCs/>
          <w:color w:val="auto"/>
          <w:sz w:val="24"/>
          <w:szCs w:val="20"/>
          <w:highlight w:val="none"/>
        </w:rPr>
      </w:pPr>
    </w:p>
    <w:p w14:paraId="6EDACC05">
      <w:pPr>
        <w:snapToGrid w:val="0"/>
        <w:spacing w:before="120" w:beforeLines="50" w:after="50"/>
        <w:rPr>
          <w:rFonts w:hint="eastAsia" w:ascii="宋体" w:hAnsi="宋体"/>
          <w:bCs/>
          <w:color w:val="auto"/>
          <w:sz w:val="24"/>
          <w:szCs w:val="20"/>
          <w:highlight w:val="none"/>
        </w:rPr>
      </w:pPr>
    </w:p>
    <w:p w14:paraId="5AD1CD08">
      <w:pPr>
        <w:snapToGrid w:val="0"/>
        <w:spacing w:before="120" w:beforeLines="50" w:after="50"/>
        <w:rPr>
          <w:rFonts w:hint="eastAsia" w:ascii="宋体" w:hAnsi="宋体"/>
          <w:bCs/>
          <w:color w:val="auto"/>
          <w:sz w:val="24"/>
          <w:szCs w:val="20"/>
          <w:highlight w:val="none"/>
        </w:rPr>
      </w:pPr>
    </w:p>
    <w:p w14:paraId="3DB3976E">
      <w:pPr>
        <w:snapToGrid w:val="0"/>
        <w:spacing w:before="120" w:beforeLines="50" w:after="50"/>
        <w:rPr>
          <w:rFonts w:hint="eastAsia" w:ascii="宋体" w:hAnsi="宋体"/>
          <w:bCs/>
          <w:color w:val="auto"/>
          <w:sz w:val="24"/>
          <w:szCs w:val="20"/>
          <w:highlight w:val="none"/>
        </w:rPr>
      </w:pPr>
    </w:p>
    <w:p w14:paraId="2DC5238A">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7EF13108">
      <w:pPr>
        <w:snapToGrid w:val="0"/>
        <w:spacing w:before="120" w:beforeLines="50" w:after="50"/>
        <w:ind w:firstLine="540" w:firstLineChars="225"/>
        <w:rPr>
          <w:rFonts w:hint="eastAsia" w:ascii="宋体" w:hAnsi="宋体"/>
          <w:bCs/>
          <w:color w:val="auto"/>
          <w:sz w:val="24"/>
          <w:szCs w:val="20"/>
          <w:highlight w:val="none"/>
        </w:rPr>
      </w:pPr>
    </w:p>
    <w:p w14:paraId="05F30030">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565AE3B7">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77DEB8BF">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所投分标：如有</w:t>
      </w:r>
    </w:p>
    <w:p w14:paraId="36626C5A">
      <w:pPr>
        <w:pStyle w:val="8"/>
        <w:snapToGrid w:val="0"/>
        <w:spacing w:before="50" w:after="50"/>
        <w:ind w:firstLine="540" w:firstLineChars="225"/>
        <w:rPr>
          <w:rFonts w:hint="eastAsia" w:ascii="宋体" w:hAnsi="宋体"/>
          <w:bCs/>
          <w:color w:val="auto"/>
          <w:sz w:val="24"/>
          <w:szCs w:val="24"/>
          <w:highlight w:val="none"/>
        </w:rPr>
      </w:pPr>
    </w:p>
    <w:p w14:paraId="78E380FF">
      <w:pPr>
        <w:pStyle w:val="8"/>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4AD8C1B4">
      <w:pPr>
        <w:pStyle w:val="8"/>
        <w:snapToGrid w:val="0"/>
        <w:spacing w:before="50" w:after="50"/>
        <w:ind w:firstLine="540" w:firstLineChars="225"/>
        <w:rPr>
          <w:rFonts w:hint="eastAsia" w:ascii="宋体" w:hAnsi="宋体"/>
          <w:bCs/>
          <w:color w:val="auto"/>
          <w:sz w:val="24"/>
          <w:szCs w:val="24"/>
          <w:highlight w:val="none"/>
        </w:rPr>
      </w:pPr>
    </w:p>
    <w:p w14:paraId="788BF506">
      <w:pPr>
        <w:pStyle w:val="8"/>
        <w:snapToGrid w:val="0"/>
        <w:spacing w:before="50" w:after="50"/>
        <w:ind w:firstLine="960" w:firstLineChars="400"/>
        <w:rPr>
          <w:rFonts w:hint="eastAsia" w:ascii="宋体" w:hAnsi="宋体"/>
          <w:bCs/>
          <w:color w:val="auto"/>
          <w:sz w:val="24"/>
          <w:szCs w:val="24"/>
          <w:highlight w:val="none"/>
        </w:rPr>
      </w:pPr>
    </w:p>
    <w:p w14:paraId="2C43D0D5">
      <w:pPr>
        <w:snapToGrid w:val="0"/>
        <w:spacing w:before="120" w:beforeLines="50" w:after="50"/>
        <w:ind w:firstLine="645"/>
        <w:jc w:val="center"/>
        <w:rPr>
          <w:rFonts w:hint="eastAsia" w:ascii="宋体" w:hAnsi="宋体"/>
          <w:color w:val="auto"/>
          <w:sz w:val="24"/>
          <w:highlight w:val="none"/>
        </w:rPr>
      </w:pPr>
      <w:r>
        <w:rPr>
          <w:rFonts w:hint="eastAsia" w:ascii="宋体" w:hAnsi="宋体"/>
          <w:color w:val="auto"/>
          <w:sz w:val="24"/>
          <w:highlight w:val="none"/>
        </w:rPr>
        <w:t>年  月  日</w:t>
      </w:r>
    </w:p>
    <w:p w14:paraId="40AF335A">
      <w:pPr>
        <w:snapToGrid w:val="0"/>
        <w:spacing w:before="120" w:beforeLines="50" w:after="50"/>
        <w:rPr>
          <w:rFonts w:hint="eastAsia" w:ascii="宋体" w:hAnsi="宋体"/>
          <w:color w:val="auto"/>
          <w:sz w:val="24"/>
          <w:szCs w:val="20"/>
          <w:highlight w:val="none"/>
        </w:rPr>
      </w:pPr>
      <w:r>
        <w:rPr>
          <w:rFonts w:ascii="宋体" w:hAnsi="宋体"/>
          <w:color w:val="auto"/>
          <w:sz w:val="24"/>
          <w:szCs w:val="20"/>
          <w:highlight w:val="none"/>
        </w:rPr>
        <w:t xml:space="preserve"> </w:t>
      </w:r>
    </w:p>
    <w:p w14:paraId="1C51D179">
      <w:pPr>
        <w:snapToGrid w:val="0"/>
        <w:spacing w:before="120" w:beforeLines="50" w:after="50"/>
        <w:rPr>
          <w:rFonts w:hint="eastAsia" w:ascii="宋体" w:hAnsi="宋体"/>
          <w:color w:val="auto"/>
          <w:sz w:val="24"/>
          <w:szCs w:val="20"/>
          <w:highlight w:val="none"/>
        </w:rPr>
      </w:pPr>
    </w:p>
    <w:p w14:paraId="09DDD744">
      <w:pPr>
        <w:numPr>
          <w:ilvl w:val="2"/>
          <w:numId w:val="8"/>
        </w:numPr>
        <w:snapToGrid w:val="0"/>
        <w:spacing w:before="120" w:beforeLines="50" w:after="50" w:line="360" w:lineRule="auto"/>
        <w:ind w:left="0" w:firstLine="0"/>
        <w:jc w:val="left"/>
        <w:rPr>
          <w:rFonts w:hint="eastAsia"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资格证明文件目录</w:t>
      </w:r>
    </w:p>
    <w:p w14:paraId="1E980A0C">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49C626A1">
      <w:pPr>
        <w:autoSpaceDE w:val="0"/>
        <w:autoSpaceDN w:val="0"/>
        <w:snapToGrid w:val="0"/>
        <w:spacing w:line="400" w:lineRule="exact"/>
        <w:textAlignment w:val="bottom"/>
        <w:rPr>
          <w:rFonts w:hint="eastAsia" w:ascii="宋体" w:hAnsi="宋体"/>
          <w:b/>
          <w:color w:val="auto"/>
          <w:szCs w:val="21"/>
          <w:highlight w:val="none"/>
        </w:rPr>
      </w:pPr>
      <w:r>
        <w:rPr>
          <w:rFonts w:hint="eastAsia" w:ascii="宋体" w:hAnsi="宋体" w:cs="宋体"/>
          <w:color w:val="auto"/>
          <w:szCs w:val="21"/>
          <w:highlight w:val="none"/>
        </w:rPr>
        <w:t>1、投标人为法人或者其他组织的，</w:t>
      </w:r>
      <w:r>
        <w:rPr>
          <w:rFonts w:hint="eastAsia" w:ascii="宋体" w:hAnsi="宋体"/>
          <w:color w:val="auto"/>
          <w:szCs w:val="21"/>
          <w:highlight w:val="none"/>
        </w:rPr>
        <w:t>证明文件为其营业执照复印件（如营业执照或者事业单位法人证书或者执业许可证等）；投标人为自然人的，证明文件为其身份证复印件；</w:t>
      </w:r>
      <w:r>
        <w:rPr>
          <w:rFonts w:ascii="Arial" w:hAnsi="Arial" w:cs="Arial"/>
          <w:b/>
          <w:color w:val="auto"/>
          <w:szCs w:val="21"/>
          <w:highlight w:val="none"/>
        </w:rPr>
        <w:t>…………………………</w:t>
      </w:r>
      <w:r>
        <w:rPr>
          <w:rFonts w:hint="eastAsia" w:ascii="Arial" w:hAnsi="Arial" w:cs="Arial"/>
          <w:b/>
          <w:color w:val="auto"/>
          <w:szCs w:val="21"/>
          <w:highlight w:val="none"/>
        </w:rPr>
        <w:t>页码</w:t>
      </w:r>
    </w:p>
    <w:p w14:paraId="51C4D823">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2、投标人依法缴纳税收的相关材料</w:t>
      </w:r>
      <w:r>
        <w:rPr>
          <w:rFonts w:ascii="Arial" w:hAnsi="Arial" w:cs="Arial"/>
          <w:b/>
          <w:color w:val="auto"/>
          <w:szCs w:val="21"/>
          <w:highlight w:val="none"/>
        </w:rPr>
        <w:t>…………………………</w:t>
      </w:r>
      <w:r>
        <w:rPr>
          <w:rFonts w:hint="eastAsia" w:ascii="Arial" w:hAnsi="Arial" w:cs="Arial"/>
          <w:b/>
          <w:color w:val="auto"/>
          <w:szCs w:val="21"/>
          <w:highlight w:val="none"/>
        </w:rPr>
        <w:t>页码</w:t>
      </w:r>
    </w:p>
    <w:p w14:paraId="07A494E7">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3、投标人依法缴纳社会保障资金的相关材料</w:t>
      </w:r>
      <w:r>
        <w:rPr>
          <w:rFonts w:ascii="Arial" w:hAnsi="Arial" w:cs="Arial"/>
          <w:b/>
          <w:color w:val="auto"/>
          <w:szCs w:val="21"/>
          <w:highlight w:val="none"/>
        </w:rPr>
        <w:t>…………………………</w:t>
      </w:r>
      <w:r>
        <w:rPr>
          <w:rFonts w:hint="eastAsia" w:ascii="Arial" w:hAnsi="Arial" w:cs="Arial"/>
          <w:b/>
          <w:color w:val="auto"/>
          <w:szCs w:val="21"/>
          <w:highlight w:val="none"/>
        </w:rPr>
        <w:t>页码</w:t>
      </w:r>
    </w:p>
    <w:p w14:paraId="4FF121C2">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4、投标人财务状况报告</w:t>
      </w:r>
      <w:r>
        <w:rPr>
          <w:rFonts w:ascii="Arial" w:hAnsi="Arial" w:cs="Arial"/>
          <w:b/>
          <w:color w:val="auto"/>
          <w:szCs w:val="21"/>
          <w:highlight w:val="none"/>
        </w:rPr>
        <w:t>…………………………</w:t>
      </w:r>
      <w:r>
        <w:rPr>
          <w:rFonts w:hint="eastAsia" w:ascii="Arial" w:hAnsi="Arial" w:cs="Arial"/>
          <w:b/>
          <w:color w:val="auto"/>
          <w:szCs w:val="21"/>
          <w:highlight w:val="none"/>
        </w:rPr>
        <w:t>页码</w:t>
      </w:r>
    </w:p>
    <w:p w14:paraId="70A8E006">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5、投标人直接控股、管理关系信息表</w:t>
      </w:r>
      <w:r>
        <w:rPr>
          <w:rFonts w:ascii="Arial" w:hAnsi="Arial" w:cs="Arial"/>
          <w:b/>
          <w:color w:val="auto"/>
          <w:szCs w:val="21"/>
          <w:highlight w:val="none"/>
        </w:rPr>
        <w:t>…………………………</w:t>
      </w:r>
      <w:r>
        <w:rPr>
          <w:rFonts w:hint="eastAsia" w:ascii="Arial" w:hAnsi="Arial" w:cs="Arial"/>
          <w:b/>
          <w:color w:val="auto"/>
          <w:szCs w:val="21"/>
          <w:highlight w:val="none"/>
        </w:rPr>
        <w:t>页码</w:t>
      </w:r>
    </w:p>
    <w:p w14:paraId="19A72A23">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6、投标声明</w:t>
      </w:r>
      <w:r>
        <w:rPr>
          <w:rFonts w:ascii="Arial" w:hAnsi="Arial" w:cs="Arial"/>
          <w:b/>
          <w:color w:val="auto"/>
          <w:szCs w:val="21"/>
          <w:highlight w:val="none"/>
        </w:rPr>
        <w:t>…………………………</w:t>
      </w:r>
      <w:r>
        <w:rPr>
          <w:rFonts w:hint="eastAsia" w:ascii="Arial" w:hAnsi="Arial" w:cs="Arial"/>
          <w:b/>
          <w:color w:val="auto"/>
          <w:szCs w:val="21"/>
          <w:highlight w:val="none"/>
        </w:rPr>
        <w:t>页码</w:t>
      </w:r>
    </w:p>
    <w:p w14:paraId="3D08402E">
      <w:pPr>
        <w:pStyle w:val="85"/>
        <w:rPr>
          <w:rFonts w:hint="eastAsia" w:ascii="宋体" w:hAnsi="宋体"/>
          <w:b/>
          <w:bCs w:val="0"/>
          <w:color w:val="auto"/>
          <w:szCs w:val="21"/>
          <w:highlight w:val="none"/>
        </w:rPr>
      </w:pPr>
      <w:r>
        <w:rPr>
          <w:rFonts w:hint="eastAsia" w:ascii="宋体" w:hAnsi="宋体" w:cs="宋体"/>
          <w:bCs w:val="0"/>
          <w:color w:val="auto"/>
          <w:spacing w:val="0"/>
          <w:kern w:val="2"/>
          <w:sz w:val="21"/>
          <w:szCs w:val="21"/>
          <w:highlight w:val="none"/>
        </w:rPr>
        <w:t>7、除招标文件规定必须提供以外，投标人认为需要提供的其他证明材料。</w:t>
      </w:r>
      <w:r>
        <w:rPr>
          <w:rFonts w:ascii="Arial" w:hAnsi="Arial" w:cs="Arial"/>
          <w:b/>
          <w:color w:val="auto"/>
          <w:szCs w:val="21"/>
          <w:highlight w:val="none"/>
        </w:rPr>
        <w:t>……………</w:t>
      </w:r>
      <w:r>
        <w:rPr>
          <w:rFonts w:hint="eastAsia" w:ascii="Arial" w:hAnsi="Arial" w:cs="Arial"/>
          <w:b/>
          <w:color w:val="auto"/>
          <w:szCs w:val="21"/>
          <w:highlight w:val="none"/>
        </w:rPr>
        <w:t>页码</w:t>
      </w:r>
    </w:p>
    <w:p w14:paraId="0092F8C9">
      <w:pPr>
        <w:snapToGrid w:val="0"/>
        <w:spacing w:before="50" w:after="120" w:afterLines="50"/>
        <w:jc w:val="left"/>
        <w:rPr>
          <w:rFonts w:hint="eastAsia" w:ascii="宋体" w:hAnsi="宋体"/>
          <w:color w:val="auto"/>
          <w:sz w:val="24"/>
          <w:highlight w:val="none"/>
        </w:rPr>
      </w:pPr>
    </w:p>
    <w:p w14:paraId="215EE2DB">
      <w:pPr>
        <w:snapToGrid w:val="0"/>
        <w:spacing w:before="50" w:after="120" w:afterLines="50"/>
        <w:jc w:val="left"/>
        <w:rPr>
          <w:rFonts w:hint="eastAsia" w:ascii="宋体" w:hAnsi="宋体"/>
          <w:color w:val="auto"/>
          <w:sz w:val="24"/>
          <w:highlight w:val="none"/>
        </w:rPr>
      </w:pPr>
    </w:p>
    <w:p w14:paraId="5031A900">
      <w:pPr>
        <w:numPr>
          <w:ilvl w:val="2"/>
          <w:numId w:val="8"/>
        </w:numPr>
        <w:snapToGrid w:val="0"/>
        <w:spacing w:before="120" w:beforeLines="50" w:after="50"/>
        <w:ind w:left="0" w:firstLine="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8"/>
          <w:szCs w:val="28"/>
          <w:highlight w:val="none"/>
        </w:rPr>
        <w:t>投标人直接控股、管理关系信息表</w:t>
      </w:r>
    </w:p>
    <w:p w14:paraId="1C2D483F">
      <w:pPr>
        <w:snapToGrid w:val="0"/>
        <w:spacing w:before="50" w:after="120" w:afterLines="50"/>
        <w:jc w:val="center"/>
        <w:rPr>
          <w:rFonts w:hint="eastAsia" w:ascii="宋体" w:hAnsi="宋体"/>
          <w:b/>
          <w:color w:val="auto"/>
          <w:sz w:val="28"/>
          <w:szCs w:val="28"/>
          <w:highlight w:val="none"/>
        </w:rPr>
      </w:pPr>
    </w:p>
    <w:p w14:paraId="10394F96">
      <w:pPr>
        <w:snapToGrid w:val="0"/>
        <w:spacing w:before="50" w:after="120" w:afterLines="5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49"/>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02B55068">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1AEF7E6">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68F431">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6CDA23">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F9557D">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51A861">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EA0727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DA5DFB">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542281">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BC81CE">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CC857D">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29FB73">
            <w:pPr>
              <w:spacing w:line="360" w:lineRule="auto"/>
              <w:jc w:val="center"/>
              <w:rPr>
                <w:rFonts w:hint="eastAsia" w:ascii="宋体" w:hAnsi="宋体" w:cs="宋体"/>
                <w:color w:val="auto"/>
                <w:kern w:val="0"/>
                <w:sz w:val="24"/>
                <w:highlight w:val="none"/>
              </w:rPr>
            </w:pPr>
          </w:p>
        </w:tc>
      </w:tr>
      <w:tr w14:paraId="2BEA5D84">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5463FF">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8D17E2">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DA28D1">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5CD375">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29212C">
            <w:pPr>
              <w:spacing w:line="360" w:lineRule="auto"/>
              <w:jc w:val="center"/>
              <w:rPr>
                <w:rFonts w:hint="eastAsia" w:ascii="宋体" w:hAnsi="宋体" w:cs="宋体"/>
                <w:color w:val="auto"/>
                <w:kern w:val="0"/>
                <w:sz w:val="24"/>
                <w:highlight w:val="none"/>
              </w:rPr>
            </w:pPr>
          </w:p>
        </w:tc>
      </w:tr>
      <w:tr w14:paraId="17A8E72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126432">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9ACACD">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62DEE3">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0D57B8">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EB22F5">
            <w:pPr>
              <w:spacing w:line="360" w:lineRule="auto"/>
              <w:jc w:val="center"/>
              <w:rPr>
                <w:rFonts w:hint="eastAsia" w:ascii="宋体" w:hAnsi="宋体" w:cs="宋体"/>
                <w:color w:val="auto"/>
                <w:kern w:val="0"/>
                <w:sz w:val="24"/>
                <w:highlight w:val="none"/>
              </w:rPr>
            </w:pPr>
          </w:p>
        </w:tc>
      </w:tr>
      <w:tr w14:paraId="3BA719A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B9587A">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8423D3">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5F37E2">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EFB80A">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74106D">
            <w:pPr>
              <w:spacing w:line="360" w:lineRule="auto"/>
              <w:jc w:val="center"/>
              <w:rPr>
                <w:rFonts w:hint="eastAsia" w:ascii="宋体" w:hAnsi="宋体" w:cs="宋体"/>
                <w:color w:val="auto"/>
                <w:kern w:val="0"/>
                <w:sz w:val="24"/>
                <w:highlight w:val="none"/>
              </w:rPr>
            </w:pPr>
          </w:p>
        </w:tc>
      </w:tr>
    </w:tbl>
    <w:p w14:paraId="1490502C">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7F607169">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1EBC9A6">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3DA3AC90">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3.投标人不存在直接控股股东的，则填“无”。</w:t>
      </w:r>
    </w:p>
    <w:p w14:paraId="4B1FE030">
      <w:pPr>
        <w:snapToGrid w:val="0"/>
        <w:spacing w:line="360" w:lineRule="auto"/>
        <w:jc w:val="left"/>
        <w:rPr>
          <w:rFonts w:hint="eastAsia" w:ascii="宋体" w:hAnsi="宋体"/>
          <w:color w:val="auto"/>
          <w:sz w:val="24"/>
          <w:highlight w:val="none"/>
        </w:rPr>
      </w:pPr>
    </w:p>
    <w:p w14:paraId="20E85D0B">
      <w:pPr>
        <w:snapToGrid w:val="0"/>
        <w:spacing w:line="360" w:lineRule="auto"/>
        <w:jc w:val="left"/>
        <w:rPr>
          <w:rFonts w:hint="eastAsia" w:ascii="宋体" w:hAnsi="宋体"/>
          <w:color w:val="auto"/>
          <w:sz w:val="24"/>
          <w:highlight w:val="none"/>
        </w:rPr>
      </w:pPr>
    </w:p>
    <w:p w14:paraId="0D462D0A">
      <w:pPr>
        <w:snapToGrid w:val="0"/>
        <w:spacing w:line="360" w:lineRule="auto"/>
        <w:jc w:val="left"/>
        <w:rPr>
          <w:rFonts w:hint="eastAsia" w:ascii="宋体" w:hAnsi="宋体"/>
          <w:color w:val="auto"/>
          <w:sz w:val="24"/>
          <w:highlight w:val="none"/>
        </w:rPr>
      </w:pPr>
    </w:p>
    <w:p w14:paraId="583A9B65">
      <w:pPr>
        <w:snapToGrid w:val="0"/>
        <w:spacing w:line="360" w:lineRule="auto"/>
        <w:jc w:val="left"/>
        <w:rPr>
          <w:rFonts w:hint="eastAsia" w:ascii="宋体" w:hAnsi="宋体"/>
          <w:color w:val="auto"/>
          <w:sz w:val="24"/>
          <w:highlight w:val="none"/>
        </w:rPr>
      </w:pPr>
    </w:p>
    <w:p w14:paraId="5B684576">
      <w:pPr>
        <w:snapToGrid w:val="0"/>
        <w:spacing w:line="360" w:lineRule="auto"/>
        <w:jc w:val="left"/>
        <w:rPr>
          <w:rFonts w:hint="eastAsia" w:ascii="宋体" w:hAnsi="宋体"/>
          <w:color w:val="auto"/>
          <w:sz w:val="24"/>
          <w:highlight w:val="none"/>
        </w:rPr>
      </w:pPr>
    </w:p>
    <w:p w14:paraId="4A3D9C8E">
      <w:pPr>
        <w:snapToGrid w:val="0"/>
        <w:spacing w:before="120" w:beforeLines="50" w:line="360" w:lineRule="auto"/>
        <w:ind w:right="480" w:firstLine="3967" w:firstLineChars="1653"/>
        <w:rPr>
          <w:rFonts w:hint="eastAsia"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14:paraId="38ABC183">
      <w:pPr>
        <w:snapToGrid w:val="0"/>
        <w:spacing w:before="120" w:beforeLines="50" w:after="50" w:line="360" w:lineRule="auto"/>
        <w:ind w:right="480" w:firstLine="5520" w:firstLineChars="2300"/>
        <w:rPr>
          <w:rFonts w:hint="eastAsia" w:ascii="宋体" w:hAnsi="宋体"/>
          <w:color w:val="auto"/>
          <w:sz w:val="24"/>
          <w:highlight w:val="none"/>
          <w:u w:val="single"/>
        </w:rPr>
      </w:pPr>
      <w:r>
        <w:rPr>
          <w:rFonts w:hint="eastAsia" w:ascii="宋体" w:hAnsi="宋体"/>
          <w:color w:val="auto"/>
          <w:sz w:val="24"/>
          <w:highlight w:val="none"/>
        </w:rPr>
        <w:t>投标人（盖公章）：</w:t>
      </w:r>
      <w:r>
        <w:rPr>
          <w:rFonts w:hint="eastAsia" w:ascii="宋体" w:hAnsi="宋体"/>
          <w:color w:val="auto"/>
          <w:sz w:val="24"/>
          <w:highlight w:val="none"/>
          <w:u w:val="single"/>
        </w:rPr>
        <w:t xml:space="preserve">                 </w:t>
      </w:r>
    </w:p>
    <w:p w14:paraId="302B94D5">
      <w:pPr>
        <w:snapToGrid w:val="0"/>
        <w:spacing w:before="120" w:beforeLines="50" w:after="50" w:line="360" w:lineRule="auto"/>
        <w:ind w:right="480" w:firstLine="5520" w:firstLineChars="2300"/>
        <w:rPr>
          <w:rFonts w:hint="eastAsia" w:ascii="宋体" w:hAnsi="宋体"/>
          <w:color w:val="auto"/>
          <w:szCs w:val="21"/>
          <w:highlight w:val="none"/>
        </w:rPr>
      </w:pPr>
      <w:r>
        <w:rPr>
          <w:rFonts w:hint="eastAsia" w:ascii="宋体" w:hAnsi="宋体"/>
          <w:color w:val="auto"/>
          <w:sz w:val="24"/>
          <w:highlight w:val="none"/>
        </w:rPr>
        <w:t>年    月    日</w:t>
      </w:r>
    </w:p>
    <w:p w14:paraId="12F98BD8">
      <w:pPr>
        <w:snapToGrid w:val="0"/>
        <w:jc w:val="center"/>
        <w:rPr>
          <w:rFonts w:hint="eastAsia" w:ascii="宋体" w:hAnsi="宋体"/>
          <w:b/>
          <w:color w:val="auto"/>
          <w:sz w:val="28"/>
          <w:szCs w:val="28"/>
          <w:highlight w:val="none"/>
        </w:rPr>
      </w:pPr>
    </w:p>
    <w:p w14:paraId="0A76967E">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02781C05">
      <w:pP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49"/>
        <w:tblW w:w="0" w:type="auto"/>
        <w:tblInd w:w="0" w:type="dxa"/>
        <w:tblLayout w:type="fixed"/>
        <w:tblCellMar>
          <w:top w:w="0" w:type="dxa"/>
          <w:left w:w="0" w:type="dxa"/>
          <w:bottom w:w="0" w:type="dxa"/>
          <w:right w:w="0" w:type="dxa"/>
        </w:tblCellMar>
      </w:tblPr>
      <w:tblGrid>
        <w:gridCol w:w="1005"/>
        <w:gridCol w:w="2659"/>
        <w:gridCol w:w="3924"/>
        <w:gridCol w:w="2064"/>
      </w:tblGrid>
      <w:tr w14:paraId="7F5657BD">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4D7A0CA">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F404F55">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1305A94">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70FAC6C">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9B94D6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E70E9D1">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CC6D004">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227022B">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D8B07DC">
            <w:pPr>
              <w:spacing w:line="360" w:lineRule="auto"/>
              <w:jc w:val="center"/>
              <w:rPr>
                <w:rFonts w:hint="eastAsia" w:ascii="宋体" w:hAnsi="宋体" w:cs="宋体"/>
                <w:color w:val="auto"/>
                <w:kern w:val="0"/>
                <w:sz w:val="24"/>
                <w:highlight w:val="none"/>
              </w:rPr>
            </w:pPr>
          </w:p>
        </w:tc>
      </w:tr>
      <w:tr w14:paraId="4708C5F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4DB3106">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7F48D77">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BE409B5">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6557224">
            <w:pPr>
              <w:spacing w:line="360" w:lineRule="auto"/>
              <w:jc w:val="center"/>
              <w:rPr>
                <w:rFonts w:hint="eastAsia" w:ascii="宋体" w:hAnsi="宋体" w:cs="宋体"/>
                <w:color w:val="auto"/>
                <w:kern w:val="0"/>
                <w:sz w:val="24"/>
                <w:highlight w:val="none"/>
              </w:rPr>
            </w:pPr>
          </w:p>
        </w:tc>
      </w:tr>
      <w:tr w14:paraId="38C529A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6A05EF1">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16709D5">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8F118C1">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44F7EED">
            <w:pPr>
              <w:spacing w:line="360" w:lineRule="auto"/>
              <w:jc w:val="center"/>
              <w:rPr>
                <w:rFonts w:hint="eastAsia" w:ascii="宋体" w:hAnsi="宋体" w:cs="宋体"/>
                <w:color w:val="auto"/>
                <w:kern w:val="0"/>
                <w:sz w:val="24"/>
                <w:highlight w:val="none"/>
              </w:rPr>
            </w:pPr>
          </w:p>
        </w:tc>
      </w:tr>
      <w:tr w14:paraId="7C04C0F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EDAF607">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11D6401">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F923EC6">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87F058D">
            <w:pPr>
              <w:spacing w:line="360" w:lineRule="auto"/>
              <w:jc w:val="center"/>
              <w:rPr>
                <w:rFonts w:hint="eastAsia" w:ascii="宋体" w:hAnsi="宋体" w:cs="宋体"/>
                <w:color w:val="auto"/>
                <w:kern w:val="0"/>
                <w:sz w:val="24"/>
                <w:highlight w:val="none"/>
              </w:rPr>
            </w:pPr>
          </w:p>
        </w:tc>
      </w:tr>
    </w:tbl>
    <w:p w14:paraId="5D6BE6A0">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0F7B5DC5">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0AC919A6">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5FE9A8EE">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3.投标人不存在直接管理关系的，则填“无”。</w:t>
      </w:r>
    </w:p>
    <w:p w14:paraId="22029212">
      <w:pPr>
        <w:snapToGrid w:val="0"/>
        <w:spacing w:line="360" w:lineRule="auto"/>
        <w:jc w:val="left"/>
        <w:rPr>
          <w:rFonts w:hint="eastAsia" w:ascii="宋体" w:hAnsi="宋体"/>
          <w:color w:val="auto"/>
          <w:sz w:val="24"/>
          <w:highlight w:val="none"/>
        </w:rPr>
      </w:pPr>
    </w:p>
    <w:p w14:paraId="57AA8DAF">
      <w:pPr>
        <w:snapToGrid w:val="0"/>
        <w:spacing w:line="360" w:lineRule="auto"/>
        <w:jc w:val="left"/>
        <w:rPr>
          <w:rFonts w:hint="eastAsia" w:ascii="宋体" w:hAnsi="宋体"/>
          <w:color w:val="auto"/>
          <w:sz w:val="24"/>
          <w:highlight w:val="none"/>
        </w:rPr>
      </w:pPr>
    </w:p>
    <w:p w14:paraId="450A67E9">
      <w:pPr>
        <w:snapToGrid w:val="0"/>
        <w:spacing w:line="360" w:lineRule="auto"/>
        <w:jc w:val="left"/>
        <w:rPr>
          <w:rFonts w:hint="eastAsia" w:ascii="宋体" w:hAnsi="宋体"/>
          <w:color w:val="auto"/>
          <w:sz w:val="24"/>
          <w:highlight w:val="none"/>
        </w:rPr>
      </w:pPr>
    </w:p>
    <w:p w14:paraId="3B4140B8">
      <w:pPr>
        <w:snapToGrid w:val="0"/>
        <w:spacing w:line="360" w:lineRule="auto"/>
        <w:jc w:val="left"/>
        <w:rPr>
          <w:color w:val="auto"/>
          <w:sz w:val="24"/>
          <w:highlight w:val="none"/>
        </w:rPr>
      </w:pPr>
    </w:p>
    <w:p w14:paraId="515C9BF9">
      <w:pPr>
        <w:snapToGrid w:val="0"/>
        <w:spacing w:line="360" w:lineRule="auto"/>
        <w:jc w:val="left"/>
        <w:rPr>
          <w:color w:val="auto"/>
          <w:sz w:val="24"/>
          <w:highlight w:val="none"/>
        </w:rPr>
      </w:pPr>
    </w:p>
    <w:p w14:paraId="68D88415">
      <w:pPr>
        <w:snapToGrid w:val="0"/>
        <w:spacing w:line="360" w:lineRule="auto"/>
        <w:jc w:val="left"/>
        <w:rPr>
          <w:color w:val="auto"/>
          <w:sz w:val="24"/>
          <w:highlight w:val="none"/>
        </w:rPr>
      </w:pPr>
    </w:p>
    <w:p w14:paraId="555017A8">
      <w:pPr>
        <w:snapToGrid w:val="0"/>
        <w:spacing w:line="360" w:lineRule="auto"/>
        <w:jc w:val="left"/>
        <w:rPr>
          <w:rFonts w:hint="eastAsia" w:ascii="宋体" w:hAnsi="宋体"/>
          <w:color w:val="auto"/>
          <w:sz w:val="24"/>
          <w:highlight w:val="none"/>
        </w:rPr>
      </w:pPr>
    </w:p>
    <w:p w14:paraId="7CA875CC">
      <w:pPr>
        <w:snapToGrid w:val="0"/>
        <w:spacing w:before="120" w:beforeLines="50" w:line="360" w:lineRule="auto"/>
        <w:ind w:right="480" w:firstLine="3967" w:firstLineChars="1653"/>
        <w:rPr>
          <w:rFonts w:hint="eastAsia"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14:paraId="65BC1748">
      <w:pPr>
        <w:snapToGrid w:val="0"/>
        <w:spacing w:before="120" w:beforeLines="50" w:after="50" w:line="360" w:lineRule="auto"/>
        <w:ind w:right="480" w:firstLine="5520" w:firstLineChars="2300"/>
        <w:rPr>
          <w:rFonts w:hint="eastAsia" w:ascii="宋体" w:hAnsi="宋体"/>
          <w:color w:val="auto"/>
          <w:sz w:val="24"/>
          <w:highlight w:val="none"/>
        </w:rPr>
      </w:pPr>
      <w:r>
        <w:rPr>
          <w:rFonts w:hint="eastAsia" w:ascii="宋体" w:hAnsi="宋体"/>
          <w:color w:val="auto"/>
          <w:sz w:val="24"/>
          <w:highlight w:val="none"/>
        </w:rPr>
        <w:t>投标人（盖公章）：</w:t>
      </w:r>
      <w:r>
        <w:rPr>
          <w:rFonts w:hint="eastAsia" w:ascii="宋体" w:hAnsi="宋体"/>
          <w:color w:val="auto"/>
          <w:sz w:val="24"/>
          <w:highlight w:val="none"/>
          <w:u w:val="single"/>
        </w:rPr>
        <w:t xml:space="preserve">                 </w:t>
      </w:r>
    </w:p>
    <w:p w14:paraId="7BD60EE0">
      <w:pPr>
        <w:snapToGrid w:val="0"/>
        <w:spacing w:before="120" w:beforeLines="50" w:after="50" w:line="360" w:lineRule="auto"/>
        <w:ind w:right="480" w:firstLine="240" w:firstLineChars="100"/>
        <w:jc w:val="right"/>
        <w:rPr>
          <w:rFonts w:hint="eastAsia" w:ascii="宋体" w:hAnsi="宋体"/>
          <w:color w:val="auto"/>
          <w:sz w:val="24"/>
          <w:highlight w:val="none"/>
        </w:rPr>
      </w:pPr>
      <w:r>
        <w:rPr>
          <w:rFonts w:hint="eastAsia" w:ascii="宋体" w:hAnsi="宋体"/>
          <w:color w:val="auto"/>
          <w:sz w:val="24"/>
          <w:highlight w:val="none"/>
        </w:rPr>
        <w:t xml:space="preserve"> 年    月    日</w:t>
      </w:r>
    </w:p>
    <w:p w14:paraId="5E05B2E4">
      <w:pPr>
        <w:snapToGrid w:val="0"/>
        <w:spacing w:before="50" w:after="120" w:afterLines="50"/>
        <w:jc w:val="left"/>
        <w:rPr>
          <w:rFonts w:hint="eastAsia" w:ascii="宋体" w:hAnsi="宋体"/>
          <w:color w:val="auto"/>
          <w:szCs w:val="21"/>
          <w:highlight w:val="none"/>
        </w:rPr>
      </w:pPr>
    </w:p>
    <w:p w14:paraId="1BACB710">
      <w:pPr>
        <w:snapToGrid w:val="0"/>
        <w:spacing w:before="120" w:beforeLines="50" w:after="50"/>
        <w:jc w:val="left"/>
        <w:rPr>
          <w:rFonts w:hint="eastAsia" w:ascii="宋体" w:hAnsi="宋体"/>
          <w:b/>
          <w:color w:val="auto"/>
          <w:sz w:val="24"/>
          <w:szCs w:val="20"/>
          <w:highlight w:val="none"/>
        </w:rPr>
      </w:pPr>
    </w:p>
    <w:p w14:paraId="4BF7994F">
      <w:pPr>
        <w:numPr>
          <w:ilvl w:val="2"/>
          <w:numId w:val="8"/>
        </w:numPr>
        <w:snapToGrid w:val="0"/>
        <w:spacing w:before="120" w:beforeLines="50" w:after="50"/>
        <w:ind w:left="0" w:firstLine="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投标声明格式</w:t>
      </w:r>
    </w:p>
    <w:p w14:paraId="74C143E3">
      <w:pPr>
        <w:snapToGrid w:val="0"/>
        <w:spacing w:before="50" w:after="120" w:afterLines="50"/>
        <w:jc w:val="left"/>
        <w:rPr>
          <w:rFonts w:hint="eastAsia" w:ascii="宋体" w:hAnsi="宋体"/>
          <w:color w:val="auto"/>
          <w:highlight w:val="none"/>
        </w:rPr>
      </w:pPr>
    </w:p>
    <w:p w14:paraId="355653A7">
      <w:pPr>
        <w:snapToGrid w:val="0"/>
        <w:spacing w:before="50" w:after="120" w:afterLines="50"/>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投标声明</w:t>
      </w:r>
    </w:p>
    <w:p w14:paraId="4BD3EEA1">
      <w:pPr>
        <w:snapToGrid w:val="0"/>
        <w:spacing w:before="50" w:after="120" w:afterLines="50"/>
        <w:jc w:val="center"/>
        <w:rPr>
          <w:rFonts w:hint="eastAsia" w:ascii="仿宋" w:hAnsi="仿宋" w:eastAsia="仿宋" w:cs="仿宋"/>
          <w:bCs/>
          <w:color w:val="auto"/>
          <w:sz w:val="44"/>
          <w:szCs w:val="44"/>
          <w:highlight w:val="none"/>
        </w:rPr>
      </w:pPr>
    </w:p>
    <w:p w14:paraId="1C7682D6">
      <w:pPr>
        <w:spacing w:line="400" w:lineRule="exact"/>
        <w:contextualSpacing/>
        <w:jc w:val="left"/>
        <w:rPr>
          <w:color w:val="auto"/>
          <w:sz w:val="24"/>
          <w:highlight w:val="none"/>
        </w:rPr>
      </w:pPr>
      <w:r>
        <w:rPr>
          <w:rFonts w:hint="eastAsia"/>
          <w:color w:val="auto"/>
          <w:sz w:val="24"/>
          <w:highlight w:val="none"/>
        </w:rPr>
        <w:t>（采购人名称）：</w:t>
      </w:r>
    </w:p>
    <w:p w14:paraId="0986183F">
      <w:pPr>
        <w:spacing w:line="400" w:lineRule="exact"/>
        <w:ind w:firstLine="523" w:firstLineChars="218"/>
        <w:contextualSpacing/>
        <w:jc w:val="left"/>
        <w:rPr>
          <w:rFonts w:hint="eastAsia"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785CEDD1">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投标人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投标人资格条件，我方对此声明负全部法律责任。</w:t>
      </w:r>
    </w:p>
    <w:p w14:paraId="201C6F54">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2.我方不是为本次采购项目提供整体设计、规范编制或者项目管理、监理、检测等服务的投标人。</w:t>
      </w:r>
    </w:p>
    <w:p w14:paraId="7DE79B7D">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39451088">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（一）具有独立承担民事责任的能力；</w:t>
      </w:r>
    </w:p>
    <w:p w14:paraId="299810A4">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（二）具有良好的商业信誉和健全的财务会计制度；</w:t>
      </w:r>
    </w:p>
    <w:p w14:paraId="49C3383F">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（三）具有履行合同所必需的设备和专业技术能力；</w:t>
      </w:r>
    </w:p>
    <w:p w14:paraId="6151AC77">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（四）有依法缴纳税收和社会保障资金的良好记录；</w:t>
      </w:r>
    </w:p>
    <w:p w14:paraId="15523A6F">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0E9868B4">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（六）法律、行政法规规定的其他条件。</w:t>
      </w:r>
    </w:p>
    <w:p w14:paraId="07F57399">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6E605C84">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特此承诺。</w:t>
      </w:r>
    </w:p>
    <w:p w14:paraId="01CA2D0B">
      <w:pPr>
        <w:spacing w:line="400" w:lineRule="exact"/>
        <w:contextualSpacing/>
        <w:jc w:val="left"/>
        <w:rPr>
          <w:rFonts w:hint="eastAsia" w:ascii="宋体" w:hAnsi="宋体"/>
          <w:b/>
          <w:color w:val="auto"/>
          <w:sz w:val="24"/>
          <w:highlight w:val="none"/>
        </w:rPr>
      </w:pPr>
      <w:r>
        <w:rPr>
          <w:rFonts w:hint="eastAsia" w:ascii="宋体" w:hAnsi="宋体"/>
          <w:b/>
          <w:color w:val="auto"/>
          <w:sz w:val="24"/>
          <w:highlight w:val="none"/>
        </w:rPr>
        <w:t xml:space="preserve">    注：如为联合体投标，盖章处须加盖联合体各方公章并由联合体各方法定代表人分别签字，否则投标无效。</w:t>
      </w:r>
    </w:p>
    <w:p w14:paraId="442EA07D">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法定代表人（签字或者盖章）：</w:t>
      </w:r>
      <w:r>
        <w:rPr>
          <w:rFonts w:hint="eastAsia" w:ascii="宋体" w:hAnsi="宋体"/>
          <w:color w:val="auto"/>
          <w:sz w:val="24"/>
          <w:highlight w:val="none"/>
          <w:u w:val="single"/>
        </w:rPr>
        <w:t xml:space="preserve">             </w:t>
      </w:r>
    </w:p>
    <w:p w14:paraId="4BCFBCAB">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投标人（盖公章）：</w:t>
      </w:r>
      <w:r>
        <w:rPr>
          <w:rFonts w:hint="eastAsia" w:ascii="宋体" w:hAnsi="宋体"/>
          <w:color w:val="auto"/>
          <w:sz w:val="24"/>
          <w:highlight w:val="none"/>
          <w:u w:val="single"/>
        </w:rPr>
        <w:t xml:space="preserve">                 </w:t>
      </w:r>
    </w:p>
    <w:p w14:paraId="7B85D41E">
      <w:pPr>
        <w:spacing w:line="400" w:lineRule="exact"/>
        <w:contextualSpacing/>
        <w:jc w:val="left"/>
        <w:rPr>
          <w:rFonts w:hint="eastAsia" w:ascii="宋体" w:hAnsi="宋体"/>
          <w:color w:val="auto"/>
          <w:highlight w:val="none"/>
        </w:rPr>
      </w:pPr>
      <w:r>
        <w:rPr>
          <w:rFonts w:hint="eastAsia" w:ascii="宋体" w:hAnsi="宋体"/>
          <w:color w:val="auto"/>
          <w:sz w:val="24"/>
          <w:highlight w:val="none"/>
        </w:rPr>
        <w:t xml:space="preserve">                                                  年    月    日</w:t>
      </w:r>
    </w:p>
    <w:p w14:paraId="58278798">
      <w:pPr>
        <w:rPr>
          <w:b/>
          <w:color w:val="auto"/>
          <w:sz w:val="28"/>
          <w:szCs w:val="28"/>
          <w:highlight w:val="none"/>
        </w:rPr>
      </w:pPr>
      <w:bookmarkStart w:id="155" w:name="_Toc19686838"/>
      <w:r>
        <w:rPr>
          <w:b/>
          <w:color w:val="auto"/>
          <w:sz w:val="28"/>
          <w:szCs w:val="28"/>
          <w:highlight w:val="none"/>
        </w:rPr>
        <w:br w:type="page"/>
      </w:r>
      <w:r>
        <w:rPr>
          <w:rFonts w:hint="eastAsia"/>
          <w:b/>
          <w:color w:val="auto"/>
          <w:sz w:val="28"/>
          <w:szCs w:val="28"/>
          <w:highlight w:val="none"/>
        </w:rPr>
        <w:t>三、商务文件格式</w:t>
      </w:r>
      <w:bookmarkEnd w:id="155"/>
    </w:p>
    <w:p w14:paraId="7F89C66E">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1.商务文件封面格式： </w:t>
      </w:r>
    </w:p>
    <w:p w14:paraId="638E5F99">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67F65150">
      <w:pPr>
        <w:snapToGrid w:val="0"/>
        <w:spacing w:before="120" w:beforeLines="50" w:after="50"/>
        <w:rPr>
          <w:rFonts w:hint="eastAsia" w:ascii="宋体" w:hAnsi="宋体"/>
          <w:color w:val="auto"/>
          <w:sz w:val="24"/>
          <w:szCs w:val="20"/>
          <w:highlight w:val="none"/>
        </w:rPr>
      </w:pPr>
    </w:p>
    <w:p w14:paraId="6F9A5701">
      <w:pPr>
        <w:snapToGrid w:val="0"/>
        <w:spacing w:before="120" w:beforeLines="50" w:after="50"/>
        <w:rPr>
          <w:rFonts w:hint="eastAsia" w:ascii="宋体" w:hAnsi="宋体"/>
          <w:color w:val="auto"/>
          <w:sz w:val="24"/>
          <w:szCs w:val="20"/>
          <w:highlight w:val="none"/>
        </w:rPr>
      </w:pPr>
    </w:p>
    <w:p w14:paraId="0F08C59D">
      <w:pPr>
        <w:snapToGrid w:val="0"/>
        <w:spacing w:before="120" w:beforeLines="50" w:after="50"/>
        <w:rPr>
          <w:rFonts w:hint="eastAsia" w:ascii="宋体" w:hAnsi="宋体"/>
          <w:color w:val="auto"/>
          <w:sz w:val="24"/>
          <w:szCs w:val="20"/>
          <w:highlight w:val="none"/>
        </w:rPr>
      </w:pPr>
    </w:p>
    <w:p w14:paraId="5E91E270">
      <w:pPr>
        <w:snapToGrid w:val="0"/>
        <w:spacing w:before="120" w:beforeLines="50" w:after="50"/>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投  标  文  件</w:t>
      </w:r>
    </w:p>
    <w:p w14:paraId="1DA8CAB1">
      <w:pPr>
        <w:snapToGrid w:val="0"/>
        <w:spacing w:before="120" w:beforeLines="50" w:after="50"/>
        <w:rPr>
          <w:rFonts w:hint="eastAsia" w:ascii="宋体" w:hAnsi="宋体"/>
          <w:color w:val="auto"/>
          <w:sz w:val="24"/>
          <w:szCs w:val="20"/>
          <w:highlight w:val="none"/>
        </w:rPr>
      </w:pPr>
    </w:p>
    <w:p w14:paraId="6F74A045">
      <w:pPr>
        <w:snapToGrid w:val="0"/>
        <w:spacing w:before="120" w:beforeLines="50" w:after="50"/>
        <w:rPr>
          <w:rFonts w:hint="eastAsia" w:ascii="宋体" w:hAnsi="宋体"/>
          <w:color w:val="auto"/>
          <w:sz w:val="24"/>
          <w:szCs w:val="20"/>
          <w:highlight w:val="none"/>
        </w:rPr>
      </w:pPr>
    </w:p>
    <w:p w14:paraId="68356B34">
      <w:pPr>
        <w:snapToGrid w:val="0"/>
        <w:spacing w:before="120" w:beforeLines="50" w:after="50"/>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商  务  文  件</w:t>
      </w:r>
    </w:p>
    <w:p w14:paraId="645E98B5">
      <w:pPr>
        <w:snapToGrid w:val="0"/>
        <w:spacing w:before="120" w:beforeLines="50" w:after="50"/>
        <w:rPr>
          <w:rFonts w:hint="eastAsia" w:ascii="宋体" w:hAnsi="宋体"/>
          <w:bCs/>
          <w:color w:val="auto"/>
          <w:sz w:val="24"/>
          <w:szCs w:val="20"/>
          <w:highlight w:val="none"/>
        </w:rPr>
      </w:pPr>
    </w:p>
    <w:p w14:paraId="1C154A66">
      <w:pPr>
        <w:snapToGrid w:val="0"/>
        <w:spacing w:before="120" w:beforeLines="50" w:after="50"/>
        <w:ind w:firstLine="540" w:firstLineChars="225"/>
        <w:rPr>
          <w:rFonts w:hint="eastAsia" w:ascii="宋体" w:hAnsi="宋体"/>
          <w:bCs/>
          <w:color w:val="auto"/>
          <w:sz w:val="24"/>
          <w:highlight w:val="none"/>
        </w:rPr>
      </w:pPr>
    </w:p>
    <w:p w14:paraId="77D3DB15">
      <w:pPr>
        <w:snapToGrid w:val="0"/>
        <w:spacing w:before="120" w:beforeLines="50" w:after="50"/>
        <w:ind w:firstLine="540" w:firstLineChars="225"/>
        <w:rPr>
          <w:rFonts w:hint="eastAsia" w:ascii="宋体" w:hAnsi="宋体"/>
          <w:bCs/>
          <w:color w:val="auto"/>
          <w:sz w:val="24"/>
          <w:highlight w:val="none"/>
        </w:rPr>
      </w:pPr>
    </w:p>
    <w:p w14:paraId="15889F08">
      <w:pPr>
        <w:snapToGrid w:val="0"/>
        <w:spacing w:before="120" w:beforeLines="50" w:after="50"/>
        <w:ind w:firstLine="540" w:firstLineChars="225"/>
        <w:rPr>
          <w:rFonts w:hint="eastAsia" w:ascii="宋体" w:hAnsi="宋体"/>
          <w:bCs/>
          <w:color w:val="auto"/>
          <w:sz w:val="24"/>
          <w:highlight w:val="none"/>
        </w:rPr>
      </w:pPr>
    </w:p>
    <w:p w14:paraId="3549A6B0">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658C6AED">
      <w:pPr>
        <w:snapToGrid w:val="0"/>
        <w:spacing w:before="120" w:beforeLines="50" w:after="50"/>
        <w:ind w:firstLine="540" w:firstLineChars="225"/>
        <w:rPr>
          <w:rFonts w:hint="eastAsia" w:ascii="宋体" w:hAnsi="宋体"/>
          <w:bCs/>
          <w:color w:val="auto"/>
          <w:sz w:val="24"/>
          <w:szCs w:val="20"/>
          <w:highlight w:val="none"/>
        </w:rPr>
      </w:pPr>
    </w:p>
    <w:p w14:paraId="56EF00C1">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29FCD337">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633FBC6C">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1F2C541A">
      <w:pPr>
        <w:snapToGrid w:val="0"/>
        <w:spacing w:before="120" w:beforeLines="50" w:after="50"/>
        <w:ind w:firstLine="540" w:firstLineChars="225"/>
        <w:rPr>
          <w:rFonts w:hint="eastAsia" w:ascii="宋体" w:hAnsi="宋体"/>
          <w:bCs/>
          <w:color w:val="auto"/>
          <w:sz w:val="24"/>
          <w:szCs w:val="20"/>
          <w:highlight w:val="none"/>
        </w:rPr>
      </w:pPr>
    </w:p>
    <w:p w14:paraId="02A32D42">
      <w:pPr>
        <w:pStyle w:val="8"/>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490BFF37">
      <w:pPr>
        <w:pStyle w:val="8"/>
        <w:snapToGrid w:val="0"/>
        <w:spacing w:before="50" w:after="50"/>
        <w:ind w:firstLine="540" w:firstLineChars="225"/>
        <w:rPr>
          <w:rFonts w:hint="eastAsia" w:ascii="宋体" w:hAnsi="宋体"/>
          <w:bCs/>
          <w:color w:val="auto"/>
          <w:sz w:val="24"/>
          <w:szCs w:val="24"/>
          <w:highlight w:val="none"/>
        </w:rPr>
      </w:pPr>
    </w:p>
    <w:p w14:paraId="6C4AAA56">
      <w:pPr>
        <w:pStyle w:val="8"/>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07758F6B">
      <w:pPr>
        <w:pStyle w:val="8"/>
        <w:snapToGrid w:val="0"/>
        <w:spacing w:before="50" w:after="50"/>
        <w:ind w:firstLine="960" w:firstLineChars="400"/>
        <w:rPr>
          <w:rFonts w:hint="eastAsia" w:ascii="宋体" w:hAnsi="宋体"/>
          <w:bCs/>
          <w:color w:val="auto"/>
          <w:sz w:val="24"/>
          <w:szCs w:val="24"/>
          <w:highlight w:val="none"/>
        </w:rPr>
      </w:pPr>
    </w:p>
    <w:p w14:paraId="440BBE2F">
      <w:pPr>
        <w:snapToGrid w:val="0"/>
        <w:spacing w:before="120" w:beforeLines="50" w:after="50"/>
        <w:ind w:firstLine="645"/>
        <w:rPr>
          <w:rFonts w:hint="eastAsia" w:ascii="宋体" w:hAnsi="宋体"/>
          <w:color w:val="auto"/>
          <w:sz w:val="24"/>
          <w:highlight w:val="none"/>
        </w:rPr>
      </w:pPr>
      <w:r>
        <w:rPr>
          <w:rFonts w:hint="eastAsia" w:ascii="宋体" w:hAnsi="宋体"/>
          <w:color w:val="auto"/>
          <w:sz w:val="24"/>
          <w:highlight w:val="none"/>
        </w:rPr>
        <w:t xml:space="preserve">                        年  月  日</w:t>
      </w:r>
    </w:p>
    <w:p w14:paraId="118BE167">
      <w:pPr>
        <w:snapToGrid w:val="0"/>
        <w:spacing w:before="120" w:beforeLines="50" w:after="50"/>
        <w:rPr>
          <w:rFonts w:hint="eastAsia" w:ascii="宋体" w:hAnsi="宋体"/>
          <w:color w:val="auto"/>
          <w:sz w:val="24"/>
          <w:szCs w:val="20"/>
          <w:highlight w:val="none"/>
        </w:rPr>
      </w:pPr>
      <w:r>
        <w:rPr>
          <w:rFonts w:ascii="宋体" w:hAnsi="宋体"/>
          <w:color w:val="auto"/>
          <w:sz w:val="24"/>
          <w:szCs w:val="20"/>
          <w:highlight w:val="none"/>
        </w:rPr>
        <w:t xml:space="preserve"> </w:t>
      </w:r>
    </w:p>
    <w:p w14:paraId="3E52D51B">
      <w:pPr>
        <w:snapToGrid w:val="0"/>
        <w:spacing w:line="360" w:lineRule="auto"/>
        <w:jc w:val="left"/>
        <w:rPr>
          <w:rFonts w:hint="eastAsia" w:ascii="宋体" w:hAnsi="宋体"/>
          <w:b/>
          <w:bCs/>
          <w:color w:val="auto"/>
          <w:sz w:val="28"/>
          <w:szCs w:val="28"/>
          <w:highlight w:val="none"/>
        </w:rPr>
      </w:pPr>
      <w:r>
        <w:rPr>
          <w:rFonts w:ascii="宋体" w:hAnsi="宋体"/>
          <w:color w:val="auto"/>
          <w:sz w:val="24"/>
          <w:szCs w:val="20"/>
          <w:highlight w:val="none"/>
        </w:rPr>
        <w:br w:type="page"/>
      </w:r>
      <w:r>
        <w:rPr>
          <w:rFonts w:hint="eastAsia" w:ascii="宋体" w:hAnsi="宋体"/>
          <w:b/>
          <w:bCs/>
          <w:color w:val="auto"/>
          <w:sz w:val="24"/>
          <w:highlight w:val="none"/>
        </w:rPr>
        <w:t>2.商务文件目录</w:t>
      </w:r>
    </w:p>
    <w:p w14:paraId="0AC6387D">
      <w:pPr>
        <w:snapToGrid w:val="0"/>
        <w:spacing w:before="50" w:after="120" w:afterLines="50" w:line="360" w:lineRule="auto"/>
        <w:ind w:firstLine="480" w:firstLineChars="200"/>
        <w:jc w:val="left"/>
        <w:rPr>
          <w:rFonts w:hint="eastAsia" w:ascii="微软雅黑" w:hAnsi="微软雅黑" w:eastAsia="微软雅黑"/>
          <w:b/>
          <w:bCs/>
          <w:color w:val="auto"/>
          <w:sz w:val="32"/>
          <w:szCs w:val="32"/>
          <w:highlight w:val="none"/>
        </w:rPr>
      </w:pPr>
      <w:r>
        <w:rPr>
          <w:rFonts w:hint="eastAsia" w:ascii="宋体" w:hAnsi="宋体"/>
          <w:color w:val="auto"/>
          <w:sz w:val="24"/>
          <w:highlight w:val="none"/>
        </w:rPr>
        <w:t>根据招标文件规定及投标人提供的材料自行编写目录。</w:t>
      </w:r>
    </w:p>
    <w:p w14:paraId="7171D86B">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1、无串通投标行为的承诺函</w:t>
      </w:r>
      <w:r>
        <w:rPr>
          <w:rFonts w:ascii="Arial" w:hAnsi="Arial" w:cs="Arial"/>
          <w:b/>
          <w:color w:val="auto"/>
          <w:szCs w:val="21"/>
          <w:highlight w:val="none"/>
        </w:rPr>
        <w:t>……………</w:t>
      </w:r>
      <w:r>
        <w:rPr>
          <w:rFonts w:hint="eastAsia" w:ascii="Arial" w:hAnsi="Arial" w:cs="Arial"/>
          <w:b/>
          <w:color w:val="auto"/>
          <w:szCs w:val="21"/>
          <w:highlight w:val="none"/>
        </w:rPr>
        <w:t>页码</w:t>
      </w:r>
    </w:p>
    <w:p w14:paraId="378865E0">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2、投标保证金提交凭证</w:t>
      </w:r>
      <w:r>
        <w:rPr>
          <w:rFonts w:ascii="Arial" w:hAnsi="Arial" w:cs="Arial"/>
          <w:b/>
          <w:color w:val="auto"/>
          <w:szCs w:val="21"/>
          <w:highlight w:val="none"/>
        </w:rPr>
        <w:t>……………</w:t>
      </w:r>
      <w:r>
        <w:rPr>
          <w:rFonts w:hint="eastAsia" w:ascii="Arial" w:hAnsi="Arial" w:cs="Arial"/>
          <w:b/>
          <w:color w:val="auto"/>
          <w:szCs w:val="21"/>
          <w:highlight w:val="none"/>
        </w:rPr>
        <w:t>页码</w:t>
      </w:r>
    </w:p>
    <w:p w14:paraId="06B91686">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3、法定代表人身份证明及法定代表人有效身份证正反面复印件</w:t>
      </w:r>
      <w:r>
        <w:rPr>
          <w:rFonts w:ascii="Arial" w:hAnsi="Arial" w:cs="Arial"/>
          <w:b/>
          <w:color w:val="auto"/>
          <w:szCs w:val="21"/>
          <w:highlight w:val="none"/>
        </w:rPr>
        <w:t>……………</w:t>
      </w:r>
      <w:r>
        <w:rPr>
          <w:rFonts w:hint="eastAsia" w:ascii="Arial" w:hAnsi="Arial" w:cs="Arial"/>
          <w:b/>
          <w:color w:val="auto"/>
          <w:szCs w:val="21"/>
          <w:highlight w:val="none"/>
        </w:rPr>
        <w:t>页码</w:t>
      </w:r>
    </w:p>
    <w:p w14:paraId="05A1C57C">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4、授权委托书及委托代理人有效身份证正反面复印件</w:t>
      </w:r>
      <w:r>
        <w:rPr>
          <w:rFonts w:ascii="Arial" w:hAnsi="Arial" w:cs="Arial"/>
          <w:b/>
          <w:color w:val="auto"/>
          <w:szCs w:val="21"/>
          <w:highlight w:val="none"/>
        </w:rPr>
        <w:t>……………</w:t>
      </w:r>
      <w:r>
        <w:rPr>
          <w:rFonts w:hint="eastAsia" w:ascii="Arial" w:hAnsi="Arial" w:cs="Arial"/>
          <w:b/>
          <w:color w:val="auto"/>
          <w:szCs w:val="21"/>
          <w:highlight w:val="none"/>
        </w:rPr>
        <w:t>页码</w:t>
      </w:r>
    </w:p>
    <w:p w14:paraId="2A21DF5E">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5、商务要求偏离表</w:t>
      </w:r>
      <w:r>
        <w:rPr>
          <w:rFonts w:ascii="Arial" w:hAnsi="Arial" w:cs="Arial"/>
          <w:b/>
          <w:color w:val="auto"/>
          <w:szCs w:val="21"/>
          <w:highlight w:val="none"/>
        </w:rPr>
        <w:t>……………</w:t>
      </w:r>
      <w:r>
        <w:rPr>
          <w:rFonts w:hint="eastAsia" w:ascii="Arial" w:hAnsi="Arial" w:cs="Arial"/>
          <w:b/>
          <w:color w:val="auto"/>
          <w:szCs w:val="21"/>
          <w:highlight w:val="none"/>
        </w:rPr>
        <w:t>页码</w:t>
      </w:r>
    </w:p>
    <w:p w14:paraId="7082F143">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、服务承诺</w:t>
      </w:r>
      <w:r>
        <w:rPr>
          <w:rFonts w:ascii="Arial" w:hAnsi="Arial" w:cs="Arial"/>
          <w:b/>
          <w:color w:val="auto"/>
          <w:szCs w:val="21"/>
          <w:highlight w:val="none"/>
        </w:rPr>
        <w:t>……………</w:t>
      </w:r>
      <w:r>
        <w:rPr>
          <w:rFonts w:hint="eastAsia" w:ascii="Arial" w:hAnsi="Arial" w:cs="Arial"/>
          <w:b/>
          <w:color w:val="auto"/>
          <w:szCs w:val="21"/>
          <w:highlight w:val="none"/>
        </w:rPr>
        <w:t>页码</w:t>
      </w:r>
    </w:p>
    <w:p w14:paraId="6A6E888E">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、投标人情况介绍</w:t>
      </w:r>
      <w:r>
        <w:rPr>
          <w:rFonts w:ascii="Arial" w:hAnsi="Arial" w:cs="Arial"/>
          <w:b/>
          <w:color w:val="auto"/>
          <w:szCs w:val="21"/>
          <w:highlight w:val="none"/>
        </w:rPr>
        <w:t>……………</w:t>
      </w:r>
      <w:r>
        <w:rPr>
          <w:rFonts w:hint="eastAsia" w:ascii="Arial" w:hAnsi="Arial" w:cs="Arial"/>
          <w:b/>
          <w:color w:val="auto"/>
          <w:szCs w:val="21"/>
          <w:highlight w:val="none"/>
        </w:rPr>
        <w:t>页码</w:t>
      </w:r>
    </w:p>
    <w:p w14:paraId="2D799B1C">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、除招标文件规定必须提供以外，投标人认为需要提供的其他证明材料</w:t>
      </w:r>
      <w:r>
        <w:rPr>
          <w:rFonts w:ascii="Arial" w:hAnsi="Arial" w:cs="Arial"/>
          <w:b/>
          <w:color w:val="auto"/>
          <w:szCs w:val="21"/>
          <w:highlight w:val="none"/>
        </w:rPr>
        <w:t>……………</w:t>
      </w:r>
      <w:r>
        <w:rPr>
          <w:rFonts w:hint="eastAsia" w:ascii="Arial" w:hAnsi="Arial" w:cs="Arial"/>
          <w:b/>
          <w:color w:val="auto"/>
          <w:szCs w:val="21"/>
          <w:highlight w:val="none"/>
        </w:rPr>
        <w:t>页码</w:t>
      </w:r>
    </w:p>
    <w:p w14:paraId="2D404DC0">
      <w:pPr>
        <w:snapToGrid w:val="0"/>
        <w:spacing w:before="50" w:after="120" w:afterLines="50"/>
        <w:jc w:val="left"/>
        <w:rPr>
          <w:rFonts w:hint="eastAsia" w:ascii="宋体" w:hAnsi="宋体"/>
          <w:color w:val="auto"/>
          <w:highlight w:val="none"/>
        </w:rPr>
      </w:pPr>
    </w:p>
    <w:p w14:paraId="16F38AA8">
      <w:pPr>
        <w:snapToGrid w:val="0"/>
        <w:spacing w:before="120" w:beforeLines="50" w:after="5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181B0296">
      <w:pPr>
        <w:snapToGrid w:val="0"/>
        <w:spacing w:before="120" w:beforeLines="50" w:after="50"/>
        <w:jc w:val="left"/>
        <w:rPr>
          <w:rFonts w:hint="eastAsia" w:ascii="宋体" w:hAnsi="宋体"/>
          <w:b/>
          <w:color w:val="auto"/>
          <w:sz w:val="24"/>
          <w:highlight w:val="none"/>
        </w:rPr>
      </w:pPr>
    </w:p>
    <w:p w14:paraId="5F3EE6C4">
      <w:pPr>
        <w:spacing w:line="360" w:lineRule="auto"/>
        <w:ind w:left="420"/>
        <w:contextualSpacing/>
        <w:jc w:val="center"/>
        <w:rPr>
          <w:rFonts w:hint="eastAsia" w:ascii="宋体" w:hAnsi="宋体"/>
          <w:b/>
          <w:color w:val="auto"/>
          <w:sz w:val="24"/>
          <w:highlight w:val="none"/>
        </w:rPr>
      </w:pPr>
      <w:r>
        <w:rPr>
          <w:rFonts w:hint="eastAsia" w:ascii="仿宋" w:hAnsi="仿宋" w:eastAsia="仿宋" w:cs="仿宋"/>
          <w:bCs/>
          <w:color w:val="auto"/>
          <w:spacing w:val="-11"/>
          <w:sz w:val="44"/>
          <w:szCs w:val="44"/>
          <w:highlight w:val="none"/>
        </w:rPr>
        <w:t>投标人参加本项目无围标串标行为的承诺函</w:t>
      </w:r>
    </w:p>
    <w:p w14:paraId="0B27E8D7">
      <w:pPr>
        <w:spacing w:line="440" w:lineRule="exact"/>
        <w:contextualSpacing/>
        <w:jc w:val="left"/>
        <w:rPr>
          <w:rFonts w:hint="eastAsia" w:ascii="宋体" w:hAnsi="宋体"/>
          <w:b/>
          <w:color w:val="auto"/>
          <w:sz w:val="24"/>
          <w:highlight w:val="none"/>
        </w:rPr>
      </w:pPr>
      <w:r>
        <w:rPr>
          <w:rFonts w:hint="eastAsia" w:ascii="宋体" w:hAnsi="宋体"/>
          <w:b/>
          <w:color w:val="auto"/>
          <w:sz w:val="24"/>
          <w:highlight w:val="none"/>
        </w:rPr>
        <w:t>一、我方承诺无下列相互串通投标的情形：</w:t>
      </w:r>
    </w:p>
    <w:p w14:paraId="151C2858">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1.不同投标人的投标文件由同一单位或者个人编制；</w:t>
      </w:r>
    </w:p>
    <w:p w14:paraId="74448032">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2.不同投标人委托同一单位或者个人办理投标事宜；</w:t>
      </w:r>
    </w:p>
    <w:p w14:paraId="02F70244">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591EA72B">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08000CDF">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5.不同投标人的投标文件相互混装；</w:t>
      </w:r>
    </w:p>
    <w:p w14:paraId="04FA6EE1">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167C5321">
      <w:pPr>
        <w:spacing w:line="440" w:lineRule="exact"/>
        <w:contextualSpacing/>
        <w:jc w:val="left"/>
        <w:rPr>
          <w:rFonts w:hint="eastAsia" w:ascii="宋体" w:hAnsi="宋体"/>
          <w:color w:val="auto"/>
          <w:sz w:val="24"/>
          <w:highlight w:val="none"/>
        </w:rPr>
      </w:pPr>
      <w:r>
        <w:rPr>
          <w:rFonts w:hint="eastAsia" w:ascii="宋体" w:hAnsi="宋体"/>
          <w:b/>
          <w:color w:val="auto"/>
          <w:sz w:val="24"/>
          <w:highlight w:val="none"/>
        </w:rPr>
        <w:t>二、我方承诺无下列恶意串通的情形：</w:t>
      </w:r>
    </w:p>
    <w:p w14:paraId="3A8DE4F7">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7095B89C">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3AD8338E">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133EA43B">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652F3683">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5F4B1994">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5F21225F">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15308E06">
      <w:pPr>
        <w:spacing w:line="440" w:lineRule="exact"/>
        <w:ind w:firstLine="472" w:firstLineChars="196"/>
        <w:contextualSpacing/>
        <w:jc w:val="left"/>
        <w:rPr>
          <w:rFonts w:hint="eastAsia"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02C54B28">
      <w:pPr>
        <w:pStyle w:val="27"/>
        <w:spacing w:line="440" w:lineRule="exact"/>
        <w:ind w:firstLine="6840" w:firstLineChars="2850"/>
        <w:contextualSpacing/>
        <w:rPr>
          <w:rFonts w:hint="eastAsia" w:hAnsi="宋体"/>
          <w:color w:val="auto"/>
          <w:sz w:val="24"/>
          <w:szCs w:val="24"/>
          <w:highlight w:val="none"/>
        </w:rPr>
      </w:pPr>
    </w:p>
    <w:p w14:paraId="65E1023D">
      <w:pPr>
        <w:pStyle w:val="27"/>
        <w:spacing w:line="440" w:lineRule="exact"/>
        <w:contextualSpacing/>
        <w:jc w:val="center"/>
        <w:rPr>
          <w:rFonts w:hint="eastAsia"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投标人名称（公章）</w:t>
      </w:r>
    </w:p>
    <w:p w14:paraId="041FCDA9">
      <w:pPr>
        <w:pStyle w:val="27"/>
        <w:spacing w:line="440" w:lineRule="exact"/>
        <w:contextualSpacing/>
        <w:rPr>
          <w:rFonts w:hint="eastAsia"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53217B4C">
      <w:pPr>
        <w:snapToGrid w:val="0"/>
        <w:spacing w:before="120" w:beforeLines="50" w:after="50"/>
        <w:jc w:val="left"/>
        <w:rPr>
          <w:rFonts w:hint="eastAsia" w:ascii="宋体" w:hAnsi="宋体"/>
          <w:b/>
          <w:color w:val="auto"/>
          <w:sz w:val="24"/>
          <w:szCs w:val="20"/>
          <w:highlight w:val="none"/>
        </w:rPr>
      </w:pPr>
      <w:r>
        <w:rPr>
          <w:rFonts w:hint="eastAsia" w:ascii="宋体" w:hAnsi="宋体"/>
          <w:b/>
          <w:color w:val="auto"/>
          <w:sz w:val="24"/>
          <w:highlight w:val="none"/>
        </w:rPr>
        <w:br w:type="page"/>
      </w:r>
      <w:r>
        <w:rPr>
          <w:rFonts w:hint="eastAsia" w:ascii="宋体" w:hAnsi="宋体"/>
          <w:b/>
          <w:color w:val="auto"/>
          <w:sz w:val="24"/>
          <w:highlight w:val="none"/>
        </w:rPr>
        <w:t>4.法定代表人身份证明</w:t>
      </w:r>
    </w:p>
    <w:p w14:paraId="46840793">
      <w:pPr>
        <w:spacing w:before="240" w:beforeLines="100" w:after="120" w:afterLines="50"/>
        <w:ind w:left="540"/>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法定代表人身份证明</w:t>
      </w:r>
    </w:p>
    <w:p w14:paraId="52235AA2">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3158D697">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382D1B40">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357B2929">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50E6EB9A">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45E94764">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21649601">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2ADB7390">
      <w:pPr>
        <w:spacing w:line="500" w:lineRule="exact"/>
        <w:ind w:left="540"/>
        <w:rPr>
          <w:rFonts w:hint="eastAsia" w:ascii="宋体" w:hAnsi="宋体"/>
          <w:color w:val="auto"/>
          <w:sz w:val="24"/>
          <w:highlight w:val="none"/>
        </w:rPr>
      </w:pPr>
    </w:p>
    <w:p w14:paraId="3FED34ED">
      <w:pPr>
        <w:spacing w:line="500" w:lineRule="exact"/>
        <w:ind w:left="540"/>
        <w:rPr>
          <w:rFonts w:hint="eastAsia" w:ascii="宋体" w:hAnsi="宋体"/>
          <w:color w:val="auto"/>
          <w:sz w:val="24"/>
          <w:highlight w:val="none"/>
        </w:rPr>
      </w:pPr>
    </w:p>
    <w:p w14:paraId="0A144B3B">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4796D5D3">
      <w:pPr>
        <w:spacing w:line="500" w:lineRule="exact"/>
        <w:ind w:left="540"/>
        <w:rPr>
          <w:rFonts w:hint="eastAsia" w:ascii="宋体" w:hAnsi="宋体"/>
          <w:color w:val="auto"/>
          <w:sz w:val="24"/>
          <w:highlight w:val="none"/>
        </w:rPr>
      </w:pPr>
    </w:p>
    <w:p w14:paraId="0095CCC2">
      <w:pPr>
        <w:spacing w:line="500" w:lineRule="exact"/>
        <w:ind w:left="540"/>
        <w:jc w:val="right"/>
        <w:rPr>
          <w:rFonts w:hint="eastAsia" w:ascii="宋体" w:hAnsi="宋体"/>
          <w:color w:val="auto"/>
          <w:sz w:val="24"/>
          <w:highlight w:val="none"/>
        </w:rPr>
      </w:pPr>
      <w:r>
        <w:rPr>
          <w:rFonts w:hint="eastAsia" w:ascii="宋体" w:hAnsi="宋体"/>
          <w:color w:val="auto"/>
          <w:sz w:val="24"/>
          <w:highlight w:val="none"/>
        </w:rPr>
        <w:t>投标人名称（公章）</w:t>
      </w:r>
    </w:p>
    <w:p w14:paraId="0DDCDE6F">
      <w:pPr>
        <w:spacing w:line="500" w:lineRule="exact"/>
        <w:ind w:left="540"/>
        <w:jc w:val="right"/>
        <w:rPr>
          <w:rFonts w:hint="eastAsia" w:ascii="宋体" w:hAnsi="宋体"/>
          <w:color w:val="auto"/>
          <w:sz w:val="24"/>
          <w:highlight w:val="none"/>
        </w:rPr>
      </w:pPr>
    </w:p>
    <w:p w14:paraId="6D4E0564">
      <w:pPr>
        <w:snapToGrid w:val="0"/>
        <w:spacing w:before="120" w:beforeLines="50" w:after="50"/>
        <w:ind w:left="540"/>
        <w:jc w:val="right"/>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6531B417">
      <w:pPr>
        <w:snapToGrid w:val="0"/>
        <w:spacing w:before="120" w:beforeLines="50" w:after="50"/>
        <w:jc w:val="center"/>
        <w:rPr>
          <w:rFonts w:hint="eastAsia" w:ascii="宋体" w:hAnsi="宋体"/>
          <w:b/>
          <w:color w:val="auto"/>
          <w:sz w:val="24"/>
          <w:highlight w:val="none"/>
        </w:rPr>
      </w:pPr>
    </w:p>
    <w:p w14:paraId="3ED6C806">
      <w:pPr>
        <w:snapToGrid w:val="0"/>
        <w:spacing w:before="120" w:beforeLines="50" w:after="50"/>
        <w:jc w:val="left"/>
        <w:rPr>
          <w:rFonts w:hint="eastAsia" w:ascii="宋体" w:hAnsi="宋体"/>
          <w:b/>
          <w:color w:val="auto"/>
          <w:sz w:val="24"/>
          <w:szCs w:val="20"/>
          <w:highlight w:val="none"/>
        </w:rPr>
      </w:pPr>
      <w:r>
        <w:rPr>
          <w:rFonts w:hint="eastAsia" w:ascii="宋体" w:hAnsi="宋体"/>
          <w:color w:val="auto"/>
          <w:sz w:val="24"/>
          <w:highlight w:val="none"/>
        </w:rPr>
        <w:t>注：自然人投标的无需提供</w:t>
      </w:r>
    </w:p>
    <w:p w14:paraId="50C456B6">
      <w:pPr>
        <w:snapToGrid w:val="0"/>
        <w:spacing w:before="120" w:beforeLines="50" w:after="5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173F575E">
      <w:pPr>
        <w:snapToGrid w:val="0"/>
        <w:spacing w:before="120" w:beforeLines="50" w:after="50"/>
        <w:jc w:val="center"/>
        <w:rPr>
          <w:rFonts w:hint="eastAsia" w:ascii="宋体" w:hAnsi="宋体"/>
          <w:b/>
          <w:color w:val="auto"/>
          <w:sz w:val="44"/>
          <w:szCs w:val="44"/>
          <w:highlight w:val="none"/>
        </w:rPr>
      </w:pPr>
    </w:p>
    <w:p w14:paraId="74075D0E">
      <w:pPr>
        <w:spacing w:line="360" w:lineRule="auto"/>
        <w:contextualSpacing/>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授权委托书</w:t>
      </w:r>
    </w:p>
    <w:p w14:paraId="5989CCDC">
      <w:pPr>
        <w:spacing w:line="360" w:lineRule="auto"/>
        <w:contextualSpacing/>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（非联合体投标格式）</w:t>
      </w:r>
    </w:p>
    <w:p w14:paraId="1684E79F">
      <w:pPr>
        <w:spacing w:line="360" w:lineRule="auto"/>
        <w:contextualSpacing/>
        <w:jc w:val="center"/>
        <w:rPr>
          <w:rFonts w:hint="eastAsia" w:ascii="仿宋" w:hAnsi="仿宋" w:eastAsia="仿宋" w:cs="仿宋"/>
          <w:bCs/>
          <w:color w:val="auto"/>
          <w:sz w:val="24"/>
          <w:highlight w:val="none"/>
        </w:rPr>
      </w:pPr>
      <w:r>
        <w:rPr>
          <w:rFonts w:hint="eastAsia" w:ascii="仿宋" w:hAnsi="仿宋" w:eastAsia="仿宋" w:cs="仿宋"/>
          <w:bCs/>
          <w:color w:val="auto"/>
          <w:sz w:val="32"/>
          <w:szCs w:val="32"/>
          <w:highlight w:val="none"/>
        </w:rPr>
        <w:t>（如有委托时）</w:t>
      </w:r>
    </w:p>
    <w:p w14:paraId="03B66E1F">
      <w:pPr>
        <w:spacing w:line="440" w:lineRule="exact"/>
        <w:contextualSpacing/>
        <w:jc w:val="center"/>
        <w:rPr>
          <w:rFonts w:hint="eastAsia" w:ascii="宋体" w:hAnsi="宋体"/>
          <w:b/>
          <w:color w:val="auto"/>
          <w:sz w:val="24"/>
          <w:highlight w:val="none"/>
        </w:rPr>
      </w:pPr>
    </w:p>
    <w:p w14:paraId="08AB46F3">
      <w:pPr>
        <w:spacing w:line="440" w:lineRule="exact"/>
        <w:contextualSpacing/>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2DCD87C9">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40DEE3A4">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我方对委托代理人的签字事项负全部责任。</w:t>
      </w:r>
    </w:p>
    <w:p w14:paraId="41CFD834">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5DA6239F">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49B177B5">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384A38A4">
      <w:pPr>
        <w:spacing w:line="440" w:lineRule="exact"/>
        <w:contextualSpacing/>
        <w:rPr>
          <w:rFonts w:hint="eastAsia" w:ascii="宋体" w:hAnsi="宋体"/>
          <w:color w:val="auto"/>
          <w:sz w:val="24"/>
          <w:highlight w:val="none"/>
        </w:rPr>
      </w:pPr>
    </w:p>
    <w:p w14:paraId="126BB5E9">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委托代理人（签字）：</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法定代表人（签字或者盖章）：</w:t>
      </w:r>
      <w:r>
        <w:rPr>
          <w:rFonts w:hint="eastAsia" w:ascii="宋体" w:hAnsi="宋体"/>
          <w:color w:val="auto"/>
          <w:sz w:val="24"/>
          <w:highlight w:val="none"/>
          <w:u w:val="single"/>
        </w:rPr>
        <w:t xml:space="preserve">              </w:t>
      </w:r>
    </w:p>
    <w:p w14:paraId="492E6650">
      <w:pPr>
        <w:spacing w:line="440" w:lineRule="exact"/>
        <w:contextualSpacing/>
        <w:rPr>
          <w:rFonts w:hint="eastAsia" w:ascii="宋体" w:hAnsi="宋体"/>
          <w:color w:val="auto"/>
          <w:sz w:val="24"/>
          <w:highlight w:val="non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1417ED85">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投标人（盖公章）：</w:t>
      </w:r>
    </w:p>
    <w:p w14:paraId="74FFD4B7">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159062AD">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w:t>
      </w:r>
      <w:bookmarkStart w:id="156" w:name="_Hlk65851555"/>
      <w:bookmarkStart w:id="157" w:name="_Hlk65851620"/>
      <w:r>
        <w:rPr>
          <w:rFonts w:hint="eastAsia" w:ascii="宋体" w:hAnsi="宋体" w:cs="仿宋_GB2312"/>
          <w:color w:val="auto"/>
          <w:sz w:val="24"/>
          <w:highlight w:val="none"/>
        </w:rPr>
        <w:t>法定代表人必须在授权委托书上亲笔签字或者盖章，</w:t>
      </w:r>
      <w:bookmarkEnd w:id="156"/>
      <w:r>
        <w:rPr>
          <w:rFonts w:hint="eastAsia" w:ascii="宋体" w:hAnsi="宋体" w:cs="仿宋_GB2312"/>
          <w:color w:val="auto"/>
          <w:sz w:val="24"/>
          <w:highlight w:val="none"/>
        </w:rPr>
        <w:t>委托代理人必须在授权委托书上亲笔签字，</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bookmarkEnd w:id="157"/>
    </w:p>
    <w:p w14:paraId="5F26336E">
      <w:pPr>
        <w:spacing w:line="440" w:lineRule="exact"/>
        <w:ind w:firstLine="480" w:firstLineChars="20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578FDFB9">
      <w:pPr>
        <w:snapToGrid w:val="0"/>
        <w:spacing w:before="120" w:beforeLines="50" w:after="50"/>
        <w:ind w:firstLine="566" w:firstLineChars="236"/>
        <w:jc w:val="center"/>
        <w:rPr>
          <w:rFonts w:hint="eastAsia" w:ascii="仿宋" w:hAnsi="仿宋" w:eastAsia="仿宋" w:cs="仿宋"/>
          <w:color w:val="auto"/>
          <w:sz w:val="44"/>
          <w:szCs w:val="44"/>
          <w:highlight w:val="none"/>
        </w:rPr>
      </w:pPr>
      <w:r>
        <w:rPr>
          <w:rFonts w:ascii="宋体" w:hAnsi="宋体"/>
          <w:color w:val="auto"/>
          <w:sz w:val="24"/>
          <w:highlight w:val="none"/>
        </w:rPr>
        <w:br w:type="page"/>
      </w:r>
      <w:r>
        <w:rPr>
          <w:rFonts w:hint="eastAsia" w:ascii="仿宋" w:hAnsi="仿宋" w:eastAsia="仿宋" w:cs="仿宋"/>
          <w:color w:val="auto"/>
          <w:sz w:val="44"/>
          <w:szCs w:val="44"/>
          <w:highlight w:val="none"/>
        </w:rPr>
        <w:t>授权委托书</w:t>
      </w:r>
    </w:p>
    <w:p w14:paraId="4586911A">
      <w:pPr>
        <w:snapToGrid w:val="0"/>
        <w:spacing w:before="120" w:beforeLines="50" w:after="50"/>
        <w:ind w:firstLine="755" w:firstLineChars="236"/>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（联合体投标格式）</w:t>
      </w:r>
    </w:p>
    <w:p w14:paraId="56796491">
      <w:pPr>
        <w:snapToGrid w:val="0"/>
        <w:spacing w:before="120" w:beforeLines="50" w:after="50"/>
        <w:ind w:firstLine="755" w:firstLineChars="236"/>
        <w:jc w:val="center"/>
        <w:rPr>
          <w:rFonts w:hint="eastAsia" w:ascii="仿宋" w:hAnsi="仿宋" w:eastAsia="仿宋" w:cs="仿宋"/>
          <w:color w:val="auto"/>
          <w:sz w:val="24"/>
          <w:highlight w:val="none"/>
        </w:rPr>
      </w:pPr>
      <w:r>
        <w:rPr>
          <w:rFonts w:hint="eastAsia" w:ascii="仿宋" w:hAnsi="仿宋" w:eastAsia="仿宋" w:cs="仿宋"/>
          <w:color w:val="auto"/>
          <w:sz w:val="32"/>
          <w:szCs w:val="32"/>
          <w:highlight w:val="none"/>
        </w:rPr>
        <w:t>（如有委托时）</w:t>
      </w:r>
    </w:p>
    <w:p w14:paraId="0A13EB84">
      <w:pPr>
        <w:spacing w:line="440" w:lineRule="exact"/>
        <w:contextualSpacing/>
        <w:jc w:val="left"/>
        <w:rPr>
          <w:rFonts w:hint="eastAsia" w:ascii="宋体" w:hAnsi="宋体"/>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393EDC74">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 xml:space="preserve">根据 </w:t>
      </w:r>
      <w:r>
        <w:rPr>
          <w:rFonts w:hint="eastAsia" w:ascii="宋体" w:hAnsi="宋体"/>
          <w:color w:val="auto"/>
          <w:sz w:val="24"/>
          <w:highlight w:val="none"/>
          <w:u w:val="single"/>
        </w:rPr>
        <w:t xml:space="preserve"> （牵头人名称）</w:t>
      </w:r>
      <w:r>
        <w:rPr>
          <w:rFonts w:hint="eastAsia" w:ascii="宋体" w:hAnsi="宋体"/>
          <w:color w:val="auto"/>
          <w:sz w:val="24"/>
          <w:highlight w:val="none"/>
        </w:rPr>
        <w:t>与</w:t>
      </w:r>
      <w:r>
        <w:rPr>
          <w:rFonts w:hint="eastAsia" w:ascii="宋体" w:hAnsi="宋体"/>
          <w:color w:val="auto"/>
          <w:sz w:val="24"/>
          <w:highlight w:val="none"/>
          <w:u w:val="single"/>
        </w:rPr>
        <w:t>（联合体其他成员名称）</w:t>
      </w:r>
      <w:r>
        <w:rPr>
          <w:rFonts w:hint="eastAsia" w:ascii="宋体" w:hAnsi="宋体"/>
          <w:color w:val="auto"/>
          <w:sz w:val="24"/>
          <w:highlight w:val="none"/>
        </w:rPr>
        <w:t>签订的《联合体投标协议书》的内容，</w:t>
      </w:r>
      <w:r>
        <w:rPr>
          <w:rFonts w:hint="eastAsia" w:ascii="宋体" w:hAnsi="宋体"/>
          <w:color w:val="auto"/>
          <w:sz w:val="24"/>
          <w:highlight w:val="none"/>
          <w:u w:val="single"/>
        </w:rPr>
        <w:t>（牵头人名称）</w:t>
      </w:r>
      <w:r>
        <w:rPr>
          <w:rFonts w:hint="eastAsia" w:ascii="宋体" w:hAnsi="宋体"/>
          <w:color w:val="auto"/>
          <w:sz w:val="24"/>
          <w:highlight w:val="none"/>
        </w:rPr>
        <w:t>的法定代表人</w:t>
      </w:r>
      <w:r>
        <w:rPr>
          <w:rFonts w:hint="eastAsia" w:ascii="宋体" w:hAnsi="宋体"/>
          <w:color w:val="auto"/>
          <w:sz w:val="24"/>
          <w:highlight w:val="none"/>
          <w:u w:val="single"/>
        </w:rPr>
        <w:t>（姓名）</w:t>
      </w:r>
      <w:r>
        <w:rPr>
          <w:rFonts w:hint="eastAsia" w:ascii="宋体" w:hAnsi="宋体"/>
          <w:color w:val="auto"/>
          <w:sz w:val="24"/>
          <w:highlight w:val="none"/>
        </w:rPr>
        <w:t>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3B9C1C24">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我方对委托代理人的签字事项负全部责任。</w:t>
      </w:r>
    </w:p>
    <w:p w14:paraId="6EF06E49">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本授权书自签署之日起生效，在撤销授权的书面通知以前，本授权书一直有效。委托代理人在授权书有效期内签署的所有文件不因授权的撤销而失效。</w:t>
      </w:r>
    </w:p>
    <w:p w14:paraId="18C3E53A">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2E3D9B8B">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附：牵头人法定代表人身份证明及委托代理人有效身份证正反面复印件</w:t>
      </w:r>
    </w:p>
    <w:p w14:paraId="0C84E330">
      <w:pPr>
        <w:spacing w:line="440" w:lineRule="exact"/>
        <w:ind w:firstLine="566" w:firstLineChars="236"/>
        <w:contextualSpacing/>
        <w:rPr>
          <w:rFonts w:hint="eastAsia" w:ascii="宋体" w:hAnsi="宋体"/>
          <w:color w:val="auto"/>
          <w:sz w:val="24"/>
          <w:highlight w:val="none"/>
        </w:rPr>
      </w:pPr>
    </w:p>
    <w:p w14:paraId="610C6B0C">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牵头人法定代表人（签字或者盖章）：</w:t>
      </w:r>
    </w:p>
    <w:p w14:paraId="3473978F">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牵头人（盖公章）：</w:t>
      </w:r>
    </w:p>
    <w:p w14:paraId="518A0783">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日期：    年   月   日</w:t>
      </w:r>
    </w:p>
    <w:p w14:paraId="374F2021">
      <w:pPr>
        <w:spacing w:line="440" w:lineRule="exact"/>
        <w:ind w:firstLine="566" w:firstLineChars="236"/>
        <w:contextualSpacing/>
        <w:rPr>
          <w:rFonts w:hint="eastAsia" w:ascii="宋体" w:hAnsi="宋体"/>
          <w:color w:val="auto"/>
          <w:sz w:val="24"/>
          <w:highlight w:val="none"/>
        </w:rPr>
      </w:pPr>
    </w:p>
    <w:p w14:paraId="71906F45">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被授权人（签字）：</w:t>
      </w:r>
    </w:p>
    <w:p w14:paraId="4D09AFBD">
      <w:pPr>
        <w:spacing w:line="440" w:lineRule="exact"/>
        <w:ind w:firstLine="566" w:firstLineChars="236"/>
        <w:contextualSpacing/>
        <w:rPr>
          <w:rFonts w:hint="eastAsia" w:ascii="宋体" w:hAnsi="宋体" w:cs="仿宋_GB2312"/>
          <w:color w:val="auto"/>
          <w:sz w:val="32"/>
          <w:szCs w:val="32"/>
          <w:highlight w:val="none"/>
        </w:rPr>
      </w:pPr>
      <w:r>
        <w:rPr>
          <w:rFonts w:hint="eastAsia" w:ascii="宋体" w:hAnsi="宋体"/>
          <w:color w:val="auto"/>
          <w:sz w:val="24"/>
          <w:highlight w:val="none"/>
        </w:rPr>
        <w:t>日期：    年   月   日</w:t>
      </w:r>
    </w:p>
    <w:p w14:paraId="07A7C14D">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 法定代表人必须在授权委托书上亲笔签字或者盖章，委托代理人必须在授权委托书上亲笔签字，</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49AF6011">
      <w:pPr>
        <w:spacing w:line="440" w:lineRule="exact"/>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2.本授权委托书应由联合体牵头人的法定代表人按上述规定签字。</w:t>
      </w:r>
    </w:p>
    <w:p w14:paraId="680555BF">
      <w:pPr>
        <w:spacing w:line="440" w:lineRule="exact"/>
        <w:ind w:firstLine="480" w:firstLineChars="200"/>
        <w:contextualSpacing/>
        <w:jc w:val="left"/>
        <w:rPr>
          <w:rFonts w:hint="eastAsia" w:ascii="宋体" w:hAnsi="宋体"/>
          <w:color w:val="auto"/>
          <w:sz w:val="24"/>
          <w:highlight w:val="none"/>
        </w:rPr>
      </w:pPr>
      <w:r>
        <w:rPr>
          <w:rFonts w:hint="eastAsia" w:ascii="宋体" w:hAnsi="宋体" w:cs="仿宋_GB2312"/>
          <w:color w:val="auto"/>
          <w:sz w:val="24"/>
          <w:highlight w:val="none"/>
        </w:rPr>
        <w:t>3</w:t>
      </w:r>
      <w:r>
        <w:rPr>
          <w:rFonts w:ascii="宋体" w:hAnsi="宋体" w:cs="仿宋_GB2312"/>
          <w:color w:val="auto"/>
          <w:sz w:val="24"/>
          <w:highlight w:val="none"/>
        </w:rPr>
        <w:t>.</w:t>
      </w:r>
      <w:r>
        <w:rPr>
          <w:rFonts w:hint="eastAsia" w:ascii="宋体" w:hAnsi="宋体" w:cs="仿宋_GB2312"/>
          <w:color w:val="auto"/>
          <w:sz w:val="24"/>
          <w:highlight w:val="none"/>
        </w:rPr>
        <w:t>法人、其他组织投标时“我方”是指“我单位”，自然人投标时“我方”是指“本人”。</w:t>
      </w:r>
    </w:p>
    <w:p w14:paraId="2FB77DF8">
      <w:pPr>
        <w:snapToGrid w:val="0"/>
        <w:spacing w:before="50" w:after="120" w:afterLines="50"/>
        <w:ind w:firstLine="480" w:firstLineChars="200"/>
        <w:jc w:val="left"/>
        <w:rPr>
          <w:rFonts w:hint="eastAsia" w:ascii="宋体" w:hAnsi="宋体"/>
          <w:color w:val="auto"/>
          <w:sz w:val="24"/>
          <w:highlight w:val="none"/>
        </w:rPr>
        <w:sectPr>
          <w:footerReference r:id="rId8" w:type="default"/>
          <w:pgSz w:w="11906" w:h="16838"/>
          <w:pgMar w:top="1134" w:right="1134" w:bottom="1204" w:left="1134" w:header="851" w:footer="567" w:gutter="0"/>
          <w:pgNumType w:fmt="decimal"/>
          <w:cols w:space="720" w:num="1"/>
          <w:docGrid w:linePitch="312" w:charSpace="0"/>
        </w:sectPr>
      </w:pPr>
    </w:p>
    <w:p w14:paraId="2D68570E">
      <w:pPr>
        <w:rPr>
          <w:rFonts w:hint="eastAsia" w:ascii="宋体" w:hAnsi="宋体"/>
          <w:color w:val="auto"/>
          <w:sz w:val="24"/>
          <w:highlight w:val="none"/>
        </w:rPr>
      </w:pPr>
    </w:p>
    <w:p w14:paraId="16E08443">
      <w:pPr>
        <w:rPr>
          <w:rFonts w:hint="eastAsia" w:ascii="宋体" w:hAnsi="宋体"/>
          <w:b/>
          <w:color w:val="auto"/>
          <w:sz w:val="24"/>
          <w:szCs w:val="20"/>
          <w:highlight w:val="none"/>
        </w:rPr>
      </w:pPr>
      <w:r>
        <w:rPr>
          <w:rFonts w:hint="eastAsia" w:ascii="宋体" w:hAnsi="宋体"/>
          <w:b/>
          <w:color w:val="auto"/>
          <w:sz w:val="24"/>
          <w:highlight w:val="none"/>
        </w:rPr>
        <w:t>6.商务要求偏离表格式（注：按项目需求表具体项目修改）</w:t>
      </w:r>
    </w:p>
    <w:p w14:paraId="3E3EBF74">
      <w:pPr>
        <w:snapToGrid w:val="0"/>
        <w:spacing w:before="50"/>
        <w:jc w:val="left"/>
        <w:rPr>
          <w:rFonts w:hint="eastAsia" w:ascii="宋体" w:hAnsi="宋体"/>
          <w:color w:val="auto"/>
          <w:sz w:val="24"/>
          <w:highlight w:val="none"/>
        </w:rPr>
      </w:pPr>
    </w:p>
    <w:p w14:paraId="08439910">
      <w:pPr>
        <w:pStyle w:val="27"/>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p w14:paraId="2453BF13">
      <w:pPr>
        <w:snapToGrid w:val="0"/>
        <w:spacing w:before="50"/>
        <w:jc w:val="left"/>
        <w:rPr>
          <w:rFonts w:hint="eastAsia" w:ascii="宋体" w:hAnsi="宋体"/>
          <w:color w:val="auto"/>
          <w:sz w:val="24"/>
          <w:highlight w:val="none"/>
          <w:u w:val="single"/>
        </w:rPr>
      </w:pPr>
    </w:p>
    <w:tbl>
      <w:tblPr>
        <w:tblStyle w:val="49"/>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05"/>
        <w:gridCol w:w="2541"/>
        <w:gridCol w:w="1760"/>
        <w:gridCol w:w="2035"/>
      </w:tblGrid>
      <w:tr w14:paraId="0C9932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305" w:type="dxa"/>
            <w:tcBorders>
              <w:top w:val="single" w:color="auto" w:sz="4" w:space="0"/>
              <w:left w:val="single" w:color="auto" w:sz="4" w:space="0"/>
              <w:bottom w:val="single" w:color="auto" w:sz="4" w:space="0"/>
              <w:right w:val="single" w:color="auto" w:sz="4" w:space="0"/>
            </w:tcBorders>
          </w:tcPr>
          <w:p w14:paraId="3BD60196">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项目</w:t>
            </w:r>
          </w:p>
        </w:tc>
        <w:tc>
          <w:tcPr>
            <w:tcW w:w="2541" w:type="dxa"/>
            <w:tcBorders>
              <w:top w:val="single" w:color="auto" w:sz="4" w:space="0"/>
              <w:left w:val="single" w:color="auto" w:sz="4" w:space="0"/>
              <w:bottom w:val="single" w:color="auto" w:sz="4" w:space="0"/>
              <w:right w:val="single" w:color="auto" w:sz="4" w:space="0"/>
            </w:tcBorders>
          </w:tcPr>
          <w:p w14:paraId="1C07AE7D">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6DBDA076">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1EC1D1C5">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偏离说明</w:t>
            </w:r>
          </w:p>
        </w:tc>
      </w:tr>
      <w:tr w14:paraId="16F09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305" w:type="dxa"/>
            <w:tcBorders>
              <w:top w:val="single" w:color="auto" w:sz="4" w:space="0"/>
              <w:left w:val="single" w:color="auto" w:sz="4" w:space="0"/>
              <w:bottom w:val="single" w:color="auto" w:sz="4" w:space="0"/>
              <w:right w:val="single" w:color="auto" w:sz="4" w:space="0"/>
            </w:tcBorders>
            <w:vAlign w:val="center"/>
          </w:tcPr>
          <w:p w14:paraId="6C382FF0">
            <w:pPr>
              <w:spacing w:line="360" w:lineRule="exact"/>
              <w:rPr>
                <w:rFonts w:hint="eastAsia" w:ascii="宋体" w:hAnsi="宋体"/>
                <w:color w:val="auto"/>
                <w:sz w:val="24"/>
                <w:highlight w:val="none"/>
              </w:rPr>
            </w:pPr>
            <w:r>
              <w:rPr>
                <w:rFonts w:hint="eastAsia" w:ascii="宋体" w:hAnsi="宋体" w:cs="宋体"/>
                <w:color w:val="auto"/>
                <w:sz w:val="24"/>
                <w:highlight w:val="none"/>
              </w:rPr>
              <w:t>合同签订期</w:t>
            </w:r>
          </w:p>
        </w:tc>
        <w:tc>
          <w:tcPr>
            <w:tcW w:w="2541" w:type="dxa"/>
            <w:tcBorders>
              <w:top w:val="single" w:color="auto" w:sz="4" w:space="0"/>
              <w:left w:val="single" w:color="auto" w:sz="4" w:space="0"/>
              <w:bottom w:val="single" w:color="auto" w:sz="4" w:space="0"/>
              <w:right w:val="single" w:color="auto" w:sz="4" w:space="0"/>
            </w:tcBorders>
          </w:tcPr>
          <w:p w14:paraId="42940824">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440933F4">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301B008B">
            <w:pPr>
              <w:snapToGrid w:val="0"/>
              <w:spacing w:before="120" w:beforeLines="50"/>
              <w:jc w:val="center"/>
              <w:rPr>
                <w:rFonts w:hint="eastAsia" w:ascii="宋体" w:hAnsi="宋体"/>
                <w:color w:val="auto"/>
                <w:sz w:val="24"/>
                <w:highlight w:val="none"/>
              </w:rPr>
            </w:pPr>
          </w:p>
        </w:tc>
      </w:tr>
      <w:tr w14:paraId="5EDA6C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305" w:type="dxa"/>
            <w:tcBorders>
              <w:top w:val="single" w:color="auto" w:sz="4" w:space="0"/>
              <w:left w:val="single" w:color="auto" w:sz="4" w:space="0"/>
              <w:bottom w:val="single" w:color="auto" w:sz="4" w:space="0"/>
              <w:right w:val="single" w:color="auto" w:sz="4" w:space="0"/>
            </w:tcBorders>
            <w:vAlign w:val="center"/>
          </w:tcPr>
          <w:p w14:paraId="26521979">
            <w:pPr>
              <w:spacing w:line="360" w:lineRule="exact"/>
              <w:rPr>
                <w:rFonts w:hint="eastAsia" w:ascii="宋体" w:hAnsi="宋体"/>
                <w:color w:val="auto"/>
                <w:sz w:val="24"/>
                <w:highlight w:val="none"/>
              </w:rPr>
            </w:pPr>
            <w:r>
              <w:rPr>
                <w:rFonts w:hint="eastAsia" w:ascii="宋体" w:hAnsi="宋体"/>
                <w:color w:val="auto"/>
                <w:sz w:val="24"/>
                <w:highlight w:val="none"/>
              </w:rPr>
              <w:t>服务期限及服务地点</w:t>
            </w:r>
          </w:p>
        </w:tc>
        <w:tc>
          <w:tcPr>
            <w:tcW w:w="2541" w:type="dxa"/>
            <w:tcBorders>
              <w:top w:val="single" w:color="auto" w:sz="4" w:space="0"/>
              <w:left w:val="single" w:color="auto" w:sz="4" w:space="0"/>
              <w:bottom w:val="single" w:color="auto" w:sz="4" w:space="0"/>
              <w:right w:val="single" w:color="auto" w:sz="4" w:space="0"/>
            </w:tcBorders>
          </w:tcPr>
          <w:p w14:paraId="36A803C2">
            <w:pPr>
              <w:snapToGrid w:val="0"/>
              <w:spacing w:before="120" w:beforeLines="50"/>
              <w:rPr>
                <w:rFonts w:hint="eastAsia" w:ascii="宋体" w:hAnsi="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tcPr>
          <w:p w14:paraId="66A50A48">
            <w:pPr>
              <w:snapToGrid w:val="0"/>
              <w:spacing w:before="120" w:beforeLines="5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64886012">
            <w:pPr>
              <w:snapToGrid w:val="0"/>
              <w:spacing w:before="120" w:beforeLines="50"/>
              <w:ind w:left="43"/>
              <w:jc w:val="center"/>
              <w:rPr>
                <w:rFonts w:hint="eastAsia" w:ascii="宋体" w:hAnsi="宋体"/>
                <w:color w:val="auto"/>
                <w:sz w:val="24"/>
                <w:highlight w:val="none"/>
              </w:rPr>
            </w:pPr>
          </w:p>
        </w:tc>
      </w:tr>
      <w:tr w14:paraId="17B143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05" w:type="dxa"/>
            <w:tcBorders>
              <w:top w:val="single" w:color="auto" w:sz="4" w:space="0"/>
              <w:left w:val="single" w:color="auto" w:sz="4" w:space="0"/>
              <w:bottom w:val="single" w:color="auto" w:sz="4" w:space="0"/>
              <w:right w:val="single" w:color="auto" w:sz="4" w:space="0"/>
            </w:tcBorders>
            <w:vAlign w:val="center"/>
          </w:tcPr>
          <w:p w14:paraId="7C79B709">
            <w:pPr>
              <w:spacing w:line="360" w:lineRule="exact"/>
              <w:rPr>
                <w:rFonts w:hint="eastAsia" w:ascii="宋体" w:hAnsi="宋体"/>
                <w:color w:val="auto"/>
                <w:sz w:val="24"/>
                <w:highlight w:val="none"/>
              </w:rPr>
            </w:pPr>
            <w:r>
              <w:rPr>
                <w:rFonts w:hint="eastAsia" w:ascii="宋体" w:hAnsi="宋体" w:cs="宋体"/>
                <w:color w:val="auto"/>
                <w:sz w:val="24"/>
                <w:highlight w:val="none"/>
              </w:rPr>
              <w:t>报价要求</w:t>
            </w:r>
          </w:p>
        </w:tc>
        <w:tc>
          <w:tcPr>
            <w:tcW w:w="2541" w:type="dxa"/>
            <w:tcBorders>
              <w:top w:val="single" w:color="auto" w:sz="4" w:space="0"/>
              <w:left w:val="single" w:color="auto" w:sz="4" w:space="0"/>
              <w:bottom w:val="single" w:color="auto" w:sz="4" w:space="0"/>
              <w:right w:val="single" w:color="auto" w:sz="4" w:space="0"/>
            </w:tcBorders>
          </w:tcPr>
          <w:p w14:paraId="646FD824">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31C3D14B">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4040F985">
            <w:pPr>
              <w:snapToGrid w:val="0"/>
              <w:spacing w:before="120" w:beforeLines="50"/>
              <w:jc w:val="center"/>
              <w:rPr>
                <w:rFonts w:hint="eastAsia" w:ascii="宋体" w:hAnsi="宋体"/>
                <w:color w:val="auto"/>
                <w:sz w:val="24"/>
                <w:highlight w:val="none"/>
              </w:rPr>
            </w:pPr>
          </w:p>
        </w:tc>
      </w:tr>
      <w:tr w14:paraId="228438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05" w:type="dxa"/>
            <w:tcBorders>
              <w:top w:val="single" w:color="auto" w:sz="4" w:space="0"/>
              <w:left w:val="single" w:color="auto" w:sz="4" w:space="0"/>
              <w:bottom w:val="single" w:color="auto" w:sz="4" w:space="0"/>
              <w:right w:val="single" w:color="auto" w:sz="4" w:space="0"/>
            </w:tcBorders>
            <w:vAlign w:val="center"/>
          </w:tcPr>
          <w:p w14:paraId="0686AD91">
            <w:pPr>
              <w:spacing w:line="360" w:lineRule="exact"/>
              <w:rPr>
                <w:rFonts w:hint="eastAsia" w:ascii="宋体" w:hAnsi="宋体" w:cs="宋体"/>
                <w:color w:val="auto"/>
                <w:sz w:val="24"/>
                <w:highlight w:val="none"/>
              </w:rPr>
            </w:pPr>
            <w:r>
              <w:rPr>
                <w:rFonts w:hint="eastAsia" w:ascii="宋体" w:hAnsi="宋体"/>
                <w:color w:val="auto"/>
                <w:sz w:val="24"/>
                <w:highlight w:val="none"/>
              </w:rPr>
              <w:t>付款方式</w:t>
            </w:r>
          </w:p>
        </w:tc>
        <w:tc>
          <w:tcPr>
            <w:tcW w:w="2541" w:type="dxa"/>
            <w:tcBorders>
              <w:top w:val="single" w:color="auto" w:sz="4" w:space="0"/>
              <w:left w:val="single" w:color="auto" w:sz="4" w:space="0"/>
              <w:bottom w:val="single" w:color="auto" w:sz="4" w:space="0"/>
              <w:right w:val="single" w:color="auto" w:sz="4" w:space="0"/>
            </w:tcBorders>
          </w:tcPr>
          <w:p w14:paraId="77BD5370">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3536DFA2">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152E0BB7">
            <w:pPr>
              <w:snapToGrid w:val="0"/>
              <w:spacing w:before="120" w:beforeLines="50"/>
              <w:jc w:val="center"/>
              <w:rPr>
                <w:rFonts w:hint="eastAsia" w:ascii="宋体" w:hAnsi="宋体"/>
                <w:color w:val="auto"/>
                <w:sz w:val="24"/>
                <w:highlight w:val="none"/>
              </w:rPr>
            </w:pPr>
          </w:p>
        </w:tc>
      </w:tr>
      <w:tr w14:paraId="775923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05" w:type="dxa"/>
            <w:tcBorders>
              <w:top w:val="single" w:color="auto" w:sz="4" w:space="0"/>
              <w:left w:val="single" w:color="auto" w:sz="4" w:space="0"/>
              <w:bottom w:val="single" w:color="auto" w:sz="4" w:space="0"/>
              <w:right w:val="single" w:color="auto" w:sz="4" w:space="0"/>
            </w:tcBorders>
            <w:vAlign w:val="center"/>
          </w:tcPr>
          <w:p w14:paraId="4572E2D6">
            <w:pPr>
              <w:snapToGrid w:val="0"/>
              <w:spacing w:before="120" w:beforeLines="50"/>
              <w:jc w:val="center"/>
              <w:rPr>
                <w:rFonts w:hint="eastAsia" w:ascii="宋体" w:hAnsi="宋体"/>
                <w:color w:val="auto"/>
                <w:sz w:val="24"/>
                <w:highlight w:val="none"/>
              </w:rPr>
            </w:pPr>
            <w:r>
              <w:rPr>
                <w:rFonts w:ascii="宋体" w:hAnsi="宋体"/>
                <w:color w:val="auto"/>
                <w:sz w:val="24"/>
                <w:highlight w:val="none"/>
              </w:rPr>
              <w:t>……</w:t>
            </w:r>
          </w:p>
        </w:tc>
        <w:tc>
          <w:tcPr>
            <w:tcW w:w="2541" w:type="dxa"/>
            <w:tcBorders>
              <w:top w:val="single" w:color="auto" w:sz="4" w:space="0"/>
              <w:left w:val="single" w:color="auto" w:sz="4" w:space="0"/>
              <w:bottom w:val="single" w:color="auto" w:sz="4" w:space="0"/>
              <w:right w:val="single" w:color="auto" w:sz="4" w:space="0"/>
            </w:tcBorders>
          </w:tcPr>
          <w:p w14:paraId="6374F52C">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18EE7320">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0EC359CF">
            <w:pPr>
              <w:snapToGrid w:val="0"/>
              <w:spacing w:before="120" w:beforeLines="50"/>
              <w:jc w:val="center"/>
              <w:rPr>
                <w:rFonts w:hint="eastAsia" w:ascii="宋体" w:hAnsi="宋体"/>
                <w:color w:val="auto"/>
                <w:sz w:val="24"/>
                <w:highlight w:val="none"/>
              </w:rPr>
            </w:pPr>
          </w:p>
        </w:tc>
      </w:tr>
    </w:tbl>
    <w:p w14:paraId="31A49289">
      <w:pPr>
        <w:pStyle w:val="19"/>
        <w:rPr>
          <w:rFonts w:hint="eastAsia" w:ascii="宋体" w:hAnsi="宋体"/>
          <w:color w:val="auto"/>
          <w:highlight w:val="none"/>
        </w:rPr>
      </w:pPr>
      <w:r>
        <w:rPr>
          <w:rFonts w:hint="eastAsia" w:ascii="宋体" w:hAnsi="宋体"/>
          <w:color w:val="auto"/>
          <w:highlight w:val="none"/>
        </w:rPr>
        <w:t>注：</w:t>
      </w:r>
    </w:p>
    <w:p w14:paraId="11964F70">
      <w:pPr>
        <w:pStyle w:val="22"/>
        <w:spacing w:line="520" w:lineRule="exact"/>
        <w:ind w:firstLine="0" w:firstLineChars="0"/>
        <w:rPr>
          <w:rFonts w:hint="eastAsia" w:hAnsi="仿宋_GB2312" w:cs="仿宋_GB2312"/>
          <w:color w:val="auto"/>
          <w:szCs w:val="32"/>
          <w:highlight w:val="none"/>
        </w:rPr>
      </w:pPr>
      <w:r>
        <w:rPr>
          <w:rFonts w:hint="eastAsia" w:ascii="宋体" w:hAnsi="宋体" w:eastAsia="宋体"/>
          <w:color w:val="auto"/>
          <w:sz w:val="24"/>
          <w:szCs w:val="24"/>
          <w:highlight w:val="none"/>
        </w:rPr>
        <w:t>1.</w:t>
      </w:r>
      <w:r>
        <w:rPr>
          <w:rFonts w:hint="eastAsia"/>
          <w:color w:val="auto"/>
          <w:highlight w:val="none"/>
        </w:rPr>
        <w:t xml:space="preserve"> </w:t>
      </w:r>
      <w:r>
        <w:rPr>
          <w:rFonts w:hint="eastAsia" w:ascii="宋体" w:hAnsi="宋体" w:eastAsia="宋体"/>
          <w:color w:val="auto"/>
          <w:sz w:val="24"/>
          <w:szCs w:val="24"/>
          <w:highlight w:val="none"/>
        </w:rPr>
        <w:t>说明：应对照招标文件“第二章 采购需求”中的商务要求逐条作明确的投标响应，并作出偏离说明。</w:t>
      </w:r>
    </w:p>
    <w:p w14:paraId="4E7241F8">
      <w:pPr>
        <w:pStyle w:val="19"/>
        <w:rPr>
          <w:rFonts w:hint="eastAsia"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1059AF79">
      <w:pPr>
        <w:snapToGrid w:val="0"/>
        <w:spacing w:before="50" w:after="50"/>
        <w:rPr>
          <w:rFonts w:hint="eastAsia" w:ascii="宋体" w:hAnsi="宋体"/>
          <w:color w:val="auto"/>
          <w:sz w:val="24"/>
          <w:highlight w:val="none"/>
        </w:rPr>
      </w:pPr>
    </w:p>
    <w:p w14:paraId="5BAD6968">
      <w:pPr>
        <w:snapToGrid w:val="0"/>
        <w:spacing w:before="50" w:after="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26B19A51">
      <w:pPr>
        <w:snapToGrid w:val="0"/>
        <w:spacing w:before="120" w:beforeLines="50"/>
        <w:rPr>
          <w:rFonts w:hint="eastAsia" w:ascii="宋体" w:hAnsi="宋体"/>
          <w:color w:val="auto"/>
          <w:spacing w:val="20"/>
          <w:sz w:val="24"/>
          <w:highlight w:val="none"/>
        </w:rPr>
      </w:pPr>
      <w:r>
        <w:rPr>
          <w:rFonts w:hint="eastAsia" w:ascii="宋体" w:hAnsi="宋体"/>
          <w:color w:val="auto"/>
          <w:spacing w:val="20"/>
          <w:sz w:val="24"/>
          <w:highlight w:val="none"/>
        </w:rPr>
        <w:t>投标人盖公章：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0679DF9C">
      <w:pPr>
        <w:snapToGrid w:val="0"/>
        <w:spacing w:before="120" w:beforeLines="50"/>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0C841068">
      <w:pPr>
        <w:snapToGrid w:val="0"/>
        <w:spacing w:before="120" w:beforeLines="50"/>
        <w:rPr>
          <w:rFonts w:hint="eastAsia" w:ascii="宋体" w:hAnsi="宋体"/>
          <w:color w:val="auto"/>
          <w:sz w:val="24"/>
          <w:szCs w:val="20"/>
          <w:highlight w:val="none"/>
        </w:rPr>
      </w:pPr>
    </w:p>
    <w:p w14:paraId="41762A1E">
      <w:pPr>
        <w:snapToGrid w:val="0"/>
        <w:spacing w:before="120" w:beforeLines="50" w:after="50"/>
        <w:jc w:val="left"/>
        <w:rPr>
          <w:rFonts w:hint="eastAsia" w:ascii="宋体" w:hAnsi="宋体"/>
          <w:color w:val="auto"/>
          <w:sz w:val="24"/>
          <w:szCs w:val="20"/>
          <w:highlight w:val="none"/>
        </w:rPr>
      </w:pPr>
    </w:p>
    <w:p w14:paraId="6D3A8D8C">
      <w:pPr>
        <w:snapToGrid w:val="0"/>
        <w:spacing w:before="120" w:beforeLines="50" w:after="50"/>
        <w:jc w:val="left"/>
        <w:rPr>
          <w:rFonts w:hint="eastAsia" w:ascii="宋体" w:hAnsi="宋体"/>
          <w:b/>
          <w:color w:val="auto"/>
          <w:sz w:val="24"/>
          <w:highlight w:val="none"/>
        </w:rPr>
      </w:pPr>
      <w:r>
        <w:rPr>
          <w:rFonts w:ascii="宋体" w:hAnsi="宋体"/>
          <w:color w:val="auto"/>
          <w:sz w:val="24"/>
          <w:szCs w:val="20"/>
          <w:highlight w:val="none"/>
        </w:rPr>
        <w:br w:type="page"/>
      </w:r>
      <w:r>
        <w:rPr>
          <w:rFonts w:hint="eastAsia" w:ascii="宋体" w:hAnsi="宋体"/>
          <w:b/>
          <w:color w:val="auto"/>
          <w:sz w:val="24"/>
          <w:highlight w:val="none"/>
        </w:rPr>
        <w:t>7.投标人业绩证明材料</w:t>
      </w:r>
    </w:p>
    <w:p w14:paraId="7A552D17">
      <w:pPr>
        <w:pStyle w:val="37"/>
        <w:snapToGrid w:val="0"/>
        <w:ind w:left="480" w:hanging="480"/>
        <w:rPr>
          <w:rFonts w:hint="eastAsia" w:ascii="宋体" w:hAnsi="宋体"/>
          <w:color w:val="auto"/>
          <w:sz w:val="24"/>
          <w:highlight w:val="none"/>
        </w:rPr>
      </w:pPr>
    </w:p>
    <w:p w14:paraId="30AFC7AA">
      <w:pPr>
        <w:pStyle w:val="37"/>
        <w:snapToGrid w:val="0"/>
        <w:ind w:left="480" w:hanging="480"/>
        <w:rPr>
          <w:rFonts w:hint="eastAsia"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4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3"/>
        <w:gridCol w:w="1770"/>
        <w:gridCol w:w="1770"/>
        <w:gridCol w:w="2856"/>
      </w:tblGrid>
      <w:tr w14:paraId="0292A1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076" w:type="dxa"/>
            <w:vMerge w:val="restart"/>
            <w:tcBorders>
              <w:top w:val="single" w:color="auto" w:sz="4" w:space="0"/>
              <w:left w:val="single" w:color="auto" w:sz="4" w:space="0"/>
              <w:bottom w:val="single" w:color="auto" w:sz="4" w:space="0"/>
              <w:right w:val="single" w:color="auto" w:sz="4" w:space="0"/>
            </w:tcBorders>
            <w:vAlign w:val="center"/>
          </w:tcPr>
          <w:p w14:paraId="628B856B">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1723" w:type="dxa"/>
            <w:vMerge w:val="restart"/>
            <w:tcBorders>
              <w:top w:val="single" w:color="auto" w:sz="4" w:space="0"/>
              <w:left w:val="single" w:color="auto" w:sz="4" w:space="0"/>
              <w:bottom w:val="single" w:color="auto" w:sz="4" w:space="0"/>
              <w:right w:val="single" w:color="auto" w:sz="4" w:space="0"/>
            </w:tcBorders>
            <w:vAlign w:val="center"/>
          </w:tcPr>
          <w:p w14:paraId="1D8A50B6">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723" w:type="dxa"/>
            <w:vMerge w:val="restart"/>
            <w:tcBorders>
              <w:top w:val="single" w:color="auto" w:sz="4" w:space="0"/>
              <w:left w:val="single" w:color="auto" w:sz="4" w:space="0"/>
              <w:bottom w:val="single" w:color="auto" w:sz="4" w:space="0"/>
              <w:right w:val="single" w:color="auto" w:sz="4" w:space="0"/>
            </w:tcBorders>
            <w:vAlign w:val="center"/>
          </w:tcPr>
          <w:p w14:paraId="5E470CBD">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合同金额</w:t>
            </w:r>
          </w:p>
          <w:p w14:paraId="66C09875">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2780" w:type="dxa"/>
            <w:vMerge w:val="restart"/>
            <w:tcBorders>
              <w:top w:val="single" w:color="auto" w:sz="4" w:space="0"/>
              <w:left w:val="single" w:color="auto" w:sz="4" w:space="0"/>
              <w:bottom w:val="single" w:color="auto" w:sz="4" w:space="0"/>
              <w:right w:val="single" w:color="auto" w:sz="4" w:space="0"/>
            </w:tcBorders>
            <w:vAlign w:val="center"/>
          </w:tcPr>
          <w:p w14:paraId="05A5ACA1">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3FDC5416">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7888CC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076" w:type="dxa"/>
            <w:vMerge w:val="continue"/>
            <w:tcBorders>
              <w:top w:val="single" w:color="auto" w:sz="4" w:space="0"/>
              <w:left w:val="single" w:color="auto" w:sz="4" w:space="0"/>
              <w:bottom w:val="single" w:color="auto" w:sz="4" w:space="0"/>
              <w:right w:val="single" w:color="auto" w:sz="4" w:space="0"/>
            </w:tcBorders>
            <w:vAlign w:val="center"/>
          </w:tcPr>
          <w:p w14:paraId="4E4270CB">
            <w:pPr>
              <w:jc w:val="left"/>
              <w:rPr>
                <w:rFonts w:hint="eastAsia" w:ascii="宋体" w:hAnsi="宋体"/>
                <w:color w:val="auto"/>
                <w:sz w:val="24"/>
                <w:highlight w:val="none"/>
              </w:rPr>
            </w:pPr>
          </w:p>
        </w:tc>
        <w:tc>
          <w:tcPr>
            <w:tcW w:w="1723" w:type="dxa"/>
            <w:vMerge w:val="continue"/>
            <w:tcBorders>
              <w:top w:val="single" w:color="auto" w:sz="4" w:space="0"/>
              <w:left w:val="single" w:color="auto" w:sz="4" w:space="0"/>
              <w:bottom w:val="single" w:color="auto" w:sz="4" w:space="0"/>
              <w:right w:val="single" w:color="auto" w:sz="4" w:space="0"/>
            </w:tcBorders>
            <w:vAlign w:val="center"/>
          </w:tcPr>
          <w:p w14:paraId="65EDFE94">
            <w:pPr>
              <w:jc w:val="left"/>
              <w:rPr>
                <w:rFonts w:hint="eastAsia" w:ascii="宋体" w:hAnsi="宋体"/>
                <w:color w:val="auto"/>
                <w:sz w:val="24"/>
                <w:highlight w:val="none"/>
              </w:rPr>
            </w:pPr>
          </w:p>
        </w:tc>
        <w:tc>
          <w:tcPr>
            <w:tcW w:w="1723" w:type="dxa"/>
            <w:vMerge w:val="continue"/>
            <w:tcBorders>
              <w:top w:val="single" w:color="auto" w:sz="4" w:space="0"/>
              <w:left w:val="single" w:color="auto" w:sz="4" w:space="0"/>
              <w:bottom w:val="single" w:color="auto" w:sz="4" w:space="0"/>
              <w:right w:val="single" w:color="auto" w:sz="4" w:space="0"/>
            </w:tcBorders>
            <w:vAlign w:val="center"/>
          </w:tcPr>
          <w:p w14:paraId="764C54A5">
            <w:pPr>
              <w:jc w:val="left"/>
              <w:rPr>
                <w:rFonts w:hint="eastAsia" w:ascii="宋体" w:hAnsi="宋体"/>
                <w:color w:val="auto"/>
                <w:sz w:val="24"/>
                <w:highlight w:val="none"/>
              </w:rPr>
            </w:pPr>
          </w:p>
        </w:tc>
        <w:tc>
          <w:tcPr>
            <w:tcW w:w="2780" w:type="dxa"/>
            <w:vMerge w:val="continue"/>
            <w:tcBorders>
              <w:top w:val="single" w:color="auto" w:sz="4" w:space="0"/>
              <w:left w:val="single" w:color="auto" w:sz="4" w:space="0"/>
              <w:bottom w:val="single" w:color="auto" w:sz="4" w:space="0"/>
              <w:right w:val="single" w:color="auto" w:sz="4" w:space="0"/>
            </w:tcBorders>
            <w:vAlign w:val="center"/>
          </w:tcPr>
          <w:p w14:paraId="695838D2">
            <w:pPr>
              <w:jc w:val="left"/>
              <w:rPr>
                <w:rFonts w:hint="eastAsia" w:ascii="宋体" w:hAnsi="宋体"/>
                <w:color w:val="auto"/>
                <w:sz w:val="24"/>
                <w:highlight w:val="none"/>
              </w:rPr>
            </w:pPr>
          </w:p>
        </w:tc>
      </w:tr>
      <w:tr w14:paraId="50FF7F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076" w:type="dxa"/>
            <w:tcBorders>
              <w:top w:val="single" w:color="auto" w:sz="4" w:space="0"/>
              <w:left w:val="single" w:color="auto" w:sz="4" w:space="0"/>
              <w:bottom w:val="single" w:color="auto" w:sz="4" w:space="0"/>
              <w:right w:val="single" w:color="auto" w:sz="4" w:space="0"/>
            </w:tcBorders>
          </w:tcPr>
          <w:p w14:paraId="33124AB0">
            <w:pPr>
              <w:snapToGrid w:val="0"/>
              <w:spacing w:line="240" w:lineRule="exact"/>
              <w:jc w:val="left"/>
              <w:rPr>
                <w:rFonts w:hint="eastAsia" w:ascii="宋体" w:hAnsi="宋体"/>
                <w:color w:val="auto"/>
                <w:sz w:val="24"/>
                <w:highlight w:val="none"/>
              </w:rPr>
            </w:pPr>
          </w:p>
        </w:tc>
        <w:tc>
          <w:tcPr>
            <w:tcW w:w="1723" w:type="dxa"/>
            <w:tcBorders>
              <w:top w:val="single" w:color="auto" w:sz="4" w:space="0"/>
              <w:left w:val="single" w:color="auto" w:sz="4" w:space="0"/>
              <w:bottom w:val="single" w:color="auto" w:sz="4" w:space="0"/>
              <w:right w:val="single" w:color="auto" w:sz="4" w:space="0"/>
            </w:tcBorders>
          </w:tcPr>
          <w:p w14:paraId="5FC81C13">
            <w:pPr>
              <w:snapToGrid w:val="0"/>
              <w:spacing w:line="240" w:lineRule="exact"/>
              <w:jc w:val="left"/>
              <w:rPr>
                <w:rFonts w:hint="eastAsia" w:ascii="宋体" w:hAnsi="宋体"/>
                <w:color w:val="auto"/>
                <w:sz w:val="24"/>
                <w:highlight w:val="none"/>
              </w:rPr>
            </w:pPr>
          </w:p>
        </w:tc>
        <w:tc>
          <w:tcPr>
            <w:tcW w:w="1723" w:type="dxa"/>
            <w:tcBorders>
              <w:top w:val="single" w:color="auto" w:sz="4" w:space="0"/>
              <w:left w:val="single" w:color="auto" w:sz="4" w:space="0"/>
              <w:bottom w:val="single" w:color="auto" w:sz="4" w:space="0"/>
              <w:right w:val="single" w:color="auto" w:sz="4" w:space="0"/>
            </w:tcBorders>
          </w:tcPr>
          <w:p w14:paraId="1AE9F273">
            <w:pPr>
              <w:snapToGrid w:val="0"/>
              <w:spacing w:line="240" w:lineRule="exact"/>
              <w:jc w:val="left"/>
              <w:rPr>
                <w:rFonts w:hint="eastAsia" w:ascii="宋体" w:hAnsi="宋体"/>
                <w:color w:val="auto"/>
                <w:sz w:val="24"/>
                <w:highlight w:val="none"/>
              </w:rPr>
            </w:pPr>
          </w:p>
        </w:tc>
        <w:tc>
          <w:tcPr>
            <w:tcW w:w="2780" w:type="dxa"/>
            <w:tcBorders>
              <w:top w:val="single" w:color="auto" w:sz="4" w:space="0"/>
              <w:left w:val="single" w:color="auto" w:sz="4" w:space="0"/>
              <w:bottom w:val="single" w:color="auto" w:sz="4" w:space="0"/>
              <w:right w:val="single" w:color="auto" w:sz="4" w:space="0"/>
            </w:tcBorders>
          </w:tcPr>
          <w:p w14:paraId="1C06EEAF">
            <w:pPr>
              <w:snapToGrid w:val="0"/>
              <w:spacing w:line="240" w:lineRule="exact"/>
              <w:jc w:val="left"/>
              <w:rPr>
                <w:rFonts w:hint="eastAsia" w:ascii="宋体" w:hAnsi="宋体"/>
                <w:color w:val="auto"/>
                <w:sz w:val="24"/>
                <w:highlight w:val="none"/>
              </w:rPr>
            </w:pPr>
          </w:p>
        </w:tc>
      </w:tr>
      <w:tr w14:paraId="01838F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76" w:type="dxa"/>
            <w:tcBorders>
              <w:top w:val="single" w:color="auto" w:sz="4" w:space="0"/>
              <w:left w:val="single" w:color="auto" w:sz="4" w:space="0"/>
              <w:bottom w:val="single" w:color="auto" w:sz="4" w:space="0"/>
              <w:right w:val="single" w:color="auto" w:sz="4" w:space="0"/>
            </w:tcBorders>
          </w:tcPr>
          <w:p w14:paraId="74C36AA3">
            <w:pPr>
              <w:snapToGrid w:val="0"/>
              <w:spacing w:before="50" w:after="120" w:afterLines="50" w:line="400" w:lineRule="exact"/>
              <w:jc w:val="left"/>
              <w:rPr>
                <w:rFonts w:hint="eastAsia" w:ascii="宋体" w:hAnsi="宋体"/>
                <w:color w:val="auto"/>
                <w:sz w:val="24"/>
                <w:highlight w:val="none"/>
              </w:rPr>
            </w:pPr>
          </w:p>
        </w:tc>
        <w:tc>
          <w:tcPr>
            <w:tcW w:w="1723" w:type="dxa"/>
            <w:tcBorders>
              <w:top w:val="single" w:color="auto" w:sz="4" w:space="0"/>
              <w:left w:val="single" w:color="auto" w:sz="4" w:space="0"/>
              <w:bottom w:val="single" w:color="auto" w:sz="4" w:space="0"/>
              <w:right w:val="single" w:color="auto" w:sz="4" w:space="0"/>
            </w:tcBorders>
          </w:tcPr>
          <w:p w14:paraId="07DEDBDD">
            <w:pPr>
              <w:snapToGrid w:val="0"/>
              <w:spacing w:before="50" w:after="120" w:afterLines="50" w:line="400" w:lineRule="exact"/>
              <w:jc w:val="left"/>
              <w:rPr>
                <w:rFonts w:hint="eastAsia" w:ascii="宋体" w:hAnsi="宋体"/>
                <w:color w:val="auto"/>
                <w:sz w:val="24"/>
                <w:highlight w:val="none"/>
              </w:rPr>
            </w:pPr>
          </w:p>
        </w:tc>
        <w:tc>
          <w:tcPr>
            <w:tcW w:w="1723" w:type="dxa"/>
            <w:tcBorders>
              <w:top w:val="single" w:color="auto" w:sz="4" w:space="0"/>
              <w:left w:val="single" w:color="auto" w:sz="4" w:space="0"/>
              <w:bottom w:val="single" w:color="auto" w:sz="4" w:space="0"/>
              <w:right w:val="single" w:color="auto" w:sz="4" w:space="0"/>
            </w:tcBorders>
          </w:tcPr>
          <w:p w14:paraId="0BA56F73">
            <w:pPr>
              <w:snapToGrid w:val="0"/>
              <w:spacing w:before="50" w:after="120" w:afterLines="50" w:line="400" w:lineRule="exact"/>
              <w:jc w:val="left"/>
              <w:rPr>
                <w:rFonts w:hint="eastAsia" w:ascii="宋体" w:hAnsi="宋体"/>
                <w:color w:val="auto"/>
                <w:sz w:val="24"/>
                <w:highlight w:val="none"/>
              </w:rPr>
            </w:pPr>
          </w:p>
        </w:tc>
        <w:tc>
          <w:tcPr>
            <w:tcW w:w="2780" w:type="dxa"/>
            <w:tcBorders>
              <w:top w:val="single" w:color="auto" w:sz="4" w:space="0"/>
              <w:left w:val="single" w:color="auto" w:sz="4" w:space="0"/>
              <w:bottom w:val="single" w:color="auto" w:sz="4" w:space="0"/>
              <w:right w:val="single" w:color="auto" w:sz="4" w:space="0"/>
            </w:tcBorders>
          </w:tcPr>
          <w:p w14:paraId="64B15129">
            <w:pPr>
              <w:snapToGrid w:val="0"/>
              <w:spacing w:before="50" w:after="120" w:afterLines="50" w:line="400" w:lineRule="exact"/>
              <w:jc w:val="left"/>
              <w:rPr>
                <w:rFonts w:hint="eastAsia" w:ascii="宋体" w:hAnsi="宋体"/>
                <w:color w:val="auto"/>
                <w:sz w:val="24"/>
                <w:highlight w:val="none"/>
              </w:rPr>
            </w:pPr>
          </w:p>
        </w:tc>
      </w:tr>
      <w:tr w14:paraId="0B1639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076" w:type="dxa"/>
            <w:tcBorders>
              <w:top w:val="single" w:color="auto" w:sz="4" w:space="0"/>
              <w:left w:val="single" w:color="auto" w:sz="4" w:space="0"/>
              <w:bottom w:val="single" w:color="auto" w:sz="4" w:space="0"/>
              <w:right w:val="single" w:color="auto" w:sz="4" w:space="0"/>
            </w:tcBorders>
          </w:tcPr>
          <w:p w14:paraId="2F26DF27">
            <w:pPr>
              <w:snapToGrid w:val="0"/>
              <w:spacing w:before="50" w:after="120" w:afterLines="50" w:line="400" w:lineRule="exact"/>
              <w:jc w:val="left"/>
              <w:rPr>
                <w:rFonts w:hint="eastAsia" w:ascii="宋体" w:hAnsi="宋体"/>
                <w:color w:val="auto"/>
                <w:sz w:val="24"/>
                <w:highlight w:val="none"/>
              </w:rPr>
            </w:pPr>
          </w:p>
        </w:tc>
        <w:tc>
          <w:tcPr>
            <w:tcW w:w="1723" w:type="dxa"/>
            <w:tcBorders>
              <w:top w:val="single" w:color="auto" w:sz="4" w:space="0"/>
              <w:left w:val="single" w:color="auto" w:sz="4" w:space="0"/>
              <w:bottom w:val="single" w:color="auto" w:sz="4" w:space="0"/>
              <w:right w:val="single" w:color="auto" w:sz="4" w:space="0"/>
            </w:tcBorders>
          </w:tcPr>
          <w:p w14:paraId="014BA73A">
            <w:pPr>
              <w:snapToGrid w:val="0"/>
              <w:spacing w:before="50" w:after="120" w:afterLines="50" w:line="400" w:lineRule="exact"/>
              <w:jc w:val="left"/>
              <w:rPr>
                <w:rFonts w:hint="eastAsia" w:ascii="宋体" w:hAnsi="宋体"/>
                <w:color w:val="auto"/>
                <w:sz w:val="24"/>
                <w:highlight w:val="none"/>
              </w:rPr>
            </w:pPr>
          </w:p>
        </w:tc>
        <w:tc>
          <w:tcPr>
            <w:tcW w:w="1723" w:type="dxa"/>
            <w:tcBorders>
              <w:top w:val="single" w:color="auto" w:sz="4" w:space="0"/>
              <w:left w:val="single" w:color="auto" w:sz="4" w:space="0"/>
              <w:bottom w:val="single" w:color="auto" w:sz="4" w:space="0"/>
              <w:right w:val="single" w:color="auto" w:sz="4" w:space="0"/>
            </w:tcBorders>
          </w:tcPr>
          <w:p w14:paraId="4E5B02B2">
            <w:pPr>
              <w:snapToGrid w:val="0"/>
              <w:spacing w:before="50" w:after="120" w:afterLines="50" w:line="400" w:lineRule="exact"/>
              <w:jc w:val="left"/>
              <w:rPr>
                <w:rFonts w:hint="eastAsia" w:ascii="宋体" w:hAnsi="宋体"/>
                <w:color w:val="auto"/>
                <w:sz w:val="24"/>
                <w:highlight w:val="none"/>
              </w:rPr>
            </w:pPr>
          </w:p>
        </w:tc>
        <w:tc>
          <w:tcPr>
            <w:tcW w:w="2780" w:type="dxa"/>
            <w:tcBorders>
              <w:top w:val="single" w:color="auto" w:sz="4" w:space="0"/>
              <w:left w:val="single" w:color="auto" w:sz="4" w:space="0"/>
              <w:bottom w:val="single" w:color="auto" w:sz="4" w:space="0"/>
              <w:right w:val="single" w:color="auto" w:sz="4" w:space="0"/>
            </w:tcBorders>
          </w:tcPr>
          <w:p w14:paraId="148345B7">
            <w:pPr>
              <w:snapToGrid w:val="0"/>
              <w:spacing w:before="50" w:after="120" w:afterLines="50" w:line="400" w:lineRule="exact"/>
              <w:jc w:val="left"/>
              <w:rPr>
                <w:rFonts w:hint="eastAsia" w:ascii="宋体" w:hAnsi="宋体"/>
                <w:color w:val="auto"/>
                <w:sz w:val="24"/>
                <w:highlight w:val="none"/>
              </w:rPr>
            </w:pPr>
          </w:p>
        </w:tc>
      </w:tr>
      <w:tr w14:paraId="61CBD7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76" w:type="dxa"/>
            <w:tcBorders>
              <w:top w:val="single" w:color="auto" w:sz="4" w:space="0"/>
              <w:left w:val="single" w:color="auto" w:sz="4" w:space="0"/>
              <w:bottom w:val="single" w:color="auto" w:sz="4" w:space="0"/>
              <w:right w:val="single" w:color="auto" w:sz="4" w:space="0"/>
            </w:tcBorders>
          </w:tcPr>
          <w:p w14:paraId="6E976AB5">
            <w:pPr>
              <w:snapToGrid w:val="0"/>
              <w:spacing w:before="50" w:after="120" w:afterLines="50" w:line="400" w:lineRule="exact"/>
              <w:jc w:val="left"/>
              <w:rPr>
                <w:rFonts w:hint="eastAsia" w:ascii="宋体" w:hAnsi="宋体"/>
                <w:color w:val="auto"/>
                <w:sz w:val="24"/>
                <w:highlight w:val="none"/>
              </w:rPr>
            </w:pPr>
          </w:p>
        </w:tc>
        <w:tc>
          <w:tcPr>
            <w:tcW w:w="1723" w:type="dxa"/>
            <w:tcBorders>
              <w:top w:val="single" w:color="auto" w:sz="4" w:space="0"/>
              <w:left w:val="single" w:color="auto" w:sz="4" w:space="0"/>
              <w:bottom w:val="single" w:color="auto" w:sz="4" w:space="0"/>
              <w:right w:val="single" w:color="auto" w:sz="4" w:space="0"/>
            </w:tcBorders>
          </w:tcPr>
          <w:p w14:paraId="41E58A6E">
            <w:pPr>
              <w:snapToGrid w:val="0"/>
              <w:spacing w:before="50" w:after="120" w:afterLines="50" w:line="400" w:lineRule="exact"/>
              <w:jc w:val="left"/>
              <w:rPr>
                <w:rFonts w:hint="eastAsia" w:ascii="宋体" w:hAnsi="宋体"/>
                <w:color w:val="auto"/>
                <w:sz w:val="24"/>
                <w:highlight w:val="none"/>
              </w:rPr>
            </w:pPr>
          </w:p>
        </w:tc>
        <w:tc>
          <w:tcPr>
            <w:tcW w:w="1723" w:type="dxa"/>
            <w:tcBorders>
              <w:top w:val="single" w:color="auto" w:sz="4" w:space="0"/>
              <w:left w:val="single" w:color="auto" w:sz="4" w:space="0"/>
              <w:bottom w:val="single" w:color="auto" w:sz="4" w:space="0"/>
              <w:right w:val="single" w:color="auto" w:sz="4" w:space="0"/>
            </w:tcBorders>
          </w:tcPr>
          <w:p w14:paraId="1DFC6E5D">
            <w:pPr>
              <w:snapToGrid w:val="0"/>
              <w:spacing w:before="50" w:after="120" w:afterLines="50" w:line="400" w:lineRule="exact"/>
              <w:jc w:val="left"/>
              <w:rPr>
                <w:rFonts w:hint="eastAsia" w:ascii="宋体" w:hAnsi="宋体"/>
                <w:color w:val="auto"/>
                <w:sz w:val="24"/>
                <w:highlight w:val="none"/>
              </w:rPr>
            </w:pPr>
          </w:p>
        </w:tc>
        <w:tc>
          <w:tcPr>
            <w:tcW w:w="2780" w:type="dxa"/>
            <w:tcBorders>
              <w:top w:val="single" w:color="auto" w:sz="4" w:space="0"/>
              <w:left w:val="single" w:color="auto" w:sz="4" w:space="0"/>
              <w:bottom w:val="single" w:color="auto" w:sz="4" w:space="0"/>
              <w:right w:val="single" w:color="auto" w:sz="4" w:space="0"/>
            </w:tcBorders>
          </w:tcPr>
          <w:p w14:paraId="78229570">
            <w:pPr>
              <w:snapToGrid w:val="0"/>
              <w:spacing w:before="50" w:after="120" w:afterLines="50" w:line="400" w:lineRule="exact"/>
              <w:jc w:val="left"/>
              <w:rPr>
                <w:rFonts w:hint="eastAsia" w:ascii="宋体" w:hAnsi="宋体"/>
                <w:color w:val="auto"/>
                <w:sz w:val="24"/>
                <w:highlight w:val="none"/>
              </w:rPr>
            </w:pPr>
          </w:p>
        </w:tc>
      </w:tr>
      <w:tr w14:paraId="0907FF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76" w:type="dxa"/>
            <w:tcBorders>
              <w:top w:val="single" w:color="auto" w:sz="4" w:space="0"/>
              <w:left w:val="single" w:color="auto" w:sz="4" w:space="0"/>
              <w:bottom w:val="single" w:color="auto" w:sz="4" w:space="0"/>
              <w:right w:val="single" w:color="auto" w:sz="4" w:space="0"/>
            </w:tcBorders>
          </w:tcPr>
          <w:p w14:paraId="641B4121">
            <w:pPr>
              <w:snapToGrid w:val="0"/>
              <w:spacing w:before="50" w:after="120" w:afterLines="50" w:line="400" w:lineRule="exact"/>
              <w:jc w:val="left"/>
              <w:rPr>
                <w:rFonts w:hint="eastAsia" w:ascii="宋体" w:hAnsi="宋体"/>
                <w:color w:val="auto"/>
                <w:sz w:val="24"/>
                <w:highlight w:val="none"/>
              </w:rPr>
            </w:pPr>
          </w:p>
        </w:tc>
        <w:tc>
          <w:tcPr>
            <w:tcW w:w="1723" w:type="dxa"/>
            <w:tcBorders>
              <w:top w:val="single" w:color="auto" w:sz="4" w:space="0"/>
              <w:left w:val="single" w:color="auto" w:sz="4" w:space="0"/>
              <w:bottom w:val="single" w:color="auto" w:sz="4" w:space="0"/>
              <w:right w:val="single" w:color="auto" w:sz="4" w:space="0"/>
            </w:tcBorders>
          </w:tcPr>
          <w:p w14:paraId="049E7771">
            <w:pPr>
              <w:snapToGrid w:val="0"/>
              <w:spacing w:before="50" w:after="120" w:afterLines="50" w:line="400" w:lineRule="exact"/>
              <w:jc w:val="left"/>
              <w:rPr>
                <w:rFonts w:hint="eastAsia" w:ascii="宋体" w:hAnsi="宋体"/>
                <w:color w:val="auto"/>
                <w:sz w:val="24"/>
                <w:highlight w:val="none"/>
              </w:rPr>
            </w:pPr>
          </w:p>
        </w:tc>
        <w:tc>
          <w:tcPr>
            <w:tcW w:w="1723" w:type="dxa"/>
            <w:tcBorders>
              <w:top w:val="single" w:color="auto" w:sz="4" w:space="0"/>
              <w:left w:val="single" w:color="auto" w:sz="4" w:space="0"/>
              <w:bottom w:val="single" w:color="auto" w:sz="4" w:space="0"/>
              <w:right w:val="single" w:color="auto" w:sz="4" w:space="0"/>
            </w:tcBorders>
          </w:tcPr>
          <w:p w14:paraId="4E58E578">
            <w:pPr>
              <w:snapToGrid w:val="0"/>
              <w:spacing w:before="50" w:after="120" w:afterLines="50" w:line="400" w:lineRule="exact"/>
              <w:jc w:val="left"/>
              <w:rPr>
                <w:rFonts w:hint="eastAsia" w:ascii="宋体" w:hAnsi="宋体"/>
                <w:color w:val="auto"/>
                <w:sz w:val="24"/>
                <w:highlight w:val="none"/>
              </w:rPr>
            </w:pPr>
          </w:p>
        </w:tc>
        <w:tc>
          <w:tcPr>
            <w:tcW w:w="2780" w:type="dxa"/>
            <w:tcBorders>
              <w:top w:val="single" w:color="auto" w:sz="4" w:space="0"/>
              <w:left w:val="single" w:color="auto" w:sz="4" w:space="0"/>
              <w:bottom w:val="single" w:color="auto" w:sz="4" w:space="0"/>
              <w:right w:val="single" w:color="auto" w:sz="4" w:space="0"/>
            </w:tcBorders>
          </w:tcPr>
          <w:p w14:paraId="43680802">
            <w:pPr>
              <w:snapToGrid w:val="0"/>
              <w:spacing w:before="50" w:after="120" w:afterLines="50" w:line="400" w:lineRule="exact"/>
              <w:jc w:val="left"/>
              <w:rPr>
                <w:rFonts w:hint="eastAsia" w:ascii="宋体" w:hAnsi="宋体"/>
                <w:color w:val="auto"/>
                <w:sz w:val="24"/>
                <w:highlight w:val="none"/>
              </w:rPr>
            </w:pPr>
          </w:p>
        </w:tc>
      </w:tr>
    </w:tbl>
    <w:p w14:paraId="12D93CBC">
      <w:pPr>
        <w:pStyle w:val="16"/>
        <w:spacing w:before="0" w:after="0" w:line="360" w:lineRule="auto"/>
        <w:contextualSpacing/>
        <w:rPr>
          <w:rFonts w:hint="eastAsia" w:ascii="宋体" w:hAnsi="宋体" w:eastAsia="宋体"/>
          <w:color w:val="auto"/>
          <w:sz w:val="24"/>
          <w:szCs w:val="24"/>
          <w:highlight w:val="none"/>
        </w:rPr>
      </w:pPr>
    </w:p>
    <w:p w14:paraId="32FBA807">
      <w:pPr>
        <w:pStyle w:val="16"/>
        <w:spacing w:before="0" w:after="0" w:line="360" w:lineRule="auto"/>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投标人根据评标标准具体要求附业绩证明材料。</w:t>
      </w:r>
    </w:p>
    <w:p w14:paraId="7B69E311">
      <w:pPr>
        <w:pStyle w:val="16"/>
        <w:spacing w:before="0" w:after="0" w:line="360" w:lineRule="auto"/>
        <w:contextualSpacing/>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w:t>
      </w:r>
      <w:r>
        <w:rPr>
          <w:rFonts w:hint="eastAsia" w:ascii="宋体" w:hAnsi="宋体" w:eastAsia="宋体"/>
          <w:color w:val="auto"/>
          <w:sz w:val="24"/>
          <w:szCs w:val="24"/>
          <w:highlight w:val="none"/>
          <w:u w:val="single"/>
        </w:rPr>
        <w:t>　　　　　</w:t>
      </w:r>
    </w:p>
    <w:p w14:paraId="2838EACE">
      <w:pPr>
        <w:spacing w:line="360" w:lineRule="auto"/>
        <w:ind w:right="480"/>
        <w:contextualSpacing/>
        <w:jc w:val="left"/>
        <w:rPr>
          <w:rFonts w:hint="eastAsia" w:ascii="宋体" w:hAnsi="宋体"/>
          <w:color w:val="auto"/>
          <w:sz w:val="24"/>
          <w:szCs w:val="20"/>
          <w:highlight w:val="none"/>
        </w:rPr>
      </w:pPr>
      <w:r>
        <w:rPr>
          <w:rFonts w:hint="eastAsia" w:ascii="宋体" w:hAnsi="宋体" w:cs="Arial"/>
          <w:color w:val="auto"/>
          <w:sz w:val="24"/>
          <w:highlight w:val="none"/>
        </w:rPr>
        <w:t xml:space="preserve">投标人（盖公章）：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月    日</w:t>
      </w:r>
    </w:p>
    <w:p w14:paraId="2A949C68">
      <w:pPr>
        <w:snapToGrid w:val="0"/>
        <w:spacing w:before="50"/>
        <w:ind w:firstLine="480" w:firstLineChars="200"/>
        <w:jc w:val="left"/>
        <w:rPr>
          <w:rFonts w:hint="eastAsia" w:ascii="宋体" w:hAnsi="宋体"/>
          <w:color w:val="auto"/>
          <w:sz w:val="24"/>
          <w:szCs w:val="20"/>
          <w:highlight w:val="none"/>
        </w:rPr>
      </w:pPr>
    </w:p>
    <w:p w14:paraId="224104C5">
      <w:pPr>
        <w:snapToGrid w:val="0"/>
        <w:spacing w:before="50"/>
        <w:jc w:val="left"/>
        <w:rPr>
          <w:rFonts w:hint="eastAsia" w:ascii="宋体" w:hAnsi="宋体"/>
          <w:color w:val="auto"/>
          <w:sz w:val="24"/>
          <w:highlight w:val="none"/>
        </w:rPr>
      </w:pPr>
    </w:p>
    <w:p w14:paraId="3360BBE1">
      <w:pPr>
        <w:snapToGrid w:val="0"/>
        <w:spacing w:before="120" w:beforeLines="50"/>
        <w:rPr>
          <w:rFonts w:hint="eastAsia" w:ascii="宋体" w:hAnsi="宋体"/>
          <w:color w:val="auto"/>
          <w:sz w:val="24"/>
          <w:szCs w:val="20"/>
          <w:highlight w:val="none"/>
        </w:rPr>
        <w:sectPr>
          <w:pgSz w:w="11906" w:h="16838"/>
          <w:pgMar w:top="1440" w:right="1797" w:bottom="1440" w:left="1797" w:header="851" w:footer="992" w:gutter="0"/>
          <w:pgNumType w:fmt="decimal"/>
          <w:cols w:space="720" w:num="1"/>
          <w:docGrid w:linePitch="312" w:charSpace="0"/>
        </w:sectPr>
      </w:pPr>
    </w:p>
    <w:p w14:paraId="21147710">
      <w:pPr>
        <w:rPr>
          <w:b/>
          <w:color w:val="auto"/>
          <w:sz w:val="28"/>
          <w:szCs w:val="28"/>
          <w:highlight w:val="none"/>
        </w:rPr>
      </w:pPr>
      <w:r>
        <w:rPr>
          <w:rFonts w:hint="eastAsia"/>
          <w:b/>
          <w:color w:val="auto"/>
          <w:sz w:val="28"/>
          <w:szCs w:val="28"/>
          <w:highlight w:val="none"/>
        </w:rPr>
        <w:t>四、技术文件格式</w:t>
      </w:r>
    </w:p>
    <w:p w14:paraId="29286FDD">
      <w:pPr>
        <w:snapToGrid w:val="0"/>
        <w:spacing w:before="120" w:beforeLines="50" w:after="50"/>
        <w:ind w:left="142"/>
        <w:jc w:val="left"/>
        <w:rPr>
          <w:rFonts w:hint="eastAsia" w:ascii="宋体" w:hAnsi="宋体"/>
          <w:b/>
          <w:color w:val="auto"/>
          <w:sz w:val="24"/>
          <w:highlight w:val="none"/>
        </w:rPr>
      </w:pPr>
      <w:r>
        <w:rPr>
          <w:rFonts w:hint="eastAsia" w:ascii="宋体" w:hAnsi="宋体"/>
          <w:b/>
          <w:color w:val="auto"/>
          <w:sz w:val="24"/>
          <w:highlight w:val="none"/>
        </w:rPr>
        <w:t xml:space="preserve">1. 技术文件封面格式： </w:t>
      </w:r>
    </w:p>
    <w:p w14:paraId="0F583CF7">
      <w:pPr>
        <w:snapToGrid w:val="0"/>
        <w:spacing w:before="120" w:beforeLines="50" w:after="50"/>
        <w:rPr>
          <w:rFonts w:hint="eastAsia" w:ascii="宋体" w:hAnsi="宋体"/>
          <w:b/>
          <w:bCs/>
          <w:color w:val="auto"/>
          <w:sz w:val="32"/>
          <w:szCs w:val="20"/>
          <w:highlight w:val="none"/>
        </w:rPr>
      </w:pPr>
      <w:r>
        <w:rPr>
          <w:rFonts w:hint="eastAsia" w:ascii="宋体" w:hAnsi="宋体"/>
          <w:color w:val="auto"/>
          <w:sz w:val="24"/>
          <w:highlight w:val="none"/>
        </w:rPr>
        <w:t xml:space="preserve">                                                   </w:t>
      </w:r>
    </w:p>
    <w:p w14:paraId="472794BD">
      <w:pPr>
        <w:snapToGrid w:val="0"/>
        <w:spacing w:before="120" w:beforeLines="50" w:after="50"/>
        <w:rPr>
          <w:rFonts w:hint="eastAsia" w:ascii="宋体" w:hAnsi="宋体"/>
          <w:color w:val="auto"/>
          <w:sz w:val="24"/>
          <w:szCs w:val="20"/>
          <w:highlight w:val="none"/>
        </w:rPr>
      </w:pPr>
    </w:p>
    <w:p w14:paraId="5481FBAA">
      <w:pPr>
        <w:snapToGrid w:val="0"/>
        <w:spacing w:before="120" w:beforeLines="50" w:after="50"/>
        <w:rPr>
          <w:rFonts w:hint="eastAsia" w:ascii="宋体" w:hAnsi="宋体"/>
          <w:color w:val="auto"/>
          <w:sz w:val="24"/>
          <w:szCs w:val="20"/>
          <w:highlight w:val="none"/>
        </w:rPr>
      </w:pPr>
    </w:p>
    <w:p w14:paraId="19A07CE8">
      <w:pPr>
        <w:snapToGrid w:val="0"/>
        <w:spacing w:before="120" w:beforeLines="50" w:after="50"/>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投  标  文  件</w:t>
      </w:r>
    </w:p>
    <w:p w14:paraId="3CE48315">
      <w:pPr>
        <w:snapToGrid w:val="0"/>
        <w:spacing w:before="120" w:beforeLines="50" w:after="50"/>
        <w:rPr>
          <w:rFonts w:hint="eastAsia" w:ascii="宋体" w:hAnsi="宋体"/>
          <w:color w:val="auto"/>
          <w:sz w:val="24"/>
          <w:szCs w:val="20"/>
          <w:highlight w:val="none"/>
        </w:rPr>
      </w:pPr>
    </w:p>
    <w:p w14:paraId="25859C50">
      <w:pPr>
        <w:snapToGrid w:val="0"/>
        <w:spacing w:before="120" w:beforeLines="50" w:after="50"/>
        <w:rPr>
          <w:rFonts w:hint="eastAsia" w:ascii="宋体" w:hAnsi="宋体"/>
          <w:color w:val="auto"/>
          <w:sz w:val="24"/>
          <w:szCs w:val="20"/>
          <w:highlight w:val="none"/>
        </w:rPr>
      </w:pPr>
    </w:p>
    <w:p w14:paraId="11CA812E">
      <w:pPr>
        <w:snapToGrid w:val="0"/>
        <w:spacing w:before="120" w:beforeLines="50" w:after="50"/>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技  术  文  件</w:t>
      </w:r>
    </w:p>
    <w:p w14:paraId="20CA8C91">
      <w:pPr>
        <w:snapToGrid w:val="0"/>
        <w:spacing w:before="120" w:beforeLines="50" w:after="50"/>
        <w:rPr>
          <w:rFonts w:hint="eastAsia" w:ascii="宋体" w:hAnsi="宋体"/>
          <w:bCs/>
          <w:color w:val="auto"/>
          <w:sz w:val="24"/>
          <w:szCs w:val="20"/>
          <w:highlight w:val="none"/>
        </w:rPr>
      </w:pPr>
    </w:p>
    <w:p w14:paraId="157F5BC3">
      <w:pPr>
        <w:snapToGrid w:val="0"/>
        <w:spacing w:before="120" w:beforeLines="50" w:after="50"/>
        <w:rPr>
          <w:rFonts w:hint="eastAsia" w:ascii="宋体" w:hAnsi="宋体"/>
          <w:bCs/>
          <w:color w:val="auto"/>
          <w:sz w:val="24"/>
          <w:szCs w:val="20"/>
          <w:highlight w:val="none"/>
        </w:rPr>
      </w:pPr>
    </w:p>
    <w:p w14:paraId="51F00D73">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项目名称： </w:t>
      </w:r>
    </w:p>
    <w:p w14:paraId="0140C4CE">
      <w:pPr>
        <w:snapToGrid w:val="0"/>
        <w:spacing w:before="120" w:beforeLines="50" w:after="50" w:line="400" w:lineRule="exact"/>
        <w:ind w:firstLine="360" w:firstLineChars="150"/>
        <w:rPr>
          <w:rFonts w:hint="eastAsia" w:ascii="宋体" w:hAnsi="宋体"/>
          <w:bCs/>
          <w:color w:val="auto"/>
          <w:sz w:val="24"/>
          <w:szCs w:val="20"/>
          <w:highlight w:val="none"/>
        </w:rPr>
      </w:pPr>
    </w:p>
    <w:p w14:paraId="2CCAC603">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项目编号： </w:t>
      </w:r>
    </w:p>
    <w:p w14:paraId="7A1B3D40">
      <w:pPr>
        <w:snapToGrid w:val="0"/>
        <w:spacing w:before="120" w:beforeLines="50" w:after="50" w:line="400" w:lineRule="exact"/>
        <w:ind w:firstLine="360" w:firstLineChars="150"/>
        <w:rPr>
          <w:rFonts w:hint="eastAsia" w:ascii="宋体" w:hAnsi="宋体"/>
          <w:bCs/>
          <w:color w:val="auto"/>
          <w:sz w:val="24"/>
          <w:highlight w:val="none"/>
        </w:rPr>
      </w:pPr>
    </w:p>
    <w:p w14:paraId="0209B5A1">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4989969D">
      <w:pPr>
        <w:snapToGrid w:val="0"/>
        <w:spacing w:before="120" w:beforeLines="50" w:after="50" w:line="400" w:lineRule="exact"/>
        <w:ind w:firstLine="360" w:firstLineChars="150"/>
        <w:rPr>
          <w:rFonts w:hint="eastAsia" w:ascii="宋体" w:hAnsi="宋体"/>
          <w:bCs/>
          <w:color w:val="auto"/>
          <w:sz w:val="24"/>
          <w:highlight w:val="none"/>
        </w:rPr>
      </w:pPr>
    </w:p>
    <w:p w14:paraId="3E63D68F">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172B0E68">
      <w:pPr>
        <w:snapToGrid w:val="0"/>
        <w:spacing w:before="120" w:beforeLines="50" w:after="50" w:line="400" w:lineRule="exact"/>
        <w:ind w:firstLine="360" w:firstLineChars="150"/>
        <w:rPr>
          <w:rFonts w:hint="eastAsia" w:ascii="宋体" w:hAnsi="宋体"/>
          <w:bCs/>
          <w:color w:val="auto"/>
          <w:sz w:val="24"/>
          <w:highlight w:val="none"/>
        </w:rPr>
      </w:pPr>
    </w:p>
    <w:p w14:paraId="69D4792E">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1739CBE8">
      <w:pPr>
        <w:snapToGrid w:val="0"/>
        <w:spacing w:before="120" w:beforeLines="50" w:after="50" w:line="400" w:lineRule="exact"/>
        <w:ind w:firstLine="360" w:firstLineChars="150"/>
        <w:rPr>
          <w:rFonts w:hint="eastAsia" w:ascii="宋体" w:hAnsi="宋体"/>
          <w:bCs/>
          <w:color w:val="auto"/>
          <w:sz w:val="24"/>
          <w:highlight w:val="none"/>
        </w:rPr>
      </w:pPr>
    </w:p>
    <w:p w14:paraId="1F502FDE">
      <w:pPr>
        <w:snapToGrid w:val="0"/>
        <w:spacing w:before="120" w:beforeLines="50" w:after="50"/>
        <w:ind w:firstLine="645"/>
        <w:jc w:val="center"/>
        <w:rPr>
          <w:rFonts w:hint="eastAsia" w:ascii="宋体" w:hAnsi="宋体"/>
          <w:color w:val="auto"/>
          <w:sz w:val="24"/>
          <w:highlight w:val="none"/>
        </w:rPr>
      </w:pPr>
      <w:r>
        <w:rPr>
          <w:rFonts w:hint="eastAsia" w:ascii="宋体" w:hAnsi="宋体"/>
          <w:color w:val="auto"/>
          <w:sz w:val="24"/>
          <w:highlight w:val="none"/>
        </w:rPr>
        <w:t xml:space="preserve">               </w:t>
      </w:r>
    </w:p>
    <w:p w14:paraId="62490E0B">
      <w:pPr>
        <w:snapToGrid w:val="0"/>
        <w:spacing w:before="120" w:beforeLines="50" w:after="50"/>
        <w:ind w:firstLine="645"/>
        <w:jc w:val="center"/>
        <w:rPr>
          <w:rFonts w:hint="eastAsia" w:ascii="宋体" w:hAnsi="宋体"/>
          <w:color w:val="auto"/>
          <w:sz w:val="24"/>
          <w:highlight w:val="none"/>
        </w:rPr>
      </w:pPr>
    </w:p>
    <w:p w14:paraId="27ACB741">
      <w:pPr>
        <w:snapToGrid w:val="0"/>
        <w:spacing w:before="120" w:beforeLines="50" w:after="50"/>
        <w:ind w:firstLine="645"/>
        <w:jc w:val="center"/>
        <w:rPr>
          <w:rFonts w:hint="eastAsia" w:ascii="宋体" w:hAnsi="宋体"/>
          <w:color w:val="auto"/>
          <w:sz w:val="24"/>
          <w:highlight w:val="none"/>
        </w:rPr>
      </w:pPr>
      <w:r>
        <w:rPr>
          <w:rFonts w:hint="eastAsia" w:ascii="宋体" w:hAnsi="宋体"/>
          <w:color w:val="auto"/>
          <w:sz w:val="24"/>
          <w:highlight w:val="none"/>
        </w:rPr>
        <w:t>年    月    日</w:t>
      </w:r>
    </w:p>
    <w:p w14:paraId="27FF0ABD">
      <w:pPr>
        <w:snapToGrid w:val="0"/>
        <w:spacing w:before="120" w:beforeLines="50" w:after="50"/>
        <w:ind w:firstLine="645"/>
        <w:jc w:val="center"/>
        <w:rPr>
          <w:rFonts w:hint="eastAsia" w:ascii="宋体" w:hAnsi="宋体"/>
          <w:color w:val="auto"/>
          <w:sz w:val="24"/>
          <w:szCs w:val="20"/>
          <w:highlight w:val="none"/>
        </w:rPr>
      </w:pPr>
    </w:p>
    <w:p w14:paraId="7E4BAB21">
      <w:pPr>
        <w:snapToGrid w:val="0"/>
        <w:spacing w:before="120" w:beforeLines="50" w:after="50"/>
        <w:ind w:left="142"/>
        <w:jc w:val="left"/>
        <w:rPr>
          <w:rFonts w:hint="eastAsia" w:ascii="宋体" w:hAnsi="宋体"/>
          <w:b/>
          <w:bCs/>
          <w:color w:val="auto"/>
          <w:sz w:val="24"/>
          <w:highlight w:val="none"/>
        </w:rPr>
      </w:pPr>
      <w:r>
        <w:rPr>
          <w:rFonts w:ascii="宋体" w:hAnsi="宋体"/>
          <w:b/>
          <w:bCs/>
          <w:color w:val="auto"/>
          <w:sz w:val="24"/>
          <w:highlight w:val="none"/>
        </w:rPr>
        <w:br w:type="page"/>
      </w:r>
      <w:r>
        <w:rPr>
          <w:rFonts w:hint="eastAsia" w:ascii="宋体" w:hAnsi="宋体"/>
          <w:b/>
          <w:bCs/>
          <w:color w:val="auto"/>
          <w:sz w:val="24"/>
          <w:highlight w:val="none"/>
        </w:rPr>
        <w:t>2.技术文件目录</w:t>
      </w:r>
    </w:p>
    <w:p w14:paraId="37F11337">
      <w:pPr>
        <w:snapToGrid w:val="0"/>
        <w:spacing w:before="50" w:after="120" w:afterLines="50"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根据招标文件规定及投标人提供的材料自行编写目录。</w:t>
      </w:r>
    </w:p>
    <w:p w14:paraId="367AF322">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、技术要求偏离表</w:t>
      </w:r>
      <w:r>
        <w:rPr>
          <w:rFonts w:ascii="Arial" w:hAnsi="Arial" w:cs="Arial"/>
          <w:b/>
          <w:color w:val="auto"/>
          <w:szCs w:val="21"/>
          <w:highlight w:val="none"/>
        </w:rPr>
        <w:t>……………</w:t>
      </w:r>
      <w:r>
        <w:rPr>
          <w:rFonts w:hint="eastAsia" w:ascii="Arial" w:hAnsi="Arial" w:cs="Arial"/>
          <w:b/>
          <w:color w:val="auto"/>
          <w:szCs w:val="21"/>
          <w:highlight w:val="none"/>
        </w:rPr>
        <w:t>页码</w:t>
      </w:r>
    </w:p>
    <w:p w14:paraId="25CE2423">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、服务方案</w:t>
      </w:r>
      <w:r>
        <w:rPr>
          <w:rFonts w:ascii="Arial" w:hAnsi="Arial" w:cs="Arial"/>
          <w:b/>
          <w:color w:val="auto"/>
          <w:szCs w:val="21"/>
          <w:highlight w:val="none"/>
        </w:rPr>
        <w:t>……………</w:t>
      </w:r>
      <w:r>
        <w:rPr>
          <w:rFonts w:hint="eastAsia" w:ascii="Arial" w:hAnsi="Arial" w:cs="Arial"/>
          <w:b/>
          <w:color w:val="auto"/>
          <w:szCs w:val="21"/>
          <w:highlight w:val="none"/>
        </w:rPr>
        <w:t>页码</w:t>
      </w:r>
    </w:p>
    <w:p w14:paraId="704D22D0">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、项目实施人员一览表</w:t>
      </w:r>
      <w:r>
        <w:rPr>
          <w:rFonts w:ascii="Arial" w:hAnsi="Arial" w:cs="Arial"/>
          <w:b/>
          <w:color w:val="auto"/>
          <w:szCs w:val="21"/>
          <w:highlight w:val="none"/>
        </w:rPr>
        <w:t>……………</w:t>
      </w:r>
      <w:r>
        <w:rPr>
          <w:rFonts w:hint="eastAsia" w:ascii="Arial" w:hAnsi="Arial" w:cs="Arial"/>
          <w:b/>
          <w:color w:val="auto"/>
          <w:szCs w:val="21"/>
          <w:highlight w:val="none"/>
        </w:rPr>
        <w:t>页码</w:t>
      </w:r>
    </w:p>
    <w:p w14:paraId="5A3D6612">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、除招标文件规定必须提供以外，投标人需要说明的其他文件和说明</w:t>
      </w:r>
      <w:r>
        <w:rPr>
          <w:rFonts w:ascii="Arial" w:hAnsi="Arial" w:cs="Arial"/>
          <w:b/>
          <w:color w:val="auto"/>
          <w:szCs w:val="21"/>
          <w:highlight w:val="none"/>
        </w:rPr>
        <w:t>……………</w:t>
      </w:r>
      <w:r>
        <w:rPr>
          <w:rFonts w:hint="eastAsia" w:ascii="Arial" w:hAnsi="Arial" w:cs="Arial"/>
          <w:b/>
          <w:color w:val="auto"/>
          <w:szCs w:val="21"/>
          <w:highlight w:val="none"/>
        </w:rPr>
        <w:t>页码</w:t>
      </w:r>
    </w:p>
    <w:p w14:paraId="00819896">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技术要求偏离表格式</w:t>
      </w:r>
    </w:p>
    <w:p w14:paraId="06C75005">
      <w:pPr>
        <w:snapToGrid w:val="0"/>
        <w:spacing w:before="120" w:beforeLines="50" w:after="50"/>
        <w:ind w:left="142"/>
        <w:jc w:val="left"/>
        <w:rPr>
          <w:rFonts w:hint="eastAsia" w:ascii="宋体" w:hAnsi="宋体"/>
          <w:b/>
          <w:color w:val="auto"/>
          <w:sz w:val="24"/>
          <w:highlight w:val="none"/>
        </w:rPr>
      </w:pPr>
    </w:p>
    <w:p w14:paraId="275572A9">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技术要求偏离表</w:t>
      </w:r>
    </w:p>
    <w:p w14:paraId="141C8E22">
      <w:pPr>
        <w:pStyle w:val="27"/>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tbl>
      <w:tblPr>
        <w:tblStyle w:val="49"/>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0C74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26856A2F">
            <w:pPr>
              <w:pStyle w:val="27"/>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项号</w:t>
            </w:r>
          </w:p>
        </w:tc>
        <w:tc>
          <w:tcPr>
            <w:tcW w:w="2143" w:type="dxa"/>
            <w:vAlign w:val="center"/>
          </w:tcPr>
          <w:p w14:paraId="67475544">
            <w:pPr>
              <w:pStyle w:val="27"/>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标的名称</w:t>
            </w:r>
          </w:p>
        </w:tc>
        <w:tc>
          <w:tcPr>
            <w:tcW w:w="1834" w:type="dxa"/>
            <w:vAlign w:val="center"/>
          </w:tcPr>
          <w:p w14:paraId="369EFF23">
            <w:pPr>
              <w:pStyle w:val="27"/>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技术要求</w:t>
            </w:r>
          </w:p>
        </w:tc>
        <w:tc>
          <w:tcPr>
            <w:tcW w:w="2181" w:type="dxa"/>
            <w:vAlign w:val="center"/>
          </w:tcPr>
          <w:p w14:paraId="0CAEB364">
            <w:pPr>
              <w:pStyle w:val="27"/>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投标响应</w:t>
            </w:r>
          </w:p>
        </w:tc>
        <w:tc>
          <w:tcPr>
            <w:tcW w:w="1934" w:type="dxa"/>
            <w:vAlign w:val="center"/>
          </w:tcPr>
          <w:p w14:paraId="2524B65B">
            <w:pPr>
              <w:pStyle w:val="27"/>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偏离说明</w:t>
            </w:r>
          </w:p>
        </w:tc>
      </w:tr>
      <w:tr w14:paraId="51DD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EA9AF45">
            <w:pPr>
              <w:pStyle w:val="27"/>
              <w:spacing w:line="600" w:lineRule="exact"/>
              <w:jc w:val="center"/>
              <w:rPr>
                <w:rFonts w:hint="eastAsia" w:hAnsi="宋体" w:cs="Courier New"/>
                <w:color w:val="auto"/>
                <w:kern w:val="2"/>
                <w:sz w:val="24"/>
                <w:szCs w:val="24"/>
                <w:highlight w:val="none"/>
              </w:rPr>
            </w:pPr>
          </w:p>
        </w:tc>
        <w:tc>
          <w:tcPr>
            <w:tcW w:w="2143" w:type="dxa"/>
            <w:vAlign w:val="center"/>
          </w:tcPr>
          <w:p w14:paraId="7EB5DC67">
            <w:pPr>
              <w:pStyle w:val="27"/>
              <w:spacing w:line="600" w:lineRule="exact"/>
              <w:jc w:val="center"/>
              <w:rPr>
                <w:rFonts w:hint="eastAsia" w:hAnsi="宋体" w:cs="Courier New"/>
                <w:color w:val="auto"/>
                <w:kern w:val="2"/>
                <w:sz w:val="24"/>
                <w:szCs w:val="24"/>
                <w:highlight w:val="none"/>
              </w:rPr>
            </w:pPr>
          </w:p>
        </w:tc>
        <w:tc>
          <w:tcPr>
            <w:tcW w:w="1834" w:type="dxa"/>
            <w:vAlign w:val="center"/>
          </w:tcPr>
          <w:p w14:paraId="21D562D1">
            <w:pPr>
              <w:pStyle w:val="27"/>
              <w:spacing w:line="600" w:lineRule="exact"/>
              <w:jc w:val="center"/>
              <w:rPr>
                <w:rFonts w:hint="eastAsia" w:hAnsi="宋体" w:cs="Courier New"/>
                <w:color w:val="auto"/>
                <w:kern w:val="2"/>
                <w:sz w:val="24"/>
                <w:szCs w:val="24"/>
                <w:highlight w:val="none"/>
              </w:rPr>
            </w:pPr>
          </w:p>
        </w:tc>
        <w:tc>
          <w:tcPr>
            <w:tcW w:w="2181" w:type="dxa"/>
            <w:vAlign w:val="center"/>
          </w:tcPr>
          <w:p w14:paraId="123CA819">
            <w:pPr>
              <w:pStyle w:val="27"/>
              <w:spacing w:line="600" w:lineRule="exact"/>
              <w:jc w:val="center"/>
              <w:rPr>
                <w:rFonts w:hint="eastAsia" w:hAnsi="宋体" w:cs="Courier New"/>
                <w:color w:val="auto"/>
                <w:kern w:val="2"/>
                <w:sz w:val="24"/>
                <w:szCs w:val="24"/>
                <w:highlight w:val="none"/>
              </w:rPr>
            </w:pPr>
          </w:p>
        </w:tc>
        <w:tc>
          <w:tcPr>
            <w:tcW w:w="1934" w:type="dxa"/>
            <w:vAlign w:val="center"/>
          </w:tcPr>
          <w:p w14:paraId="3C097517">
            <w:pPr>
              <w:pStyle w:val="27"/>
              <w:spacing w:line="600" w:lineRule="exact"/>
              <w:jc w:val="center"/>
              <w:rPr>
                <w:rFonts w:hint="eastAsia" w:hAnsi="宋体" w:cs="Courier New"/>
                <w:color w:val="auto"/>
                <w:kern w:val="2"/>
                <w:sz w:val="24"/>
                <w:szCs w:val="24"/>
                <w:highlight w:val="none"/>
              </w:rPr>
            </w:pPr>
          </w:p>
        </w:tc>
      </w:tr>
      <w:tr w14:paraId="7A91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25E2822">
            <w:pPr>
              <w:pStyle w:val="27"/>
              <w:spacing w:line="600" w:lineRule="exact"/>
              <w:rPr>
                <w:rFonts w:hint="eastAsia" w:hAnsi="宋体" w:cs="Courier New"/>
                <w:color w:val="auto"/>
                <w:kern w:val="2"/>
                <w:sz w:val="24"/>
                <w:szCs w:val="24"/>
                <w:highlight w:val="none"/>
              </w:rPr>
            </w:pPr>
          </w:p>
        </w:tc>
        <w:tc>
          <w:tcPr>
            <w:tcW w:w="2143" w:type="dxa"/>
          </w:tcPr>
          <w:p w14:paraId="31367998">
            <w:pPr>
              <w:pStyle w:val="27"/>
              <w:spacing w:line="600" w:lineRule="exact"/>
              <w:rPr>
                <w:rFonts w:hint="eastAsia" w:hAnsi="宋体" w:cs="Courier New"/>
                <w:color w:val="auto"/>
                <w:kern w:val="2"/>
                <w:sz w:val="24"/>
                <w:szCs w:val="24"/>
                <w:highlight w:val="none"/>
              </w:rPr>
            </w:pPr>
          </w:p>
        </w:tc>
        <w:tc>
          <w:tcPr>
            <w:tcW w:w="1834" w:type="dxa"/>
          </w:tcPr>
          <w:p w14:paraId="11E37C83">
            <w:pPr>
              <w:pStyle w:val="27"/>
              <w:spacing w:line="600" w:lineRule="exact"/>
              <w:rPr>
                <w:rFonts w:hint="eastAsia" w:hAnsi="宋体" w:cs="Courier New"/>
                <w:color w:val="auto"/>
                <w:kern w:val="2"/>
                <w:sz w:val="24"/>
                <w:szCs w:val="24"/>
                <w:highlight w:val="none"/>
              </w:rPr>
            </w:pPr>
          </w:p>
        </w:tc>
        <w:tc>
          <w:tcPr>
            <w:tcW w:w="2181" w:type="dxa"/>
          </w:tcPr>
          <w:p w14:paraId="5F2C5B38">
            <w:pPr>
              <w:pStyle w:val="27"/>
              <w:spacing w:line="600" w:lineRule="exact"/>
              <w:rPr>
                <w:rFonts w:hint="eastAsia" w:hAnsi="宋体" w:cs="Courier New"/>
                <w:color w:val="auto"/>
                <w:kern w:val="2"/>
                <w:sz w:val="24"/>
                <w:szCs w:val="24"/>
                <w:highlight w:val="none"/>
              </w:rPr>
            </w:pPr>
          </w:p>
        </w:tc>
        <w:tc>
          <w:tcPr>
            <w:tcW w:w="1934" w:type="dxa"/>
          </w:tcPr>
          <w:p w14:paraId="43B464EF">
            <w:pPr>
              <w:pStyle w:val="27"/>
              <w:spacing w:line="600" w:lineRule="exact"/>
              <w:rPr>
                <w:rFonts w:hint="eastAsia" w:hAnsi="宋体" w:cs="Courier New"/>
                <w:color w:val="auto"/>
                <w:kern w:val="2"/>
                <w:sz w:val="24"/>
                <w:szCs w:val="24"/>
                <w:highlight w:val="none"/>
              </w:rPr>
            </w:pPr>
          </w:p>
        </w:tc>
      </w:tr>
      <w:tr w14:paraId="0643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9A2F91E">
            <w:pPr>
              <w:pStyle w:val="27"/>
              <w:spacing w:line="600" w:lineRule="exact"/>
              <w:rPr>
                <w:rFonts w:hint="eastAsia" w:hAnsi="宋体" w:cs="Courier New"/>
                <w:color w:val="auto"/>
                <w:kern w:val="2"/>
                <w:sz w:val="24"/>
                <w:szCs w:val="24"/>
                <w:highlight w:val="none"/>
              </w:rPr>
            </w:pPr>
          </w:p>
        </w:tc>
        <w:tc>
          <w:tcPr>
            <w:tcW w:w="2143" w:type="dxa"/>
          </w:tcPr>
          <w:p w14:paraId="6C3BC5F1">
            <w:pPr>
              <w:pStyle w:val="27"/>
              <w:spacing w:line="600" w:lineRule="exact"/>
              <w:rPr>
                <w:rFonts w:hint="eastAsia" w:hAnsi="宋体" w:cs="Courier New"/>
                <w:color w:val="auto"/>
                <w:kern w:val="2"/>
                <w:sz w:val="24"/>
                <w:szCs w:val="24"/>
                <w:highlight w:val="none"/>
              </w:rPr>
            </w:pPr>
          </w:p>
        </w:tc>
        <w:tc>
          <w:tcPr>
            <w:tcW w:w="1834" w:type="dxa"/>
          </w:tcPr>
          <w:p w14:paraId="4C25AAC8">
            <w:pPr>
              <w:pStyle w:val="27"/>
              <w:spacing w:line="600" w:lineRule="exact"/>
              <w:rPr>
                <w:rFonts w:hint="eastAsia" w:hAnsi="宋体" w:cs="Courier New"/>
                <w:color w:val="auto"/>
                <w:kern w:val="2"/>
                <w:sz w:val="24"/>
                <w:szCs w:val="24"/>
                <w:highlight w:val="none"/>
              </w:rPr>
            </w:pPr>
          </w:p>
        </w:tc>
        <w:tc>
          <w:tcPr>
            <w:tcW w:w="2181" w:type="dxa"/>
          </w:tcPr>
          <w:p w14:paraId="5C159ACA">
            <w:pPr>
              <w:pStyle w:val="27"/>
              <w:spacing w:line="600" w:lineRule="exact"/>
              <w:rPr>
                <w:rFonts w:hint="eastAsia" w:hAnsi="宋体" w:cs="Courier New"/>
                <w:color w:val="auto"/>
                <w:kern w:val="2"/>
                <w:sz w:val="24"/>
                <w:szCs w:val="24"/>
                <w:highlight w:val="none"/>
              </w:rPr>
            </w:pPr>
          </w:p>
        </w:tc>
        <w:tc>
          <w:tcPr>
            <w:tcW w:w="1934" w:type="dxa"/>
          </w:tcPr>
          <w:p w14:paraId="43E012F2">
            <w:pPr>
              <w:pStyle w:val="27"/>
              <w:spacing w:line="600" w:lineRule="exact"/>
              <w:rPr>
                <w:rFonts w:hint="eastAsia" w:hAnsi="宋体" w:cs="Courier New"/>
                <w:color w:val="auto"/>
                <w:kern w:val="2"/>
                <w:sz w:val="24"/>
                <w:szCs w:val="24"/>
                <w:highlight w:val="none"/>
              </w:rPr>
            </w:pPr>
          </w:p>
        </w:tc>
      </w:tr>
      <w:tr w14:paraId="0FD7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C53AB1C">
            <w:pPr>
              <w:pStyle w:val="27"/>
              <w:spacing w:line="600" w:lineRule="exact"/>
              <w:rPr>
                <w:rFonts w:hint="eastAsia" w:hAnsi="宋体" w:cs="Courier New"/>
                <w:color w:val="auto"/>
                <w:kern w:val="2"/>
                <w:sz w:val="24"/>
                <w:szCs w:val="24"/>
                <w:highlight w:val="none"/>
              </w:rPr>
            </w:pPr>
          </w:p>
        </w:tc>
        <w:tc>
          <w:tcPr>
            <w:tcW w:w="2143" w:type="dxa"/>
          </w:tcPr>
          <w:p w14:paraId="60D84E60">
            <w:pPr>
              <w:pStyle w:val="27"/>
              <w:spacing w:line="600" w:lineRule="exact"/>
              <w:rPr>
                <w:rFonts w:hint="eastAsia" w:hAnsi="宋体" w:cs="Courier New"/>
                <w:color w:val="auto"/>
                <w:kern w:val="2"/>
                <w:sz w:val="24"/>
                <w:szCs w:val="24"/>
                <w:highlight w:val="none"/>
              </w:rPr>
            </w:pPr>
          </w:p>
        </w:tc>
        <w:tc>
          <w:tcPr>
            <w:tcW w:w="1834" w:type="dxa"/>
          </w:tcPr>
          <w:p w14:paraId="6543A6CB">
            <w:pPr>
              <w:pStyle w:val="27"/>
              <w:spacing w:line="600" w:lineRule="exact"/>
              <w:rPr>
                <w:rFonts w:hint="eastAsia" w:hAnsi="宋体" w:cs="Courier New"/>
                <w:color w:val="auto"/>
                <w:kern w:val="2"/>
                <w:sz w:val="24"/>
                <w:szCs w:val="24"/>
                <w:highlight w:val="none"/>
              </w:rPr>
            </w:pPr>
          </w:p>
        </w:tc>
        <w:tc>
          <w:tcPr>
            <w:tcW w:w="2181" w:type="dxa"/>
          </w:tcPr>
          <w:p w14:paraId="6F62A57E">
            <w:pPr>
              <w:pStyle w:val="27"/>
              <w:spacing w:line="600" w:lineRule="exact"/>
              <w:rPr>
                <w:rFonts w:hint="eastAsia" w:hAnsi="宋体" w:cs="Courier New"/>
                <w:color w:val="auto"/>
                <w:kern w:val="2"/>
                <w:sz w:val="24"/>
                <w:szCs w:val="24"/>
                <w:highlight w:val="none"/>
              </w:rPr>
            </w:pPr>
          </w:p>
        </w:tc>
        <w:tc>
          <w:tcPr>
            <w:tcW w:w="1934" w:type="dxa"/>
          </w:tcPr>
          <w:p w14:paraId="3673B442">
            <w:pPr>
              <w:pStyle w:val="27"/>
              <w:spacing w:line="600" w:lineRule="exact"/>
              <w:rPr>
                <w:rFonts w:hint="eastAsia" w:hAnsi="宋体" w:cs="Courier New"/>
                <w:color w:val="auto"/>
                <w:kern w:val="2"/>
                <w:sz w:val="24"/>
                <w:szCs w:val="24"/>
                <w:highlight w:val="none"/>
              </w:rPr>
            </w:pPr>
          </w:p>
        </w:tc>
      </w:tr>
      <w:tr w14:paraId="5A85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74B0DDD">
            <w:pPr>
              <w:pStyle w:val="27"/>
              <w:spacing w:line="600" w:lineRule="exact"/>
              <w:rPr>
                <w:rFonts w:hint="eastAsia" w:hAnsi="宋体" w:cs="Courier New"/>
                <w:color w:val="auto"/>
                <w:kern w:val="2"/>
                <w:sz w:val="24"/>
                <w:szCs w:val="24"/>
                <w:highlight w:val="none"/>
              </w:rPr>
            </w:pPr>
          </w:p>
        </w:tc>
        <w:tc>
          <w:tcPr>
            <w:tcW w:w="2143" w:type="dxa"/>
          </w:tcPr>
          <w:p w14:paraId="255FA13E">
            <w:pPr>
              <w:pStyle w:val="27"/>
              <w:spacing w:line="600" w:lineRule="exact"/>
              <w:rPr>
                <w:rFonts w:hint="eastAsia" w:hAnsi="宋体" w:cs="Courier New"/>
                <w:color w:val="auto"/>
                <w:kern w:val="2"/>
                <w:sz w:val="24"/>
                <w:szCs w:val="24"/>
                <w:highlight w:val="none"/>
              </w:rPr>
            </w:pPr>
          </w:p>
        </w:tc>
        <w:tc>
          <w:tcPr>
            <w:tcW w:w="1834" w:type="dxa"/>
          </w:tcPr>
          <w:p w14:paraId="60B985B6">
            <w:pPr>
              <w:pStyle w:val="27"/>
              <w:spacing w:line="600" w:lineRule="exact"/>
              <w:rPr>
                <w:rFonts w:hint="eastAsia" w:hAnsi="宋体" w:cs="Courier New"/>
                <w:color w:val="auto"/>
                <w:kern w:val="2"/>
                <w:sz w:val="24"/>
                <w:szCs w:val="24"/>
                <w:highlight w:val="none"/>
              </w:rPr>
            </w:pPr>
          </w:p>
        </w:tc>
        <w:tc>
          <w:tcPr>
            <w:tcW w:w="2181" w:type="dxa"/>
          </w:tcPr>
          <w:p w14:paraId="484B8E2E">
            <w:pPr>
              <w:pStyle w:val="27"/>
              <w:spacing w:line="600" w:lineRule="exact"/>
              <w:rPr>
                <w:rFonts w:hint="eastAsia" w:hAnsi="宋体" w:cs="Courier New"/>
                <w:color w:val="auto"/>
                <w:kern w:val="2"/>
                <w:sz w:val="24"/>
                <w:szCs w:val="24"/>
                <w:highlight w:val="none"/>
              </w:rPr>
            </w:pPr>
          </w:p>
        </w:tc>
        <w:tc>
          <w:tcPr>
            <w:tcW w:w="1934" w:type="dxa"/>
          </w:tcPr>
          <w:p w14:paraId="159A463E">
            <w:pPr>
              <w:pStyle w:val="27"/>
              <w:spacing w:line="600" w:lineRule="exact"/>
              <w:rPr>
                <w:rFonts w:hint="eastAsia" w:hAnsi="宋体" w:cs="Courier New"/>
                <w:color w:val="auto"/>
                <w:kern w:val="2"/>
                <w:sz w:val="24"/>
                <w:szCs w:val="24"/>
                <w:highlight w:val="none"/>
              </w:rPr>
            </w:pPr>
          </w:p>
        </w:tc>
      </w:tr>
      <w:tr w14:paraId="1A817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C170777">
            <w:pPr>
              <w:pStyle w:val="27"/>
              <w:spacing w:line="600" w:lineRule="exact"/>
              <w:rPr>
                <w:rFonts w:hint="eastAsia" w:hAnsi="宋体" w:cs="Courier New"/>
                <w:color w:val="auto"/>
                <w:kern w:val="2"/>
                <w:sz w:val="24"/>
                <w:szCs w:val="24"/>
                <w:highlight w:val="none"/>
              </w:rPr>
            </w:pPr>
          </w:p>
        </w:tc>
        <w:tc>
          <w:tcPr>
            <w:tcW w:w="2143" w:type="dxa"/>
          </w:tcPr>
          <w:p w14:paraId="2A8633A1">
            <w:pPr>
              <w:pStyle w:val="27"/>
              <w:spacing w:line="600" w:lineRule="exact"/>
              <w:rPr>
                <w:rFonts w:hint="eastAsia" w:hAnsi="宋体" w:cs="Courier New"/>
                <w:color w:val="auto"/>
                <w:kern w:val="2"/>
                <w:sz w:val="24"/>
                <w:szCs w:val="24"/>
                <w:highlight w:val="none"/>
              </w:rPr>
            </w:pPr>
          </w:p>
        </w:tc>
        <w:tc>
          <w:tcPr>
            <w:tcW w:w="1834" w:type="dxa"/>
          </w:tcPr>
          <w:p w14:paraId="79776154">
            <w:pPr>
              <w:pStyle w:val="27"/>
              <w:spacing w:line="600" w:lineRule="exact"/>
              <w:rPr>
                <w:rFonts w:hint="eastAsia" w:hAnsi="宋体" w:cs="Courier New"/>
                <w:color w:val="auto"/>
                <w:kern w:val="2"/>
                <w:sz w:val="24"/>
                <w:szCs w:val="24"/>
                <w:highlight w:val="none"/>
              </w:rPr>
            </w:pPr>
          </w:p>
        </w:tc>
        <w:tc>
          <w:tcPr>
            <w:tcW w:w="2181" w:type="dxa"/>
          </w:tcPr>
          <w:p w14:paraId="73DDDC68">
            <w:pPr>
              <w:pStyle w:val="27"/>
              <w:spacing w:line="600" w:lineRule="exact"/>
              <w:rPr>
                <w:rFonts w:hint="eastAsia" w:hAnsi="宋体" w:cs="Courier New"/>
                <w:color w:val="auto"/>
                <w:kern w:val="2"/>
                <w:sz w:val="24"/>
                <w:szCs w:val="24"/>
                <w:highlight w:val="none"/>
              </w:rPr>
            </w:pPr>
          </w:p>
        </w:tc>
        <w:tc>
          <w:tcPr>
            <w:tcW w:w="1934" w:type="dxa"/>
          </w:tcPr>
          <w:p w14:paraId="215D7C97">
            <w:pPr>
              <w:pStyle w:val="27"/>
              <w:spacing w:line="600" w:lineRule="exact"/>
              <w:rPr>
                <w:rFonts w:hint="eastAsia" w:hAnsi="宋体" w:cs="Courier New"/>
                <w:color w:val="auto"/>
                <w:kern w:val="2"/>
                <w:sz w:val="24"/>
                <w:szCs w:val="24"/>
                <w:highlight w:val="none"/>
              </w:rPr>
            </w:pPr>
          </w:p>
        </w:tc>
      </w:tr>
    </w:tbl>
    <w:p w14:paraId="746FBF79">
      <w:pPr>
        <w:pStyle w:val="19"/>
        <w:rPr>
          <w:rFonts w:hint="eastAsia" w:ascii="宋体" w:hAnsi="宋体"/>
          <w:color w:val="auto"/>
          <w:highlight w:val="none"/>
        </w:rPr>
      </w:pPr>
      <w:r>
        <w:rPr>
          <w:rFonts w:hint="eastAsia" w:ascii="宋体" w:hAnsi="宋体"/>
          <w:color w:val="auto"/>
          <w:highlight w:val="none"/>
        </w:rPr>
        <w:t>注：</w:t>
      </w:r>
    </w:p>
    <w:p w14:paraId="7E1180CF">
      <w:pPr>
        <w:pStyle w:val="22"/>
        <w:spacing w:line="360" w:lineRule="auto"/>
        <w:ind w:firstLine="0" w:firstLineChars="0"/>
        <w:contextualSpacing/>
        <w:rPr>
          <w:rFonts w:hint="eastAsia" w:hAnsi="仿宋_GB2312" w:cs="仿宋_GB2312"/>
          <w:color w:val="auto"/>
          <w:szCs w:val="32"/>
          <w:highlight w:val="none"/>
        </w:rPr>
      </w:pPr>
      <w:r>
        <w:rPr>
          <w:rFonts w:hint="eastAsia" w:ascii="宋体" w:hAnsi="宋体" w:eastAsia="宋体"/>
          <w:color w:val="auto"/>
          <w:sz w:val="24"/>
          <w:szCs w:val="24"/>
          <w:highlight w:val="none"/>
        </w:rPr>
        <w:t>1.说明：应对照招标文件“第二章 采购需求”中的“技术要求”逐条作明确的投标响应，并作出偏离说明。</w:t>
      </w:r>
    </w:p>
    <w:p w14:paraId="00878F25">
      <w:pPr>
        <w:pStyle w:val="19"/>
        <w:spacing w:line="360" w:lineRule="auto"/>
        <w:contextualSpacing/>
        <w:rPr>
          <w:rFonts w:hint="eastAsia" w:ascii="宋体" w:hAnsi="宋体"/>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6B8B415A">
      <w:pPr>
        <w:snapToGrid w:val="0"/>
        <w:spacing w:before="50" w:after="50" w:line="360" w:lineRule="auto"/>
        <w:rPr>
          <w:rFonts w:hint="eastAsia" w:ascii="宋体" w:hAnsi="宋体"/>
          <w:color w:val="auto"/>
          <w:sz w:val="24"/>
          <w:highlight w:val="none"/>
        </w:rPr>
      </w:pPr>
    </w:p>
    <w:p w14:paraId="5856FB67">
      <w:pPr>
        <w:snapToGrid w:val="0"/>
        <w:spacing w:before="50" w:after="50" w:line="360" w:lineRule="auto"/>
        <w:rPr>
          <w:rFonts w:hint="eastAsia" w:ascii="宋体" w:hAnsi="宋体"/>
          <w:color w:val="auto"/>
          <w:sz w:val="24"/>
          <w:highlight w:val="none"/>
        </w:rPr>
      </w:pPr>
    </w:p>
    <w:p w14:paraId="1BF77E67">
      <w:pPr>
        <w:snapToGrid w:val="0"/>
        <w:spacing w:before="50" w:after="50" w:line="360" w:lineRule="auto"/>
        <w:rPr>
          <w:rFonts w:hint="eastAsia" w:ascii="宋体" w:hAnsi="宋体"/>
          <w:color w:val="auto"/>
          <w:sz w:val="24"/>
          <w:highlight w:val="none"/>
        </w:rPr>
      </w:pPr>
    </w:p>
    <w:p w14:paraId="00B9030C">
      <w:pP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54B69DBA">
      <w:pP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pacing w:val="20"/>
          <w:sz w:val="24"/>
          <w:highlight w:val="none"/>
        </w:rPr>
        <w:t>投标人（盖公章）：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7CCDD584">
      <w:pPr>
        <w:snapToGrid w:val="0"/>
        <w:spacing w:before="50" w:after="50" w:line="360" w:lineRule="auto"/>
        <w:rPr>
          <w:rFonts w:hint="eastAsia" w:ascii="宋体" w:hAnsi="宋体"/>
          <w:color w:val="auto"/>
          <w:sz w:val="24"/>
          <w:szCs w:val="20"/>
          <w:highlight w:val="none"/>
        </w:rPr>
      </w:pPr>
    </w:p>
    <w:p w14:paraId="7F85124C">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4. 项目实施人员一览表格式</w:t>
      </w:r>
    </w:p>
    <w:p w14:paraId="2F1BFCCC">
      <w:pPr>
        <w:snapToGrid w:val="0"/>
        <w:spacing w:before="120" w:beforeLines="50" w:after="50"/>
        <w:ind w:left="142"/>
        <w:jc w:val="left"/>
        <w:rPr>
          <w:rFonts w:hint="eastAsia" w:ascii="宋体" w:hAnsi="宋体"/>
          <w:b/>
          <w:color w:val="auto"/>
          <w:sz w:val="24"/>
          <w:highlight w:val="none"/>
        </w:rPr>
      </w:pPr>
    </w:p>
    <w:p w14:paraId="5FBDFC71">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p w14:paraId="168A6F31">
      <w:pPr>
        <w:pStyle w:val="27"/>
        <w:rPr>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022"/>
        <w:gridCol w:w="1420"/>
        <w:gridCol w:w="1698"/>
        <w:gridCol w:w="1843"/>
      </w:tblGrid>
      <w:tr w14:paraId="594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7D8731B">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709" w:type="dxa"/>
            <w:vAlign w:val="center"/>
          </w:tcPr>
          <w:p w14:paraId="25C4B784">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2022" w:type="dxa"/>
            <w:vAlign w:val="center"/>
          </w:tcPr>
          <w:p w14:paraId="06C0FB3A">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vAlign w:val="center"/>
          </w:tcPr>
          <w:p w14:paraId="3472A35B">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698" w:type="dxa"/>
            <w:vAlign w:val="center"/>
          </w:tcPr>
          <w:p w14:paraId="2CF1B83F">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503608BA">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843" w:type="dxa"/>
            <w:vAlign w:val="center"/>
          </w:tcPr>
          <w:p w14:paraId="43F9981E">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14:paraId="55BE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13A82E0">
            <w:pPr>
              <w:snapToGrid w:val="0"/>
              <w:spacing w:before="50" w:after="120" w:afterLines="50"/>
              <w:jc w:val="center"/>
              <w:rPr>
                <w:rFonts w:hint="eastAsia" w:ascii="宋体" w:hAnsi="宋体"/>
                <w:color w:val="auto"/>
                <w:sz w:val="24"/>
                <w:szCs w:val="20"/>
                <w:highlight w:val="none"/>
              </w:rPr>
            </w:pPr>
          </w:p>
        </w:tc>
        <w:tc>
          <w:tcPr>
            <w:tcW w:w="709" w:type="dxa"/>
            <w:vAlign w:val="center"/>
          </w:tcPr>
          <w:p w14:paraId="0CBB9183">
            <w:pPr>
              <w:snapToGrid w:val="0"/>
              <w:spacing w:before="50" w:after="120" w:afterLines="50"/>
              <w:jc w:val="center"/>
              <w:rPr>
                <w:rFonts w:hint="eastAsia" w:ascii="宋体" w:hAnsi="宋体"/>
                <w:color w:val="auto"/>
                <w:sz w:val="24"/>
                <w:szCs w:val="20"/>
                <w:highlight w:val="none"/>
              </w:rPr>
            </w:pPr>
          </w:p>
        </w:tc>
        <w:tc>
          <w:tcPr>
            <w:tcW w:w="2022" w:type="dxa"/>
            <w:vAlign w:val="center"/>
          </w:tcPr>
          <w:p w14:paraId="12CA02AB">
            <w:pPr>
              <w:snapToGrid w:val="0"/>
              <w:spacing w:before="50" w:after="120" w:afterLines="50"/>
              <w:jc w:val="center"/>
              <w:rPr>
                <w:rFonts w:hint="eastAsia" w:ascii="宋体" w:hAnsi="宋体"/>
                <w:color w:val="auto"/>
                <w:sz w:val="24"/>
                <w:szCs w:val="20"/>
                <w:highlight w:val="none"/>
              </w:rPr>
            </w:pPr>
          </w:p>
        </w:tc>
        <w:tc>
          <w:tcPr>
            <w:tcW w:w="1420" w:type="dxa"/>
            <w:vAlign w:val="center"/>
          </w:tcPr>
          <w:p w14:paraId="6AD516D0">
            <w:pPr>
              <w:snapToGrid w:val="0"/>
              <w:spacing w:before="50" w:after="120" w:afterLines="50"/>
              <w:jc w:val="center"/>
              <w:rPr>
                <w:rFonts w:hint="eastAsia" w:ascii="宋体" w:hAnsi="宋体"/>
                <w:color w:val="auto"/>
                <w:sz w:val="24"/>
                <w:szCs w:val="20"/>
                <w:highlight w:val="none"/>
              </w:rPr>
            </w:pPr>
          </w:p>
        </w:tc>
        <w:tc>
          <w:tcPr>
            <w:tcW w:w="1698" w:type="dxa"/>
            <w:vAlign w:val="center"/>
          </w:tcPr>
          <w:p w14:paraId="0BD9085A">
            <w:pPr>
              <w:snapToGrid w:val="0"/>
              <w:spacing w:before="50" w:after="120" w:afterLines="50"/>
              <w:jc w:val="center"/>
              <w:rPr>
                <w:rFonts w:hint="eastAsia" w:ascii="宋体" w:hAnsi="宋体"/>
                <w:color w:val="auto"/>
                <w:sz w:val="24"/>
                <w:szCs w:val="20"/>
                <w:highlight w:val="none"/>
              </w:rPr>
            </w:pPr>
          </w:p>
        </w:tc>
        <w:tc>
          <w:tcPr>
            <w:tcW w:w="1843" w:type="dxa"/>
            <w:vAlign w:val="center"/>
          </w:tcPr>
          <w:p w14:paraId="20220FA2">
            <w:pPr>
              <w:snapToGrid w:val="0"/>
              <w:spacing w:before="50" w:after="120" w:afterLines="50"/>
              <w:jc w:val="center"/>
              <w:rPr>
                <w:rFonts w:hint="eastAsia" w:ascii="宋体" w:hAnsi="宋体"/>
                <w:color w:val="auto"/>
                <w:sz w:val="24"/>
                <w:szCs w:val="20"/>
                <w:highlight w:val="none"/>
              </w:rPr>
            </w:pPr>
          </w:p>
        </w:tc>
      </w:tr>
      <w:tr w14:paraId="49CE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5EADBE4">
            <w:pPr>
              <w:snapToGrid w:val="0"/>
              <w:spacing w:before="50" w:after="120" w:afterLines="50"/>
              <w:jc w:val="center"/>
              <w:rPr>
                <w:rFonts w:hint="eastAsia" w:ascii="宋体" w:hAnsi="宋体"/>
                <w:color w:val="auto"/>
                <w:sz w:val="24"/>
                <w:szCs w:val="20"/>
                <w:highlight w:val="none"/>
              </w:rPr>
            </w:pPr>
          </w:p>
        </w:tc>
        <w:tc>
          <w:tcPr>
            <w:tcW w:w="709" w:type="dxa"/>
            <w:vAlign w:val="center"/>
          </w:tcPr>
          <w:p w14:paraId="1E025D59">
            <w:pPr>
              <w:snapToGrid w:val="0"/>
              <w:spacing w:before="50" w:after="120" w:afterLines="50"/>
              <w:jc w:val="center"/>
              <w:rPr>
                <w:rFonts w:hint="eastAsia" w:ascii="宋体" w:hAnsi="宋体"/>
                <w:color w:val="auto"/>
                <w:sz w:val="24"/>
                <w:szCs w:val="20"/>
                <w:highlight w:val="none"/>
              </w:rPr>
            </w:pPr>
          </w:p>
        </w:tc>
        <w:tc>
          <w:tcPr>
            <w:tcW w:w="2022" w:type="dxa"/>
            <w:vAlign w:val="center"/>
          </w:tcPr>
          <w:p w14:paraId="5BC3D68E">
            <w:pPr>
              <w:snapToGrid w:val="0"/>
              <w:spacing w:before="50" w:after="120" w:afterLines="50"/>
              <w:jc w:val="center"/>
              <w:rPr>
                <w:rFonts w:hint="eastAsia" w:ascii="宋体" w:hAnsi="宋体"/>
                <w:color w:val="auto"/>
                <w:sz w:val="24"/>
                <w:szCs w:val="20"/>
                <w:highlight w:val="none"/>
              </w:rPr>
            </w:pPr>
          </w:p>
        </w:tc>
        <w:tc>
          <w:tcPr>
            <w:tcW w:w="1420" w:type="dxa"/>
            <w:vAlign w:val="center"/>
          </w:tcPr>
          <w:p w14:paraId="030ADA69">
            <w:pPr>
              <w:snapToGrid w:val="0"/>
              <w:spacing w:before="50" w:after="120" w:afterLines="50"/>
              <w:jc w:val="center"/>
              <w:rPr>
                <w:rFonts w:hint="eastAsia" w:ascii="宋体" w:hAnsi="宋体"/>
                <w:color w:val="auto"/>
                <w:sz w:val="24"/>
                <w:szCs w:val="20"/>
                <w:highlight w:val="none"/>
              </w:rPr>
            </w:pPr>
          </w:p>
        </w:tc>
        <w:tc>
          <w:tcPr>
            <w:tcW w:w="1698" w:type="dxa"/>
            <w:vAlign w:val="center"/>
          </w:tcPr>
          <w:p w14:paraId="526992EF">
            <w:pPr>
              <w:snapToGrid w:val="0"/>
              <w:spacing w:before="50" w:after="120" w:afterLines="50"/>
              <w:jc w:val="center"/>
              <w:rPr>
                <w:rFonts w:hint="eastAsia" w:ascii="宋体" w:hAnsi="宋体"/>
                <w:color w:val="auto"/>
                <w:sz w:val="24"/>
                <w:szCs w:val="20"/>
                <w:highlight w:val="none"/>
              </w:rPr>
            </w:pPr>
          </w:p>
        </w:tc>
        <w:tc>
          <w:tcPr>
            <w:tcW w:w="1843" w:type="dxa"/>
            <w:vAlign w:val="center"/>
          </w:tcPr>
          <w:p w14:paraId="3736BBC9">
            <w:pPr>
              <w:snapToGrid w:val="0"/>
              <w:spacing w:before="50" w:after="120" w:afterLines="50"/>
              <w:jc w:val="center"/>
              <w:rPr>
                <w:rFonts w:hint="eastAsia" w:ascii="宋体" w:hAnsi="宋体"/>
                <w:color w:val="auto"/>
                <w:sz w:val="24"/>
                <w:szCs w:val="20"/>
                <w:highlight w:val="none"/>
              </w:rPr>
            </w:pPr>
          </w:p>
        </w:tc>
      </w:tr>
      <w:tr w14:paraId="34D7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F93AC43">
            <w:pPr>
              <w:snapToGrid w:val="0"/>
              <w:spacing w:before="50" w:after="120" w:afterLines="50"/>
              <w:jc w:val="center"/>
              <w:rPr>
                <w:rFonts w:hint="eastAsia" w:ascii="宋体" w:hAnsi="宋体"/>
                <w:color w:val="auto"/>
                <w:sz w:val="24"/>
                <w:szCs w:val="20"/>
                <w:highlight w:val="none"/>
              </w:rPr>
            </w:pPr>
          </w:p>
        </w:tc>
        <w:tc>
          <w:tcPr>
            <w:tcW w:w="709" w:type="dxa"/>
            <w:vAlign w:val="center"/>
          </w:tcPr>
          <w:p w14:paraId="7F44529D">
            <w:pPr>
              <w:snapToGrid w:val="0"/>
              <w:spacing w:before="50" w:after="120" w:afterLines="50"/>
              <w:jc w:val="center"/>
              <w:rPr>
                <w:rFonts w:hint="eastAsia" w:ascii="宋体" w:hAnsi="宋体"/>
                <w:color w:val="auto"/>
                <w:sz w:val="24"/>
                <w:szCs w:val="20"/>
                <w:highlight w:val="none"/>
              </w:rPr>
            </w:pPr>
          </w:p>
        </w:tc>
        <w:tc>
          <w:tcPr>
            <w:tcW w:w="2022" w:type="dxa"/>
            <w:vAlign w:val="center"/>
          </w:tcPr>
          <w:p w14:paraId="7B224DCA">
            <w:pPr>
              <w:snapToGrid w:val="0"/>
              <w:spacing w:before="50" w:after="120" w:afterLines="50"/>
              <w:jc w:val="center"/>
              <w:rPr>
                <w:rFonts w:hint="eastAsia" w:ascii="宋体" w:hAnsi="宋体"/>
                <w:color w:val="auto"/>
                <w:sz w:val="24"/>
                <w:szCs w:val="20"/>
                <w:highlight w:val="none"/>
              </w:rPr>
            </w:pPr>
          </w:p>
        </w:tc>
        <w:tc>
          <w:tcPr>
            <w:tcW w:w="1420" w:type="dxa"/>
            <w:vAlign w:val="center"/>
          </w:tcPr>
          <w:p w14:paraId="6E0F28DA">
            <w:pPr>
              <w:snapToGrid w:val="0"/>
              <w:spacing w:before="50" w:after="120" w:afterLines="50"/>
              <w:jc w:val="center"/>
              <w:rPr>
                <w:rFonts w:hint="eastAsia" w:ascii="宋体" w:hAnsi="宋体"/>
                <w:color w:val="auto"/>
                <w:sz w:val="24"/>
                <w:szCs w:val="20"/>
                <w:highlight w:val="none"/>
              </w:rPr>
            </w:pPr>
          </w:p>
        </w:tc>
        <w:tc>
          <w:tcPr>
            <w:tcW w:w="1698" w:type="dxa"/>
            <w:vAlign w:val="center"/>
          </w:tcPr>
          <w:p w14:paraId="569F37BE">
            <w:pPr>
              <w:snapToGrid w:val="0"/>
              <w:spacing w:before="50" w:after="120" w:afterLines="50"/>
              <w:jc w:val="center"/>
              <w:rPr>
                <w:rFonts w:hint="eastAsia" w:ascii="宋体" w:hAnsi="宋体"/>
                <w:color w:val="auto"/>
                <w:sz w:val="24"/>
                <w:szCs w:val="20"/>
                <w:highlight w:val="none"/>
              </w:rPr>
            </w:pPr>
          </w:p>
        </w:tc>
        <w:tc>
          <w:tcPr>
            <w:tcW w:w="1843" w:type="dxa"/>
            <w:vAlign w:val="center"/>
          </w:tcPr>
          <w:p w14:paraId="352A5A4D">
            <w:pPr>
              <w:snapToGrid w:val="0"/>
              <w:spacing w:before="50" w:after="120" w:afterLines="50"/>
              <w:jc w:val="center"/>
              <w:rPr>
                <w:rFonts w:hint="eastAsia" w:ascii="宋体" w:hAnsi="宋体"/>
                <w:color w:val="auto"/>
                <w:sz w:val="24"/>
                <w:szCs w:val="20"/>
                <w:highlight w:val="none"/>
              </w:rPr>
            </w:pPr>
          </w:p>
        </w:tc>
      </w:tr>
    </w:tbl>
    <w:p w14:paraId="3A13823E">
      <w:pPr>
        <w:snapToGrid w:val="0"/>
        <w:spacing w:before="50" w:after="120" w:afterLines="50"/>
        <w:jc w:val="left"/>
        <w:rPr>
          <w:rFonts w:hint="eastAsia" w:ascii="宋体" w:hAnsi="宋体"/>
          <w:color w:val="auto"/>
          <w:sz w:val="24"/>
          <w:szCs w:val="20"/>
          <w:highlight w:val="none"/>
        </w:rPr>
      </w:pPr>
    </w:p>
    <w:p w14:paraId="19786A94">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注：</w:t>
      </w:r>
    </w:p>
    <w:p w14:paraId="3B9D7261">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在填写时，如本表格不适合投标单位的实际情况，可根据本表格式自行制表填写。</w:t>
      </w:r>
    </w:p>
    <w:p w14:paraId="2239B913">
      <w:pPr>
        <w:spacing w:line="360" w:lineRule="auto"/>
        <w:contextualSpacing/>
        <w:jc w:val="left"/>
        <w:rPr>
          <w:rFonts w:hint="eastAsia"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投标人应当附本表所列证书的复印件并加盖投标人公章。</w:t>
      </w:r>
    </w:p>
    <w:p w14:paraId="1B7DCC78">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4419E4C5">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投标人（盖公章）：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306A36DA">
      <w:pPr>
        <w:snapToGrid w:val="0"/>
        <w:spacing w:before="50" w:after="120" w:afterLines="50"/>
        <w:jc w:val="left"/>
        <w:rPr>
          <w:rFonts w:hint="eastAsia" w:ascii="宋体" w:hAnsi="宋体"/>
          <w:color w:val="auto"/>
          <w:sz w:val="24"/>
          <w:szCs w:val="20"/>
          <w:highlight w:val="none"/>
        </w:rPr>
      </w:pPr>
    </w:p>
    <w:p w14:paraId="75C72880">
      <w:pPr>
        <w:snapToGrid w:val="0"/>
        <w:spacing w:before="120" w:beforeLines="50" w:after="50"/>
        <w:ind w:left="142"/>
        <w:jc w:val="left"/>
        <w:rPr>
          <w:b/>
          <w:color w:val="auto"/>
          <w:sz w:val="28"/>
          <w:szCs w:val="28"/>
          <w:highlight w:val="none"/>
        </w:rPr>
      </w:pPr>
      <w:r>
        <w:rPr>
          <w:rFonts w:ascii="宋体" w:hAnsi="宋体"/>
          <w:b/>
          <w:color w:val="auto"/>
          <w:sz w:val="24"/>
          <w:highlight w:val="none"/>
        </w:rPr>
        <w:br w:type="page"/>
      </w:r>
      <w:r>
        <w:rPr>
          <w:rFonts w:hint="eastAsia"/>
          <w:b/>
          <w:color w:val="auto"/>
          <w:sz w:val="28"/>
          <w:szCs w:val="28"/>
          <w:highlight w:val="none"/>
        </w:rPr>
        <w:t>五、其他文书、文件格式</w:t>
      </w:r>
    </w:p>
    <w:p w14:paraId="7469B87F">
      <w:pPr>
        <w:snapToGrid w:val="0"/>
        <w:spacing w:before="120" w:beforeLines="50" w:after="50"/>
        <w:ind w:left="142"/>
        <w:jc w:val="left"/>
        <w:rPr>
          <w:rFonts w:hint="eastAsia" w:ascii="宋体" w:hAnsi="宋体"/>
          <w:b/>
          <w:color w:val="auto"/>
          <w:spacing w:val="20"/>
          <w:sz w:val="24"/>
          <w:highlight w:val="none"/>
        </w:rPr>
      </w:pPr>
      <w:r>
        <w:rPr>
          <w:rFonts w:hint="eastAsia" w:ascii="宋体" w:hAnsi="宋体"/>
          <w:b/>
          <w:color w:val="auto"/>
          <w:spacing w:val="20"/>
          <w:sz w:val="24"/>
          <w:highlight w:val="none"/>
        </w:rPr>
        <w:t>1.联合投标协议书格式</w:t>
      </w:r>
    </w:p>
    <w:p w14:paraId="16D7E609">
      <w:pPr>
        <w:snapToGrid w:val="0"/>
        <w:spacing w:before="120" w:beforeLines="50" w:after="50"/>
        <w:ind w:left="142"/>
        <w:jc w:val="left"/>
        <w:rPr>
          <w:rFonts w:hint="eastAsia" w:ascii="宋体" w:hAnsi="宋体"/>
          <w:b/>
          <w:color w:val="auto"/>
          <w:spacing w:val="20"/>
          <w:sz w:val="24"/>
          <w:highlight w:val="none"/>
        </w:rPr>
      </w:pPr>
    </w:p>
    <w:p w14:paraId="73A0B185">
      <w:pPr>
        <w:pStyle w:val="8"/>
        <w:overflowPunct w:val="0"/>
        <w:ind w:firstLine="0"/>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联合体协议书</w:t>
      </w:r>
    </w:p>
    <w:p w14:paraId="76C73BBE">
      <w:pPr>
        <w:pStyle w:val="8"/>
        <w:overflowPunct w:val="0"/>
        <w:rPr>
          <w:rFonts w:hint="eastAsia" w:ascii="宋体" w:hAnsi="宋体"/>
          <w:color w:val="auto"/>
          <w:sz w:val="24"/>
          <w:highlight w:val="none"/>
        </w:rPr>
      </w:pPr>
    </w:p>
    <w:p w14:paraId="544BCEC0">
      <w:pPr>
        <w:pStyle w:val="8"/>
        <w:overflowPunct w:val="0"/>
        <w:spacing w:line="360" w:lineRule="auto"/>
        <w:contextualSpacing/>
        <w:rPr>
          <w:rFonts w:hint="eastAsia" w:ascii="宋体" w:hAnsi="宋体"/>
          <w:color w:val="auto"/>
          <w:sz w:val="24"/>
          <w:highlight w:val="none"/>
        </w:rPr>
      </w:pP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（所有成员单位名称）自愿组成</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（联合体名称）联合体，共同参加</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u w:val="single"/>
        </w:rPr>
        <w:t>（项</w:t>
      </w:r>
      <w:r>
        <w:rPr>
          <w:rFonts w:hint="eastAsia" w:ascii="宋体" w:hAnsi="宋体"/>
          <w:color w:val="auto"/>
          <w:sz w:val="24"/>
          <w:highlight w:val="none"/>
        </w:rPr>
        <w:t>目名称）采购招标项目投标。现就联合体投标事宜订立如下协议。</w:t>
      </w:r>
    </w:p>
    <w:p w14:paraId="7B4776C9">
      <w:pPr>
        <w:pStyle w:val="8"/>
        <w:overflowPunct w:val="0"/>
        <w:spacing w:line="360" w:lineRule="auto"/>
        <w:ind w:firstLineChars="175"/>
        <w:contextualSpacing/>
        <w:rPr>
          <w:rFonts w:hint="eastAsia" w:ascii="宋体" w:hAnsi="宋体"/>
          <w:color w:val="auto"/>
          <w:sz w:val="24"/>
          <w:highlight w:val="none"/>
        </w:rPr>
      </w:pPr>
      <w:r>
        <w:rPr>
          <w:rFonts w:ascii="宋体" w:hAnsi="宋体"/>
          <w:color w:val="auto"/>
          <w:sz w:val="24"/>
          <w:highlight w:val="none"/>
        </w:rPr>
        <w:t xml:space="preserve">1.  </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（某成员单位名称）为</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（联合体名称）牵头人。</w:t>
      </w:r>
    </w:p>
    <w:p w14:paraId="7FA4F174">
      <w:pPr>
        <w:pStyle w:val="8"/>
        <w:overflowPunct w:val="0"/>
        <w:spacing w:line="360" w:lineRule="auto"/>
        <w:ind w:firstLineChars="175"/>
        <w:contextualSpacing/>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联合体各成员授权牵头人代表联合体参加投标活动，签署文件及对文件的盖章，提交和接收相关的资料、</w:t>
      </w:r>
      <w:r>
        <w:rPr>
          <w:rFonts w:ascii="宋体" w:hAnsi="宋体"/>
          <w:color w:val="auto"/>
          <w:sz w:val="24"/>
          <w:highlight w:val="none"/>
        </w:rPr>
        <w:t xml:space="preserve"> </w:t>
      </w:r>
      <w:r>
        <w:rPr>
          <w:rFonts w:hint="eastAsia" w:ascii="宋体" w:hAnsi="宋体"/>
          <w:color w:val="auto"/>
          <w:sz w:val="24"/>
          <w:highlight w:val="none"/>
        </w:rPr>
        <w:t>信息及指示，进行合同谈判活动，负责合同实施阶段的组织和协调工作，以及处理与本招标项</w:t>
      </w:r>
      <w:r>
        <w:rPr>
          <w:rFonts w:ascii="宋体" w:hAnsi="宋体"/>
          <w:color w:val="auto"/>
          <w:sz w:val="24"/>
          <w:highlight w:val="none"/>
        </w:rPr>
        <w:t xml:space="preserve"> </w:t>
      </w:r>
      <w:r>
        <w:rPr>
          <w:rFonts w:hint="eastAsia" w:ascii="宋体" w:hAnsi="宋体"/>
          <w:color w:val="auto"/>
          <w:sz w:val="24"/>
          <w:highlight w:val="none"/>
        </w:rPr>
        <w:t>目有关的一切事宜。</w:t>
      </w:r>
    </w:p>
    <w:p w14:paraId="75CFF9D4">
      <w:pPr>
        <w:pStyle w:val="8"/>
        <w:overflowPunct w:val="0"/>
        <w:spacing w:line="360" w:lineRule="auto"/>
        <w:ind w:firstLineChars="175"/>
        <w:contextualSpacing/>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联合体牵头人在本项目中签署和盖章的一切文件和处理的一切事宜，联合体各成员均予以承认。</w:t>
      </w:r>
      <w:r>
        <w:rPr>
          <w:rFonts w:ascii="宋体" w:hAnsi="宋体"/>
          <w:color w:val="auto"/>
          <w:sz w:val="24"/>
          <w:highlight w:val="none"/>
        </w:rPr>
        <w:t xml:space="preserve"> </w:t>
      </w:r>
      <w:r>
        <w:rPr>
          <w:rFonts w:hint="eastAsia" w:ascii="宋体" w:hAnsi="宋体"/>
          <w:color w:val="auto"/>
          <w:sz w:val="24"/>
          <w:highlight w:val="none"/>
        </w:rPr>
        <w:t>联合体各成员将严格按照招标文件、投标文件和合同的要求全面履行义务，并向招标人承担连带责任。</w:t>
      </w:r>
    </w:p>
    <w:p w14:paraId="46B0429C">
      <w:pPr>
        <w:pStyle w:val="8"/>
        <w:overflowPunct w:val="0"/>
        <w:spacing w:line="360" w:lineRule="auto"/>
        <w:ind w:firstLineChars="175"/>
        <w:contextualSpacing/>
        <w:rPr>
          <w:rFonts w:hint="eastAsia"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联合体各成员单位内部的职责分工如下：</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w:t>
      </w:r>
    </w:p>
    <w:p w14:paraId="72F8399A">
      <w:pPr>
        <w:pStyle w:val="8"/>
        <w:overflowPunct w:val="0"/>
        <w:spacing w:line="360" w:lineRule="auto"/>
        <w:ind w:firstLineChars="175"/>
        <w:contextualSpacing/>
        <w:rPr>
          <w:rFonts w:hint="eastAsia"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本协议书自所有成员单位法定代表人或者其委托代理人签字或者盖公章之日起生效，合同履行完毕后自动失效。</w:t>
      </w:r>
    </w:p>
    <w:p w14:paraId="37C6CE78">
      <w:pPr>
        <w:pStyle w:val="8"/>
        <w:overflowPunct w:val="0"/>
        <w:spacing w:line="360" w:lineRule="auto"/>
        <w:ind w:firstLineChars="175"/>
        <w:contextualSpacing/>
        <w:rPr>
          <w:rFonts w:hint="eastAsia"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本协议书一式</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份，联合体成员和招标人各执一份。</w:t>
      </w:r>
    </w:p>
    <w:p w14:paraId="60EB9F71">
      <w:pPr>
        <w:pStyle w:val="8"/>
        <w:overflowPunct w:val="0"/>
        <w:spacing w:line="360" w:lineRule="auto"/>
        <w:ind w:firstLineChars="175"/>
        <w:contextualSpacing/>
        <w:rPr>
          <w:rFonts w:hint="eastAsia" w:ascii="宋体" w:hAnsi="宋体"/>
          <w:color w:val="auto"/>
          <w:sz w:val="24"/>
          <w:highlight w:val="none"/>
        </w:rPr>
      </w:pPr>
      <w:r>
        <w:rPr>
          <w:rFonts w:hint="eastAsia" w:ascii="宋体" w:hAnsi="宋体"/>
          <w:color w:val="auto"/>
          <w:sz w:val="24"/>
          <w:highlight w:val="none"/>
        </w:rPr>
        <w:t>注：本协议书由法定代表人签字的，应附法定代表人身份证明；由委托代理人签字的，应附授权委托书。</w:t>
      </w:r>
    </w:p>
    <w:p w14:paraId="4A50A7B0">
      <w:pPr>
        <w:pStyle w:val="8"/>
        <w:overflowPunct w:val="0"/>
        <w:spacing w:line="360" w:lineRule="auto"/>
        <w:ind w:firstLineChars="175"/>
        <w:contextualSpacing/>
        <w:rPr>
          <w:rFonts w:hint="eastAsia" w:ascii="宋体" w:hAnsi="宋体"/>
          <w:color w:val="auto"/>
          <w:sz w:val="24"/>
          <w:highlight w:val="none"/>
        </w:rPr>
      </w:pPr>
    </w:p>
    <w:p w14:paraId="133DEB86">
      <w:pPr>
        <w:pStyle w:val="8"/>
        <w:overflowPunct w:val="0"/>
        <w:spacing w:line="360" w:lineRule="auto"/>
        <w:ind w:firstLineChars="175"/>
        <w:contextualSpacing/>
        <w:rPr>
          <w:rFonts w:hint="eastAsia" w:ascii="宋体" w:hAnsi="宋体"/>
          <w:color w:val="auto"/>
          <w:sz w:val="24"/>
          <w:highlight w:val="none"/>
        </w:rPr>
      </w:pPr>
      <w:r>
        <w:rPr>
          <w:rFonts w:hint="eastAsia" w:ascii="宋体" w:hAnsi="宋体"/>
          <w:color w:val="auto"/>
          <w:sz w:val="24"/>
          <w:highlight w:val="none"/>
        </w:rPr>
        <w:t>联合体牵头人名称（盖公章）：</w:t>
      </w:r>
    </w:p>
    <w:p w14:paraId="49812C53">
      <w:pPr>
        <w:pStyle w:val="8"/>
        <w:overflowPunct w:val="0"/>
        <w:spacing w:line="360" w:lineRule="auto"/>
        <w:ind w:firstLineChars="175"/>
        <w:contextualSpacing/>
        <w:rPr>
          <w:rFonts w:hint="eastAsia" w:ascii="宋体" w:hAnsi="宋体"/>
          <w:color w:val="auto"/>
          <w:sz w:val="24"/>
          <w:highlight w:val="none"/>
        </w:rPr>
      </w:pPr>
      <w:r>
        <w:rPr>
          <w:rFonts w:hint="eastAsia" w:ascii="宋体" w:hAnsi="宋体"/>
          <w:color w:val="auto"/>
          <w:sz w:val="24"/>
          <w:highlight w:val="none"/>
        </w:rPr>
        <w:t>法定代表人或者其委托代理人：</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（签字）</w:t>
      </w:r>
    </w:p>
    <w:p w14:paraId="7B8E5247">
      <w:pPr>
        <w:pStyle w:val="8"/>
        <w:overflowPunct w:val="0"/>
        <w:spacing w:line="360" w:lineRule="auto"/>
        <w:ind w:firstLineChars="175"/>
        <w:contextualSpacing/>
        <w:rPr>
          <w:rFonts w:hint="eastAsia" w:ascii="宋体" w:hAnsi="宋体"/>
          <w:color w:val="auto"/>
          <w:sz w:val="24"/>
          <w:highlight w:val="none"/>
        </w:rPr>
      </w:pPr>
    </w:p>
    <w:p w14:paraId="1DF75DBD">
      <w:pPr>
        <w:pStyle w:val="8"/>
        <w:overflowPunct w:val="0"/>
        <w:spacing w:line="360" w:lineRule="auto"/>
        <w:ind w:firstLineChars="175"/>
        <w:contextualSpacing/>
        <w:rPr>
          <w:rFonts w:hint="eastAsia" w:ascii="宋体" w:hAnsi="宋体"/>
          <w:color w:val="auto"/>
          <w:sz w:val="24"/>
          <w:highlight w:val="none"/>
        </w:rPr>
      </w:pPr>
      <w:r>
        <w:rPr>
          <w:rFonts w:hint="eastAsia" w:ascii="宋体" w:hAnsi="宋体"/>
          <w:color w:val="auto"/>
          <w:sz w:val="24"/>
          <w:highlight w:val="none"/>
        </w:rPr>
        <w:t>联合体成员名称（盖公章）：</w:t>
      </w:r>
    </w:p>
    <w:p w14:paraId="35D3DD86">
      <w:pPr>
        <w:pStyle w:val="8"/>
        <w:overflowPunct w:val="0"/>
        <w:spacing w:line="360" w:lineRule="auto"/>
        <w:ind w:firstLineChars="175"/>
        <w:contextualSpacing/>
        <w:rPr>
          <w:rFonts w:hint="eastAsia" w:ascii="宋体" w:hAnsi="宋体"/>
          <w:color w:val="auto"/>
          <w:sz w:val="24"/>
          <w:highlight w:val="none"/>
        </w:rPr>
      </w:pPr>
      <w:r>
        <w:rPr>
          <w:rFonts w:hint="eastAsia" w:ascii="宋体" w:hAnsi="宋体"/>
          <w:color w:val="auto"/>
          <w:sz w:val="24"/>
          <w:highlight w:val="none"/>
        </w:rPr>
        <w:t>法定代表人或者其委托代理人：</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（签字）</w:t>
      </w:r>
    </w:p>
    <w:p w14:paraId="1BE62A8F">
      <w:pPr>
        <w:pStyle w:val="8"/>
        <w:overflowPunct w:val="0"/>
        <w:spacing w:line="360" w:lineRule="auto"/>
        <w:ind w:firstLineChars="175"/>
        <w:contextualSpacing/>
        <w:rPr>
          <w:rFonts w:hint="eastAsia" w:ascii="宋体" w:hAnsi="宋体"/>
          <w:color w:val="auto"/>
          <w:sz w:val="24"/>
          <w:highlight w:val="none"/>
        </w:rPr>
      </w:pPr>
      <w:r>
        <w:rPr>
          <w:rFonts w:ascii="宋体" w:hAnsi="宋体"/>
          <w:color w:val="auto"/>
          <w:sz w:val="24"/>
          <w:highlight w:val="none"/>
        </w:rPr>
        <w:t>……</w:t>
      </w:r>
    </w:p>
    <w:p w14:paraId="67FB715C">
      <w:pPr>
        <w:pStyle w:val="8"/>
        <w:overflowPunct w:val="0"/>
        <w:spacing w:line="360" w:lineRule="auto"/>
        <w:ind w:firstLineChars="175"/>
        <w:contextualSpacing/>
        <w:rPr>
          <w:rFonts w:hint="eastAsia" w:ascii="宋体" w:hAnsi="宋体"/>
          <w:color w:val="auto"/>
          <w:sz w:val="24"/>
          <w:highlight w:val="none"/>
        </w:rPr>
      </w:pPr>
    </w:p>
    <w:p w14:paraId="3438C637">
      <w:pPr>
        <w:pStyle w:val="8"/>
        <w:overflowPunct w:val="0"/>
        <w:spacing w:line="360" w:lineRule="auto"/>
        <w:ind w:firstLineChars="175"/>
        <w:contextualSpacing/>
        <w:jc w:val="right"/>
        <w:rPr>
          <w:rFonts w:hint="eastAsia" w:ascii="宋体" w:hAnsi="宋体"/>
          <w:b/>
          <w:color w:val="auto"/>
          <w:sz w:val="24"/>
          <w:highlight w:val="none"/>
        </w:rPr>
      </w:pP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年</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月</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日</w:t>
      </w:r>
    </w:p>
    <w:p w14:paraId="01190620">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rPr>
        <w:t xml:space="preserve"> </w:t>
      </w:r>
    </w:p>
    <w:p w14:paraId="380C9A72">
      <w:pPr>
        <w:snapToGrid w:val="0"/>
        <w:spacing w:before="120" w:beforeLines="50" w:after="50"/>
        <w:jc w:val="left"/>
        <w:rPr>
          <w:color w:val="auto"/>
          <w:highlight w:val="none"/>
        </w:rPr>
      </w:pPr>
      <w:r>
        <w:rPr>
          <w:rFonts w:hint="eastAsia" w:ascii="宋体" w:hAnsi="宋体"/>
          <w:b/>
          <w:color w:val="auto"/>
          <w:sz w:val="24"/>
          <w:highlight w:val="none"/>
        </w:rPr>
        <w:br w:type="page"/>
      </w:r>
      <w:r>
        <w:rPr>
          <w:rFonts w:hint="eastAsia" w:ascii="宋体" w:hAnsi="宋体"/>
          <w:b/>
          <w:color w:val="auto"/>
          <w:sz w:val="24"/>
          <w:highlight w:val="none"/>
        </w:rPr>
        <w:t>2.中小企业声明函格式</w:t>
      </w:r>
    </w:p>
    <w:p w14:paraId="568DD052">
      <w:pPr>
        <w:rPr>
          <w:color w:val="auto"/>
          <w:highlight w:val="none"/>
        </w:rPr>
      </w:pPr>
    </w:p>
    <w:p w14:paraId="197DB4FB">
      <w:pPr>
        <w:jc w:val="center"/>
        <w:rPr>
          <w:rFonts w:hint="eastAsia" w:ascii="宋体" w:hAnsi="宋体" w:cs="宋体"/>
          <w:color w:val="auto"/>
          <w:sz w:val="44"/>
          <w:szCs w:val="44"/>
          <w:highlight w:val="none"/>
        </w:rPr>
      </w:pPr>
      <w:bookmarkStart w:id="158" w:name="_Toc71365926"/>
      <w:r>
        <w:rPr>
          <w:rFonts w:hint="eastAsia" w:ascii="宋体" w:hAnsi="宋体" w:cs="宋体"/>
          <w:color w:val="auto"/>
          <w:sz w:val="44"/>
          <w:szCs w:val="44"/>
          <w:highlight w:val="none"/>
        </w:rPr>
        <w:t>中小企业声明函（服务）</w:t>
      </w:r>
      <w:bookmarkEnd w:id="158"/>
    </w:p>
    <w:p w14:paraId="0694B6D6">
      <w:pPr>
        <w:spacing w:before="2" w:line="500" w:lineRule="exact"/>
        <w:ind w:firstLine="708" w:firstLineChars="294"/>
        <w:rPr>
          <w:rFonts w:hint="eastAsia" w:ascii="宋体" w:hAnsi="宋体" w:cs="宋体"/>
          <w:b/>
          <w:bCs/>
          <w:color w:val="auto"/>
          <w:sz w:val="24"/>
          <w:highlight w:val="none"/>
        </w:rPr>
      </w:pPr>
    </w:p>
    <w:p w14:paraId="1236E552">
      <w:pPr>
        <w:pStyle w:val="20"/>
        <w:spacing w:line="500" w:lineRule="exact"/>
        <w:ind w:right="142" w:firstLine="705" w:firstLineChars="294"/>
        <w:rPr>
          <w:rFonts w:hint="eastAsia" w:ascii="宋体" w:hAnsi="宋体"/>
          <w:color w:val="auto"/>
          <w:highlight w:val="none"/>
        </w:rPr>
      </w:pPr>
      <w:r>
        <w:rPr>
          <w:rFonts w:ascii="宋体" w:hAnsi="宋体"/>
          <w:color w:val="auto"/>
          <w:highlight w:val="none"/>
        </w:rPr>
        <w:t>本公司（联合体）郑重声明，根据《政府采购促进中小企业发展管理办法》（财库﹝2020﹞46号）的规定，本公司（联合体）参加</w:t>
      </w:r>
      <w:r>
        <w:rPr>
          <w:rFonts w:ascii="宋体" w:hAnsi="宋体"/>
          <w:color w:val="auto"/>
          <w:highlight w:val="none"/>
          <w:u w:val="single"/>
        </w:rPr>
        <w:t>（单位名称）</w:t>
      </w:r>
      <w:r>
        <w:rPr>
          <w:rFonts w:ascii="宋体" w:hAnsi="宋体"/>
          <w:color w:val="auto"/>
          <w:highlight w:val="none"/>
        </w:rPr>
        <w:t>的</w:t>
      </w:r>
      <w:r>
        <w:rPr>
          <w:rFonts w:ascii="宋体" w:hAnsi="宋体"/>
          <w:color w:val="auto"/>
          <w:highlight w:val="none"/>
          <w:u w:val="single"/>
        </w:rPr>
        <w:t>（项目名称）</w:t>
      </w:r>
      <w:r>
        <w:rPr>
          <w:rFonts w:ascii="宋体" w:hAnsi="宋体"/>
          <w:color w:val="auto"/>
          <w:highlight w:val="none"/>
        </w:rPr>
        <w:t>采购活动，</w:t>
      </w:r>
      <w:r>
        <w:rPr>
          <w:rFonts w:hint="eastAsia" w:ascii="宋体" w:hAnsi="宋体"/>
          <w:color w:val="auto"/>
          <w:highlight w:val="none"/>
        </w:rPr>
        <w:t>服务全部由符合政策要求的中小企业承接。相关企业（含联合体中的中小企业、签订分包意向协议的中小企业）的具体情况如下：</w:t>
      </w:r>
    </w:p>
    <w:p w14:paraId="5F082965">
      <w:pPr>
        <w:tabs>
          <w:tab w:val="left" w:pos="1384"/>
          <w:tab w:val="left" w:pos="4562"/>
          <w:tab w:val="left" w:pos="6803"/>
        </w:tabs>
        <w:spacing w:before="13" w:line="500" w:lineRule="exact"/>
        <w:ind w:right="142" w:firstLine="772" w:firstLineChars="322"/>
        <w:rPr>
          <w:rFonts w:hint="eastAsia"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5728E0C8">
      <w:pPr>
        <w:tabs>
          <w:tab w:val="left" w:pos="1065"/>
          <w:tab w:val="left" w:pos="4262"/>
          <w:tab w:val="left" w:pos="6477"/>
        </w:tabs>
        <w:spacing w:before="20" w:line="500" w:lineRule="exact"/>
        <w:ind w:right="84" w:firstLine="772" w:firstLineChars="322"/>
        <w:rPr>
          <w:rFonts w:hint="eastAsia"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5644315F">
      <w:pPr>
        <w:pStyle w:val="20"/>
        <w:spacing w:before="34" w:line="500" w:lineRule="exact"/>
        <w:ind w:right="142" w:firstLine="705" w:firstLineChars="294"/>
        <w:rPr>
          <w:rFonts w:hint="eastAsia" w:ascii="宋体" w:hAnsi="宋体"/>
          <w:color w:val="auto"/>
          <w:highlight w:val="none"/>
        </w:rPr>
      </w:pPr>
      <w:r>
        <w:rPr>
          <w:rFonts w:ascii="宋体" w:hAnsi="宋体"/>
          <w:color w:val="auto"/>
          <w:highlight w:val="none"/>
        </w:rPr>
        <w:t xml:space="preserve">…… </w:t>
      </w:r>
    </w:p>
    <w:p w14:paraId="1126E5C0">
      <w:pPr>
        <w:pStyle w:val="20"/>
        <w:spacing w:before="34" w:line="500" w:lineRule="exact"/>
        <w:ind w:right="142" w:firstLine="705" w:firstLineChars="294"/>
        <w:rPr>
          <w:rFonts w:hint="eastAsia" w:ascii="宋体" w:hAnsi="宋体"/>
          <w:color w:val="auto"/>
          <w:highlight w:val="none"/>
        </w:rPr>
      </w:pPr>
      <w:r>
        <w:rPr>
          <w:rFonts w:ascii="宋体" w:hAnsi="宋体"/>
          <w:color w:val="auto"/>
          <w:highlight w:val="none"/>
        </w:rPr>
        <w:t>以上企业，不属于大企业的分支机构，不存在控股股东为大企业的情形，也不存在与大企业的负责人为同一人的情形。</w:t>
      </w:r>
    </w:p>
    <w:p w14:paraId="1C48C13B">
      <w:pPr>
        <w:pStyle w:val="20"/>
        <w:spacing w:before="25" w:line="500" w:lineRule="exact"/>
        <w:ind w:right="142" w:firstLine="705" w:firstLineChars="294"/>
        <w:rPr>
          <w:rFonts w:hint="eastAsia" w:ascii="宋体" w:hAnsi="宋体"/>
          <w:color w:val="auto"/>
          <w:highlight w:val="none"/>
        </w:rPr>
      </w:pPr>
      <w:r>
        <w:rPr>
          <w:rFonts w:ascii="宋体" w:hAnsi="宋体"/>
          <w:color w:val="auto"/>
          <w:highlight w:val="none"/>
        </w:rPr>
        <w:t>本企业对上述声明内容的真实性负责。如有虚假，将依法承担相应责任。</w:t>
      </w:r>
    </w:p>
    <w:p w14:paraId="2E29BD0A">
      <w:pPr>
        <w:pStyle w:val="20"/>
        <w:spacing w:before="56" w:line="500" w:lineRule="exact"/>
        <w:ind w:right="1808" w:firstLine="705" w:firstLineChars="294"/>
        <w:rPr>
          <w:rFonts w:hint="eastAsia" w:ascii="宋体" w:hAnsi="宋体"/>
          <w:color w:val="auto"/>
          <w:highlight w:val="none"/>
        </w:rPr>
      </w:pPr>
    </w:p>
    <w:p w14:paraId="124602D9">
      <w:pPr>
        <w:pStyle w:val="20"/>
        <w:spacing w:before="56" w:line="500" w:lineRule="exact"/>
        <w:ind w:right="650" w:firstLine="5625" w:firstLineChars="2344"/>
        <w:rPr>
          <w:rFonts w:hint="eastAsia" w:ascii="宋体" w:hAnsi="宋体"/>
          <w:color w:val="auto"/>
          <w:highlight w:val="none"/>
        </w:rPr>
      </w:pPr>
      <w:r>
        <w:rPr>
          <w:rFonts w:ascii="宋体" w:hAnsi="宋体"/>
          <w:color w:val="auto"/>
          <w:highlight w:val="none"/>
        </w:rPr>
        <w:t xml:space="preserve">企业名称（章）： </w:t>
      </w:r>
    </w:p>
    <w:p w14:paraId="22E80CFC">
      <w:pPr>
        <w:pStyle w:val="20"/>
        <w:spacing w:before="56" w:line="500" w:lineRule="exact"/>
        <w:ind w:right="1808" w:firstLine="5625" w:firstLineChars="2344"/>
        <w:rPr>
          <w:rFonts w:hint="eastAsia" w:ascii="宋体" w:hAnsi="宋体"/>
          <w:color w:val="auto"/>
          <w:highlight w:val="none"/>
        </w:rPr>
      </w:pPr>
      <w:r>
        <w:rPr>
          <w:rFonts w:ascii="宋体" w:hAnsi="宋体"/>
          <w:color w:val="auto"/>
          <w:highlight w:val="none"/>
        </w:rPr>
        <w:t>日 期：</w:t>
      </w:r>
    </w:p>
    <w:p w14:paraId="3B46E455">
      <w:pPr>
        <w:spacing w:line="520" w:lineRule="exact"/>
        <w:jc w:val="left"/>
        <w:rPr>
          <w:rFonts w:hint="eastAsia" w:ascii="宋体" w:hAnsi="宋体" w:cs="仿宋_GB2312"/>
          <w:color w:val="auto"/>
          <w:sz w:val="24"/>
          <w:highlight w:val="none"/>
        </w:rPr>
      </w:pPr>
    </w:p>
    <w:p w14:paraId="29B260FB">
      <w:pPr>
        <w:spacing w:line="520" w:lineRule="exact"/>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投标人的《中小企业声明函》。从业人员、营业收入、资产总额填报上一年度数据，无上一年度数据的新成立企业可不填报。</w:t>
      </w:r>
    </w:p>
    <w:p w14:paraId="3B3F3754">
      <w:pPr>
        <w:snapToGrid w:val="0"/>
        <w:spacing w:before="120" w:beforeLines="50" w:after="50"/>
        <w:ind w:left="142"/>
        <w:jc w:val="left"/>
        <w:rPr>
          <w:rFonts w:hint="eastAsia" w:ascii="宋体" w:hAnsi="宋体"/>
          <w:b/>
          <w:color w:val="auto"/>
          <w:sz w:val="24"/>
          <w:highlight w:val="none"/>
        </w:rPr>
      </w:pPr>
    </w:p>
    <w:p w14:paraId="033A698F">
      <w:pPr>
        <w:pStyle w:val="27"/>
        <w:jc w:val="left"/>
        <w:rPr>
          <w:rFonts w:hint="eastAsia" w:ascii="Arial Unicode MS" w:hAnsi="Arial Unicode MS" w:eastAsia="Arial Unicode MS" w:cs="Arial Unicode MS"/>
          <w:color w:val="auto"/>
          <w:sz w:val="32"/>
          <w:szCs w:val="32"/>
          <w:highlight w:val="none"/>
        </w:rPr>
      </w:pPr>
      <w:r>
        <w:rPr>
          <w:rFonts w:ascii="Arial Unicode MS" w:hAnsi="Arial Unicode MS" w:eastAsia="Arial Unicode MS" w:cs="Arial Unicode MS"/>
          <w:color w:val="auto"/>
          <w:sz w:val="32"/>
          <w:szCs w:val="32"/>
          <w:highlight w:val="none"/>
        </w:rPr>
        <w:br w:type="page"/>
      </w:r>
      <w:r>
        <w:rPr>
          <w:rFonts w:hint="eastAsia" w:ascii="Arial Unicode MS" w:hAnsi="Arial Unicode MS" w:eastAsia="Arial Unicode MS" w:cs="Arial Unicode MS"/>
          <w:color w:val="auto"/>
          <w:sz w:val="32"/>
          <w:szCs w:val="32"/>
          <w:highlight w:val="none"/>
        </w:rPr>
        <w:t>附：</w:t>
      </w:r>
    </w:p>
    <w:p w14:paraId="72F056D5">
      <w:pPr>
        <w:jc w:val="center"/>
        <w:rPr>
          <w:rFonts w:hint="eastAsia" w:ascii="宋体" w:hAnsi="宋体" w:cs="Arial Unicode MS"/>
          <w:color w:val="auto"/>
          <w:sz w:val="44"/>
          <w:szCs w:val="44"/>
          <w:highlight w:val="none"/>
        </w:rPr>
      </w:pPr>
      <w:r>
        <w:rPr>
          <w:rFonts w:hint="eastAsia" w:ascii="宋体" w:hAnsi="宋体" w:cs="Arial Unicode MS"/>
          <w:color w:val="auto"/>
          <w:sz w:val="44"/>
          <w:szCs w:val="44"/>
          <w:highlight w:val="none"/>
        </w:rPr>
        <w:t>中小微企业划型标准</w:t>
      </w:r>
    </w:p>
    <w:p w14:paraId="094018F4">
      <w:pPr>
        <w:ind w:left="1871"/>
        <w:rPr>
          <w:rFonts w:hint="eastAsia" w:ascii="宋体" w:hAnsi="宋体" w:cs="Arial Unicode MS"/>
          <w:color w:val="auto"/>
          <w:szCs w:val="21"/>
          <w:highlight w:val="none"/>
        </w:rPr>
      </w:pPr>
    </w:p>
    <w:tbl>
      <w:tblPr>
        <w:tblStyle w:val="49"/>
        <w:tblW w:w="7983" w:type="dxa"/>
        <w:tblInd w:w="250" w:type="dxa"/>
        <w:tblLayout w:type="fixed"/>
        <w:tblCellMar>
          <w:top w:w="0" w:type="dxa"/>
          <w:left w:w="108" w:type="dxa"/>
          <w:bottom w:w="0" w:type="dxa"/>
          <w:right w:w="108" w:type="dxa"/>
        </w:tblCellMar>
      </w:tblPr>
      <w:tblGrid>
        <w:gridCol w:w="1701"/>
        <w:gridCol w:w="1384"/>
        <w:gridCol w:w="913"/>
        <w:gridCol w:w="1620"/>
        <w:gridCol w:w="1440"/>
        <w:gridCol w:w="925"/>
      </w:tblGrid>
      <w:tr w14:paraId="2014BADC">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14:paraId="7B09FE83">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4975D86E">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48FCE314">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vAlign w:val="center"/>
          </w:tcPr>
          <w:p w14:paraId="28A05E6B">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vAlign w:val="center"/>
          </w:tcPr>
          <w:p w14:paraId="2B52F4C8">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vAlign w:val="center"/>
          </w:tcPr>
          <w:p w14:paraId="28856231">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4EC52F15">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56514138">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vAlign w:val="center"/>
          </w:tcPr>
          <w:p w14:paraId="063FDD2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B13286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90118F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0A2660C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925" w:type="dxa"/>
            <w:tcBorders>
              <w:top w:val="nil"/>
              <w:left w:val="nil"/>
              <w:bottom w:val="single" w:color="auto" w:sz="4" w:space="0"/>
              <w:right w:val="single" w:color="auto" w:sz="4" w:space="0"/>
            </w:tcBorders>
            <w:vAlign w:val="center"/>
          </w:tcPr>
          <w:p w14:paraId="7D5C08A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110A288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DAC23D9">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vAlign w:val="center"/>
          </w:tcPr>
          <w:p w14:paraId="4FE8394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AE99BE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F0DC6B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1E8DAC0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3C0E70C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52DF06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DC1F539">
            <w:pPr>
              <w:widowControl/>
              <w:jc w:val="left"/>
              <w:rPr>
                <w:rFonts w:hint="eastAsia"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4E9634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893416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4413B1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440" w:type="dxa"/>
            <w:tcBorders>
              <w:top w:val="nil"/>
              <w:left w:val="nil"/>
              <w:bottom w:val="single" w:color="auto" w:sz="4" w:space="0"/>
              <w:right w:val="single" w:color="auto" w:sz="4" w:space="0"/>
            </w:tcBorders>
            <w:vAlign w:val="center"/>
          </w:tcPr>
          <w:p w14:paraId="4584314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925" w:type="dxa"/>
            <w:tcBorders>
              <w:top w:val="nil"/>
              <w:left w:val="nil"/>
              <w:bottom w:val="single" w:color="auto" w:sz="4" w:space="0"/>
              <w:right w:val="single" w:color="auto" w:sz="4" w:space="0"/>
            </w:tcBorders>
            <w:vAlign w:val="center"/>
          </w:tcPr>
          <w:p w14:paraId="7B624CE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220FF4D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E6D2E48">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vAlign w:val="center"/>
          </w:tcPr>
          <w:p w14:paraId="4D95723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94AD38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6A213C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440" w:type="dxa"/>
            <w:tcBorders>
              <w:top w:val="nil"/>
              <w:left w:val="nil"/>
              <w:bottom w:val="single" w:color="auto" w:sz="4" w:space="0"/>
              <w:right w:val="single" w:color="auto" w:sz="4" w:space="0"/>
            </w:tcBorders>
            <w:vAlign w:val="center"/>
          </w:tcPr>
          <w:p w14:paraId="52DD671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925" w:type="dxa"/>
            <w:tcBorders>
              <w:top w:val="nil"/>
              <w:left w:val="nil"/>
              <w:bottom w:val="single" w:color="auto" w:sz="4" w:space="0"/>
              <w:right w:val="single" w:color="auto" w:sz="4" w:space="0"/>
            </w:tcBorders>
            <w:vAlign w:val="center"/>
          </w:tcPr>
          <w:p w14:paraId="12C81D1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14C7B4B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9317409">
            <w:pPr>
              <w:widowControl/>
              <w:jc w:val="left"/>
              <w:rPr>
                <w:rFonts w:hint="eastAsia"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93D6E7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24C4767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002ABB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440" w:type="dxa"/>
            <w:tcBorders>
              <w:top w:val="nil"/>
              <w:left w:val="nil"/>
              <w:bottom w:val="single" w:color="auto" w:sz="4" w:space="0"/>
              <w:right w:val="single" w:color="auto" w:sz="4" w:space="0"/>
            </w:tcBorders>
            <w:vAlign w:val="center"/>
          </w:tcPr>
          <w:p w14:paraId="21838E6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925" w:type="dxa"/>
            <w:tcBorders>
              <w:top w:val="nil"/>
              <w:left w:val="nil"/>
              <w:bottom w:val="single" w:color="auto" w:sz="4" w:space="0"/>
              <w:right w:val="single" w:color="auto" w:sz="4" w:space="0"/>
            </w:tcBorders>
            <w:vAlign w:val="center"/>
          </w:tcPr>
          <w:p w14:paraId="4EFB2BA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744676B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C6D7A2C">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vAlign w:val="center"/>
          </w:tcPr>
          <w:p w14:paraId="1EF4B6B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D123DF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FDFB1A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440" w:type="dxa"/>
            <w:tcBorders>
              <w:top w:val="nil"/>
              <w:left w:val="nil"/>
              <w:bottom w:val="single" w:color="auto" w:sz="4" w:space="0"/>
              <w:right w:val="single" w:color="auto" w:sz="4" w:space="0"/>
            </w:tcBorders>
            <w:vAlign w:val="center"/>
          </w:tcPr>
          <w:p w14:paraId="33B0133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925" w:type="dxa"/>
            <w:tcBorders>
              <w:top w:val="nil"/>
              <w:left w:val="nil"/>
              <w:bottom w:val="single" w:color="auto" w:sz="4" w:space="0"/>
              <w:right w:val="single" w:color="auto" w:sz="4" w:space="0"/>
            </w:tcBorders>
            <w:vAlign w:val="center"/>
          </w:tcPr>
          <w:p w14:paraId="04DED96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7CFE2C9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E453CD2">
            <w:pPr>
              <w:widowControl/>
              <w:jc w:val="left"/>
              <w:rPr>
                <w:rFonts w:hint="eastAsia"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13B255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5139D3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C84474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440" w:type="dxa"/>
            <w:tcBorders>
              <w:top w:val="nil"/>
              <w:left w:val="nil"/>
              <w:bottom w:val="single" w:color="auto" w:sz="4" w:space="0"/>
              <w:right w:val="single" w:color="auto" w:sz="4" w:space="0"/>
            </w:tcBorders>
            <w:vAlign w:val="center"/>
          </w:tcPr>
          <w:p w14:paraId="39AFADB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925" w:type="dxa"/>
            <w:tcBorders>
              <w:top w:val="nil"/>
              <w:left w:val="nil"/>
              <w:bottom w:val="single" w:color="auto" w:sz="4" w:space="0"/>
              <w:right w:val="single" w:color="auto" w:sz="4" w:space="0"/>
            </w:tcBorders>
            <w:vAlign w:val="center"/>
          </w:tcPr>
          <w:p w14:paraId="23A7F21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55A6F84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E00D84C">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vAlign w:val="center"/>
          </w:tcPr>
          <w:p w14:paraId="4176ADC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0F69BA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FBDBA5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440" w:type="dxa"/>
            <w:tcBorders>
              <w:top w:val="nil"/>
              <w:left w:val="nil"/>
              <w:bottom w:val="single" w:color="auto" w:sz="4" w:space="0"/>
              <w:right w:val="single" w:color="auto" w:sz="4" w:space="0"/>
            </w:tcBorders>
            <w:vAlign w:val="center"/>
          </w:tcPr>
          <w:p w14:paraId="7CA1AA2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925" w:type="dxa"/>
            <w:tcBorders>
              <w:top w:val="nil"/>
              <w:left w:val="nil"/>
              <w:bottom w:val="single" w:color="auto" w:sz="4" w:space="0"/>
              <w:right w:val="single" w:color="auto" w:sz="4" w:space="0"/>
            </w:tcBorders>
            <w:vAlign w:val="center"/>
          </w:tcPr>
          <w:p w14:paraId="6109F27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66CF43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18F6EC0">
            <w:pPr>
              <w:widowControl/>
              <w:jc w:val="left"/>
              <w:rPr>
                <w:rFonts w:hint="eastAsia"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6985CA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E26F5D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7B12A1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72A7B18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925" w:type="dxa"/>
            <w:tcBorders>
              <w:top w:val="nil"/>
              <w:left w:val="nil"/>
              <w:bottom w:val="single" w:color="auto" w:sz="4" w:space="0"/>
              <w:right w:val="single" w:color="auto" w:sz="4" w:space="0"/>
            </w:tcBorders>
            <w:vAlign w:val="center"/>
          </w:tcPr>
          <w:p w14:paraId="265282B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A03DBE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CE14D4D">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vAlign w:val="center"/>
          </w:tcPr>
          <w:p w14:paraId="4A5F57B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46B4F20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6B5DBA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29B73DE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75CD8F6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BE48C8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1190E35">
            <w:pPr>
              <w:widowControl/>
              <w:jc w:val="left"/>
              <w:rPr>
                <w:rFonts w:hint="eastAsia"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942CB7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2836CC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6F0765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000000≤Y＜0000000</w:t>
            </w:r>
          </w:p>
        </w:tc>
        <w:tc>
          <w:tcPr>
            <w:tcW w:w="1440" w:type="dxa"/>
            <w:tcBorders>
              <w:top w:val="nil"/>
              <w:left w:val="nil"/>
              <w:bottom w:val="single" w:color="auto" w:sz="4" w:space="0"/>
              <w:right w:val="single" w:color="auto" w:sz="4" w:space="0"/>
            </w:tcBorders>
            <w:vAlign w:val="center"/>
          </w:tcPr>
          <w:p w14:paraId="51F7D67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200≤Y＜000000</w:t>
            </w:r>
          </w:p>
        </w:tc>
        <w:tc>
          <w:tcPr>
            <w:tcW w:w="925" w:type="dxa"/>
            <w:tcBorders>
              <w:top w:val="nil"/>
              <w:left w:val="nil"/>
              <w:bottom w:val="single" w:color="auto" w:sz="4" w:space="0"/>
              <w:right w:val="single" w:color="auto" w:sz="4" w:space="0"/>
            </w:tcBorders>
            <w:vAlign w:val="center"/>
          </w:tcPr>
          <w:p w14:paraId="2BEBB0A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50FA78F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9F0B232">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vAlign w:val="center"/>
          </w:tcPr>
          <w:p w14:paraId="01F1121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850B63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B6BCB2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440" w:type="dxa"/>
            <w:tcBorders>
              <w:top w:val="nil"/>
              <w:left w:val="nil"/>
              <w:bottom w:val="single" w:color="auto" w:sz="4" w:space="0"/>
              <w:right w:val="single" w:color="auto" w:sz="4" w:space="0"/>
            </w:tcBorders>
            <w:vAlign w:val="center"/>
          </w:tcPr>
          <w:p w14:paraId="215D803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925" w:type="dxa"/>
            <w:tcBorders>
              <w:top w:val="nil"/>
              <w:left w:val="nil"/>
              <w:bottom w:val="single" w:color="auto" w:sz="4" w:space="0"/>
              <w:right w:val="single" w:color="auto" w:sz="4" w:space="0"/>
            </w:tcBorders>
            <w:vAlign w:val="center"/>
          </w:tcPr>
          <w:p w14:paraId="1B0CB14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272A2C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4006D95">
            <w:pPr>
              <w:widowControl/>
              <w:jc w:val="left"/>
              <w:rPr>
                <w:rFonts w:hint="eastAsia"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F78C7A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78FC89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20F969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1000≤Y＜0000000</w:t>
            </w:r>
          </w:p>
        </w:tc>
        <w:tc>
          <w:tcPr>
            <w:tcW w:w="1440" w:type="dxa"/>
            <w:tcBorders>
              <w:top w:val="nil"/>
              <w:left w:val="nil"/>
              <w:bottom w:val="single" w:color="auto" w:sz="4" w:space="0"/>
              <w:right w:val="single" w:color="auto" w:sz="4" w:space="0"/>
            </w:tcBorders>
            <w:vAlign w:val="center"/>
          </w:tcPr>
          <w:p w14:paraId="3B11B04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30A4197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DC2585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2DAB7DB">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vAlign w:val="center"/>
          </w:tcPr>
          <w:p w14:paraId="3BCC1C0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05D3A9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39CEC0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26186F9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127E990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E78688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3C412E4">
            <w:pPr>
              <w:widowControl/>
              <w:jc w:val="left"/>
              <w:rPr>
                <w:rFonts w:hint="eastAsia"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415966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B371A7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BFF6AD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2000≤Y＜0000000</w:t>
            </w:r>
          </w:p>
        </w:tc>
        <w:tc>
          <w:tcPr>
            <w:tcW w:w="1440" w:type="dxa"/>
            <w:tcBorders>
              <w:top w:val="nil"/>
              <w:left w:val="nil"/>
              <w:bottom w:val="single" w:color="auto" w:sz="4" w:space="0"/>
              <w:right w:val="single" w:color="auto" w:sz="4" w:space="0"/>
            </w:tcBorders>
            <w:vAlign w:val="center"/>
          </w:tcPr>
          <w:p w14:paraId="40B3E1D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4FEB3C6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24D2DF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C4FA0BF">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vAlign w:val="center"/>
          </w:tcPr>
          <w:p w14:paraId="55D689B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26E128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3C90E0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032CAFC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645F97B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3DE3FF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5E83FD5">
            <w:pPr>
              <w:widowControl/>
              <w:jc w:val="left"/>
              <w:rPr>
                <w:rFonts w:hint="eastAsia"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9E59A9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868158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C0FB0B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70FC3FC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18280F4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819200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1048397A">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vAlign w:val="center"/>
          </w:tcPr>
          <w:p w14:paraId="3DD1BBE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221C0A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3E830D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0DA76D9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6B243BD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FE5FB5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6EE232E">
            <w:pPr>
              <w:widowControl/>
              <w:jc w:val="left"/>
              <w:rPr>
                <w:rFonts w:hint="eastAsia"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8C85A8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944C29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DE99F0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4687962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5A984D9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64B37D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4E71B41">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vAlign w:val="center"/>
          </w:tcPr>
          <w:p w14:paraId="410D7BB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D509D1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8A71AE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440" w:type="dxa"/>
            <w:tcBorders>
              <w:top w:val="nil"/>
              <w:left w:val="nil"/>
              <w:bottom w:val="single" w:color="auto" w:sz="4" w:space="0"/>
              <w:right w:val="single" w:color="auto" w:sz="4" w:space="0"/>
            </w:tcBorders>
            <w:vAlign w:val="center"/>
          </w:tcPr>
          <w:p w14:paraId="1DBFD57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636C8C3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0C7339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EA97571">
            <w:pPr>
              <w:widowControl/>
              <w:jc w:val="left"/>
              <w:rPr>
                <w:rFonts w:hint="eastAsia"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60B371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74D01F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051125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vAlign w:val="center"/>
          </w:tcPr>
          <w:p w14:paraId="01392A2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0913343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B48288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512243F">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vAlign w:val="center"/>
          </w:tcPr>
          <w:p w14:paraId="1405498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9E25BD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BEA2FD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123ABBD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7245653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44DDD0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A486697">
            <w:pPr>
              <w:widowControl/>
              <w:jc w:val="left"/>
              <w:rPr>
                <w:rFonts w:hint="eastAsia"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6947FB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9F3F5D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F2BA7C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440" w:type="dxa"/>
            <w:tcBorders>
              <w:top w:val="nil"/>
              <w:left w:val="nil"/>
              <w:bottom w:val="single" w:color="auto" w:sz="4" w:space="0"/>
              <w:right w:val="single" w:color="auto" w:sz="4" w:space="0"/>
            </w:tcBorders>
            <w:vAlign w:val="center"/>
          </w:tcPr>
          <w:p w14:paraId="08CF5EC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925" w:type="dxa"/>
            <w:tcBorders>
              <w:top w:val="nil"/>
              <w:left w:val="nil"/>
              <w:bottom w:val="single" w:color="auto" w:sz="4" w:space="0"/>
              <w:right w:val="single" w:color="auto" w:sz="4" w:space="0"/>
            </w:tcBorders>
            <w:vAlign w:val="center"/>
          </w:tcPr>
          <w:p w14:paraId="167291B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059E948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A24EF17">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vAlign w:val="center"/>
          </w:tcPr>
          <w:p w14:paraId="75F5433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D2134A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DECEA9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vAlign w:val="center"/>
          </w:tcPr>
          <w:p w14:paraId="64F178F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925" w:type="dxa"/>
            <w:tcBorders>
              <w:top w:val="nil"/>
              <w:left w:val="nil"/>
              <w:bottom w:val="single" w:color="auto" w:sz="4" w:space="0"/>
              <w:right w:val="single" w:color="auto" w:sz="4" w:space="0"/>
            </w:tcBorders>
            <w:vAlign w:val="center"/>
          </w:tcPr>
          <w:p w14:paraId="1EBAF6E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64993C7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FB395CB">
            <w:pPr>
              <w:widowControl/>
              <w:jc w:val="left"/>
              <w:rPr>
                <w:rFonts w:hint="eastAsia"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786556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178817C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B051DA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440" w:type="dxa"/>
            <w:tcBorders>
              <w:top w:val="nil"/>
              <w:left w:val="nil"/>
              <w:bottom w:val="single" w:color="auto" w:sz="4" w:space="0"/>
              <w:right w:val="single" w:color="auto" w:sz="4" w:space="0"/>
            </w:tcBorders>
            <w:vAlign w:val="center"/>
          </w:tcPr>
          <w:p w14:paraId="6E50AE1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925" w:type="dxa"/>
            <w:tcBorders>
              <w:top w:val="nil"/>
              <w:left w:val="nil"/>
              <w:bottom w:val="single" w:color="auto" w:sz="4" w:space="0"/>
              <w:right w:val="single" w:color="auto" w:sz="4" w:space="0"/>
            </w:tcBorders>
            <w:vAlign w:val="center"/>
          </w:tcPr>
          <w:p w14:paraId="2833C1A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2F277E7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65B0C943">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vAlign w:val="center"/>
          </w:tcPr>
          <w:p w14:paraId="4A26061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FC4E97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03D41C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3911A7C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925" w:type="dxa"/>
            <w:tcBorders>
              <w:top w:val="nil"/>
              <w:left w:val="nil"/>
              <w:bottom w:val="single" w:color="auto" w:sz="4" w:space="0"/>
              <w:right w:val="single" w:color="auto" w:sz="4" w:space="0"/>
            </w:tcBorders>
            <w:vAlign w:val="center"/>
          </w:tcPr>
          <w:p w14:paraId="755DEBA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485706B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92BE95C">
            <w:pPr>
              <w:widowControl/>
              <w:jc w:val="left"/>
              <w:rPr>
                <w:rFonts w:hint="eastAsia"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4A43C7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BB1B85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BF8CFA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440" w:type="dxa"/>
            <w:tcBorders>
              <w:top w:val="nil"/>
              <w:left w:val="nil"/>
              <w:bottom w:val="single" w:color="auto" w:sz="4" w:space="0"/>
              <w:right w:val="single" w:color="auto" w:sz="4" w:space="0"/>
            </w:tcBorders>
            <w:vAlign w:val="center"/>
          </w:tcPr>
          <w:p w14:paraId="3342CD1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925" w:type="dxa"/>
            <w:tcBorders>
              <w:top w:val="nil"/>
              <w:left w:val="nil"/>
              <w:bottom w:val="single" w:color="auto" w:sz="4" w:space="0"/>
              <w:right w:val="single" w:color="auto" w:sz="4" w:space="0"/>
            </w:tcBorders>
            <w:vAlign w:val="center"/>
          </w:tcPr>
          <w:p w14:paraId="24C22D7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644191FE">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DA9AE8A">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vAlign w:val="center"/>
          </w:tcPr>
          <w:p w14:paraId="0199BAF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1A6D04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791FEC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36E6FCD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567F147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E265DE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28A98E9">
            <w:pPr>
              <w:widowControl/>
              <w:jc w:val="left"/>
              <w:rPr>
                <w:rFonts w:hint="eastAsia"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A19021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0C72890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0FF5C0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vAlign w:val="center"/>
          </w:tcPr>
          <w:p w14:paraId="7F7A893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925" w:type="dxa"/>
            <w:tcBorders>
              <w:top w:val="nil"/>
              <w:left w:val="nil"/>
              <w:bottom w:val="single" w:color="auto" w:sz="4" w:space="0"/>
              <w:right w:val="single" w:color="auto" w:sz="4" w:space="0"/>
            </w:tcBorders>
            <w:vAlign w:val="center"/>
          </w:tcPr>
          <w:p w14:paraId="1AEF6C9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2E14A2F">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50EE7BAE">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vAlign w:val="center"/>
          </w:tcPr>
          <w:p w14:paraId="680BA4B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1BBE16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FC2A76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299CC76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7E99871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77E7E794">
      <w:pPr>
        <w:spacing w:line="360" w:lineRule="auto"/>
        <w:ind w:firstLine="525" w:firstLineChars="250"/>
        <w:rPr>
          <w:rFonts w:hint="eastAsia" w:ascii="仿宋_GB2312" w:hAnsi="仿宋" w:eastAsia="仿宋_GB2312"/>
          <w:color w:val="auto"/>
          <w:szCs w:val="21"/>
          <w:highlight w:val="none"/>
        </w:rPr>
      </w:pPr>
    </w:p>
    <w:p w14:paraId="16AC184C">
      <w:pPr>
        <w:spacing w:line="360" w:lineRule="auto"/>
        <w:ind w:firstLine="525" w:firstLineChars="250"/>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32CD514">
      <w:pPr>
        <w:snapToGrid w:val="0"/>
        <w:spacing w:before="120" w:beforeLines="50" w:after="50"/>
        <w:ind w:left="142"/>
        <w:jc w:val="left"/>
        <w:rPr>
          <w:rFonts w:hint="eastAsia" w:ascii="宋体" w:hAnsi="宋体"/>
          <w:b/>
          <w:color w:val="auto"/>
          <w:sz w:val="24"/>
          <w:highlight w:val="none"/>
        </w:rPr>
      </w:pPr>
    </w:p>
    <w:p w14:paraId="49F74651">
      <w:pPr>
        <w:snapToGrid w:val="0"/>
        <w:spacing w:before="120" w:beforeLines="50" w:after="50"/>
        <w:ind w:left="142"/>
        <w:jc w:val="left"/>
        <w:rPr>
          <w:rFonts w:hint="eastAsia" w:ascii="宋体" w:hAnsi="宋体"/>
          <w:b/>
          <w:color w:val="auto"/>
          <w:sz w:val="24"/>
          <w:highlight w:val="none"/>
        </w:rPr>
      </w:pPr>
    </w:p>
    <w:p w14:paraId="2E517A67">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3.残疾人福利性单位声明函格式</w:t>
      </w:r>
    </w:p>
    <w:p w14:paraId="06D18741">
      <w:pPr>
        <w:spacing w:line="588" w:lineRule="exact"/>
        <w:jc w:val="center"/>
        <w:rPr>
          <w:rFonts w:ascii="仿宋_GB2312" w:eastAsia="仿宋_GB2312"/>
          <w:b/>
          <w:color w:val="auto"/>
          <w:spacing w:val="6"/>
          <w:sz w:val="32"/>
          <w:szCs w:val="32"/>
          <w:highlight w:val="none"/>
        </w:rPr>
      </w:pPr>
    </w:p>
    <w:p w14:paraId="2F3E872E">
      <w:pPr>
        <w:spacing w:line="588" w:lineRule="exact"/>
        <w:jc w:val="center"/>
        <w:rPr>
          <w:rFonts w:hint="eastAsia" w:ascii="宋体" w:hAnsi="宋体" w:cs="宋体"/>
          <w:bCs/>
          <w:color w:val="auto"/>
          <w:spacing w:val="6"/>
          <w:sz w:val="44"/>
          <w:szCs w:val="44"/>
          <w:highlight w:val="none"/>
        </w:rPr>
      </w:pPr>
      <w:r>
        <w:rPr>
          <w:rFonts w:hint="eastAsia" w:ascii="宋体" w:hAnsi="宋体" w:cs="宋体"/>
          <w:bCs/>
          <w:color w:val="auto"/>
          <w:spacing w:val="6"/>
          <w:sz w:val="44"/>
          <w:szCs w:val="44"/>
          <w:highlight w:val="none"/>
        </w:rPr>
        <w:t>残疾人福利性单位声明函</w:t>
      </w:r>
    </w:p>
    <w:p w14:paraId="0CD4BCE4">
      <w:pPr>
        <w:spacing w:line="360" w:lineRule="auto"/>
        <w:contextualSpacing/>
        <w:rPr>
          <w:rFonts w:ascii="仿宋_GB2312" w:eastAsia="仿宋_GB2312"/>
          <w:bCs/>
          <w:color w:val="auto"/>
          <w:spacing w:val="6"/>
          <w:sz w:val="30"/>
          <w:szCs w:val="30"/>
          <w:highlight w:val="none"/>
        </w:rPr>
      </w:pPr>
    </w:p>
    <w:p w14:paraId="585F2DC0">
      <w:pPr>
        <w:spacing w:line="360" w:lineRule="auto"/>
        <w:ind w:firstLine="504" w:firstLineChars="200"/>
        <w:contextualSpacing/>
        <w:rPr>
          <w:rFonts w:hint="eastAsia"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566AFE0F">
      <w:pPr>
        <w:spacing w:line="360" w:lineRule="auto"/>
        <w:ind w:firstLine="504" w:firstLineChars="200"/>
        <w:contextualSpacing/>
        <w:rPr>
          <w:rFonts w:hint="eastAsia"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61A16116">
      <w:pPr>
        <w:spacing w:line="360" w:lineRule="auto"/>
        <w:ind w:firstLine="504" w:firstLineChars="200"/>
        <w:contextualSpacing/>
        <w:rPr>
          <w:rFonts w:hint="eastAsia" w:ascii="宋体" w:hAnsi="宋体"/>
          <w:color w:val="auto"/>
          <w:spacing w:val="6"/>
          <w:sz w:val="24"/>
          <w:highlight w:val="none"/>
        </w:rPr>
      </w:pPr>
    </w:p>
    <w:p w14:paraId="07166874">
      <w:pPr>
        <w:spacing w:line="360" w:lineRule="auto"/>
        <w:ind w:firstLine="504" w:firstLineChars="200"/>
        <w:contextualSpacing/>
        <w:rPr>
          <w:rFonts w:hint="eastAsia" w:ascii="宋体" w:hAnsi="宋体"/>
          <w:color w:val="auto"/>
          <w:spacing w:val="6"/>
          <w:sz w:val="24"/>
          <w:highlight w:val="none"/>
        </w:rPr>
      </w:pPr>
    </w:p>
    <w:p w14:paraId="01B1ED5B">
      <w:pPr>
        <w:tabs>
          <w:tab w:val="left" w:pos="4860"/>
        </w:tabs>
        <w:spacing w:line="360" w:lineRule="auto"/>
        <w:ind w:right="1560" w:firstLine="504" w:firstLineChars="200"/>
        <w:contextualSpacing/>
        <w:jc w:val="center"/>
        <w:rPr>
          <w:rFonts w:hint="eastAsia" w:ascii="宋体" w:hAnsi="宋体"/>
          <w:color w:val="auto"/>
          <w:spacing w:val="6"/>
          <w:sz w:val="24"/>
          <w:highlight w:val="none"/>
        </w:rPr>
      </w:pPr>
      <w:r>
        <w:rPr>
          <w:rFonts w:hint="eastAsia" w:ascii="宋体" w:hAnsi="宋体"/>
          <w:color w:val="auto"/>
          <w:spacing w:val="6"/>
          <w:sz w:val="24"/>
          <w:highlight w:val="none"/>
        </w:rPr>
        <w:t>单位名称（盖公章）：</w:t>
      </w:r>
    </w:p>
    <w:p w14:paraId="21EB6CEA">
      <w:pPr>
        <w:tabs>
          <w:tab w:val="left" w:pos="4860"/>
        </w:tabs>
        <w:spacing w:line="360" w:lineRule="auto"/>
        <w:ind w:right="1560" w:firstLine="504" w:firstLineChars="200"/>
        <w:contextualSpacing/>
        <w:jc w:val="center"/>
        <w:rPr>
          <w:rFonts w:hint="eastAsia" w:ascii="宋体" w:hAnsi="宋体"/>
          <w:color w:val="auto"/>
          <w:spacing w:val="6"/>
          <w:sz w:val="24"/>
          <w:highlight w:val="none"/>
        </w:rPr>
      </w:pPr>
      <w:r>
        <w:rPr>
          <w:rFonts w:hint="eastAsia" w:ascii="宋体" w:hAnsi="宋体"/>
          <w:color w:val="auto"/>
          <w:spacing w:val="6"/>
          <w:sz w:val="24"/>
          <w:highlight w:val="none"/>
        </w:rPr>
        <w:t>日  期：</w:t>
      </w:r>
    </w:p>
    <w:p w14:paraId="5FBE10F8">
      <w:pPr>
        <w:spacing w:line="360" w:lineRule="auto"/>
        <w:contextualSpacing/>
        <w:rPr>
          <w:rFonts w:hint="eastAsia" w:ascii="宋体" w:hAnsi="宋体"/>
          <w:color w:val="auto"/>
          <w:sz w:val="24"/>
          <w:highlight w:val="none"/>
        </w:rPr>
      </w:pPr>
    </w:p>
    <w:p w14:paraId="199DE146">
      <w:pPr>
        <w:spacing w:line="360" w:lineRule="auto"/>
        <w:contextualSpacing/>
        <w:rPr>
          <w:rFonts w:hint="eastAsia" w:ascii="宋体" w:hAnsi="宋体"/>
          <w:color w:val="auto"/>
          <w:sz w:val="24"/>
          <w:highlight w:val="none"/>
        </w:rPr>
      </w:pPr>
    </w:p>
    <w:p w14:paraId="58D7F27A">
      <w:pPr>
        <w:spacing w:line="360" w:lineRule="auto"/>
        <w:contextualSpacing/>
        <w:rPr>
          <w:rFonts w:hint="eastAsia" w:ascii="宋体" w:hAnsi="宋体"/>
          <w:color w:val="auto"/>
          <w:sz w:val="24"/>
          <w:highlight w:val="none"/>
        </w:rPr>
      </w:pPr>
    </w:p>
    <w:p w14:paraId="6F7E0710">
      <w:pPr>
        <w:spacing w:line="360" w:lineRule="auto"/>
        <w:contextualSpacing/>
        <w:rPr>
          <w:rFonts w:hint="eastAsia"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50E1DB5C">
      <w:pPr>
        <w:rPr>
          <w:rFonts w:hint="eastAsia" w:ascii="宋体" w:hAnsi="宋体"/>
          <w:color w:val="auto"/>
          <w:sz w:val="24"/>
          <w:highlight w:val="none"/>
        </w:rPr>
      </w:pPr>
      <w:r>
        <w:rPr>
          <w:rFonts w:ascii="宋体" w:hAnsi="宋体"/>
          <w:color w:val="auto"/>
          <w:sz w:val="24"/>
          <w:highlight w:val="none"/>
        </w:rPr>
        <w:br w:type="page"/>
      </w:r>
    </w:p>
    <w:p w14:paraId="03A93DA7">
      <w:pPr>
        <w:spacing w:line="360" w:lineRule="auto"/>
        <w:jc w:val="left"/>
        <w:rPr>
          <w:rFonts w:hint="eastAsia" w:ascii="宋体" w:hAnsi="宋体"/>
          <w:color w:val="auto"/>
          <w:sz w:val="24"/>
          <w:highlight w:val="none"/>
        </w:rPr>
      </w:pPr>
      <w:r>
        <w:rPr>
          <w:rFonts w:hint="eastAsia" w:ascii="宋体" w:hAnsi="宋体"/>
          <w:b/>
          <w:color w:val="auto"/>
          <w:sz w:val="24"/>
          <w:highlight w:val="none"/>
        </w:rPr>
        <w:t>4.质疑函格式</w:t>
      </w:r>
    </w:p>
    <w:p w14:paraId="0EAEF25C">
      <w:pPr>
        <w:spacing w:line="360" w:lineRule="auto"/>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质疑函</w:t>
      </w:r>
    </w:p>
    <w:p w14:paraId="689459DC">
      <w:pPr>
        <w:pStyle w:val="27"/>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一、质疑投标人基本信息：</w:t>
      </w:r>
    </w:p>
    <w:p w14:paraId="1E482DBB">
      <w:pPr>
        <w:pStyle w:val="27"/>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质疑投标人：</w:t>
      </w:r>
      <w:r>
        <w:rPr>
          <w:rFonts w:hint="eastAsia" w:hAnsi="宋体"/>
          <w:bCs/>
          <w:color w:val="auto"/>
          <w:sz w:val="24"/>
          <w:szCs w:val="24"/>
          <w:highlight w:val="none"/>
          <w:u w:val="single"/>
        </w:rPr>
        <w:t xml:space="preserve">                                       </w:t>
      </w:r>
    </w:p>
    <w:p w14:paraId="520F2C7C">
      <w:pPr>
        <w:pStyle w:val="27"/>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B2A6AD0">
      <w:pPr>
        <w:pStyle w:val="27"/>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5507845">
      <w:pPr>
        <w:pStyle w:val="27"/>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4B22A637">
      <w:pPr>
        <w:pStyle w:val="27"/>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B4F59D6">
      <w:pPr>
        <w:pStyle w:val="27"/>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E360FA6">
      <w:pPr>
        <w:pStyle w:val="27"/>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7B035A3F">
      <w:pPr>
        <w:pStyle w:val="27"/>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4AAA2855">
      <w:pPr>
        <w:pStyle w:val="27"/>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7CDA320C">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59BEE926">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w:t>
      </w:r>
    </w:p>
    <w:p w14:paraId="0C033B23">
      <w:pPr>
        <w:pStyle w:val="27"/>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□招标文件   招标文件获取日期：</w:t>
      </w:r>
      <w:r>
        <w:rPr>
          <w:rFonts w:hint="eastAsia" w:hAnsi="宋体"/>
          <w:bCs/>
          <w:color w:val="auto"/>
          <w:sz w:val="24"/>
          <w:szCs w:val="24"/>
          <w:highlight w:val="none"/>
          <w:u w:val="single"/>
        </w:rPr>
        <w:t xml:space="preserve">                                   </w:t>
      </w:r>
    </w:p>
    <w:p w14:paraId="73006981">
      <w:pPr>
        <w:pStyle w:val="27"/>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 xml:space="preserve">□采购过程   </w:t>
      </w:r>
    </w:p>
    <w:p w14:paraId="71DC781D">
      <w:pPr>
        <w:pStyle w:val="27"/>
        <w:spacing w:line="360" w:lineRule="auto"/>
        <w:ind w:left="25" w:leftChars="12" w:firstLine="352" w:firstLineChars="147"/>
        <w:rPr>
          <w:rFonts w:hint="eastAsia" w:hAnsi="宋体"/>
          <w:bCs/>
          <w:color w:val="auto"/>
          <w:sz w:val="24"/>
          <w:szCs w:val="24"/>
          <w:highlight w:val="none"/>
          <w:u w:val="single"/>
        </w:rPr>
      </w:pPr>
      <w:r>
        <w:rPr>
          <w:rFonts w:hint="eastAsia" w:hAnsi="宋体"/>
          <w:color w:val="auto"/>
          <w:sz w:val="24"/>
          <w:szCs w:val="24"/>
          <w:highlight w:val="none"/>
        </w:rPr>
        <w:t xml:space="preserve">□中标结果   </w:t>
      </w:r>
    </w:p>
    <w:p w14:paraId="31F8F349">
      <w:pPr>
        <w:pStyle w:val="27"/>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三、质疑事项具体内容</w:t>
      </w:r>
    </w:p>
    <w:p w14:paraId="369A1003">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4F650A6C">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724DA813">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p>
    <w:p w14:paraId="2835CEC0">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质疑事项2</w:t>
      </w:r>
    </w:p>
    <w:p w14:paraId="33495A51">
      <w:pPr>
        <w:pStyle w:val="27"/>
        <w:spacing w:line="360" w:lineRule="auto"/>
        <w:ind w:left="25" w:leftChars="12" w:firstLine="472" w:firstLineChars="197"/>
        <w:rPr>
          <w:rFonts w:hint="eastAsia" w:hAnsi="宋体"/>
          <w:color w:val="auto"/>
          <w:sz w:val="24"/>
          <w:szCs w:val="24"/>
          <w:highlight w:val="none"/>
        </w:rPr>
      </w:pPr>
      <w:r>
        <w:rPr>
          <w:rFonts w:hAnsi="宋体"/>
          <w:color w:val="auto"/>
          <w:sz w:val="24"/>
          <w:szCs w:val="24"/>
          <w:highlight w:val="none"/>
        </w:rPr>
        <w:t>……</w:t>
      </w:r>
    </w:p>
    <w:p w14:paraId="201AA29B">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38DCCB3B">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096D75BF">
      <w:pPr>
        <w:pStyle w:val="27"/>
        <w:spacing w:line="360" w:lineRule="auto"/>
        <w:ind w:left="25" w:leftChars="12" w:firstLine="352" w:firstLineChars="147"/>
        <w:rPr>
          <w:rFonts w:hint="eastAsia" w:hAnsi="宋体"/>
          <w:color w:val="auto"/>
          <w:sz w:val="24"/>
          <w:szCs w:val="24"/>
          <w:highlight w:val="none"/>
        </w:rPr>
      </w:pPr>
    </w:p>
    <w:p w14:paraId="474AD5A9">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1CF393DB">
      <w:pPr>
        <w:pStyle w:val="27"/>
        <w:spacing w:line="360" w:lineRule="auto"/>
        <w:ind w:left="25" w:leftChars="12" w:firstLine="352" w:firstLineChars="147"/>
        <w:rPr>
          <w:rFonts w:hint="eastAsia" w:hAnsi="宋体"/>
          <w:color w:val="auto"/>
          <w:sz w:val="24"/>
          <w:szCs w:val="24"/>
          <w:highlight w:val="none"/>
        </w:rPr>
      </w:pPr>
    </w:p>
    <w:p w14:paraId="477BFBC5">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7A768BC8">
      <w:pPr>
        <w:pStyle w:val="27"/>
        <w:snapToGrid w:val="0"/>
        <w:spacing w:line="360" w:lineRule="auto"/>
        <w:rPr>
          <w:rFonts w:hint="eastAsia" w:hAnsi="宋体"/>
          <w:b/>
          <w:color w:val="auto"/>
          <w:sz w:val="24"/>
          <w:szCs w:val="24"/>
          <w:highlight w:val="none"/>
        </w:rPr>
      </w:pPr>
    </w:p>
    <w:p w14:paraId="30DD61FB">
      <w:pPr>
        <w:pStyle w:val="27"/>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3804AA6F">
      <w:pPr>
        <w:pStyle w:val="27"/>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1.投标人提出质疑时，应提交质疑函和必要的证明材料</w:t>
      </w:r>
      <w:r>
        <w:rPr>
          <w:rFonts w:hint="eastAsia" w:hAnsi="宋体"/>
          <w:b/>
          <w:bCs/>
          <w:color w:val="auto"/>
          <w:sz w:val="24"/>
          <w:szCs w:val="24"/>
          <w:highlight w:val="none"/>
        </w:rPr>
        <w:t>。</w:t>
      </w:r>
    </w:p>
    <w:p w14:paraId="260B2C68">
      <w:pPr>
        <w:pStyle w:val="27"/>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15B36195">
      <w:pPr>
        <w:pStyle w:val="27"/>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1DB355C4">
      <w:pPr>
        <w:pStyle w:val="27"/>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03EE025E">
      <w:pPr>
        <w:pStyle w:val="27"/>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5.质疑投标人为法人或者其他组织的，质疑函应由法定代表人、主要负责人，或者其授权代表签字或者盖章，并加盖公章。</w:t>
      </w:r>
    </w:p>
    <w:p w14:paraId="5CDD9289">
      <w:pPr>
        <w:pStyle w:val="27"/>
        <w:snapToGrid w:val="0"/>
        <w:rPr>
          <w:b/>
          <w:color w:val="auto"/>
          <w:sz w:val="24"/>
          <w:szCs w:val="24"/>
          <w:highlight w:val="none"/>
        </w:rPr>
      </w:pPr>
    </w:p>
    <w:p w14:paraId="3B4B6910">
      <w:pPr>
        <w:spacing w:line="360" w:lineRule="auto"/>
        <w:jc w:val="left"/>
        <w:rPr>
          <w:rFonts w:hint="eastAsia" w:ascii="宋体" w:hAnsi="宋体"/>
          <w:b/>
          <w:bCs/>
          <w:color w:val="auto"/>
          <w:sz w:val="32"/>
          <w:szCs w:val="32"/>
          <w:highlight w:val="none"/>
        </w:rPr>
      </w:pPr>
      <w:r>
        <w:rPr>
          <w:rFonts w:eastAsia="隶书"/>
          <w:color w:val="auto"/>
          <w:sz w:val="44"/>
          <w:highlight w:val="none"/>
        </w:rPr>
        <w:br w:type="page"/>
      </w:r>
      <w:r>
        <w:rPr>
          <w:rFonts w:hint="eastAsia" w:ascii="宋体" w:hAnsi="宋体" w:eastAsia="隶书"/>
          <w:b/>
          <w:color w:val="auto"/>
          <w:sz w:val="24"/>
          <w:highlight w:val="none"/>
        </w:rPr>
        <w:t>5</w:t>
      </w:r>
      <w:r>
        <w:rPr>
          <w:rFonts w:hint="eastAsia" w:ascii="宋体" w:hAnsi="宋体"/>
          <w:b/>
          <w:color w:val="auto"/>
          <w:sz w:val="24"/>
          <w:highlight w:val="none"/>
        </w:rPr>
        <w:t>.投诉书格式</w:t>
      </w:r>
    </w:p>
    <w:p w14:paraId="570A55BD">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投诉书</w:t>
      </w:r>
    </w:p>
    <w:p w14:paraId="42882613">
      <w:pPr>
        <w:pStyle w:val="27"/>
        <w:snapToGrid w:val="0"/>
        <w:spacing w:line="440" w:lineRule="exact"/>
        <w:ind w:firstLine="482" w:firstLineChars="200"/>
        <w:rPr>
          <w:rFonts w:hint="eastAsia" w:hAnsi="宋体"/>
          <w:b/>
          <w:bCs/>
          <w:color w:val="auto"/>
          <w:sz w:val="24"/>
          <w:szCs w:val="24"/>
          <w:highlight w:val="none"/>
        </w:rPr>
      </w:pPr>
    </w:p>
    <w:p w14:paraId="7C298EC0">
      <w:pPr>
        <w:pStyle w:val="27"/>
        <w:snapToGrid w:val="0"/>
        <w:spacing w:line="440" w:lineRule="exact"/>
        <w:ind w:firstLine="482" w:firstLineChars="200"/>
        <w:rPr>
          <w:rFonts w:hint="eastAsia" w:hAnsi="宋体"/>
          <w:b/>
          <w:bCs/>
          <w:color w:val="auto"/>
          <w:sz w:val="24"/>
          <w:szCs w:val="24"/>
          <w:highlight w:val="none"/>
        </w:rPr>
      </w:pPr>
      <w:r>
        <w:rPr>
          <w:rFonts w:hint="eastAsia" w:hAnsi="宋体"/>
          <w:b/>
          <w:bCs/>
          <w:color w:val="auto"/>
          <w:sz w:val="24"/>
          <w:szCs w:val="24"/>
          <w:highlight w:val="none"/>
        </w:rPr>
        <w:t>一、投诉相关主体基本情况：</w:t>
      </w:r>
    </w:p>
    <w:p w14:paraId="61565282">
      <w:pPr>
        <w:pStyle w:val="27"/>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投标人：</w:t>
      </w:r>
      <w:r>
        <w:rPr>
          <w:rFonts w:hint="eastAsia" w:hAnsi="宋体"/>
          <w:bCs/>
          <w:color w:val="auto"/>
          <w:sz w:val="24"/>
          <w:szCs w:val="24"/>
          <w:highlight w:val="none"/>
          <w:u w:val="single"/>
        </w:rPr>
        <w:t xml:space="preserve">                                                          </w:t>
      </w:r>
    </w:p>
    <w:p w14:paraId="47A841AF">
      <w:pPr>
        <w:pStyle w:val="27"/>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CECA51A">
      <w:pPr>
        <w:pStyle w:val="27"/>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3D8697B5">
      <w:pPr>
        <w:pStyle w:val="27"/>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F76DC9C">
      <w:pPr>
        <w:pStyle w:val="27"/>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3DFA2F0E">
      <w:pPr>
        <w:pStyle w:val="27"/>
        <w:snapToGrid w:val="0"/>
        <w:spacing w:line="440" w:lineRule="exact"/>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1EBF298">
      <w:pPr>
        <w:pStyle w:val="27"/>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3C68823">
      <w:pPr>
        <w:pStyle w:val="27"/>
        <w:snapToGrid w:val="0"/>
        <w:spacing w:line="440" w:lineRule="exact"/>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被投诉人1：</w:t>
      </w:r>
    </w:p>
    <w:p w14:paraId="4261752A">
      <w:pPr>
        <w:pStyle w:val="27"/>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2FD8ACEB">
      <w:pPr>
        <w:pStyle w:val="27"/>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66E72FD">
      <w:pPr>
        <w:pStyle w:val="27"/>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763E0F8D">
      <w:pPr>
        <w:pStyle w:val="27"/>
        <w:snapToGrid w:val="0"/>
        <w:spacing w:line="440" w:lineRule="exact"/>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被投诉人2：</w:t>
      </w:r>
    </w:p>
    <w:p w14:paraId="45E7848A">
      <w:pPr>
        <w:pStyle w:val="27"/>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w:t>
      </w:r>
    </w:p>
    <w:p w14:paraId="5DD486C3">
      <w:pPr>
        <w:pStyle w:val="27"/>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相关投标人：</w:t>
      </w:r>
      <w:r>
        <w:rPr>
          <w:rFonts w:hint="eastAsia" w:hAnsi="宋体"/>
          <w:bCs/>
          <w:color w:val="auto"/>
          <w:sz w:val="24"/>
          <w:szCs w:val="24"/>
          <w:highlight w:val="none"/>
          <w:u w:val="single"/>
        </w:rPr>
        <w:t xml:space="preserve">                                                     </w:t>
      </w:r>
    </w:p>
    <w:p w14:paraId="3D42BE82">
      <w:pPr>
        <w:pStyle w:val="27"/>
        <w:snapToGrid w:val="0"/>
        <w:spacing w:line="440" w:lineRule="exact"/>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49348A2">
      <w:pPr>
        <w:pStyle w:val="27"/>
        <w:snapToGrid w:val="0"/>
        <w:spacing w:line="440" w:lineRule="exact"/>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1564CA9">
      <w:pPr>
        <w:pStyle w:val="27"/>
        <w:snapToGrid w:val="0"/>
        <w:spacing w:line="440" w:lineRule="exact"/>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46C7D91E">
      <w:pPr>
        <w:pStyle w:val="27"/>
        <w:spacing w:line="440" w:lineRule="exact"/>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7BE1390C">
      <w:pPr>
        <w:pStyle w:val="27"/>
        <w:spacing w:line="440" w:lineRule="exact"/>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0A5689CF">
      <w:pPr>
        <w:pStyle w:val="27"/>
        <w:spacing w:line="440" w:lineRule="exact"/>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34F174D6">
      <w:pPr>
        <w:pStyle w:val="27"/>
        <w:spacing w:line="440" w:lineRule="exact"/>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2E1BF6C8">
      <w:pPr>
        <w:pStyle w:val="27"/>
        <w:spacing w:line="440" w:lineRule="exact"/>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招标文件公告：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01D7239D">
      <w:pPr>
        <w:pStyle w:val="27"/>
        <w:spacing w:line="440" w:lineRule="exact"/>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57DE00E">
      <w:pPr>
        <w:pStyle w:val="27"/>
        <w:spacing w:line="440" w:lineRule="exact"/>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39093E66">
      <w:pPr>
        <w:pStyle w:val="27"/>
        <w:spacing w:line="440" w:lineRule="exact"/>
        <w:ind w:left="25" w:leftChars="12"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32AB9A35">
      <w:pPr>
        <w:pStyle w:val="27"/>
        <w:spacing w:line="440" w:lineRule="exact"/>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C47C435">
      <w:pPr>
        <w:pStyle w:val="27"/>
        <w:spacing w:line="440" w:lineRule="exact"/>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683F271A">
      <w:pPr>
        <w:pStyle w:val="27"/>
        <w:spacing w:line="440" w:lineRule="exact"/>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就质疑事项作出了答复/没有在法定期限内作出答复。</w:t>
      </w:r>
    </w:p>
    <w:p w14:paraId="59CC0867">
      <w:pPr>
        <w:pStyle w:val="27"/>
        <w:spacing w:line="440" w:lineRule="exact"/>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036B5035">
      <w:pPr>
        <w:pStyle w:val="27"/>
        <w:spacing w:line="440" w:lineRule="exact"/>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46F0AD3D">
      <w:pPr>
        <w:pStyle w:val="27"/>
        <w:spacing w:line="440" w:lineRule="exact"/>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1A32C88A">
      <w:pPr>
        <w:pStyle w:val="27"/>
        <w:spacing w:line="440" w:lineRule="exact"/>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294425A2">
      <w:pPr>
        <w:pStyle w:val="27"/>
        <w:spacing w:line="440" w:lineRule="exact"/>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366486FA">
      <w:pPr>
        <w:pStyle w:val="27"/>
        <w:spacing w:line="440" w:lineRule="exact"/>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499AF777">
      <w:pPr>
        <w:pStyle w:val="27"/>
        <w:spacing w:line="440" w:lineRule="exact"/>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5914777B">
      <w:pPr>
        <w:pStyle w:val="27"/>
        <w:spacing w:line="440" w:lineRule="exact"/>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01388F11">
      <w:pPr>
        <w:pStyle w:val="27"/>
        <w:spacing w:line="440" w:lineRule="exact"/>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71D5296F">
      <w:pPr>
        <w:pStyle w:val="27"/>
        <w:spacing w:line="440" w:lineRule="exact"/>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19A37240">
      <w:pPr>
        <w:pStyle w:val="27"/>
        <w:spacing w:line="440" w:lineRule="exact"/>
        <w:ind w:left="25" w:leftChars="12" w:firstLine="352" w:firstLineChars="147"/>
        <w:rPr>
          <w:rFonts w:hint="eastAsia" w:hAnsi="宋体"/>
          <w:color w:val="auto"/>
          <w:sz w:val="24"/>
          <w:szCs w:val="24"/>
          <w:highlight w:val="none"/>
        </w:rPr>
      </w:pPr>
    </w:p>
    <w:p w14:paraId="2E62C80F">
      <w:pPr>
        <w:pStyle w:val="27"/>
        <w:spacing w:line="440" w:lineRule="exact"/>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1EA1B3E1">
      <w:pPr>
        <w:pStyle w:val="27"/>
        <w:spacing w:line="440" w:lineRule="exact"/>
        <w:ind w:left="25" w:leftChars="12" w:firstLine="352" w:firstLineChars="147"/>
        <w:rPr>
          <w:rFonts w:hint="eastAsia" w:hAnsi="宋体"/>
          <w:color w:val="auto"/>
          <w:sz w:val="24"/>
          <w:szCs w:val="24"/>
          <w:highlight w:val="none"/>
        </w:rPr>
      </w:pPr>
    </w:p>
    <w:p w14:paraId="3C7E7CB4">
      <w:pPr>
        <w:pStyle w:val="27"/>
        <w:spacing w:line="440" w:lineRule="exact"/>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5B82E78C">
      <w:pPr>
        <w:pStyle w:val="27"/>
        <w:spacing w:line="440" w:lineRule="exact"/>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 xml:space="preserve">                                                                              </w:t>
      </w:r>
    </w:p>
    <w:p w14:paraId="47F9BDC0">
      <w:pPr>
        <w:pStyle w:val="27"/>
        <w:snapToGrid w:val="0"/>
        <w:spacing w:line="440" w:lineRule="exact"/>
        <w:rPr>
          <w:rFonts w:hint="eastAsia" w:hAnsi="宋体"/>
          <w:b/>
          <w:color w:val="auto"/>
          <w:sz w:val="24"/>
          <w:szCs w:val="24"/>
          <w:highlight w:val="none"/>
        </w:rPr>
      </w:pPr>
      <w:r>
        <w:rPr>
          <w:rFonts w:hint="eastAsia" w:hAnsi="宋体"/>
          <w:b/>
          <w:color w:val="auto"/>
          <w:sz w:val="24"/>
          <w:szCs w:val="24"/>
          <w:highlight w:val="none"/>
        </w:rPr>
        <w:t>说明：</w:t>
      </w:r>
    </w:p>
    <w:p w14:paraId="52F14B10">
      <w:pPr>
        <w:pStyle w:val="27"/>
        <w:spacing w:line="440" w:lineRule="exact"/>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1.投诉人提起投诉时，应当提交投诉书和必要的证明材料，并按照被投诉人和与投诉事项有关的投标人数量提供投诉书副本</w:t>
      </w:r>
      <w:r>
        <w:rPr>
          <w:rFonts w:hint="eastAsia" w:hAnsi="宋体"/>
          <w:b/>
          <w:bCs/>
          <w:color w:val="auto"/>
          <w:sz w:val="24"/>
          <w:szCs w:val="24"/>
          <w:highlight w:val="none"/>
        </w:rPr>
        <w:t>。</w:t>
      </w:r>
    </w:p>
    <w:p w14:paraId="0DD97643">
      <w:pPr>
        <w:pStyle w:val="27"/>
        <w:spacing w:line="44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A9AACD2">
      <w:pPr>
        <w:pStyle w:val="27"/>
        <w:spacing w:line="44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4AE4F53E">
      <w:pPr>
        <w:pStyle w:val="27"/>
        <w:spacing w:line="44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4CA11627">
      <w:pPr>
        <w:pStyle w:val="27"/>
        <w:spacing w:line="44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5ADBACB5">
      <w:pPr>
        <w:pStyle w:val="27"/>
        <w:spacing w:line="440" w:lineRule="exact"/>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footerReference r:id="rId12" w:type="first"/>
      <w:headerReference r:id="rId9" w:type="default"/>
      <w:footerReference r:id="rId10" w:type="default"/>
      <w:footerReference r:id="rId11" w:type="even"/>
      <w:pgSz w:w="11906" w:h="16838"/>
      <w:pgMar w:top="1440" w:right="1797"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6CCC871-DA70-4265-8BC9-FB6B6630E8CC}"/>
  </w:font>
  <w:font w:name="黑体">
    <w:panose1 w:val="02010609060101010101"/>
    <w:charset w:val="86"/>
    <w:family w:val="auto"/>
    <w:pitch w:val="default"/>
    <w:sig w:usb0="800002BF" w:usb1="38CF7CFA" w:usb2="00000016" w:usb3="00000000" w:csb0="00040001" w:csb1="00000000"/>
    <w:embedRegular r:id="rId2" w:fontKey="{21C24D62-8BD0-4151-9BDC-91AD586EE155}"/>
  </w:font>
  <w:font w:name="Courier New">
    <w:panose1 w:val="02070309020205020404"/>
    <w:charset w:val="01"/>
    <w:family w:val="modern"/>
    <w:pitch w:val="default"/>
    <w:sig w:usb0="E0002EFF" w:usb1="C0007843" w:usb2="00000009" w:usb3="00000000" w:csb0="400001FF" w:csb1="FFFF0000"/>
    <w:embedRegular r:id="rId3" w:fontKey="{24197E0D-4060-472C-B071-FA8F809106F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DFC53512-0DAE-4D47-A0DA-11F3DF66C87F}"/>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5" w:fontKey="{2073B38E-0C36-4220-8077-42A40EF8C75D}"/>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0000009F" w:csb1="00000000"/>
  </w:font>
  <w:font w:name="Arial Unicode MS">
    <w:altName w:val="宋体"/>
    <w:panose1 w:val="020B0604020202020204"/>
    <w:charset w:val="86"/>
    <w:family w:val="swiss"/>
    <w:pitch w:val="default"/>
    <w:sig w:usb0="00000000" w:usb1="00000000" w:usb2="0000003F" w:usb3="00000000" w:csb0="003F01FF" w:csb1="00000000"/>
    <w:embedRegular r:id="rId6" w:fontKey="{74631805-1584-400B-A198-315C4BC34170}"/>
  </w:font>
  <w:font w:name="仿宋">
    <w:panose1 w:val="02010609060101010101"/>
    <w:charset w:val="86"/>
    <w:family w:val="modern"/>
    <w:pitch w:val="default"/>
    <w:sig w:usb0="800002BF" w:usb1="38CF7CFA" w:usb2="00000016" w:usb3="00000000" w:csb0="00040001" w:csb1="00000000"/>
    <w:embedRegular r:id="rId7" w:fontKey="{8C1466CA-78ED-4D8B-9B45-61485785A4D3}"/>
  </w:font>
  <w:font w:name="微软雅黑">
    <w:panose1 w:val="020B0503020204020204"/>
    <w:charset w:val="86"/>
    <w:family w:val="swiss"/>
    <w:pitch w:val="default"/>
    <w:sig w:usb0="80000287" w:usb1="2ACF3C50" w:usb2="00000016" w:usb3="00000000" w:csb0="0004001F" w:csb1="00000000"/>
    <w:embedRegular r:id="rId8" w:fontKey="{1346A0B9-D4D3-4EC6-B76C-39FFDEF1A9D8}"/>
  </w:font>
  <w:font w:name="华文中宋">
    <w:altName w:val="宋体"/>
    <w:panose1 w:val="02010600040101010101"/>
    <w:charset w:val="86"/>
    <w:family w:val="auto"/>
    <w:pitch w:val="default"/>
    <w:sig w:usb0="00000000" w:usb1="00000000" w:usb2="00000010" w:usb3="00000000" w:csb0="0004009F" w:csb1="00000000"/>
    <w:embedRegular r:id="rId9" w:fontKey="{6F953277-A983-4704-8938-2BC52A8263BE}"/>
  </w:font>
  <w:font w:name="隶书">
    <w:altName w:val="微软雅黑"/>
    <w:panose1 w:val="02010509060101010101"/>
    <w:charset w:val="86"/>
    <w:family w:val="modern"/>
    <w:pitch w:val="default"/>
    <w:sig w:usb0="00000000" w:usb1="00000000" w:usb2="00000010" w:usb3="00000000" w:csb0="00040000" w:csb1="00000000"/>
    <w:embedRegular r:id="rId10" w:fontKey="{8E6D02AD-C6FE-424F-B371-E6C717C24972}"/>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296A8">
    <w:pPr>
      <w:pStyle w:val="33"/>
      <w:framePr w:wrap="around" w:vAnchor="text" w:hAnchor="margin" w:xAlign="center" w:y="1"/>
      <w:rPr>
        <w:rStyle w:val="54"/>
      </w:rPr>
    </w:pPr>
    <w:r>
      <w:fldChar w:fldCharType="begin"/>
    </w:r>
    <w:r>
      <w:rPr>
        <w:rStyle w:val="54"/>
      </w:rPr>
      <w:instrText xml:space="preserve">PAGE  </w:instrText>
    </w:r>
    <w:r>
      <w:fldChar w:fldCharType="end"/>
    </w:r>
  </w:p>
  <w:p w14:paraId="1A5A99DA">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45459">
    <w:pPr>
      <w:pStyle w:val="33"/>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C1113">
    <w:pPr>
      <w:pStyle w:val="3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3D675">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DD3D675">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C5D46">
    <w:pPr>
      <w:pStyle w:val="33"/>
      <w:jc w:val="center"/>
    </w:pPr>
    <w:r>
      <w:fldChar w:fldCharType="begin"/>
    </w:r>
    <w:r>
      <w:instrText xml:space="preserve">PAGE   \* MERGEFORMAT</w:instrText>
    </w:r>
    <w:r>
      <w:fldChar w:fldCharType="separate"/>
    </w:r>
    <w:r>
      <w:rPr>
        <w:lang w:val="zh-CN"/>
      </w:rPr>
      <w:t>1</w:t>
    </w:r>
    <w:r>
      <w:fldChar w:fldCharType="end"/>
    </w:r>
  </w:p>
  <w:p w14:paraId="3203072B">
    <w:pPr>
      <w:pStyle w:val="33"/>
      <w:ind w:right="36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242AE">
    <w:pPr>
      <w:pStyle w:val="3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23AD00">
                          <w:pPr>
                            <w:pStyle w:val="3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523AD00">
                    <w:pPr>
                      <w:pStyle w:val="3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47B1A">
    <w:pPr>
      <w:pStyle w:val="3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921E7">
                          <w:pPr>
                            <w:pStyle w:val="3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7D921E7">
                    <w:pPr>
                      <w:pStyle w:val="3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ACB3E">
    <w:pPr>
      <w:pStyle w:val="33"/>
      <w:framePr w:wrap="around" w:vAnchor="text" w:hAnchor="margin" w:xAlign="center" w:y="1"/>
      <w:rPr>
        <w:rStyle w:val="54"/>
      </w:rPr>
    </w:pPr>
    <w:r>
      <w:fldChar w:fldCharType="begin"/>
    </w:r>
    <w:r>
      <w:rPr>
        <w:rStyle w:val="54"/>
      </w:rPr>
      <w:instrText xml:space="preserve">PAGE  </w:instrText>
    </w:r>
    <w:r>
      <w:fldChar w:fldCharType="end"/>
    </w:r>
  </w:p>
  <w:p w14:paraId="6123D4D3">
    <w:pPr>
      <w:pStyle w:val="3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82331">
    <w:pPr>
      <w:pStyle w:val="33"/>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05F71">
    <w:pPr>
      <w:pStyle w:val="3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3956B">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6318BE"/>
    <w:multiLevelType w:val="singleLevel"/>
    <w:tmpl w:val="936318BE"/>
    <w:lvl w:ilvl="0" w:tentative="0">
      <w:start w:val="1"/>
      <w:numFmt w:val="decimal"/>
      <w:suff w:val="nothing"/>
      <w:lvlText w:val="（%1）"/>
      <w:lvlJc w:val="left"/>
    </w:lvl>
  </w:abstractNum>
  <w:abstractNum w:abstractNumId="1">
    <w:nsid w:val="BB074D4A"/>
    <w:multiLevelType w:val="singleLevel"/>
    <w:tmpl w:val="BB074D4A"/>
    <w:lvl w:ilvl="0" w:tentative="0">
      <w:start w:val="1"/>
      <w:numFmt w:val="decimal"/>
      <w:pStyle w:val="139"/>
      <w:suff w:val="space"/>
      <w:lvlText w:val="(%1)"/>
      <w:lvlJc w:val="left"/>
      <w:pPr>
        <w:tabs>
          <w:tab w:val="left" w:pos="0"/>
        </w:tabs>
        <w:ind w:left="0" w:firstLine="0"/>
      </w:pPr>
      <w:rPr>
        <w:rFonts w:hint="default"/>
      </w:rPr>
    </w:lvl>
  </w:abstractNum>
  <w:abstractNum w:abstractNumId="2">
    <w:nsid w:val="FFFFFF7E"/>
    <w:multiLevelType w:val="singleLevel"/>
    <w:tmpl w:val="FFFFFF7E"/>
    <w:lvl w:ilvl="0" w:tentative="0">
      <w:start w:val="1"/>
      <w:numFmt w:val="decimal"/>
      <w:pStyle w:val="23"/>
      <w:lvlText w:val="%1."/>
      <w:lvlJc w:val="left"/>
      <w:pPr>
        <w:tabs>
          <w:tab w:val="left" w:pos="1200"/>
        </w:tabs>
        <w:ind w:left="1200" w:hanging="360"/>
      </w:pPr>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4">
    <w:nsid w:val="4C601917"/>
    <w:multiLevelType w:val="singleLevel"/>
    <w:tmpl w:val="4C601917"/>
    <w:lvl w:ilvl="0" w:tentative="0">
      <w:start w:val="1"/>
      <w:numFmt w:val="decimal"/>
      <w:suff w:val="nothing"/>
      <w:lvlText w:val="（%1）"/>
      <w:lvlJc w:val="left"/>
      <w:pPr>
        <w:ind w:left="-2"/>
      </w:pPr>
    </w:lvl>
  </w:abstractNum>
  <w:abstractNum w:abstractNumId="5">
    <w:nsid w:val="5FABD14B"/>
    <w:multiLevelType w:val="singleLevel"/>
    <w:tmpl w:val="5FABD14B"/>
    <w:lvl w:ilvl="0" w:tentative="0">
      <w:start w:val="1"/>
      <w:numFmt w:val="decimal"/>
      <w:suff w:val="nothing"/>
      <w:lvlText w:val="（%1）"/>
      <w:lvlJc w:val="left"/>
    </w:lvl>
  </w:abstractNum>
  <w:abstractNum w:abstractNumId="6">
    <w:nsid w:val="69E44859"/>
    <w:multiLevelType w:val="multilevel"/>
    <w:tmpl w:val="69E44859"/>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7">
    <w:nsid w:val="7815CFAB"/>
    <w:multiLevelType w:val="singleLevel"/>
    <w:tmpl w:val="7815CFAB"/>
    <w:lvl w:ilvl="0" w:tentative="0">
      <w:start w:val="1"/>
      <w:numFmt w:val="decimal"/>
      <w:pStyle w:val="138"/>
      <w:suff w:val="space"/>
      <w:lvlText w:val="%1."/>
      <w:lvlJc w:val="left"/>
      <w:pPr>
        <w:tabs>
          <w:tab w:val="left" w:pos="0"/>
        </w:tabs>
        <w:ind w:left="0" w:firstLine="0"/>
      </w:pPr>
      <w:rPr>
        <w:rFonts w:hint="default"/>
        <w:b w:val="0"/>
        <w:bCs w:val="0"/>
      </w:rPr>
    </w:lvl>
  </w:abstractNum>
  <w:num w:numId="1">
    <w:abstractNumId w:val="3"/>
  </w:num>
  <w:num w:numId="2">
    <w:abstractNumId w:val="2"/>
  </w:num>
  <w:num w:numId="3">
    <w:abstractNumId w:val="7"/>
  </w:num>
  <w:num w:numId="4">
    <w:abstractNumId w:val="1"/>
  </w:num>
  <w:num w:numId="5">
    <w:abstractNumId w:val="4"/>
  </w:num>
  <w:num w:numId="6">
    <w:abstractNumId w:val="5"/>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E93"/>
    <w:rsid w:val="00005E93"/>
    <w:rsid w:val="00236727"/>
    <w:rsid w:val="0031176C"/>
    <w:rsid w:val="004E3E26"/>
    <w:rsid w:val="005845D1"/>
    <w:rsid w:val="00AC21AC"/>
    <w:rsid w:val="00C059C9"/>
    <w:rsid w:val="00CA546F"/>
    <w:rsid w:val="00DB1D32"/>
    <w:rsid w:val="00FA1FCD"/>
    <w:rsid w:val="087016A9"/>
    <w:rsid w:val="0C6E02C3"/>
    <w:rsid w:val="0CA10E40"/>
    <w:rsid w:val="0F046535"/>
    <w:rsid w:val="13C87AEE"/>
    <w:rsid w:val="13CE3EEB"/>
    <w:rsid w:val="150C68CB"/>
    <w:rsid w:val="15755493"/>
    <w:rsid w:val="19E56ADD"/>
    <w:rsid w:val="1A006829"/>
    <w:rsid w:val="1E2C7696"/>
    <w:rsid w:val="1F6B68E4"/>
    <w:rsid w:val="1F9130AA"/>
    <w:rsid w:val="20B56069"/>
    <w:rsid w:val="26E26F14"/>
    <w:rsid w:val="2A03404C"/>
    <w:rsid w:val="364610D5"/>
    <w:rsid w:val="3A7639F1"/>
    <w:rsid w:val="430F0D64"/>
    <w:rsid w:val="43A50841"/>
    <w:rsid w:val="50E27169"/>
    <w:rsid w:val="543157BB"/>
    <w:rsid w:val="597A634C"/>
    <w:rsid w:val="5FA30AB0"/>
    <w:rsid w:val="61D905B2"/>
    <w:rsid w:val="63645C52"/>
    <w:rsid w:val="664E0EAE"/>
    <w:rsid w:val="776E0387"/>
    <w:rsid w:val="78E82CD2"/>
    <w:rsid w:val="7AF02F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2"/>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63"/>
    <w:qFormat/>
    <w:uiPriority w:val="0"/>
    <w:pPr>
      <w:keepNext/>
      <w:keepLines/>
      <w:numPr>
        <w:ilvl w:val="4"/>
        <w:numId w:val="1"/>
      </w:numPr>
      <w:spacing w:before="280" w:after="290" w:line="376" w:lineRule="auto"/>
      <w:outlineLvl w:val="4"/>
    </w:pPr>
    <w:rPr>
      <w:b/>
      <w:sz w:val="28"/>
    </w:rPr>
  </w:style>
  <w:style w:type="paragraph" w:styleId="7">
    <w:name w:val="heading 6"/>
    <w:basedOn w:val="1"/>
    <w:next w:val="8"/>
    <w:link w:val="64"/>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8"/>
    <w:link w:val="65"/>
    <w:qFormat/>
    <w:uiPriority w:val="0"/>
    <w:pPr>
      <w:keepNext/>
      <w:keepLines/>
      <w:numPr>
        <w:ilvl w:val="6"/>
        <w:numId w:val="1"/>
      </w:numPr>
      <w:spacing w:before="240" w:after="64" w:line="320" w:lineRule="auto"/>
      <w:outlineLvl w:val="6"/>
    </w:pPr>
    <w:rPr>
      <w:b/>
      <w:sz w:val="24"/>
    </w:rPr>
  </w:style>
  <w:style w:type="paragraph" w:styleId="10">
    <w:name w:val="heading 8"/>
    <w:basedOn w:val="1"/>
    <w:next w:val="8"/>
    <w:link w:val="66"/>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8"/>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Note Heading"/>
    <w:basedOn w:val="1"/>
    <w:next w:val="1"/>
    <w:qFormat/>
    <w:uiPriority w:val="0"/>
    <w:pPr>
      <w:spacing w:line="360" w:lineRule="auto"/>
      <w:jc w:val="center"/>
    </w:pPr>
    <w:rPr>
      <w:sz w:val="24"/>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68"/>
    <w:unhideWhenUsed/>
    <w:qFormat/>
    <w:uiPriority w:val="0"/>
    <w:pPr>
      <w:shd w:val="clear" w:color="auto" w:fill="000080"/>
    </w:pPr>
    <w:rPr>
      <w:rFonts w:hint="eastAsia" w:ascii="宋体" w:hAnsi="宋体"/>
      <w:kern w:val="0"/>
      <w:sz w:val="20"/>
      <w:szCs w:val="20"/>
    </w:rPr>
  </w:style>
  <w:style w:type="paragraph" w:styleId="18">
    <w:name w:val="annotation text"/>
    <w:basedOn w:val="1"/>
    <w:link w:val="69"/>
    <w:unhideWhenUsed/>
    <w:qFormat/>
    <w:uiPriority w:val="0"/>
    <w:pPr>
      <w:jc w:val="left"/>
    </w:pPr>
  </w:style>
  <w:style w:type="paragraph" w:styleId="19">
    <w:name w:val="Body Text 3"/>
    <w:basedOn w:val="1"/>
    <w:link w:val="70"/>
    <w:qFormat/>
    <w:uiPriority w:val="0"/>
    <w:pPr>
      <w:spacing w:line="500" w:lineRule="exact"/>
    </w:pPr>
    <w:rPr>
      <w:b/>
      <w:bCs/>
      <w:kern w:val="0"/>
      <w:sz w:val="24"/>
    </w:rPr>
  </w:style>
  <w:style w:type="paragraph" w:styleId="20">
    <w:name w:val="Body Text"/>
    <w:basedOn w:val="1"/>
    <w:next w:val="21"/>
    <w:link w:val="71"/>
    <w:qFormat/>
    <w:uiPriority w:val="99"/>
    <w:pPr>
      <w:spacing w:line="380" w:lineRule="exact"/>
    </w:pPr>
    <w:rPr>
      <w:kern w:val="0"/>
      <w:sz w:val="24"/>
    </w:rPr>
  </w:style>
  <w:style w:type="paragraph" w:styleId="21">
    <w:name w:val="Body Text 2"/>
    <w:basedOn w:val="1"/>
    <w:link w:val="82"/>
    <w:qFormat/>
    <w:uiPriority w:val="0"/>
    <w:pPr>
      <w:spacing w:after="120" w:line="480" w:lineRule="auto"/>
    </w:pPr>
    <w:rPr>
      <w:kern w:val="0"/>
      <w:sz w:val="20"/>
    </w:rPr>
  </w:style>
  <w:style w:type="paragraph" w:styleId="22">
    <w:name w:val="Body Text Indent"/>
    <w:basedOn w:val="1"/>
    <w:next w:val="1"/>
    <w:link w:val="72"/>
    <w:qFormat/>
    <w:uiPriority w:val="0"/>
    <w:pPr>
      <w:ind w:firstLine="830" w:firstLineChars="352"/>
    </w:pPr>
    <w:rPr>
      <w:rFonts w:ascii="仿宋_GB2312" w:eastAsia="仿宋_GB2312"/>
      <w:kern w:val="0"/>
      <w:sz w:val="32"/>
      <w:szCs w:val="20"/>
    </w:rPr>
  </w:style>
  <w:style w:type="paragraph" w:styleId="23">
    <w:name w:val="List Number 3"/>
    <w:basedOn w:val="1"/>
    <w:qFormat/>
    <w:uiPriority w:val="0"/>
    <w:pPr>
      <w:numPr>
        <w:ilvl w:val="0"/>
        <w:numId w:val="2"/>
      </w:numPr>
    </w:pPr>
  </w:style>
  <w:style w:type="paragraph" w:styleId="24">
    <w:name w:val="List 2"/>
    <w:basedOn w:val="1"/>
    <w:qFormat/>
    <w:uiPriority w:val="0"/>
    <w:pPr>
      <w:ind w:left="100" w:leftChars="200" w:hanging="200" w:hangingChars="200"/>
    </w:pPr>
    <w:rPr>
      <w:sz w:val="28"/>
    </w:rPr>
  </w:style>
  <w:style w:type="paragraph" w:styleId="25">
    <w:name w:val="toc 5"/>
    <w:basedOn w:val="1"/>
    <w:next w:val="1"/>
    <w:unhideWhenUsed/>
    <w:qFormat/>
    <w:uiPriority w:val="39"/>
    <w:pPr>
      <w:ind w:left="1680" w:leftChars="800"/>
    </w:pPr>
    <w:rPr>
      <w:rFonts w:ascii="Calibri" w:hAnsi="Calibri"/>
      <w:szCs w:val="22"/>
    </w:rPr>
  </w:style>
  <w:style w:type="paragraph" w:styleId="26">
    <w:name w:val="toc 3"/>
    <w:basedOn w:val="1"/>
    <w:next w:val="1"/>
    <w:unhideWhenUsed/>
    <w:qFormat/>
    <w:uiPriority w:val="39"/>
    <w:pPr>
      <w:ind w:left="840" w:leftChars="400"/>
    </w:pPr>
    <w:rPr>
      <w:rFonts w:ascii="Calibri" w:hAnsi="Calibri"/>
      <w:szCs w:val="22"/>
    </w:rPr>
  </w:style>
  <w:style w:type="paragraph" w:styleId="27">
    <w:name w:val="Plain Text"/>
    <w:basedOn w:val="1"/>
    <w:link w:val="73"/>
    <w:qFormat/>
    <w:uiPriority w:val="0"/>
    <w:rPr>
      <w:rFonts w:ascii="宋体" w:hAnsi="Courier New"/>
      <w:kern w:val="0"/>
      <w:sz w:val="20"/>
      <w:szCs w:val="21"/>
    </w:rPr>
  </w:style>
  <w:style w:type="paragraph" w:styleId="28">
    <w:name w:val="toc 8"/>
    <w:basedOn w:val="1"/>
    <w:next w:val="1"/>
    <w:unhideWhenUsed/>
    <w:qFormat/>
    <w:uiPriority w:val="39"/>
    <w:pPr>
      <w:ind w:left="2940" w:leftChars="1400"/>
    </w:pPr>
    <w:rPr>
      <w:rFonts w:ascii="Calibri" w:hAnsi="Calibri"/>
      <w:szCs w:val="22"/>
    </w:rPr>
  </w:style>
  <w:style w:type="paragraph" w:styleId="29">
    <w:name w:val="Date"/>
    <w:basedOn w:val="1"/>
    <w:next w:val="1"/>
    <w:link w:val="74"/>
    <w:qFormat/>
    <w:uiPriority w:val="0"/>
    <w:pPr>
      <w:ind w:left="100" w:leftChars="2500"/>
    </w:pPr>
    <w:rPr>
      <w:rFonts w:ascii="宋体" w:hAnsi="Courier New"/>
      <w:kern w:val="0"/>
      <w:sz w:val="20"/>
      <w:szCs w:val="21"/>
    </w:rPr>
  </w:style>
  <w:style w:type="paragraph" w:styleId="30">
    <w:name w:val="Body Text Indent 2"/>
    <w:basedOn w:val="1"/>
    <w:link w:val="75"/>
    <w:qFormat/>
    <w:uiPriority w:val="0"/>
    <w:pPr>
      <w:ind w:firstLine="630"/>
    </w:pPr>
    <w:rPr>
      <w:kern w:val="0"/>
      <w:sz w:val="32"/>
      <w:szCs w:val="20"/>
    </w:rPr>
  </w:style>
  <w:style w:type="paragraph" w:styleId="31">
    <w:name w:val="endnote text"/>
    <w:basedOn w:val="1"/>
    <w:link w:val="76"/>
    <w:unhideWhenUsed/>
    <w:qFormat/>
    <w:uiPriority w:val="99"/>
    <w:pPr>
      <w:snapToGrid w:val="0"/>
      <w:jc w:val="left"/>
    </w:pPr>
  </w:style>
  <w:style w:type="paragraph" w:styleId="32">
    <w:name w:val="Balloon Text"/>
    <w:basedOn w:val="1"/>
    <w:link w:val="77"/>
    <w:semiHidden/>
    <w:qFormat/>
    <w:uiPriority w:val="0"/>
    <w:rPr>
      <w:kern w:val="0"/>
      <w:sz w:val="18"/>
      <w:szCs w:val="18"/>
    </w:rPr>
  </w:style>
  <w:style w:type="paragraph" w:styleId="33">
    <w:name w:val="footer"/>
    <w:basedOn w:val="1"/>
    <w:link w:val="78"/>
    <w:unhideWhenUsed/>
    <w:qFormat/>
    <w:uiPriority w:val="99"/>
    <w:pPr>
      <w:tabs>
        <w:tab w:val="center" w:pos="4153"/>
        <w:tab w:val="right" w:pos="8306"/>
      </w:tabs>
      <w:snapToGrid w:val="0"/>
      <w:jc w:val="left"/>
    </w:pPr>
    <w:rPr>
      <w:kern w:val="0"/>
      <w:sz w:val="18"/>
      <w:szCs w:val="18"/>
    </w:rPr>
  </w:style>
  <w:style w:type="paragraph" w:styleId="34">
    <w:name w:val="header"/>
    <w:basedOn w:val="1"/>
    <w:link w:val="79"/>
    <w:unhideWhenUsed/>
    <w:qFormat/>
    <w:uiPriority w:val="99"/>
    <w:pPr>
      <w:pBdr>
        <w:bottom w:val="single" w:color="auto" w:sz="6" w:space="1"/>
      </w:pBdr>
      <w:tabs>
        <w:tab w:val="center" w:pos="0"/>
        <w:tab w:val="left" w:pos="8306"/>
      </w:tabs>
      <w:snapToGrid w:val="0"/>
      <w:jc w:val="center"/>
    </w:pPr>
    <w:rPr>
      <w:sz w:val="18"/>
      <w:szCs w:val="18"/>
    </w:rPr>
  </w:style>
  <w:style w:type="paragraph" w:styleId="35">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6">
    <w:name w:val="toc 4"/>
    <w:basedOn w:val="1"/>
    <w:next w:val="1"/>
    <w:unhideWhenUsed/>
    <w:qFormat/>
    <w:uiPriority w:val="39"/>
    <w:pPr>
      <w:ind w:left="1260" w:leftChars="600"/>
    </w:pPr>
    <w:rPr>
      <w:rFonts w:ascii="Calibri" w:hAnsi="Calibri"/>
      <w:szCs w:val="22"/>
    </w:rPr>
  </w:style>
  <w:style w:type="paragraph" w:styleId="37">
    <w:name w:val="List"/>
    <w:basedOn w:val="1"/>
    <w:qFormat/>
    <w:uiPriority w:val="0"/>
    <w:pPr>
      <w:ind w:left="200" w:hanging="200" w:hangingChars="200"/>
    </w:pPr>
    <w:rPr>
      <w:sz w:val="28"/>
    </w:rPr>
  </w:style>
  <w:style w:type="paragraph" w:styleId="38">
    <w:name w:val="footnote text"/>
    <w:basedOn w:val="1"/>
    <w:link w:val="80"/>
    <w:unhideWhenUsed/>
    <w:qFormat/>
    <w:uiPriority w:val="99"/>
    <w:pPr>
      <w:snapToGrid w:val="0"/>
      <w:jc w:val="left"/>
    </w:pPr>
    <w:rPr>
      <w:sz w:val="18"/>
      <w:szCs w:val="18"/>
    </w:rPr>
  </w:style>
  <w:style w:type="paragraph" w:styleId="39">
    <w:name w:val="toc 6"/>
    <w:basedOn w:val="1"/>
    <w:next w:val="1"/>
    <w:unhideWhenUsed/>
    <w:qFormat/>
    <w:uiPriority w:val="39"/>
    <w:pPr>
      <w:ind w:left="2100" w:leftChars="1000"/>
    </w:pPr>
    <w:rPr>
      <w:rFonts w:ascii="Calibri" w:hAnsi="Calibri"/>
      <w:szCs w:val="22"/>
    </w:rPr>
  </w:style>
  <w:style w:type="paragraph" w:styleId="40">
    <w:name w:val="Body Text Indent 3"/>
    <w:basedOn w:val="1"/>
    <w:link w:val="81"/>
    <w:qFormat/>
    <w:uiPriority w:val="0"/>
    <w:pPr>
      <w:spacing w:after="120"/>
      <w:ind w:left="420" w:leftChars="200"/>
    </w:pPr>
    <w:rPr>
      <w:kern w:val="0"/>
      <w:sz w:val="16"/>
      <w:szCs w:val="16"/>
    </w:rPr>
  </w:style>
  <w:style w:type="paragraph" w:styleId="41">
    <w:name w:val="toc 2"/>
    <w:basedOn w:val="1"/>
    <w:next w:val="1"/>
    <w:unhideWhenUsed/>
    <w:qFormat/>
    <w:uiPriority w:val="39"/>
    <w:pPr>
      <w:ind w:left="420" w:leftChars="200"/>
    </w:pPr>
  </w:style>
  <w:style w:type="paragraph" w:styleId="42">
    <w:name w:val="toc 9"/>
    <w:basedOn w:val="1"/>
    <w:next w:val="1"/>
    <w:unhideWhenUsed/>
    <w:qFormat/>
    <w:uiPriority w:val="39"/>
    <w:pPr>
      <w:ind w:left="3360" w:leftChars="1600"/>
    </w:pPr>
    <w:rPr>
      <w:rFonts w:ascii="Calibri" w:hAnsi="Calibri"/>
      <w:szCs w:val="22"/>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index 1"/>
    <w:basedOn w:val="1"/>
    <w:next w:val="1"/>
    <w:semiHidden/>
    <w:qFormat/>
    <w:uiPriority w:val="0"/>
    <w:pPr>
      <w:spacing w:line="400" w:lineRule="exact"/>
      <w:ind w:firstLine="420" w:firstLineChars="200"/>
    </w:pPr>
    <w:rPr>
      <w:rFonts w:ascii="宋体" w:hAnsi="Courier New"/>
      <w:b/>
      <w:szCs w:val="20"/>
    </w:rPr>
  </w:style>
  <w:style w:type="paragraph" w:styleId="45">
    <w:name w:val="Title"/>
    <w:basedOn w:val="1"/>
    <w:next w:val="1"/>
    <w:link w:val="83"/>
    <w:qFormat/>
    <w:uiPriority w:val="10"/>
    <w:pPr>
      <w:spacing w:before="240" w:after="60"/>
      <w:jc w:val="center"/>
      <w:outlineLvl w:val="0"/>
    </w:pPr>
    <w:rPr>
      <w:rFonts w:ascii="Cambria" w:hAnsi="Cambria"/>
      <w:b/>
      <w:bCs/>
      <w:sz w:val="32"/>
      <w:szCs w:val="32"/>
    </w:rPr>
  </w:style>
  <w:style w:type="paragraph" w:styleId="46">
    <w:name w:val="annotation subject"/>
    <w:basedOn w:val="18"/>
    <w:next w:val="18"/>
    <w:link w:val="84"/>
    <w:unhideWhenUsed/>
    <w:qFormat/>
    <w:uiPriority w:val="99"/>
    <w:rPr>
      <w:b/>
      <w:bCs/>
    </w:rPr>
  </w:style>
  <w:style w:type="paragraph" w:styleId="47">
    <w:name w:val="Body Text First Indent"/>
    <w:basedOn w:val="20"/>
    <w:next w:val="48"/>
    <w:qFormat/>
    <w:uiPriority w:val="0"/>
    <w:pPr>
      <w:ind w:firstLine="420" w:firstLineChars="100"/>
    </w:pPr>
    <w:rPr>
      <w:rFonts w:ascii="宋体" w:hAnsi="Courier New"/>
      <w:sz w:val="20"/>
      <w:szCs w:val="21"/>
    </w:rPr>
  </w:style>
  <w:style w:type="paragraph" w:styleId="48">
    <w:name w:val="Body Text First Indent 2"/>
    <w:basedOn w:val="22"/>
    <w:next w:val="20"/>
    <w:qFormat/>
    <w:uiPriority w:val="0"/>
    <w:pPr>
      <w:spacing w:after="120"/>
      <w:ind w:left="420" w:leftChars="200" w:firstLine="420" w:firstLineChars="200"/>
    </w:p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basedOn w:val="51"/>
    <w:qFormat/>
    <w:uiPriority w:val="22"/>
    <w:rPr>
      <w:b/>
    </w:rPr>
  </w:style>
  <w:style w:type="character" w:styleId="53">
    <w:name w:val="endnote reference"/>
    <w:unhideWhenUsed/>
    <w:qFormat/>
    <w:uiPriority w:val="99"/>
    <w:rPr>
      <w:vertAlign w:val="superscript"/>
    </w:rPr>
  </w:style>
  <w:style w:type="character" w:styleId="54">
    <w:name w:val="page number"/>
    <w:qFormat/>
    <w:uiPriority w:val="0"/>
  </w:style>
  <w:style w:type="character" w:styleId="55">
    <w:name w:val="FollowedHyperlink"/>
    <w:qFormat/>
    <w:uiPriority w:val="0"/>
    <w:rPr>
      <w:color w:val="000000"/>
      <w:u w:val="none"/>
    </w:rPr>
  </w:style>
  <w:style w:type="character" w:styleId="56">
    <w:name w:val="Emphasis"/>
    <w:basedOn w:val="51"/>
    <w:qFormat/>
    <w:uiPriority w:val="20"/>
    <w:rPr>
      <w:i/>
    </w:rPr>
  </w:style>
  <w:style w:type="character" w:styleId="57">
    <w:name w:val="Hyperlink"/>
    <w:qFormat/>
    <w:uiPriority w:val="99"/>
    <w:rPr>
      <w:color w:val="000000"/>
      <w:u w:val="none"/>
    </w:rPr>
  </w:style>
  <w:style w:type="character" w:styleId="58">
    <w:name w:val="annotation reference"/>
    <w:basedOn w:val="51"/>
    <w:unhideWhenUsed/>
    <w:qFormat/>
    <w:uiPriority w:val="0"/>
    <w:rPr>
      <w:sz w:val="21"/>
      <w:szCs w:val="21"/>
    </w:rPr>
  </w:style>
  <w:style w:type="character" w:styleId="59">
    <w:name w:val="footnote reference"/>
    <w:unhideWhenUsed/>
    <w:qFormat/>
    <w:uiPriority w:val="99"/>
    <w:rPr>
      <w:vertAlign w:val="superscript"/>
    </w:rPr>
  </w:style>
  <w:style w:type="character" w:customStyle="1" w:styleId="60">
    <w:name w:val="标题 1 字符1"/>
    <w:link w:val="2"/>
    <w:qFormat/>
    <w:uiPriority w:val="0"/>
    <w:rPr>
      <w:rFonts w:ascii="Times New Roman" w:hAnsi="Times New Roman" w:eastAsia="宋体" w:cs="Times New Roman"/>
      <w:b/>
      <w:bCs/>
      <w:kern w:val="44"/>
      <w:sz w:val="44"/>
      <w:szCs w:val="44"/>
    </w:rPr>
  </w:style>
  <w:style w:type="character" w:customStyle="1" w:styleId="61">
    <w:name w:val="标题 2 字符"/>
    <w:link w:val="3"/>
    <w:qFormat/>
    <w:uiPriority w:val="0"/>
    <w:rPr>
      <w:rFonts w:ascii="Arial" w:hAnsi="Arial" w:eastAsia="黑体" w:cs="Times New Roman"/>
      <w:b/>
      <w:bCs/>
      <w:sz w:val="32"/>
      <w:szCs w:val="32"/>
    </w:rPr>
  </w:style>
  <w:style w:type="character" w:customStyle="1" w:styleId="62">
    <w:name w:val="标题 3 字符"/>
    <w:link w:val="4"/>
    <w:qFormat/>
    <w:uiPriority w:val="0"/>
    <w:rPr>
      <w:rFonts w:ascii="Times New Roman" w:hAnsi="Times New Roman" w:eastAsia="宋体" w:cs="Times New Roman"/>
      <w:b/>
      <w:bCs/>
      <w:sz w:val="32"/>
      <w:szCs w:val="32"/>
    </w:rPr>
  </w:style>
  <w:style w:type="character" w:customStyle="1" w:styleId="63">
    <w:name w:val="标题 5 字符"/>
    <w:link w:val="6"/>
    <w:qFormat/>
    <w:uiPriority w:val="0"/>
    <w:rPr>
      <w:b/>
      <w:kern w:val="2"/>
      <w:sz w:val="28"/>
      <w:szCs w:val="24"/>
    </w:rPr>
  </w:style>
  <w:style w:type="character" w:customStyle="1" w:styleId="64">
    <w:name w:val="标题 6 字符1"/>
    <w:link w:val="7"/>
    <w:qFormat/>
    <w:uiPriority w:val="0"/>
    <w:rPr>
      <w:rFonts w:ascii="Arial" w:hAnsi="Arial" w:eastAsia="黑体"/>
      <w:b/>
      <w:kern w:val="2"/>
      <w:sz w:val="24"/>
      <w:szCs w:val="24"/>
    </w:rPr>
  </w:style>
  <w:style w:type="character" w:customStyle="1" w:styleId="65">
    <w:name w:val="标题 7 字符"/>
    <w:link w:val="9"/>
    <w:qFormat/>
    <w:uiPriority w:val="0"/>
    <w:rPr>
      <w:rFonts w:ascii="Times New Roman" w:hAnsi="Times New Roman"/>
      <w:b/>
      <w:kern w:val="2"/>
      <w:sz w:val="24"/>
      <w:szCs w:val="24"/>
    </w:rPr>
  </w:style>
  <w:style w:type="character" w:customStyle="1" w:styleId="66">
    <w:name w:val="标题 8 字符"/>
    <w:link w:val="10"/>
    <w:qFormat/>
    <w:uiPriority w:val="0"/>
    <w:rPr>
      <w:rFonts w:ascii="Arial" w:hAnsi="Arial" w:eastAsia="黑体"/>
      <w:kern w:val="2"/>
      <w:sz w:val="24"/>
      <w:szCs w:val="24"/>
    </w:rPr>
  </w:style>
  <w:style w:type="character" w:customStyle="1" w:styleId="67">
    <w:name w:val="标题 9 字符"/>
    <w:link w:val="11"/>
    <w:qFormat/>
    <w:uiPriority w:val="0"/>
    <w:rPr>
      <w:rFonts w:ascii="Arial" w:hAnsi="Arial" w:eastAsia="黑体"/>
      <w:kern w:val="2"/>
      <w:sz w:val="21"/>
      <w:szCs w:val="24"/>
    </w:rPr>
  </w:style>
  <w:style w:type="character" w:customStyle="1" w:styleId="68">
    <w:name w:val="文档结构图 字符"/>
    <w:link w:val="17"/>
    <w:qFormat/>
    <w:uiPriority w:val="0"/>
    <w:rPr>
      <w:rFonts w:hint="eastAsia" w:ascii="宋体" w:hAnsi="宋体" w:eastAsia="宋体" w:cs="宋体"/>
    </w:rPr>
  </w:style>
  <w:style w:type="character" w:customStyle="1" w:styleId="69">
    <w:name w:val="批注文字 字符2"/>
    <w:link w:val="18"/>
    <w:qFormat/>
    <w:uiPriority w:val="0"/>
    <w:rPr>
      <w:rFonts w:ascii="Times New Roman" w:hAnsi="Times New Roman"/>
      <w:kern w:val="2"/>
      <w:sz w:val="21"/>
      <w:szCs w:val="24"/>
    </w:rPr>
  </w:style>
  <w:style w:type="character" w:customStyle="1" w:styleId="70">
    <w:name w:val="正文文本 3 字符"/>
    <w:link w:val="19"/>
    <w:qFormat/>
    <w:uiPriority w:val="0"/>
    <w:rPr>
      <w:rFonts w:ascii="Times New Roman" w:hAnsi="Times New Roman" w:eastAsia="宋体" w:cs="Times New Roman"/>
      <w:b/>
      <w:bCs/>
      <w:sz w:val="24"/>
      <w:szCs w:val="24"/>
    </w:rPr>
  </w:style>
  <w:style w:type="character" w:customStyle="1" w:styleId="71">
    <w:name w:val="正文文本 字符"/>
    <w:link w:val="20"/>
    <w:qFormat/>
    <w:uiPriority w:val="99"/>
    <w:rPr>
      <w:rFonts w:ascii="Times New Roman" w:hAnsi="Times New Roman" w:eastAsia="宋体" w:cs="Times New Roman"/>
      <w:sz w:val="24"/>
      <w:szCs w:val="24"/>
    </w:rPr>
  </w:style>
  <w:style w:type="character" w:customStyle="1" w:styleId="72">
    <w:name w:val="正文文本缩进 字符1"/>
    <w:link w:val="22"/>
    <w:qFormat/>
    <w:uiPriority w:val="0"/>
    <w:rPr>
      <w:rFonts w:ascii="仿宋_GB2312" w:hAnsi="Times New Roman" w:eastAsia="仿宋_GB2312" w:cs="Times New Roman"/>
      <w:sz w:val="32"/>
      <w:szCs w:val="20"/>
    </w:rPr>
  </w:style>
  <w:style w:type="character" w:customStyle="1" w:styleId="73">
    <w:name w:val="纯文本 字符2"/>
    <w:link w:val="27"/>
    <w:qFormat/>
    <w:uiPriority w:val="0"/>
    <w:rPr>
      <w:rFonts w:ascii="宋体" w:hAnsi="Courier New" w:eastAsia="宋体" w:cs="Courier New"/>
      <w:szCs w:val="21"/>
    </w:rPr>
  </w:style>
  <w:style w:type="character" w:customStyle="1" w:styleId="74">
    <w:name w:val="日期 字符"/>
    <w:link w:val="29"/>
    <w:qFormat/>
    <w:uiPriority w:val="0"/>
    <w:rPr>
      <w:rFonts w:ascii="宋体" w:hAnsi="Courier New" w:eastAsia="宋体" w:cs="Courier New"/>
      <w:szCs w:val="21"/>
    </w:rPr>
  </w:style>
  <w:style w:type="character" w:customStyle="1" w:styleId="75">
    <w:name w:val="正文文本缩进 2 字符"/>
    <w:link w:val="30"/>
    <w:qFormat/>
    <w:uiPriority w:val="0"/>
    <w:rPr>
      <w:rFonts w:ascii="Times New Roman" w:hAnsi="Times New Roman" w:eastAsia="宋体" w:cs="Times New Roman"/>
      <w:sz w:val="32"/>
      <w:szCs w:val="20"/>
    </w:rPr>
  </w:style>
  <w:style w:type="character" w:customStyle="1" w:styleId="76">
    <w:name w:val="尾注文本 字符"/>
    <w:link w:val="31"/>
    <w:semiHidden/>
    <w:qFormat/>
    <w:uiPriority w:val="99"/>
    <w:rPr>
      <w:rFonts w:ascii="Times New Roman" w:hAnsi="Times New Roman"/>
      <w:kern w:val="2"/>
      <w:sz w:val="21"/>
      <w:szCs w:val="24"/>
    </w:rPr>
  </w:style>
  <w:style w:type="character" w:customStyle="1" w:styleId="77">
    <w:name w:val="批注框文本 字符"/>
    <w:link w:val="32"/>
    <w:semiHidden/>
    <w:qFormat/>
    <w:uiPriority w:val="0"/>
    <w:rPr>
      <w:rFonts w:ascii="Times New Roman" w:hAnsi="Times New Roman" w:eastAsia="宋体" w:cs="Times New Roman"/>
      <w:sz w:val="18"/>
      <w:szCs w:val="18"/>
    </w:rPr>
  </w:style>
  <w:style w:type="character" w:customStyle="1" w:styleId="78">
    <w:name w:val="页脚 字符1"/>
    <w:link w:val="33"/>
    <w:qFormat/>
    <w:uiPriority w:val="99"/>
    <w:rPr>
      <w:sz w:val="18"/>
      <w:szCs w:val="18"/>
    </w:rPr>
  </w:style>
  <w:style w:type="character" w:customStyle="1" w:styleId="79">
    <w:name w:val="页眉 字符"/>
    <w:link w:val="34"/>
    <w:qFormat/>
    <w:uiPriority w:val="99"/>
    <w:rPr>
      <w:rFonts w:ascii="Times New Roman" w:hAnsi="Times New Roman"/>
      <w:kern w:val="2"/>
      <w:sz w:val="18"/>
      <w:szCs w:val="18"/>
    </w:rPr>
  </w:style>
  <w:style w:type="character" w:customStyle="1" w:styleId="80">
    <w:name w:val="脚注文本 字符"/>
    <w:link w:val="38"/>
    <w:semiHidden/>
    <w:qFormat/>
    <w:uiPriority w:val="99"/>
    <w:rPr>
      <w:rFonts w:ascii="Times New Roman" w:hAnsi="Times New Roman"/>
      <w:kern w:val="2"/>
      <w:sz w:val="18"/>
      <w:szCs w:val="18"/>
    </w:rPr>
  </w:style>
  <w:style w:type="character" w:customStyle="1" w:styleId="81">
    <w:name w:val="正文文本缩进 3 字符"/>
    <w:link w:val="40"/>
    <w:qFormat/>
    <w:uiPriority w:val="0"/>
    <w:rPr>
      <w:rFonts w:ascii="Times New Roman" w:hAnsi="Times New Roman" w:eastAsia="宋体" w:cs="Times New Roman"/>
      <w:sz w:val="16"/>
      <w:szCs w:val="16"/>
    </w:rPr>
  </w:style>
  <w:style w:type="character" w:customStyle="1" w:styleId="82">
    <w:name w:val="正文文本 2 字符"/>
    <w:link w:val="21"/>
    <w:qFormat/>
    <w:uiPriority w:val="0"/>
    <w:rPr>
      <w:rFonts w:ascii="Times New Roman" w:hAnsi="Times New Roman" w:eastAsia="宋体" w:cs="Times New Roman"/>
      <w:szCs w:val="24"/>
    </w:rPr>
  </w:style>
  <w:style w:type="character" w:customStyle="1" w:styleId="83">
    <w:name w:val="标题 字符"/>
    <w:link w:val="45"/>
    <w:qFormat/>
    <w:uiPriority w:val="10"/>
    <w:rPr>
      <w:rFonts w:ascii="Cambria" w:hAnsi="Cambria" w:cs="Times New Roman"/>
      <w:b/>
      <w:bCs/>
      <w:kern w:val="2"/>
      <w:sz w:val="32"/>
      <w:szCs w:val="32"/>
    </w:rPr>
  </w:style>
  <w:style w:type="character" w:customStyle="1" w:styleId="84">
    <w:name w:val="批注主题 字符"/>
    <w:link w:val="46"/>
    <w:semiHidden/>
    <w:qFormat/>
    <w:uiPriority w:val="99"/>
    <w:rPr>
      <w:rFonts w:ascii="Times New Roman" w:hAnsi="Times New Roman"/>
      <w:b/>
      <w:bCs/>
      <w:kern w:val="2"/>
      <w:sz w:val="21"/>
      <w:szCs w:val="24"/>
    </w:rPr>
  </w:style>
  <w:style w:type="paragraph" w:customStyle="1" w:styleId="85">
    <w:name w:val="表格文字"/>
    <w:basedOn w:val="1"/>
    <w:qFormat/>
    <w:uiPriority w:val="99"/>
    <w:pPr>
      <w:spacing w:before="25" w:after="25"/>
      <w:jc w:val="left"/>
    </w:pPr>
    <w:rPr>
      <w:bCs/>
      <w:spacing w:val="10"/>
      <w:kern w:val="0"/>
      <w:sz w:val="24"/>
      <w:szCs w:val="22"/>
    </w:rPr>
  </w:style>
  <w:style w:type="paragraph" w:customStyle="1" w:styleId="8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87">
    <w:name w:val="批注文字 Char1"/>
    <w:qFormat/>
    <w:locked/>
    <w:uiPriority w:val="0"/>
    <w:rPr>
      <w:rFonts w:ascii="Times New Roman" w:hAnsi="Times New Roman"/>
      <w:kern w:val="2"/>
      <w:sz w:val="21"/>
      <w:szCs w:val="24"/>
    </w:rPr>
  </w:style>
  <w:style w:type="character" w:customStyle="1" w:styleId="88">
    <w:name w:val="case31"/>
    <w:qFormat/>
    <w:uiPriority w:val="0"/>
    <w:rPr>
      <w:rFonts w:hint="default" w:ascii="_x000B__x000C_" w:hAnsi="_x000B__x000C_"/>
      <w:sz w:val="21"/>
      <w:szCs w:val="21"/>
    </w:rPr>
  </w:style>
  <w:style w:type="character" w:customStyle="1" w:styleId="89">
    <w:name w:val="批注文字 Char"/>
    <w:qFormat/>
    <w:uiPriority w:val="0"/>
    <w:rPr>
      <w:rFonts w:ascii="Times New Roman" w:hAnsi="Times New Roman"/>
      <w:kern w:val="2"/>
      <w:sz w:val="21"/>
      <w:szCs w:val="24"/>
    </w:rPr>
  </w:style>
  <w:style w:type="character" w:customStyle="1" w:styleId="90">
    <w:name w:val="纯文本 Char"/>
    <w:qFormat/>
    <w:uiPriority w:val="0"/>
    <w:rPr>
      <w:rFonts w:ascii="宋体" w:hAnsi="Courier New" w:eastAsia="宋体"/>
      <w:kern w:val="2"/>
      <w:sz w:val="21"/>
      <w:lang w:val="en-US" w:eastAsia="zh-CN" w:bidi="ar-SA"/>
    </w:rPr>
  </w:style>
  <w:style w:type="character" w:customStyle="1" w:styleId="91">
    <w:name w:val="纯文本 字符1"/>
    <w:qFormat/>
    <w:uiPriority w:val="0"/>
    <w:rPr>
      <w:rFonts w:ascii="宋体" w:hAnsi="Courier New"/>
    </w:rPr>
  </w:style>
  <w:style w:type="character" w:customStyle="1" w:styleId="92">
    <w:name w:val="批注文字 字符1"/>
    <w:qFormat/>
    <w:uiPriority w:val="0"/>
    <w:rPr>
      <w:rFonts w:ascii="Times New Roman" w:hAnsi="Times New Roman"/>
      <w:kern w:val="2"/>
      <w:sz w:val="21"/>
      <w:szCs w:val="24"/>
    </w:rPr>
  </w:style>
  <w:style w:type="character" w:customStyle="1" w:styleId="93">
    <w:name w:val="正文文本 Char1"/>
    <w:semiHidden/>
    <w:qFormat/>
    <w:locked/>
    <w:uiPriority w:val="99"/>
    <w:rPr>
      <w:sz w:val="24"/>
      <w:szCs w:val="24"/>
    </w:rPr>
  </w:style>
  <w:style w:type="character" w:customStyle="1" w:styleId="94">
    <w:name w:val="apple-style-span"/>
    <w:qFormat/>
    <w:uiPriority w:val="0"/>
  </w:style>
  <w:style w:type="character" w:customStyle="1" w:styleId="95">
    <w:name w:val="textcontents"/>
    <w:qFormat/>
    <w:uiPriority w:val="0"/>
  </w:style>
  <w:style w:type="character" w:customStyle="1" w:styleId="96">
    <w:name w:val="普通文字 Char Char2"/>
    <w:qFormat/>
    <w:uiPriority w:val="0"/>
    <w:rPr>
      <w:rFonts w:ascii="宋体" w:hAnsi="Courier New" w:eastAsia="宋体"/>
      <w:kern w:val="2"/>
      <w:sz w:val="21"/>
      <w:lang w:val="en-US" w:eastAsia="zh-CN" w:bidi="ar-SA"/>
    </w:rPr>
  </w:style>
  <w:style w:type="character" w:customStyle="1" w:styleId="97">
    <w:name w:val="标题 5 Char"/>
    <w:qFormat/>
    <w:uiPriority w:val="9"/>
    <w:rPr>
      <w:b/>
      <w:kern w:val="2"/>
      <w:sz w:val="28"/>
      <w:szCs w:val="24"/>
    </w:rPr>
  </w:style>
  <w:style w:type="character" w:customStyle="1" w:styleId="98">
    <w:name w:val="批注文字 字符"/>
    <w:qFormat/>
    <w:uiPriority w:val="0"/>
    <w:rPr>
      <w:rFonts w:ascii="Times New Roman" w:hAnsi="Times New Roman"/>
      <w:kern w:val="2"/>
      <w:sz w:val="21"/>
      <w:szCs w:val="24"/>
    </w:rPr>
  </w:style>
  <w:style w:type="character" w:customStyle="1" w:styleId="99">
    <w:name w:val="标题 1 字符"/>
    <w:qFormat/>
    <w:uiPriority w:val="9"/>
    <w:rPr>
      <w:rFonts w:ascii="Times New Roman" w:hAnsi="Times New Roman" w:eastAsia="宋体" w:cs="Times New Roman"/>
      <w:b/>
      <w:bCs/>
      <w:kern w:val="44"/>
      <w:sz w:val="44"/>
      <w:szCs w:val="44"/>
    </w:rPr>
  </w:style>
  <w:style w:type="character" w:customStyle="1" w:styleId="100">
    <w:name w:val="纯文本 字符"/>
    <w:qFormat/>
    <w:uiPriority w:val="0"/>
    <w:rPr>
      <w:rFonts w:ascii="宋体" w:hAnsi="Courier New" w:eastAsia="宋体" w:cs="Courier New"/>
      <w:szCs w:val="21"/>
    </w:rPr>
  </w:style>
  <w:style w:type="character" w:customStyle="1" w:styleId="101">
    <w:name w:val="headline-content4"/>
    <w:qFormat/>
    <w:uiPriority w:val="0"/>
  </w:style>
  <w:style w:type="character" w:customStyle="1" w:styleId="10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3">
    <w:name w:val="正文文本缩进 字符"/>
    <w:qFormat/>
    <w:uiPriority w:val="0"/>
    <w:rPr>
      <w:rFonts w:ascii="仿宋_GB2312" w:hAnsi="Times New Roman" w:eastAsia="仿宋_GB2312" w:cs="Times New Roman"/>
      <w:sz w:val="32"/>
      <w:szCs w:val="20"/>
    </w:rPr>
  </w:style>
  <w:style w:type="paragraph" w:customStyle="1" w:styleId="104">
    <w:name w:val="Char1"/>
    <w:basedOn w:val="1"/>
    <w:qFormat/>
    <w:uiPriority w:val="0"/>
    <w:rPr>
      <w:szCs w:val="21"/>
    </w:rPr>
  </w:style>
  <w:style w:type="paragraph" w:customStyle="1" w:styleId="105">
    <w:name w:val="列出段落1"/>
    <w:basedOn w:val="1"/>
    <w:qFormat/>
    <w:uiPriority w:val="34"/>
    <w:pPr>
      <w:ind w:firstLine="420" w:firstLineChars="200"/>
    </w:pPr>
  </w:style>
  <w:style w:type="paragraph" w:customStyle="1" w:styleId="10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07">
    <w:name w:val="默认段落字体 Para Char Char Char Char Char Char Char Char Char1 Char Char Char Char"/>
    <w:basedOn w:val="1"/>
    <w:qFormat/>
    <w:uiPriority w:val="0"/>
    <w:rPr>
      <w:rFonts w:ascii="Tahoma" w:hAnsi="Tahoma"/>
      <w:sz w:val="24"/>
      <w:szCs w:val="20"/>
    </w:rPr>
  </w:style>
  <w:style w:type="paragraph" w:customStyle="1" w:styleId="108">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9">
    <w:name w:val="纯文本1"/>
    <w:basedOn w:val="1"/>
    <w:qFormat/>
    <w:uiPriority w:val="0"/>
    <w:rPr>
      <w:rFonts w:ascii="宋体" w:hAnsi="Courier New" w:cs="Century"/>
      <w:szCs w:val="21"/>
    </w:rPr>
  </w:style>
  <w:style w:type="paragraph" w:customStyle="1" w:styleId="110">
    <w:name w:val="Table Paragraph"/>
    <w:basedOn w:val="1"/>
    <w:qFormat/>
    <w:uiPriority w:val="1"/>
    <w:pPr>
      <w:jc w:val="left"/>
    </w:pPr>
    <w:rPr>
      <w:rFonts w:ascii="Calibri" w:hAnsi="Calibri"/>
      <w:kern w:val="0"/>
      <w:sz w:val="22"/>
      <w:szCs w:val="22"/>
      <w:lang w:eastAsia="en-US"/>
    </w:rPr>
  </w:style>
  <w:style w:type="paragraph" w:customStyle="1" w:styleId="11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2">
    <w:name w:val="表格"/>
    <w:basedOn w:val="1"/>
    <w:qFormat/>
    <w:uiPriority w:val="0"/>
    <w:pPr>
      <w:spacing w:line="400" w:lineRule="exact"/>
    </w:pPr>
    <w:rPr>
      <w:sz w:val="24"/>
    </w:rPr>
  </w:style>
  <w:style w:type="paragraph" w:customStyle="1" w:styleId="113">
    <w:name w:val="样式 首行缩进:  2 字符"/>
    <w:basedOn w:val="1"/>
    <w:qFormat/>
    <w:uiPriority w:val="0"/>
    <w:pPr>
      <w:spacing w:line="400" w:lineRule="exact"/>
      <w:ind w:firstLine="200" w:firstLineChars="200"/>
    </w:pPr>
    <w:rPr>
      <w:rFonts w:cs="宋体"/>
      <w:sz w:val="24"/>
    </w:rPr>
  </w:style>
  <w:style w:type="paragraph" w:customStyle="1" w:styleId="114">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5">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16">
    <w:name w:val="正文首行缩进两字符"/>
    <w:basedOn w:val="1"/>
    <w:qFormat/>
    <w:uiPriority w:val="0"/>
    <w:pPr>
      <w:spacing w:line="360" w:lineRule="auto"/>
      <w:ind w:firstLine="200" w:firstLineChars="200"/>
    </w:pPr>
  </w:style>
  <w:style w:type="paragraph" w:customStyle="1" w:styleId="117">
    <w:name w:val="正文段"/>
    <w:basedOn w:val="1"/>
    <w:qFormat/>
    <w:uiPriority w:val="0"/>
    <w:pPr>
      <w:widowControl/>
      <w:snapToGrid w:val="0"/>
      <w:spacing w:after="50" w:afterLines="50"/>
      <w:ind w:firstLine="200" w:firstLineChars="200"/>
    </w:pPr>
    <w:rPr>
      <w:kern w:val="0"/>
      <w:sz w:val="24"/>
      <w:szCs w:val="20"/>
    </w:rPr>
  </w:style>
  <w:style w:type="table" w:customStyle="1" w:styleId="118">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9">
    <w:name w:val="页脚 字符"/>
    <w:qFormat/>
    <w:uiPriority w:val="99"/>
  </w:style>
  <w:style w:type="character" w:customStyle="1" w:styleId="120">
    <w:name w:val="标题 1 Char1"/>
    <w:qFormat/>
    <w:uiPriority w:val="0"/>
    <w:rPr>
      <w:rFonts w:eastAsia="宋体"/>
      <w:b/>
      <w:bCs/>
      <w:kern w:val="44"/>
      <w:sz w:val="44"/>
      <w:szCs w:val="44"/>
      <w:lang w:val="en-US" w:eastAsia="zh-CN" w:bidi="ar-SA"/>
    </w:rPr>
  </w:style>
  <w:style w:type="character" w:customStyle="1" w:styleId="121">
    <w:name w:val="纯文本 Char2"/>
    <w:qFormat/>
    <w:uiPriority w:val="0"/>
    <w:rPr>
      <w:rFonts w:ascii="宋体" w:hAnsi="Courier New" w:eastAsia="宋体" w:cs="Courier New"/>
      <w:szCs w:val="21"/>
    </w:rPr>
  </w:style>
  <w:style w:type="paragraph" w:customStyle="1" w:styleId="122">
    <w:name w:val="无间隔1"/>
    <w:qFormat/>
    <w:uiPriority w:val="1"/>
    <w:pPr>
      <w:widowControl w:val="0"/>
      <w:jc w:val="both"/>
    </w:pPr>
    <w:rPr>
      <w:rFonts w:ascii="Calibri" w:hAnsi="Calibri" w:eastAsia="宋体" w:cs="Times New Roman"/>
      <w:kern w:val="2"/>
      <w:sz w:val="21"/>
      <w:szCs w:val="22"/>
      <w:lang w:val="en-US" w:eastAsia="zh-CN" w:bidi="ar-SA"/>
    </w:rPr>
  </w:style>
  <w:style w:type="character" w:customStyle="1" w:styleId="123">
    <w:name w:val="标题 6 字符"/>
    <w:qFormat/>
    <w:uiPriority w:val="0"/>
    <w:rPr>
      <w:rFonts w:ascii="Arial" w:hAnsi="Arial" w:eastAsia="黑体"/>
      <w:b/>
      <w:kern w:val="2"/>
      <w:sz w:val="24"/>
      <w:szCs w:val="24"/>
    </w:rPr>
  </w:style>
  <w:style w:type="paragraph" w:customStyle="1" w:styleId="124">
    <w:name w:val="明显引用1"/>
    <w:next w:val="1"/>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125">
    <w:name w:val="font61"/>
    <w:qFormat/>
    <w:uiPriority w:val="0"/>
    <w:rPr>
      <w:rFonts w:hint="eastAsia" w:ascii="宋体" w:hAnsi="宋体" w:eastAsia="宋体" w:cs="宋体"/>
      <w:b/>
      <w:bCs/>
      <w:color w:val="000000"/>
      <w:sz w:val="21"/>
      <w:szCs w:val="21"/>
      <w:u w:val="none"/>
      <w:vertAlign w:val="superscript"/>
    </w:rPr>
  </w:style>
  <w:style w:type="character" w:customStyle="1" w:styleId="126">
    <w:name w:val="font01"/>
    <w:qFormat/>
    <w:uiPriority w:val="0"/>
    <w:rPr>
      <w:rFonts w:hint="eastAsia" w:ascii="宋体" w:hAnsi="宋体" w:eastAsia="宋体" w:cs="宋体"/>
      <w:b/>
      <w:bCs/>
      <w:color w:val="000000"/>
      <w:sz w:val="21"/>
      <w:szCs w:val="21"/>
      <w:u w:val="none"/>
    </w:rPr>
  </w:style>
  <w:style w:type="character" w:customStyle="1" w:styleId="127">
    <w:name w:val="font41"/>
    <w:qFormat/>
    <w:uiPriority w:val="0"/>
    <w:rPr>
      <w:rFonts w:hint="eastAsia" w:ascii="宋体" w:hAnsi="宋体" w:eastAsia="宋体" w:cs="宋体"/>
      <w:color w:val="000000"/>
      <w:sz w:val="19"/>
      <w:szCs w:val="19"/>
      <w:u w:val="none"/>
    </w:rPr>
  </w:style>
  <w:style w:type="character" w:customStyle="1" w:styleId="128">
    <w:name w:val="font31"/>
    <w:qFormat/>
    <w:uiPriority w:val="0"/>
    <w:rPr>
      <w:rFonts w:hint="eastAsia" w:ascii="宋体" w:hAnsi="宋体" w:eastAsia="宋体" w:cs="宋体"/>
      <w:color w:val="000000"/>
      <w:sz w:val="21"/>
      <w:szCs w:val="21"/>
      <w:u w:val="none"/>
    </w:rPr>
  </w:style>
  <w:style w:type="character" w:customStyle="1" w:styleId="129">
    <w:name w:val="font51"/>
    <w:qFormat/>
    <w:uiPriority w:val="0"/>
    <w:rPr>
      <w:rFonts w:hint="default" w:ascii="Calibri" w:hAnsi="Calibri" w:cs="Calibri"/>
      <w:color w:val="000000"/>
      <w:sz w:val="21"/>
      <w:szCs w:val="21"/>
      <w:u w:val="none"/>
    </w:rPr>
  </w:style>
  <w:style w:type="paragraph" w:customStyle="1" w:styleId="130">
    <w:name w:val="null3"/>
    <w:qFormat/>
    <w:uiPriority w:val="0"/>
    <w:rPr>
      <w:rFonts w:hint="eastAsia" w:ascii="Calibri" w:hAnsi="Calibri" w:eastAsia="宋体" w:cs="Times New Roman"/>
      <w:lang w:val="en-US" w:eastAsia="zh-CN" w:bidi="ar-SA"/>
    </w:rPr>
  </w:style>
  <w:style w:type="paragraph" w:customStyle="1" w:styleId="131">
    <w:name w:val="_Style 128"/>
    <w:unhideWhenUsed/>
    <w:qFormat/>
    <w:uiPriority w:val="99"/>
    <w:rPr>
      <w:rFonts w:ascii="Times New Roman" w:hAnsi="Times New Roman" w:eastAsia="宋体" w:cs="Times New Roman"/>
      <w:kern w:val="2"/>
      <w:sz w:val="21"/>
      <w:szCs w:val="24"/>
      <w:lang w:val="en-US" w:eastAsia="zh-CN" w:bidi="ar-SA"/>
    </w:rPr>
  </w:style>
  <w:style w:type="paragraph" w:customStyle="1" w:styleId="132">
    <w:name w:val="Table Text"/>
    <w:basedOn w:val="1"/>
    <w:semiHidden/>
    <w:qFormat/>
    <w:uiPriority w:val="0"/>
    <w:rPr>
      <w:rFonts w:ascii="宋体" w:hAnsi="宋体" w:cs="宋体"/>
      <w:sz w:val="22"/>
      <w:szCs w:val="22"/>
      <w:lang w:eastAsia="en-US"/>
    </w:rPr>
  </w:style>
  <w:style w:type="paragraph" w:customStyle="1" w:styleId="133">
    <w:name w:val="p16"/>
    <w:basedOn w:val="1"/>
    <w:qFormat/>
    <w:uiPriority w:val="99"/>
    <w:pPr>
      <w:widowControl/>
    </w:pPr>
    <w:rPr>
      <w:rFonts w:ascii="宋体" w:hAnsi="宋体" w:cs="宋体"/>
      <w:kern w:val="0"/>
      <w:szCs w:val="21"/>
    </w:rPr>
  </w:style>
  <w:style w:type="character" w:customStyle="1" w:styleId="134">
    <w:name w:val="font11"/>
    <w:qFormat/>
    <w:uiPriority w:val="0"/>
    <w:rPr>
      <w:rFonts w:hint="eastAsia" w:ascii="宋体" w:hAnsi="宋体" w:eastAsia="宋体" w:cs="宋体"/>
      <w:color w:val="000000"/>
      <w:sz w:val="21"/>
      <w:szCs w:val="21"/>
      <w:u w:val="none"/>
    </w:rPr>
  </w:style>
  <w:style w:type="character" w:customStyle="1" w:styleId="135">
    <w:name w:val="font21"/>
    <w:qFormat/>
    <w:uiPriority w:val="0"/>
    <w:rPr>
      <w:rFonts w:hint="default" w:ascii="Times New Roman" w:hAnsi="Times New Roman" w:cs="Times New Roman"/>
      <w:color w:val="000000"/>
      <w:sz w:val="21"/>
      <w:szCs w:val="21"/>
      <w:u w:val="none"/>
    </w:rPr>
  </w:style>
  <w:style w:type="character" w:customStyle="1" w:styleId="136">
    <w:name w:val="font91"/>
    <w:qFormat/>
    <w:uiPriority w:val="0"/>
    <w:rPr>
      <w:rFonts w:hint="default" w:ascii="Times New Roman" w:hAnsi="Times New Roman" w:cs="Times New Roman"/>
      <w:color w:val="000000"/>
      <w:sz w:val="14"/>
      <w:szCs w:val="14"/>
      <w:u w:val="none"/>
    </w:rPr>
  </w:style>
  <w:style w:type="paragraph" w:customStyle="1" w:styleId="137">
    <w:name w:val="样式 正文缩进 + 首行缩进:  2 字符"/>
    <w:basedOn w:val="8"/>
    <w:qFormat/>
    <w:uiPriority w:val="0"/>
    <w:pPr>
      <w:spacing w:line="360" w:lineRule="auto"/>
      <w:ind w:firstLine="200"/>
    </w:pPr>
    <w:rPr>
      <w:sz w:val="24"/>
    </w:rPr>
  </w:style>
  <w:style w:type="paragraph" w:customStyle="1" w:styleId="138">
    <w:name w:val="数字编号带点"/>
    <w:basedOn w:val="1"/>
    <w:qFormat/>
    <w:uiPriority w:val="0"/>
    <w:pPr>
      <w:numPr>
        <w:ilvl w:val="0"/>
        <w:numId w:val="3"/>
      </w:numPr>
      <w:adjustRightInd w:val="0"/>
      <w:snapToGrid w:val="0"/>
      <w:spacing w:before="50" w:beforeLines="50"/>
    </w:pPr>
    <w:rPr>
      <w:rFonts w:hint="eastAsia" w:ascii="宋体" w:hAnsi="宋体"/>
      <w:szCs w:val="21"/>
    </w:rPr>
  </w:style>
  <w:style w:type="paragraph" w:customStyle="1" w:styleId="139">
    <w:name w:val="数字编号双括号"/>
    <w:basedOn w:val="1"/>
    <w:qFormat/>
    <w:uiPriority w:val="0"/>
    <w:pPr>
      <w:numPr>
        <w:ilvl w:val="0"/>
        <w:numId w:val="4"/>
      </w:numPr>
      <w:adjustRightInd w:val="0"/>
      <w:snapToGrid w:val="0"/>
    </w:pPr>
    <w:rPr>
      <w:rFonts w:hint="eastAsia" w:ascii="宋体" w:hAnsi="宋体"/>
      <w:sz w:val="24"/>
      <w:szCs w:val="21"/>
    </w:rPr>
  </w:style>
  <w:style w:type="paragraph" w:customStyle="1" w:styleId="14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41">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42">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43">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KWZB;</Company>
  <Pages>72</Pages>
  <Words>11676</Words>
  <Characters>12451</Characters>
  <Lines>2738</Lines>
  <Paragraphs>2612</Paragraphs>
  <TotalTime>0</TotalTime>
  <ScaleCrop>false</ScaleCrop>
  <LinksUpToDate>false</LinksUpToDate>
  <CharactersWithSpaces>12585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2026-04-13T15:08:00Z</dcterms:created>
  <dc:creator>KWZB</dc:creator>
  <cp:lastModifiedBy>YJ</cp:lastModifiedBy>
  <cp:lastPrinted>2026-04-27T11:56:00Z</cp:lastPrinted>
  <dcterms:modified xsi:type="dcterms:W3CDTF">2026-05-27T08:56:31Z</dcterms:modified>
  <dc:title>公开招标采购文件范本</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7AD60BF36F5F4F09A1037769EB7F64C3_13</vt:lpwstr>
  </property>
  <property fmtid="{D5CDD505-2E9C-101B-9397-08002B2CF9AE}" pid="4" name="KSOTemplateDocerSaveRecord">
    <vt:lpwstr>eyJoZGlkIjoiNDNkZWVlN2U0MTQ5ZmU4ZDdlZDkzY2Y5MGEwYWVhNGEiLCJ1c2VySWQiOiIyOTg5OTM0ODYifQ==</vt:lpwstr>
  </property>
</Properties>
</file>