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307F">
      <w:pPr>
        <w:spacing w:line="360" w:lineRule="auto"/>
        <w:jc w:val="center"/>
        <w:rPr>
          <w:rFonts w:hint="eastAsia" w:ascii="仿宋" w:hAnsi="宋体" w:eastAsia="仿宋"/>
          <w:color w:val="auto"/>
          <w:sz w:val="52"/>
          <w:szCs w:val="52"/>
          <w:highlight w:val="none"/>
        </w:rPr>
      </w:pPr>
    </w:p>
    <w:p w14:paraId="648F66D4">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6A86EABC">
      <w:pPr>
        <w:pStyle w:val="26"/>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1B10A2EA">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5E93AB23">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55E2E921">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p>
    <w:p w14:paraId="5F9D9D8E">
      <w:pPr>
        <w:pStyle w:val="26"/>
        <w:keepNext w:val="0"/>
        <w:keepLines w:val="0"/>
        <w:pageBreakBefore w:val="0"/>
        <w:widowControl w:val="0"/>
        <w:kinsoku/>
        <w:wordWrap/>
        <w:overflowPunct/>
        <w:topLinePunct w:val="0"/>
        <w:autoSpaceDE/>
        <w:autoSpaceDN/>
        <w:bidi w:val="0"/>
        <w:adjustRightInd/>
        <w:snapToGrid w:val="0"/>
        <w:spacing w:line="360" w:lineRule="auto"/>
        <w:ind w:firstLine="2003" w:firstLineChars="700"/>
        <w:jc w:val="left"/>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医院HIS系统维保服务</w:t>
      </w:r>
    </w:p>
    <w:p w14:paraId="704883C4">
      <w:pPr>
        <w:pStyle w:val="26"/>
        <w:keepNext w:val="0"/>
        <w:keepLines w:val="0"/>
        <w:pageBreakBefore w:val="0"/>
        <w:widowControl w:val="0"/>
        <w:kinsoku/>
        <w:wordWrap/>
        <w:overflowPunct/>
        <w:topLinePunct w:val="0"/>
        <w:autoSpaceDE/>
        <w:autoSpaceDN/>
        <w:bidi w:val="0"/>
        <w:adjustRightInd/>
        <w:snapToGrid w:val="0"/>
        <w:spacing w:line="360" w:lineRule="auto"/>
        <w:ind w:firstLine="2003" w:firstLineChars="700"/>
        <w:textAlignment w:val="auto"/>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w:t>
      </w:r>
      <w:bookmarkStart w:id="153" w:name="_GoBack"/>
      <w:bookmarkEnd w:id="153"/>
      <w:r>
        <w:rPr>
          <w:rFonts w:hint="eastAsia" w:hAnsi="宋体"/>
          <w:b/>
          <w:bCs/>
          <w:color w:val="auto"/>
          <w:w w:val="95"/>
          <w:sz w:val="30"/>
          <w:szCs w:val="30"/>
          <w:highlight w:val="none"/>
          <w:lang w:eastAsia="zh-CN"/>
        </w:rPr>
        <w:t>2026-G3-002051-KWZB</w:t>
      </w:r>
    </w:p>
    <w:p w14:paraId="617DB071">
      <w:pPr>
        <w:pStyle w:val="26"/>
        <w:snapToGrid w:val="0"/>
        <w:spacing w:line="360" w:lineRule="auto"/>
        <w:ind w:firstLine="1977" w:firstLineChars="691"/>
        <w:rPr>
          <w:rFonts w:hint="eastAsia" w:hAnsi="宋体"/>
          <w:b/>
          <w:bCs/>
          <w:color w:val="auto"/>
          <w:w w:val="95"/>
          <w:sz w:val="30"/>
          <w:szCs w:val="30"/>
          <w:highlight w:val="none"/>
        </w:rPr>
      </w:pPr>
    </w:p>
    <w:p w14:paraId="4AC085EF">
      <w:pPr>
        <w:pStyle w:val="26"/>
        <w:snapToGrid w:val="0"/>
        <w:spacing w:line="360" w:lineRule="auto"/>
        <w:ind w:firstLine="1977" w:firstLineChars="691"/>
        <w:rPr>
          <w:rFonts w:hint="eastAsia" w:hAnsi="宋体"/>
          <w:b/>
          <w:bCs/>
          <w:color w:val="auto"/>
          <w:w w:val="95"/>
          <w:sz w:val="30"/>
          <w:szCs w:val="30"/>
          <w:highlight w:val="none"/>
        </w:rPr>
      </w:pPr>
    </w:p>
    <w:p w14:paraId="732D5C0D">
      <w:pPr>
        <w:pStyle w:val="26"/>
        <w:snapToGrid w:val="0"/>
        <w:spacing w:line="360" w:lineRule="auto"/>
        <w:ind w:firstLine="1977" w:firstLineChars="691"/>
        <w:rPr>
          <w:rFonts w:hint="eastAsia" w:hAnsi="宋体"/>
          <w:b/>
          <w:bCs/>
          <w:color w:val="auto"/>
          <w:w w:val="95"/>
          <w:sz w:val="30"/>
          <w:szCs w:val="30"/>
          <w:highlight w:val="none"/>
        </w:rPr>
      </w:pPr>
    </w:p>
    <w:p w14:paraId="21667C29">
      <w:pPr>
        <w:pStyle w:val="26"/>
        <w:snapToGrid w:val="0"/>
        <w:spacing w:line="360" w:lineRule="auto"/>
        <w:ind w:firstLine="1977" w:firstLineChars="691"/>
        <w:rPr>
          <w:rFonts w:hint="eastAsia" w:hAnsi="宋体"/>
          <w:b/>
          <w:bCs/>
          <w:color w:val="auto"/>
          <w:w w:val="95"/>
          <w:sz w:val="30"/>
          <w:szCs w:val="30"/>
          <w:highlight w:val="none"/>
        </w:rPr>
      </w:pPr>
    </w:p>
    <w:p w14:paraId="5DC41839">
      <w:pPr>
        <w:pStyle w:val="26"/>
        <w:snapToGrid w:val="0"/>
        <w:spacing w:line="360" w:lineRule="auto"/>
        <w:ind w:firstLine="1977" w:firstLineChars="691"/>
        <w:rPr>
          <w:rFonts w:hint="eastAsia" w:hAnsi="宋体"/>
          <w:b/>
          <w:bCs/>
          <w:color w:val="auto"/>
          <w:w w:val="95"/>
          <w:sz w:val="30"/>
          <w:szCs w:val="30"/>
          <w:highlight w:val="none"/>
        </w:rPr>
      </w:pPr>
    </w:p>
    <w:p w14:paraId="2BF8F6B6">
      <w:pPr>
        <w:pStyle w:val="26"/>
        <w:snapToGrid w:val="0"/>
        <w:spacing w:line="360" w:lineRule="auto"/>
        <w:ind w:firstLine="2106" w:firstLineChars="736"/>
        <w:rPr>
          <w:rFonts w:hint="eastAsia" w:hAnsi="宋体" w:eastAsia="宋体" w:cs="宋体"/>
          <w:b/>
          <w:bCs/>
          <w:color w:val="auto"/>
          <w:w w:val="95"/>
          <w:sz w:val="30"/>
          <w:szCs w:val="30"/>
          <w:highlight w:val="none"/>
          <w:lang w:eastAsia="zh-CN"/>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lang w:eastAsia="zh-CN"/>
        </w:rPr>
        <w:t>广西医科大学第一附属医院</w:t>
      </w:r>
    </w:p>
    <w:p w14:paraId="7BBB8CA0">
      <w:pPr>
        <w:pStyle w:val="26"/>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0315BF45">
      <w:pPr>
        <w:pStyle w:val="26"/>
        <w:snapToGrid w:val="0"/>
        <w:spacing w:line="360" w:lineRule="auto"/>
        <w:ind w:firstLine="1125" w:firstLineChars="393"/>
        <w:rPr>
          <w:rFonts w:hint="eastAsia" w:hAnsi="宋体"/>
          <w:b/>
          <w:bCs/>
          <w:color w:val="auto"/>
          <w:w w:val="95"/>
          <w:sz w:val="30"/>
          <w:szCs w:val="30"/>
          <w:highlight w:val="none"/>
        </w:rPr>
      </w:pPr>
    </w:p>
    <w:p w14:paraId="16630DF4">
      <w:pPr>
        <w:pStyle w:val="26"/>
        <w:snapToGrid w:val="0"/>
        <w:spacing w:line="360" w:lineRule="auto"/>
        <w:jc w:val="center"/>
        <w:rPr>
          <w:rFonts w:hint="eastAsia" w:hAnsi="宋体" w:eastAsia="宋体"/>
          <w:color w:val="auto"/>
          <w:szCs w:val="20"/>
          <w:highlight w:val="none"/>
          <w:lang w:eastAsia="zh-CN"/>
        </w:rPr>
      </w:pPr>
      <w:r>
        <w:rPr>
          <w:rFonts w:hint="eastAsia" w:hAnsi="宋体"/>
          <w:b/>
          <w:bCs/>
          <w:color w:val="auto"/>
          <w:w w:val="95"/>
          <w:sz w:val="30"/>
          <w:szCs w:val="30"/>
          <w:highlight w:val="none"/>
          <w:lang w:eastAsia="zh-CN"/>
        </w:rPr>
        <w:t>2026年</w:t>
      </w:r>
      <w:r>
        <w:rPr>
          <w:rFonts w:hint="eastAsia" w:hAnsi="宋体"/>
          <w:b/>
          <w:bCs/>
          <w:color w:val="auto"/>
          <w:w w:val="95"/>
          <w:sz w:val="30"/>
          <w:szCs w:val="30"/>
          <w:highlight w:val="none"/>
          <w:lang w:val="en-US" w:eastAsia="zh-CN"/>
        </w:rPr>
        <w:t>7</w:t>
      </w:r>
      <w:r>
        <w:rPr>
          <w:rFonts w:hint="eastAsia" w:hAnsi="宋体"/>
          <w:b/>
          <w:bCs/>
          <w:color w:val="auto"/>
          <w:w w:val="95"/>
          <w:sz w:val="30"/>
          <w:szCs w:val="30"/>
          <w:highlight w:val="none"/>
          <w:lang w:eastAsia="zh-CN"/>
        </w:rPr>
        <w:t>月</w:t>
      </w:r>
      <w:r>
        <w:rPr>
          <w:rFonts w:hint="eastAsia" w:hAnsi="宋体"/>
          <w:b/>
          <w:bCs/>
          <w:color w:val="auto"/>
          <w:w w:val="95"/>
          <w:sz w:val="30"/>
          <w:szCs w:val="30"/>
          <w:highlight w:val="none"/>
          <w:lang w:val="en-US" w:eastAsia="zh-CN"/>
        </w:rPr>
        <w:t>1</w:t>
      </w:r>
      <w:r>
        <w:rPr>
          <w:rFonts w:hint="eastAsia" w:hAnsi="宋体"/>
          <w:b/>
          <w:bCs/>
          <w:color w:val="auto"/>
          <w:w w:val="95"/>
          <w:sz w:val="30"/>
          <w:szCs w:val="30"/>
          <w:highlight w:val="none"/>
          <w:lang w:eastAsia="zh-CN"/>
        </w:rPr>
        <w:t>日</w:t>
      </w:r>
    </w:p>
    <w:p w14:paraId="1A3C8490">
      <w:pPr>
        <w:pStyle w:val="26"/>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7EDA614C">
      <w:pPr>
        <w:pStyle w:val="5"/>
        <w:rPr>
          <w:rFonts w:hint="eastAsia"/>
          <w:color w:val="auto"/>
          <w:highlight w:val="none"/>
        </w:rPr>
      </w:pPr>
    </w:p>
    <w:p w14:paraId="47C40609">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4A96AC0">
      <w:pPr>
        <w:pStyle w:val="34"/>
        <w:tabs>
          <w:tab w:val="right" w:leader="dot" w:pos="9638"/>
          <w:tab w:val="clear" w:pos="8398"/>
        </w:tabs>
        <w:ind w:firstLine="280"/>
        <w:rPr>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_Toc25674 </w:instrText>
      </w:r>
      <w:r>
        <w:rPr>
          <w:rFonts w:ascii="仿宋_GB2312" w:eastAsia="仿宋_GB2312"/>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仿宋_GB2312" w:eastAsia="仿宋_GB2312"/>
          <w:color w:val="auto"/>
          <w:sz w:val="28"/>
          <w:szCs w:val="28"/>
          <w:highlight w:val="none"/>
        </w:rPr>
        <w:fldChar w:fldCharType="end"/>
      </w:r>
    </w:p>
    <w:p w14:paraId="60519645">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_Toc22512 </w:instrText>
      </w:r>
      <w:r>
        <w:rPr>
          <w:rFonts w:ascii="仿宋_GB2312" w:eastAsia="仿宋_GB2312"/>
          <w:color w:val="auto"/>
          <w:sz w:val="28"/>
          <w:szCs w:val="28"/>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仿宋_GB2312" w:eastAsia="仿宋_GB2312"/>
          <w:color w:val="auto"/>
          <w:sz w:val="28"/>
          <w:szCs w:val="28"/>
          <w:highlight w:val="none"/>
        </w:rPr>
        <w:fldChar w:fldCharType="end"/>
      </w:r>
    </w:p>
    <w:p w14:paraId="18B5FAA1">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_Toc10714 </w:instrText>
      </w:r>
      <w:r>
        <w:rPr>
          <w:rFonts w:ascii="仿宋_GB2312" w:eastAsia="仿宋_GB2312"/>
          <w:color w:val="auto"/>
          <w:sz w:val="28"/>
          <w:szCs w:val="28"/>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ascii="仿宋_GB2312" w:eastAsia="仿宋_GB2312"/>
          <w:color w:val="auto"/>
          <w:sz w:val="28"/>
          <w:szCs w:val="28"/>
          <w:highlight w:val="none"/>
        </w:rPr>
        <w:fldChar w:fldCharType="end"/>
      </w:r>
    </w:p>
    <w:p w14:paraId="0E9100DE">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_Toc22041 </w:instrText>
      </w:r>
      <w:r>
        <w:rPr>
          <w:rFonts w:ascii="仿宋_GB2312" w:eastAsia="仿宋_GB2312"/>
          <w:color w:val="auto"/>
          <w:sz w:val="28"/>
          <w:szCs w:val="28"/>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rFonts w:ascii="仿宋_GB2312" w:eastAsia="仿宋_GB2312"/>
          <w:color w:val="auto"/>
          <w:sz w:val="28"/>
          <w:szCs w:val="28"/>
          <w:highlight w:val="none"/>
        </w:rPr>
        <w:fldChar w:fldCharType="end"/>
      </w:r>
    </w:p>
    <w:p w14:paraId="50B02B35">
      <w:pPr>
        <w:pStyle w:val="34"/>
        <w:tabs>
          <w:tab w:val="right" w:leader="dot" w:pos="9638"/>
          <w:tab w:val="clear" w:pos="8398"/>
        </w:tabs>
        <w:ind w:firstLine="280"/>
        <w:rPr>
          <w:color w:val="auto"/>
          <w:sz w:val="28"/>
          <w:szCs w:val="28"/>
          <w:highlight w:val="none"/>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_Toc12053 </w:instrText>
      </w:r>
      <w:r>
        <w:rPr>
          <w:rFonts w:ascii="仿宋_GB2312" w:eastAsia="仿宋_GB2312"/>
          <w:color w:val="auto"/>
          <w:sz w:val="28"/>
          <w:szCs w:val="28"/>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rFonts w:ascii="仿宋_GB2312" w:eastAsia="仿宋_GB2312"/>
          <w:color w:val="auto"/>
          <w:sz w:val="28"/>
          <w:szCs w:val="28"/>
          <w:highlight w:val="none"/>
        </w:rPr>
        <w:fldChar w:fldCharType="end"/>
      </w:r>
    </w:p>
    <w:p w14:paraId="414183BE">
      <w:pPr>
        <w:pStyle w:val="34"/>
        <w:tabs>
          <w:tab w:val="right" w:leader="dot" w:pos="9638"/>
          <w:tab w:val="clear" w:pos="8398"/>
        </w:tabs>
        <w:ind w:firstLine="280"/>
        <w:rPr>
          <w:rFonts w:hint="default" w:eastAsia="仿宋_GB2312"/>
          <w:color w:val="auto"/>
          <w:sz w:val="28"/>
          <w:szCs w:val="28"/>
          <w:highlight w:val="none"/>
          <w:lang w:val="en-US" w:eastAsia="zh-CN"/>
        </w:rPr>
      </w:pPr>
      <w:r>
        <w:rPr>
          <w:rFonts w:ascii="仿宋_GB2312" w:eastAsia="仿宋_GB2312"/>
          <w:color w:val="auto"/>
          <w:sz w:val="28"/>
          <w:szCs w:val="28"/>
          <w:highlight w:val="none"/>
        </w:rPr>
        <w:fldChar w:fldCharType="begin"/>
      </w:r>
      <w:r>
        <w:rPr>
          <w:rFonts w:ascii="仿宋_GB2312" w:eastAsia="仿宋_GB2312"/>
          <w:color w:val="auto"/>
          <w:sz w:val="28"/>
          <w:szCs w:val="28"/>
          <w:highlight w:val="none"/>
        </w:rPr>
        <w:instrText xml:space="preserve"> HYPERLINK \l _Toc31786 </w:instrText>
      </w:r>
      <w:r>
        <w:rPr>
          <w:rFonts w:ascii="仿宋_GB2312" w:eastAsia="仿宋_GB2312"/>
          <w:color w:val="auto"/>
          <w:sz w:val="28"/>
          <w:szCs w:val="28"/>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rFonts w:ascii="仿宋_GB2312" w:eastAsia="仿宋_GB2312"/>
          <w:color w:val="auto"/>
          <w:sz w:val="28"/>
          <w:szCs w:val="28"/>
          <w:highlight w:val="none"/>
        </w:rPr>
        <w:fldChar w:fldCharType="end"/>
      </w:r>
      <w:r>
        <w:rPr>
          <w:rFonts w:hint="eastAsia" w:ascii="仿宋_GB2312" w:eastAsia="仿宋_GB2312"/>
          <w:color w:val="auto"/>
          <w:sz w:val="28"/>
          <w:szCs w:val="28"/>
          <w:highlight w:val="none"/>
          <w:lang w:val="en-US" w:eastAsia="zh-CN"/>
        </w:rPr>
        <w:t>81</w:t>
      </w:r>
    </w:p>
    <w:p w14:paraId="41DBD5D1">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1995770B">
      <w:pPr>
        <w:spacing w:before="120" w:beforeLines="50" w:line="480" w:lineRule="exact"/>
        <w:rPr>
          <w:rFonts w:hint="eastAsia" w:ascii="仿宋_GB2312" w:hAnsi="宋体" w:eastAsia="仿宋_GB2312"/>
          <w:color w:val="auto"/>
          <w:sz w:val="30"/>
          <w:highlight w:val="none"/>
        </w:rPr>
      </w:pPr>
    </w:p>
    <w:p w14:paraId="5718BF18">
      <w:pPr>
        <w:rPr>
          <w:rFonts w:hint="eastAsia"/>
          <w:color w:val="auto"/>
          <w:highlight w:val="none"/>
        </w:rPr>
      </w:pPr>
    </w:p>
    <w:p w14:paraId="4CA9CEA4">
      <w:pPr>
        <w:spacing w:before="120" w:beforeLines="50" w:line="480" w:lineRule="exact"/>
        <w:rPr>
          <w:rFonts w:hint="eastAsia" w:ascii="仿宋_GB2312" w:hAnsi="宋体" w:eastAsia="仿宋_GB2312"/>
          <w:color w:val="auto"/>
          <w:sz w:val="30"/>
          <w:highlight w:val="none"/>
        </w:rPr>
      </w:pPr>
    </w:p>
    <w:p w14:paraId="6E30DB3A">
      <w:pPr>
        <w:spacing w:before="120" w:beforeLines="50" w:line="480" w:lineRule="exact"/>
        <w:rPr>
          <w:rFonts w:hint="eastAsia" w:ascii="仿宋_GB2312" w:hAnsi="宋体" w:eastAsia="仿宋_GB2312"/>
          <w:color w:val="auto"/>
          <w:sz w:val="30"/>
          <w:highlight w:val="none"/>
        </w:rPr>
      </w:pPr>
    </w:p>
    <w:p w14:paraId="647EFB85">
      <w:pPr>
        <w:pStyle w:val="18"/>
        <w:rPr>
          <w:rFonts w:hint="eastAsia" w:ascii="宋体" w:hAnsi="宋体" w:cs="宋体"/>
          <w:b/>
          <w:bCs/>
          <w:color w:val="auto"/>
          <w:highlight w:val="none"/>
        </w:rPr>
      </w:pPr>
      <w:bookmarkStart w:id="0" w:name="_Toc254970630"/>
      <w:bookmarkStart w:id="1" w:name="_Toc254970489"/>
    </w:p>
    <w:p w14:paraId="0A54BCD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1397446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25674"/>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6A7A7620">
      <w:pPr>
        <w:rPr>
          <w:rFonts w:hint="eastAsia"/>
          <w:color w:val="auto"/>
          <w:highlight w:val="none"/>
        </w:rPr>
      </w:pPr>
    </w:p>
    <w:p w14:paraId="34EB4700">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63ADAF8F">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lang w:eastAsia="zh-CN"/>
        </w:rPr>
        <w:t>医院HIS系统维保服务</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GXZC2026-G3-002051-KWZB</w:t>
      </w:r>
      <w:r>
        <w:rPr>
          <w:rFonts w:hint="eastAsia" w:ascii="宋体" w:hAnsi="Courier New"/>
          <w:bCs w:val="0"/>
          <w:color w:val="auto"/>
          <w:kern w:val="2"/>
          <w:sz w:val="36"/>
          <w:szCs w:val="36"/>
          <w:highlight w:val="none"/>
        </w:rPr>
        <w:t>）招标公告</w:t>
      </w:r>
      <w:bookmarkEnd w:id="5"/>
    </w:p>
    <w:p w14:paraId="53AD5889">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auto"/>
          <w:kern w:val="2"/>
          <w:sz w:val="36"/>
          <w:szCs w:val="36"/>
          <w:highlight w:val="none"/>
        </w:rPr>
      </w:pPr>
    </w:p>
    <w:p w14:paraId="2A9DEF87">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DAE5053">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医院HIS系统维保服务</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lang w:eastAsia="zh-CN"/>
        </w:rPr>
        <w:t>2026年 7月2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日9时30分</w:t>
      </w:r>
      <w:r>
        <w:rPr>
          <w:rFonts w:hint="eastAsia" w:ascii="宋体" w:hAnsi="宋体"/>
          <w:color w:val="auto"/>
          <w:szCs w:val="21"/>
          <w:highlight w:val="none"/>
        </w:rPr>
        <w:t>（北京时间）前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4F56461D">
      <w:pPr>
        <w:spacing w:line="360" w:lineRule="auto"/>
        <w:rPr>
          <w:rFonts w:ascii="宋体" w:hAnsi="宋体"/>
          <w:color w:val="auto"/>
          <w:szCs w:val="21"/>
          <w:highlight w:val="none"/>
        </w:rPr>
      </w:pPr>
    </w:p>
    <w:p w14:paraId="785377F9">
      <w:pPr>
        <w:spacing w:line="440" w:lineRule="exact"/>
        <w:rPr>
          <w:rFonts w:ascii="黑体" w:hAnsi="黑体" w:eastAsia="黑体"/>
          <w:b/>
          <w:bCs/>
          <w:color w:val="auto"/>
          <w:sz w:val="24"/>
          <w:highlight w:val="none"/>
        </w:rPr>
      </w:pPr>
      <w:bookmarkStart w:id="6" w:name="_Toc35393790"/>
      <w:bookmarkStart w:id="7" w:name="_Toc28359079"/>
      <w:bookmarkStart w:id="8" w:name="_Toc28359002"/>
      <w:bookmarkStart w:id="9" w:name="_Toc35393621"/>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15298B0">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GXZC2026-G3-002051-KWZB</w:t>
      </w:r>
    </w:p>
    <w:p w14:paraId="275B91E2">
      <w:pPr>
        <w:spacing w:line="4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医院HIS系统维保服务</w:t>
      </w:r>
    </w:p>
    <w:bookmarkEnd w:id="10"/>
    <w:p w14:paraId="5105C0DE">
      <w:pPr>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500万元</w:t>
      </w:r>
    </w:p>
    <w:p w14:paraId="00A65E7E">
      <w:pPr>
        <w:spacing w:line="440" w:lineRule="exact"/>
        <w:ind w:firstLine="420" w:firstLineChars="200"/>
        <w:rPr>
          <w:rFonts w:hint="default" w:ascii="宋体" w:hAnsi="宋体"/>
          <w:color w:val="auto"/>
          <w:szCs w:val="21"/>
          <w:highlight w:val="none"/>
          <w:lang w:val="en-US"/>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500万元</w:t>
      </w:r>
    </w:p>
    <w:p w14:paraId="6694FE85">
      <w:pPr>
        <w:pStyle w:val="26"/>
        <w:spacing w:line="440" w:lineRule="exact"/>
        <w:ind w:firstLine="420" w:firstLineChars="200"/>
        <w:rPr>
          <w:rFonts w:hAnsi="宋体"/>
          <w:b/>
          <w:bCs/>
          <w:color w:val="auto"/>
          <w:sz w:val="21"/>
          <w:szCs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35137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296D98D">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738F68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6494DF86">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4879C84B">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18F5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0FA99">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71D9F01">
            <w:pPr>
              <w:snapToGrid w:val="0"/>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医院HIS系统维保服务</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F606F8C">
            <w:pPr>
              <w:snapToGrid w:val="0"/>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002E8EC2">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建设内容</w:t>
            </w:r>
          </w:p>
          <w:p w14:paraId="6FD76577">
            <w:pPr>
              <w:snapToGri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本项目所</w:t>
            </w:r>
            <w:r>
              <w:rPr>
                <w:rFonts w:hint="eastAsia" w:ascii="宋体" w:hAnsi="宋体" w:eastAsia="宋体" w:cs="宋体"/>
                <w:color w:val="auto"/>
                <w:sz w:val="21"/>
                <w:szCs w:val="21"/>
                <w:highlight w:val="none"/>
                <w:lang w:val="en-US" w:eastAsia="zh-CN"/>
              </w:rPr>
              <w:t>建设的内容为</w:t>
            </w:r>
            <w:r>
              <w:rPr>
                <w:rFonts w:hint="eastAsia" w:ascii="宋体" w:hAnsi="宋体" w:cs="宋体"/>
                <w:color w:val="auto"/>
                <w:sz w:val="21"/>
                <w:szCs w:val="21"/>
                <w:highlight w:val="none"/>
                <w:lang w:eastAsia="zh-CN"/>
              </w:rPr>
              <w:t>医院HIS系统维保服务</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服务内容包含现有的东华iMedical HO下所有产品线的许可对采购人开放，采购人可以按实际需要选择具体上线的产品；采购人正在使用和实施的东华医为系统的维保服务；各类评级服务（电子病历六级、智慧服务四级、互联互通五乙、三甲医院绩效指标等评级产品和服务支持）；基于iMedical HO的所有新需求(包括但不限于报表、医保政策、国家省地市的政策等)和接口服务。</w:t>
            </w:r>
          </w:p>
          <w:p w14:paraId="721D2361">
            <w:pPr>
              <w:snapToGrid w:val="0"/>
              <w:spacing w:line="440" w:lineRule="exact"/>
              <w:jc w:val="left"/>
              <w:rPr>
                <w:rFonts w:ascii="宋体" w:hAnsi="宋体" w:cs="宋体"/>
                <w:color w:val="auto"/>
                <w:kern w:val="0"/>
                <w:szCs w:val="21"/>
                <w:highlight w:val="none"/>
                <w:lang w:bidi="ar"/>
              </w:rPr>
            </w:pPr>
            <w:r>
              <w:rPr>
                <w:rFonts w:hint="default" w:ascii="Arial" w:hAnsi="Arial" w:cs="Arial"/>
                <w:b/>
                <w:bCs w:val="0"/>
                <w:color w:val="auto"/>
                <w:szCs w:val="21"/>
                <w:highlight w:val="none"/>
              </w:rPr>
              <w:t>……</w:t>
            </w:r>
            <w:r>
              <w:rPr>
                <w:rFonts w:hint="eastAsia" w:ascii="宋体" w:hAnsi="宋体" w:cs="宋体"/>
                <w:b/>
                <w:bCs w:val="0"/>
                <w:color w:val="auto"/>
                <w:kern w:val="0"/>
                <w:szCs w:val="21"/>
                <w:highlight w:val="none"/>
                <w:lang w:bidi="ar"/>
              </w:rPr>
              <w:t>，具体详见第二章采购需求。</w:t>
            </w:r>
          </w:p>
        </w:tc>
      </w:tr>
    </w:tbl>
    <w:p w14:paraId="371AA320">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合同履行期限：自合同签订之日起两年。</w:t>
      </w:r>
    </w:p>
    <w:p w14:paraId="619370DF">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本项目不接受联合体投标。</w:t>
      </w:r>
    </w:p>
    <w:p w14:paraId="723A5289">
      <w:pPr>
        <w:spacing w:line="440" w:lineRule="exact"/>
        <w:rPr>
          <w:rFonts w:ascii="黑体" w:hAnsi="黑体" w:eastAsia="黑体"/>
          <w:b/>
          <w:bCs/>
          <w:color w:val="auto"/>
          <w:sz w:val="24"/>
          <w:highlight w:val="none"/>
        </w:rPr>
      </w:pPr>
      <w:bookmarkStart w:id="11" w:name="_Toc28359080"/>
      <w:bookmarkStart w:id="12" w:name="_Toc28359003"/>
      <w:bookmarkStart w:id="13" w:name="_Toc35393622"/>
      <w:bookmarkStart w:id="14" w:name="_Toc35393791"/>
      <w:r>
        <w:rPr>
          <w:rFonts w:hint="eastAsia" w:ascii="黑体" w:hAnsi="黑体" w:eastAsia="黑体"/>
          <w:b/>
          <w:bCs/>
          <w:color w:val="auto"/>
          <w:sz w:val="24"/>
          <w:highlight w:val="none"/>
        </w:rPr>
        <w:t>二、申请人的资格要求：</w:t>
      </w:r>
      <w:bookmarkEnd w:id="11"/>
      <w:bookmarkEnd w:id="12"/>
      <w:bookmarkEnd w:id="13"/>
      <w:bookmarkEnd w:id="14"/>
    </w:p>
    <w:p w14:paraId="4370E835">
      <w:pPr>
        <w:spacing w:line="440" w:lineRule="exact"/>
        <w:ind w:firstLine="420" w:firstLineChars="200"/>
        <w:rPr>
          <w:rFonts w:ascii="宋体" w:hAnsi="宋体"/>
          <w:color w:val="auto"/>
          <w:szCs w:val="21"/>
          <w:highlight w:val="none"/>
        </w:rPr>
      </w:pPr>
      <w:bookmarkStart w:id="15" w:name="_Toc35393792"/>
      <w:bookmarkStart w:id="16" w:name="_Toc35393623"/>
      <w:bookmarkStart w:id="17" w:name="_Toc28359004"/>
      <w:bookmarkStart w:id="18" w:name="_Toc28359081"/>
      <w:r>
        <w:rPr>
          <w:rFonts w:hint="eastAsia" w:ascii="宋体" w:hAnsi="宋体"/>
          <w:color w:val="auto"/>
          <w:szCs w:val="21"/>
          <w:highlight w:val="none"/>
        </w:rPr>
        <w:t>1、满足《中华人民共和国政府采购法》第二十二条规定；</w:t>
      </w:r>
    </w:p>
    <w:p w14:paraId="239F1B6D">
      <w:pPr>
        <w:spacing w:line="440" w:lineRule="exact"/>
        <w:ind w:firstLine="420" w:firstLineChars="200"/>
        <w:rPr>
          <w:rFonts w:hint="eastAsia" w:ascii="宋体" w:hAnsi="宋体" w:eastAsia="宋体"/>
          <w:color w:val="auto"/>
          <w:szCs w:val="21"/>
          <w:highlight w:val="none"/>
          <w:u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color w:val="auto"/>
          <w:szCs w:val="21"/>
          <w:highlight w:val="none"/>
          <w:u w:val="none"/>
        </w:rPr>
        <w:t>要求：无</w:t>
      </w:r>
      <w:r>
        <w:rPr>
          <w:rFonts w:hint="eastAsia" w:ascii="宋体" w:hAnsi="宋体"/>
          <w:color w:val="auto"/>
          <w:szCs w:val="21"/>
          <w:highlight w:val="none"/>
          <w:u w:val="none"/>
          <w:lang w:eastAsia="zh-CN"/>
        </w:rPr>
        <w:t>，非专门面向中小企业采购的项目；</w:t>
      </w:r>
    </w:p>
    <w:p w14:paraId="75564DE6">
      <w:pPr>
        <w:spacing w:line="44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3、本项目的特定资格要求：</w:t>
      </w:r>
      <w:r>
        <w:rPr>
          <w:rFonts w:hint="eastAsia" w:ascii="宋体" w:hAnsi="宋体"/>
          <w:color w:val="auto"/>
          <w:szCs w:val="21"/>
          <w:highlight w:val="none"/>
          <w:u w:val="none"/>
          <w:lang w:val="en-US" w:eastAsia="zh-CN"/>
        </w:rPr>
        <w:t>无</w:t>
      </w:r>
      <w:r>
        <w:rPr>
          <w:rFonts w:hint="eastAsia" w:ascii="宋体" w:hAnsi="宋体"/>
          <w:color w:val="auto"/>
          <w:szCs w:val="21"/>
          <w:highlight w:val="none"/>
          <w:u w:val="none"/>
        </w:rPr>
        <w:t>。</w:t>
      </w:r>
    </w:p>
    <w:p w14:paraId="72182438">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4F058AD8">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7</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1</w:t>
      </w:r>
      <w:r>
        <w:rPr>
          <w:rFonts w:hint="eastAsia" w:ascii="宋体" w:hAnsi="宋体" w:cs="Arial"/>
          <w:color w:val="auto"/>
          <w:szCs w:val="21"/>
          <w:highlight w:val="none"/>
          <w:lang w:eastAsia="zh-CN"/>
        </w:rPr>
        <w:t>日</w:t>
      </w:r>
      <w:r>
        <w:rPr>
          <w:rFonts w:hint="eastAsia" w:ascii="宋体" w:hAnsi="宋体" w:cs="Arial"/>
          <w:color w:val="auto"/>
          <w:szCs w:val="21"/>
          <w:highlight w:val="none"/>
        </w:rPr>
        <w:t>至</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7</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8</w:t>
      </w:r>
      <w:r>
        <w:rPr>
          <w:rFonts w:hint="eastAsia" w:ascii="宋体" w:hAnsi="宋体" w:cs="Arial"/>
          <w:color w:val="auto"/>
          <w:szCs w:val="21"/>
          <w:highlight w:val="none"/>
          <w:lang w:eastAsia="zh-CN"/>
        </w:rPr>
        <w:t>日</w:t>
      </w:r>
      <w:r>
        <w:rPr>
          <w:rFonts w:hint="eastAsia" w:ascii="宋体" w:hAnsi="宋体" w:cs="Arial"/>
          <w:color w:val="auto"/>
          <w:szCs w:val="21"/>
          <w:highlight w:val="none"/>
        </w:rPr>
        <w:t>，每天上午00:00-12:00；下午12:00-23:59（北京时间，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0030494E">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5403D405">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HYPERLINK "" </w:instrText>
      </w:r>
      <w:r>
        <w:rPr>
          <w:rFonts w:hint="eastAsia" w:ascii="宋体" w:hAnsi="宋体" w:cs="Arial"/>
          <w:color w:val="auto"/>
          <w:szCs w:val="21"/>
          <w:highlight w:val="none"/>
        </w:rPr>
        <w:fldChar w:fldCharType="separate"/>
      </w:r>
      <w:r>
        <w:rPr>
          <w:rFonts w:hint="eastAsia" w:ascii="宋体" w:hAnsi="宋体" w:cs="Arial"/>
          <w:color w:val="auto"/>
          <w:szCs w:val="21"/>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6C5B959">
      <w:pPr>
        <w:spacing w:line="44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售价：0元。</w:t>
      </w:r>
    </w:p>
    <w:p w14:paraId="0B46EFBE">
      <w:pPr>
        <w:spacing w:line="440" w:lineRule="exact"/>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7CFEE328">
      <w:pPr>
        <w:spacing w:line="440" w:lineRule="exact"/>
        <w:ind w:firstLine="420" w:firstLineChars="200"/>
        <w:rPr>
          <w:rFonts w:ascii="宋体" w:hAnsi="宋体" w:cs="Arial"/>
          <w:color w:val="auto"/>
          <w:szCs w:val="21"/>
          <w:highlight w:val="none"/>
        </w:rPr>
      </w:pPr>
      <w:bookmarkStart w:id="23" w:name="_Toc28359007"/>
      <w:bookmarkStart w:id="24" w:name="_Toc35393794"/>
      <w:bookmarkStart w:id="25" w:name="_Toc35393625"/>
      <w:bookmarkStart w:id="26" w:name="_Toc28359084"/>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lang w:eastAsia="zh-CN"/>
        </w:rPr>
        <w:t>2026年 7月2</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日9时30分</w:t>
      </w:r>
      <w:r>
        <w:rPr>
          <w:rFonts w:hint="eastAsia" w:ascii="宋体" w:hAnsi="宋体" w:cs="Arial"/>
          <w:color w:val="auto"/>
          <w:szCs w:val="21"/>
          <w:highlight w:val="none"/>
        </w:rPr>
        <w:t>（北京时间）</w:t>
      </w:r>
    </w:p>
    <w:p w14:paraId="737C7157">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4A8F12ED">
      <w:pPr>
        <w:spacing w:line="4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39DAACA5">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13DA5DB">
      <w:pPr>
        <w:spacing w:line="440" w:lineRule="exact"/>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23956654">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2万元</w:t>
      </w:r>
      <w:r>
        <w:rPr>
          <w:rFonts w:hint="eastAsia" w:ascii="宋体" w:hAnsi="宋体" w:cs="宋体"/>
          <w:color w:val="auto"/>
          <w:kern w:val="0"/>
          <w:szCs w:val="21"/>
          <w:highlight w:val="none"/>
        </w:rPr>
        <w:t>。</w:t>
      </w:r>
    </w:p>
    <w:p w14:paraId="6F568618">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4BA5AE50">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106FED2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659BEC1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7FD225DA">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B8DF3A2">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9DA7D1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DE97148">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BF0FAB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83ACF0E">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624F75C7">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051775E0">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6DDB5DBB">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00E79156">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47B34EBA">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927EEFF">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31BFC88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7D8FB2ED">
      <w:pPr>
        <w:spacing w:line="440" w:lineRule="exact"/>
        <w:rPr>
          <w:rFonts w:ascii="黑体" w:hAnsi="黑体" w:eastAsia="黑体"/>
          <w:b/>
          <w:bCs/>
          <w:color w:val="auto"/>
          <w:sz w:val="24"/>
          <w:highlight w:val="none"/>
        </w:rPr>
      </w:pPr>
      <w:bookmarkStart w:id="30" w:name="_Toc28359085"/>
      <w:bookmarkStart w:id="31" w:name="_Toc35393627"/>
      <w:bookmarkStart w:id="32" w:name="_Toc35393796"/>
      <w:bookmarkStart w:id="33" w:name="_Toc28359008"/>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78F46DDE">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837BDAD">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highlight w:val="none"/>
          <w:lang w:eastAsia="zh-CN"/>
        </w:rPr>
        <w:t>广西医科大学第一附属医院</w:t>
      </w:r>
    </w:p>
    <w:p w14:paraId="030D6D36">
      <w:pPr>
        <w:spacing w:line="4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s="Arial"/>
          <w:color w:val="auto"/>
          <w:szCs w:val="21"/>
          <w:highlight w:val="none"/>
          <w:lang w:eastAsia="zh-CN"/>
        </w:rPr>
        <w:t>广西南宁市双拥路6号</w:t>
      </w:r>
    </w:p>
    <w:p w14:paraId="031A9B72">
      <w:pPr>
        <w:spacing w:line="440" w:lineRule="exact"/>
        <w:ind w:firstLine="567" w:firstLineChars="27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bookmarkStart w:id="34" w:name="_Toc28359086"/>
      <w:bookmarkStart w:id="35" w:name="_Toc28359009"/>
      <w:r>
        <w:rPr>
          <w:rFonts w:hint="eastAsia" w:ascii="宋体" w:hAnsi="宋体" w:cs="Arial"/>
          <w:color w:val="auto"/>
          <w:szCs w:val="21"/>
          <w:highlight w:val="none"/>
          <w:lang w:eastAsia="zh-CN"/>
        </w:rPr>
        <w:t>刘韩越</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lang w:eastAsia="zh-CN"/>
        </w:rPr>
        <w:t>0771-5634385</w:t>
      </w:r>
    </w:p>
    <w:p w14:paraId="21892D47">
      <w:pPr>
        <w:spacing w:line="4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0D976ABB">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403550F8">
      <w:pPr>
        <w:spacing w:line="440" w:lineRule="exact"/>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450CEE46">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87"/>
      <w:bookmarkStart w:id="37" w:name="_Toc28359010"/>
      <w:r>
        <w:rPr>
          <w:rFonts w:hint="eastAsia" w:ascii="宋体" w:hAnsi="宋体"/>
          <w:color w:val="auto"/>
          <w:szCs w:val="21"/>
          <w:highlight w:val="none"/>
        </w:rPr>
        <w:t>蒙颖、郑辉海</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0771-2023875</w:t>
      </w:r>
    </w:p>
    <w:p w14:paraId="52CC1423">
      <w:pPr>
        <w:spacing w:line="440" w:lineRule="exact"/>
        <w:ind w:firstLine="567" w:firstLineChars="270"/>
        <w:rPr>
          <w:rFonts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7EC630FA">
      <w:pPr>
        <w:pStyle w:val="26"/>
        <w:spacing w:line="440" w:lineRule="exact"/>
        <w:ind w:firstLine="567" w:firstLineChars="270"/>
        <w:rPr>
          <w:rFonts w:hAnsi="宋体" w:cs="Arial"/>
          <w:color w:val="auto"/>
          <w:kern w:val="2"/>
          <w:sz w:val="21"/>
          <w:highlight w:val="none"/>
        </w:rPr>
      </w:pPr>
      <w:r>
        <w:rPr>
          <w:rFonts w:hint="eastAsia" w:hAnsi="宋体" w:cs="Arial"/>
          <w:color w:val="auto"/>
          <w:kern w:val="2"/>
          <w:sz w:val="21"/>
          <w:highlight w:val="none"/>
        </w:rPr>
        <w:t>项目联系人：蒙颖、郑辉海</w:t>
      </w:r>
      <w:r>
        <w:rPr>
          <w:rFonts w:hAnsi="宋体" w:cs="Arial"/>
          <w:color w:val="auto"/>
          <w:kern w:val="2"/>
          <w:sz w:val="21"/>
          <w:highlight w:val="none"/>
        </w:rPr>
        <w:t xml:space="preserve"> </w:t>
      </w:r>
    </w:p>
    <w:p w14:paraId="51438605">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话：0771-2023875</w:t>
      </w:r>
    </w:p>
    <w:p w14:paraId="124841E4">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2FCF7061">
      <w:pPr>
        <w:snapToGrid w:val="0"/>
        <w:spacing w:line="440" w:lineRule="exact"/>
        <w:ind w:left="238"/>
        <w:rPr>
          <w:rFonts w:hint="eastAsia" w:ascii="宋体" w:hAnsi="宋体" w:eastAsia="宋体" w:cs="Arial"/>
          <w:color w:val="auto"/>
          <w:highlight w:val="none"/>
          <w:lang w:eastAsia="zh-CN"/>
        </w:rPr>
      </w:pPr>
      <w:r>
        <w:rPr>
          <w:rFonts w:hint="eastAsia"/>
          <w:color w:val="auto"/>
          <w:highlight w:val="none"/>
        </w:rPr>
        <w:t xml:space="preserve">                                                           </w:t>
      </w:r>
      <w:r>
        <w:rPr>
          <w:rFonts w:hint="eastAsia" w:ascii="宋体" w:hAnsi="宋体" w:cs="Arial"/>
          <w:color w:val="auto"/>
          <w:szCs w:val="21"/>
          <w:highlight w:val="none"/>
        </w:rPr>
        <w:t xml:space="preserve">   </w:t>
      </w:r>
      <w:r>
        <w:rPr>
          <w:rFonts w:hint="eastAsia" w:ascii="宋体" w:hAnsi="宋体" w:cs="Arial"/>
          <w:color w:val="auto"/>
          <w:szCs w:val="21"/>
          <w:highlight w:val="none"/>
          <w:lang w:eastAsia="zh-CN"/>
        </w:rPr>
        <w:t>2026年</w:t>
      </w:r>
      <w:r>
        <w:rPr>
          <w:rFonts w:hint="eastAsia" w:ascii="宋体" w:hAnsi="宋体" w:cs="Arial"/>
          <w:color w:val="auto"/>
          <w:szCs w:val="21"/>
          <w:highlight w:val="none"/>
          <w:lang w:val="en-US" w:eastAsia="zh-CN"/>
        </w:rPr>
        <w:t>7</w:t>
      </w:r>
      <w:r>
        <w:rPr>
          <w:rFonts w:hint="eastAsia" w:ascii="宋体" w:hAnsi="宋体" w:cs="Arial"/>
          <w:color w:val="auto"/>
          <w:szCs w:val="21"/>
          <w:highlight w:val="none"/>
          <w:lang w:eastAsia="zh-CN"/>
        </w:rPr>
        <w:t>月</w:t>
      </w:r>
      <w:r>
        <w:rPr>
          <w:rFonts w:hint="eastAsia" w:ascii="宋体" w:hAnsi="宋体" w:cs="Arial"/>
          <w:color w:val="auto"/>
          <w:szCs w:val="21"/>
          <w:highlight w:val="none"/>
          <w:lang w:val="en-US" w:eastAsia="zh-CN"/>
        </w:rPr>
        <w:t>1</w:t>
      </w:r>
      <w:r>
        <w:rPr>
          <w:rFonts w:hint="eastAsia" w:ascii="宋体" w:hAnsi="宋体" w:cs="Arial"/>
          <w:color w:val="auto"/>
          <w:szCs w:val="21"/>
          <w:highlight w:val="none"/>
          <w:lang w:eastAsia="zh-CN"/>
        </w:rPr>
        <w:t>日</w:t>
      </w:r>
    </w:p>
    <w:p w14:paraId="1F4816FE">
      <w:pPr>
        <w:pStyle w:val="2"/>
        <w:spacing w:line="600" w:lineRule="exact"/>
        <w:jc w:val="center"/>
        <w:rPr>
          <w:rFonts w:hint="eastAsia"/>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5434B151">
      <w:pPr>
        <w:spacing w:line="360" w:lineRule="auto"/>
        <w:jc w:val="left"/>
        <w:rPr>
          <w:rFonts w:ascii="宋体" w:hAnsi="宋体" w:cs="宋体"/>
          <w:b/>
          <w:color w:val="auto"/>
          <w:szCs w:val="21"/>
          <w:highlight w:val="none"/>
        </w:rPr>
      </w:pPr>
      <w:bookmarkStart w:id="39" w:name="_Toc254970631"/>
      <w:bookmarkStart w:id="40" w:name="_Toc254970490"/>
      <w:r>
        <w:rPr>
          <w:rFonts w:hint="eastAsia" w:ascii="宋体" w:hAnsi="宋体" w:cs="宋体"/>
          <w:b/>
          <w:color w:val="auto"/>
          <w:szCs w:val="21"/>
          <w:highlight w:val="none"/>
        </w:rPr>
        <w:t>说明：</w:t>
      </w:r>
    </w:p>
    <w:p w14:paraId="7E30774C">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02A95597">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15D81993">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3、如投标人投标产品存在侵犯他人的知识产权或者专利成果行为的，由投标人自行承担相应法律责任。</w:t>
      </w:r>
    </w:p>
    <w:p w14:paraId="422F67FD">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4、“实质性要求”是指招标文件中标注“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p w14:paraId="3C9F9964">
      <w:pPr>
        <w:spacing w:line="360" w:lineRule="auto"/>
        <w:ind w:firstLine="0" w:firstLineChars="0"/>
        <w:jc w:val="left"/>
        <w:rPr>
          <w:rFonts w:hint="eastAsia" w:ascii="宋体" w:hAnsi="宋体" w:cs="Arial"/>
          <w:bCs/>
          <w:color w:val="auto"/>
          <w:szCs w:val="21"/>
          <w:highlight w:val="none"/>
          <w:u w:val="single"/>
        </w:rPr>
      </w:pPr>
    </w:p>
    <w:bookmarkEnd w:id="39"/>
    <w:bookmarkEnd w:id="40"/>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3DB4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6BFA8FFB">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7" w:type="dxa"/>
            <w:noWrap w:val="0"/>
            <w:vAlign w:val="center"/>
          </w:tcPr>
          <w:p w14:paraId="758F8483">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1" w:type="dxa"/>
            <w:noWrap w:val="0"/>
            <w:vAlign w:val="top"/>
          </w:tcPr>
          <w:p w14:paraId="669BD2A6">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w:t>
            </w:r>
          </w:p>
          <w:p w14:paraId="5859C387">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91" w:type="dxa"/>
            <w:noWrap w:val="0"/>
            <w:vAlign w:val="top"/>
          </w:tcPr>
          <w:p w14:paraId="1C832CF0">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60" w:type="dxa"/>
            <w:noWrap w:val="0"/>
            <w:vAlign w:val="center"/>
          </w:tcPr>
          <w:p w14:paraId="644BC3BF">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技术及服务要求</w:t>
            </w:r>
          </w:p>
        </w:tc>
      </w:tr>
      <w:tr w14:paraId="68EE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1398DD37">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7" w:type="dxa"/>
            <w:noWrap w:val="0"/>
            <w:vAlign w:val="center"/>
          </w:tcPr>
          <w:p w14:paraId="261C3925">
            <w:pPr>
              <w:pageBreakBefore w:val="0"/>
              <w:tabs>
                <w:tab w:val="left" w:pos="180"/>
                <w:tab w:val="left" w:pos="1620"/>
              </w:tabs>
              <w:kinsoku/>
              <w:wordWrap/>
              <w:topLinePunct w:val="0"/>
              <w:autoSpaceDE/>
              <w:autoSpaceDN/>
              <w:bidi w:val="0"/>
              <w:adjustRightInd/>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医院HIS系统维保服务</w:t>
            </w:r>
          </w:p>
        </w:tc>
        <w:tc>
          <w:tcPr>
            <w:tcW w:w="851" w:type="dxa"/>
            <w:noWrap w:val="0"/>
            <w:vAlign w:val="center"/>
          </w:tcPr>
          <w:p w14:paraId="248396F4">
            <w:pPr>
              <w:pStyle w:val="18"/>
              <w:pageBreakBefore w:val="0"/>
              <w:kinsoku/>
              <w:wordWrap/>
              <w:topLinePunct w:val="0"/>
              <w:autoSpaceDE/>
              <w:autoSpaceDN/>
              <w:bidi w:val="0"/>
              <w:adjustRightInd/>
              <w:spacing w:line="400" w:lineRule="exact"/>
              <w:ind w:left="3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p>
        </w:tc>
        <w:tc>
          <w:tcPr>
            <w:tcW w:w="691" w:type="dxa"/>
            <w:noWrap w:val="0"/>
            <w:vAlign w:val="center"/>
          </w:tcPr>
          <w:p w14:paraId="5BEAF7AB">
            <w:pPr>
              <w:pStyle w:val="18"/>
              <w:pageBreakBefore w:val="0"/>
              <w:kinsoku/>
              <w:wordWrap/>
              <w:topLinePunct w:val="0"/>
              <w:autoSpaceDE/>
              <w:autoSpaceDN/>
              <w:bidi w:val="0"/>
              <w:adjustRightInd/>
              <w:spacing w:line="400" w:lineRule="exact"/>
              <w:ind w:left="3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7060" w:type="dxa"/>
            <w:shd w:val="clear" w:color="auto" w:fill="auto"/>
            <w:noWrap w:val="0"/>
            <w:vAlign w:val="top"/>
          </w:tcPr>
          <w:p w14:paraId="73907C47">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建设内容</w:t>
            </w:r>
          </w:p>
          <w:p w14:paraId="6028BBBE">
            <w:pPr>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w:t>
            </w:r>
            <w:r>
              <w:rPr>
                <w:rFonts w:hint="eastAsia" w:ascii="宋体" w:hAnsi="宋体" w:eastAsia="宋体" w:cs="宋体"/>
                <w:color w:val="auto"/>
                <w:sz w:val="21"/>
                <w:szCs w:val="21"/>
                <w:highlight w:val="none"/>
                <w:lang w:val="en-US" w:eastAsia="zh-CN"/>
              </w:rPr>
              <w:t>建设的内容为</w:t>
            </w:r>
            <w:r>
              <w:rPr>
                <w:rFonts w:hint="eastAsia" w:ascii="宋体" w:hAnsi="宋体" w:cs="宋体"/>
                <w:color w:val="auto"/>
                <w:sz w:val="21"/>
                <w:szCs w:val="21"/>
                <w:highlight w:val="none"/>
                <w:lang w:eastAsia="zh-CN"/>
              </w:rPr>
              <w:t>医院HIS系统维保服务</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服务内容包含现有的东华iMedical HO下所有产品线的许可对采购人开放，采购人可以按实际需要选择具体上线的产品；采购人正在使用和实施的东华医为系统的维保服务；各类评级服务（电子病历六级、智慧服务四级、互联互通五乙、三甲医院绩效指标等评级产品和服务支持）；基于iMedical HO的所有新需求(包括但不限于报表、医保政策、国家省地市的政策等)和接口服务。本项目涉及产品清单</w:t>
            </w:r>
            <w:r>
              <w:rPr>
                <w:rFonts w:hint="eastAsia" w:ascii="宋体" w:hAnsi="宋体" w:eastAsia="宋体" w:cs="宋体"/>
                <w:color w:val="auto"/>
                <w:sz w:val="21"/>
                <w:szCs w:val="21"/>
                <w:highlight w:val="none"/>
              </w:rPr>
              <w:t>如下：</w:t>
            </w:r>
          </w:p>
          <w:p w14:paraId="2CD3A170">
            <w:pPr>
              <w:pStyle w:val="3"/>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升级或增加的功能清单</w:t>
            </w:r>
          </w:p>
          <w:tbl>
            <w:tblPr>
              <w:tblStyle w:val="49"/>
              <w:tblW w:w="5992" w:type="dxa"/>
              <w:jc w:val="center"/>
              <w:tblLayout w:type="fixed"/>
              <w:tblCellMar>
                <w:top w:w="0" w:type="dxa"/>
                <w:left w:w="0" w:type="dxa"/>
                <w:bottom w:w="0" w:type="dxa"/>
                <w:right w:w="0" w:type="dxa"/>
              </w:tblCellMar>
            </w:tblPr>
            <w:tblGrid>
              <w:gridCol w:w="508"/>
              <w:gridCol w:w="930"/>
              <w:gridCol w:w="1310"/>
              <w:gridCol w:w="3244"/>
            </w:tblGrid>
            <w:tr w14:paraId="03D9CA80">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A1C80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C7F2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目录</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71CC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系统名称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5D87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子系统名称</w:t>
                  </w:r>
                </w:p>
              </w:tc>
            </w:tr>
            <w:tr w14:paraId="2A6D496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B90042">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B511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基础数据平台</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20E3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68E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基础数据管理平台</w:t>
                  </w:r>
                </w:p>
              </w:tc>
            </w:tr>
            <w:tr w14:paraId="7794E81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BEF27">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135FA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基础平台</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AE4CB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8E7E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基础平台</w:t>
                  </w:r>
                </w:p>
              </w:tc>
            </w:tr>
            <w:tr w14:paraId="1FDD3D9F">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F8980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36D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HIS</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B827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患者基本信息管理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B942F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患者基本信息管理系统</w:t>
                  </w:r>
                </w:p>
              </w:tc>
            </w:tr>
            <w:tr w14:paraId="6BCAA58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76690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6D6C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3E58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0D2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门诊预约挂号系统</w:t>
                  </w:r>
                </w:p>
              </w:tc>
            </w:tr>
            <w:tr w14:paraId="31BAE31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D2AC7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CFD45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5CF6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0640F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门诊分诊系统</w:t>
                  </w:r>
                </w:p>
              </w:tc>
            </w:tr>
            <w:tr w14:paraId="72F7360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21DCA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786B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E629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CD25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门诊收费系统</w:t>
                  </w:r>
                </w:p>
              </w:tc>
            </w:tr>
            <w:tr w14:paraId="72F6014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19DE1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FF362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0847E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9356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门诊医生工作站</w:t>
                  </w:r>
                </w:p>
              </w:tc>
            </w:tr>
            <w:tr w14:paraId="579448C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3474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7FDB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F93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CCD7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门诊护士工作站</w:t>
                  </w:r>
                </w:p>
              </w:tc>
            </w:tr>
            <w:tr w14:paraId="4AC1866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D51F5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410E9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BE9B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E3BD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门诊中西医药房系统</w:t>
                  </w:r>
                </w:p>
              </w:tc>
            </w:tr>
            <w:tr w14:paraId="30A5DA0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72F7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3E94A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7B18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F3C1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门诊配液管理系统</w:t>
                  </w:r>
                </w:p>
              </w:tc>
            </w:tr>
            <w:tr w14:paraId="12A00C2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929C0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9D64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267F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48C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门诊应急系统</w:t>
                  </w:r>
                </w:p>
              </w:tc>
            </w:tr>
            <w:tr w14:paraId="5C1E11F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B7C95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81FE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A929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D486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多学科会诊（MDT）管理系统</w:t>
                  </w:r>
                </w:p>
              </w:tc>
            </w:tr>
            <w:tr w14:paraId="0A6AA27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4287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1F796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1FE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40B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急诊挂号系统</w:t>
                  </w:r>
                </w:p>
              </w:tc>
            </w:tr>
            <w:tr w14:paraId="3685EA1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96078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42FD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BD7A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3E95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急诊预检分诊系统</w:t>
                  </w:r>
                </w:p>
              </w:tc>
            </w:tr>
            <w:tr w14:paraId="68B2134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7A6F4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32BA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DAA00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DBCE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急诊收费系统</w:t>
                  </w:r>
                </w:p>
              </w:tc>
            </w:tr>
            <w:tr w14:paraId="1D73C9F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D9AE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9B12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D03B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E4AE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急诊医生工作站</w:t>
                  </w:r>
                </w:p>
              </w:tc>
            </w:tr>
            <w:tr w14:paraId="69B13DE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DD932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89E4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F5B9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F004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急诊护士工作站</w:t>
                  </w:r>
                </w:p>
              </w:tc>
            </w:tr>
            <w:tr w14:paraId="6CA1B3F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E0386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0F68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385F4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D753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急诊中西医药房系统</w:t>
                  </w:r>
                </w:p>
              </w:tc>
            </w:tr>
            <w:tr w14:paraId="0ADBD02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EC54A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CFA8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A0A0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5B39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急诊留观系统</w:t>
                  </w:r>
                </w:p>
              </w:tc>
            </w:tr>
            <w:tr w14:paraId="4FA2A11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C016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1D8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D3D1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65C6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急诊质控统计</w:t>
                  </w:r>
                </w:p>
              </w:tc>
            </w:tr>
            <w:tr w14:paraId="27B5C1F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FE086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D0D0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DA94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56C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住院医生工作站</w:t>
                  </w:r>
                </w:p>
              </w:tc>
            </w:tr>
            <w:tr w14:paraId="0263EF3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FDC61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506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1143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A80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住院护士工作站</w:t>
                  </w:r>
                </w:p>
              </w:tc>
            </w:tr>
            <w:tr w14:paraId="3409986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5079B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74A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220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76F3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住院出入转系统</w:t>
                  </w:r>
                </w:p>
              </w:tc>
            </w:tr>
            <w:tr w14:paraId="236CC47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D5F1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D36F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55C12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801D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住院收费系统</w:t>
                  </w:r>
                </w:p>
              </w:tc>
            </w:tr>
            <w:tr w14:paraId="45D223D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3430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7DB7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4454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93C6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住院中心药房系统</w:t>
                  </w:r>
                </w:p>
              </w:tc>
            </w:tr>
            <w:tr w14:paraId="1689E55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3D9E5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0305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B321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4401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住院配液中心系统</w:t>
                  </w:r>
                </w:p>
              </w:tc>
            </w:tr>
            <w:tr w14:paraId="59F16D6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3B89F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686B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DFBBD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22CF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床位管理中心</w:t>
                  </w:r>
                </w:p>
              </w:tc>
            </w:tr>
            <w:tr w14:paraId="67CBFC6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BE4B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16CB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66301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CC0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会诊管理系统</w:t>
                  </w:r>
                </w:p>
              </w:tc>
            </w:tr>
            <w:tr w14:paraId="0FBEA7A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C8AA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474E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4CC4B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DD1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预住院日间手术管理</w:t>
                  </w:r>
                </w:p>
              </w:tc>
            </w:tr>
            <w:tr w14:paraId="0F07C75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C9949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83191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72B8A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656C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中药汤剂发放管理系统</w:t>
                  </w:r>
                </w:p>
              </w:tc>
            </w:tr>
            <w:tr w14:paraId="59FB924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E486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1D9CA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528D2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1D4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移动医生工作站</w:t>
                  </w:r>
                </w:p>
              </w:tc>
            </w:tr>
            <w:tr w14:paraId="02D8D80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A7E68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D3DE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FF08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D548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陪送管理系统</w:t>
                  </w:r>
                </w:p>
              </w:tc>
            </w:tr>
            <w:tr w14:paraId="7F1DC6D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6EC67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8217D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D633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379F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体温单</w:t>
                  </w:r>
                </w:p>
              </w:tc>
            </w:tr>
            <w:tr w14:paraId="2C25583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137B8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397CBF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CIS</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7B23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电生理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C58B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心电信息管理系统</w:t>
                  </w:r>
                </w:p>
              </w:tc>
            </w:tr>
            <w:tr w14:paraId="558E417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5CA0B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AEAC8C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FD05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CD711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电生理工作站</w:t>
                  </w:r>
                </w:p>
              </w:tc>
            </w:tr>
            <w:tr w14:paraId="1740C4C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DABA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64F8E6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6C893B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检验</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1542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实验室质量管理系统</w:t>
                  </w:r>
                </w:p>
              </w:tc>
            </w:tr>
            <w:tr w14:paraId="7C510CB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B358F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49D1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4BF67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BC15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检验信息管理系统</w:t>
                  </w:r>
                </w:p>
              </w:tc>
            </w:tr>
            <w:tr w14:paraId="51E2AACD">
              <w:tblPrEx>
                <w:tblCellMar>
                  <w:top w:w="0" w:type="dxa"/>
                  <w:left w:w="0" w:type="dxa"/>
                  <w:bottom w:w="0" w:type="dxa"/>
                  <w:right w:w="0" w:type="dxa"/>
                </w:tblCellMar>
              </w:tblPrEx>
              <w:trPr>
                <w:trHeight w:val="397"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B7626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A4BF1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098B1F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right w:val="single" w:color="000000" w:sz="4" w:space="0"/>
                  </w:tcBorders>
                  <w:tcMar>
                    <w:top w:w="10" w:type="dxa"/>
                    <w:left w:w="10" w:type="dxa"/>
                    <w:right w:w="10" w:type="dxa"/>
                  </w:tcMar>
                  <w:vAlign w:val="center"/>
                </w:tcPr>
                <w:p w14:paraId="59852F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微生物信息管理系统</w:t>
                  </w:r>
                </w:p>
              </w:tc>
            </w:tr>
            <w:tr w14:paraId="3FFCD63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08EA5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75D44A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221B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试剂管理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7DEC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试剂管理系统</w:t>
                  </w:r>
                </w:p>
              </w:tc>
            </w:tr>
            <w:tr w14:paraId="34EDD0B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C9FB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788E9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5266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输血</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31AD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临床用血管理</w:t>
                  </w:r>
                </w:p>
              </w:tc>
            </w:tr>
            <w:tr w14:paraId="235E498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9AEFD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145ABC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9EC3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5AFD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输血科信息管理系统</w:t>
                  </w:r>
                </w:p>
              </w:tc>
            </w:tr>
            <w:tr w14:paraId="763BFCC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DF03A5">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F656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630A7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2ECC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体检系统</w:t>
                  </w:r>
                </w:p>
              </w:tc>
            </w:tr>
            <w:tr w14:paraId="5A85D15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E1D858">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978B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综合业务管理</w:t>
                  </w: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7B388B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医政管理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DC4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慢病管理</w:t>
                  </w:r>
                </w:p>
              </w:tc>
            </w:tr>
            <w:tr w14:paraId="0CD7B0D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C9957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7B8C6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59A8E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826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食源性疾病管理</w:t>
                  </w:r>
                </w:p>
              </w:tc>
            </w:tr>
            <w:tr w14:paraId="541BB71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53274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BFFE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0F126E8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54D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精神疾病管理</w:t>
                  </w:r>
                </w:p>
              </w:tc>
            </w:tr>
            <w:tr w14:paraId="5AF3AFC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B6935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176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2DFD2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9FE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传染病管理</w:t>
                  </w:r>
                </w:p>
              </w:tc>
            </w:tr>
            <w:tr w14:paraId="694DF6A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B21DB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D468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F460A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B8B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院内感染管理系统</w:t>
                  </w:r>
                </w:p>
              </w:tc>
            </w:tr>
            <w:tr w14:paraId="093ABBF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3D37E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1AC47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C7DAC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199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临床路径管理系统</w:t>
                  </w:r>
                </w:p>
              </w:tc>
            </w:tr>
            <w:tr w14:paraId="2D43E3A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6E973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51F7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038AB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646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死亡证明书管理</w:t>
                  </w:r>
                </w:p>
              </w:tc>
            </w:tr>
            <w:tr w14:paraId="2B58000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8A359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A394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E7703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828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医疗安全(不良)事件</w:t>
                  </w:r>
                </w:p>
              </w:tc>
            </w:tr>
            <w:tr w14:paraId="46EBBB8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E59B0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B352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7D39F6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3FE4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流程运营管理</w:t>
                  </w:r>
                </w:p>
              </w:tc>
            </w:tr>
            <w:tr w14:paraId="10CCC27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32AA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8C7C3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34F0B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2A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医师资质授权</w:t>
                  </w:r>
                </w:p>
              </w:tc>
            </w:tr>
            <w:tr w14:paraId="34E004B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92F3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05340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7B532F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BE87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危急值管理平台</w:t>
                  </w:r>
                </w:p>
              </w:tc>
            </w:tr>
            <w:tr w14:paraId="76566E4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F02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981B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FDE4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医政质量</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F92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单病种质量管理系统</w:t>
                  </w:r>
                  <w:r>
                    <w:rPr>
                      <w:rFonts w:hint="eastAsia" w:ascii="宋体" w:hAnsi="宋体" w:eastAsia="宋体" w:cs="宋体"/>
                      <w:color w:val="auto"/>
                      <w:kern w:val="0"/>
                      <w:sz w:val="21"/>
                      <w:szCs w:val="21"/>
                      <w:highlight w:val="none"/>
                      <w:lang w:val="en-US" w:eastAsia="zh-CN" w:bidi="ar"/>
                    </w:rPr>
                    <w:t>接口</w:t>
                  </w:r>
                </w:p>
              </w:tc>
            </w:tr>
            <w:tr w14:paraId="4F735DF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108D7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A93F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FEAB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175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慢性阻塞性肺疾病管理系统</w:t>
                  </w:r>
                </w:p>
              </w:tc>
            </w:tr>
            <w:tr w14:paraId="0E5FC8B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D2AC6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01B7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74DED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4990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罕见病诊疗服务登记系统</w:t>
                  </w:r>
                </w:p>
              </w:tc>
            </w:tr>
            <w:tr w14:paraId="335A59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F41443">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9120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8530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CF1A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门（急）诊电子病历</w:t>
                  </w:r>
                </w:p>
              </w:tc>
            </w:tr>
            <w:tr w14:paraId="5F367F1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5ED58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DAE09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0D70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37D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住院医生电子病历</w:t>
                  </w:r>
                </w:p>
              </w:tc>
            </w:tr>
            <w:tr w14:paraId="2C329A5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E1868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50CB5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343C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B67D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病历质控系统</w:t>
                  </w:r>
                </w:p>
              </w:tc>
            </w:tr>
            <w:tr w14:paraId="427D105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8F92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0883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182B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E5B7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电子病历归档系统</w:t>
                  </w:r>
                </w:p>
              </w:tc>
            </w:tr>
            <w:tr w14:paraId="094F0D7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D9590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0C1DF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62580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0DD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电子病历归档全文检索系统</w:t>
                  </w:r>
                </w:p>
              </w:tc>
            </w:tr>
            <w:tr w14:paraId="6189D94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F1D75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9175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708B5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218B0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住院病案管理系统</w:t>
                  </w:r>
                </w:p>
              </w:tc>
            </w:tr>
            <w:tr w14:paraId="0A8E9F7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63685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1BF9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3A69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84F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门诊病案管理系统</w:t>
                  </w:r>
                </w:p>
              </w:tc>
            </w:tr>
            <w:tr w14:paraId="541886E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49AF7C">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182E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w:t>
                  </w: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2861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0DD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智能护理管理</w:t>
                  </w:r>
                </w:p>
              </w:tc>
            </w:tr>
            <w:tr w14:paraId="453048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18326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CFCCF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9441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智能护理病历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0CE3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智能护理路径引导系统（智能引导）</w:t>
                  </w:r>
                  <w:r>
                    <w:rPr>
                      <w:rFonts w:hint="eastAsia" w:ascii="宋体" w:hAnsi="宋体" w:cs="宋体"/>
                      <w:color w:val="auto"/>
                      <w:kern w:val="0"/>
                      <w:sz w:val="21"/>
                      <w:szCs w:val="21"/>
                      <w:highlight w:val="none"/>
                      <w:lang w:val="en-US" w:eastAsia="zh-CN" w:bidi="ar"/>
                    </w:rPr>
                    <w:t>门急诊护理病历</w:t>
                  </w:r>
                </w:p>
              </w:tc>
            </w:tr>
            <w:tr w14:paraId="6A4AAE9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9210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0465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82C6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智能移动护理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622F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智能移动护理</w:t>
                  </w:r>
                </w:p>
              </w:tc>
            </w:tr>
            <w:tr w14:paraId="5F2E614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E6ACF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5DB2B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6A78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0F66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门诊移动输液系统</w:t>
                  </w:r>
                </w:p>
              </w:tc>
            </w:tr>
            <w:tr w14:paraId="10EB9C3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E7E77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EB2F5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DB66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智能护理白板</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F9461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护理白板</w:t>
                  </w:r>
                  <w:r>
                    <w:rPr>
                      <w:rFonts w:hint="eastAsia" w:ascii="宋体" w:hAnsi="宋体" w:eastAsia="宋体" w:cs="宋体"/>
                      <w:color w:val="auto"/>
                      <w:kern w:val="0"/>
                      <w:sz w:val="21"/>
                      <w:szCs w:val="21"/>
                      <w:highlight w:val="none"/>
                      <w:lang w:val="en-US" w:eastAsia="zh-CN" w:bidi="ar"/>
                    </w:rPr>
                    <w:t>软件</w:t>
                  </w:r>
                </w:p>
              </w:tc>
            </w:tr>
            <w:tr w14:paraId="442705F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10C95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47F6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集成平台</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359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集成平台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B254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统一监控平台</w:t>
                  </w:r>
                </w:p>
              </w:tc>
            </w:tr>
            <w:tr w14:paraId="690B4C5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3EB15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71C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CC4F8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1660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医院服务总线</w:t>
                  </w:r>
                </w:p>
              </w:tc>
            </w:tr>
            <w:tr w14:paraId="03DD000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3278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FD4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特别专科系统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367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治疗室系统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8D5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治疗科室工作站</w:t>
                  </w:r>
                </w:p>
              </w:tc>
            </w:tr>
            <w:tr w14:paraId="0145C66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3A5B8E">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815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综合数据</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0148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综合数据</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9617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抗菌药物统计查询分析</w:t>
                  </w:r>
                </w:p>
              </w:tc>
            </w:tr>
            <w:tr w14:paraId="519E147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74E4D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72D6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7209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0A87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统计室报表系统</w:t>
                  </w:r>
                </w:p>
              </w:tc>
            </w:tr>
            <w:tr w14:paraId="68E166D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D7059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955C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3D55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67C0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院长查询系统</w:t>
                  </w:r>
                </w:p>
              </w:tc>
            </w:tr>
            <w:tr w14:paraId="3EB4997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5D5C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AB339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3625A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D336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阳光用药系统</w:t>
                  </w:r>
                </w:p>
              </w:tc>
            </w:tr>
            <w:tr w14:paraId="30E6D1B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F95A0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83F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D18F1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AD9D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指标Cube系统</w:t>
                  </w:r>
                </w:p>
              </w:tc>
            </w:tr>
            <w:tr w14:paraId="0891896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A8E7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B9F5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596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6107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基础数据查询</w:t>
                  </w:r>
                </w:p>
              </w:tc>
            </w:tr>
            <w:tr w14:paraId="1DD006D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9B794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8B96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1C0C6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AF93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统计查询套件</w:t>
                  </w:r>
                </w:p>
              </w:tc>
            </w:tr>
            <w:tr w14:paraId="1D5B826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A7F02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099C3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5F006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A834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核算报表系统</w:t>
                  </w:r>
                </w:p>
              </w:tc>
            </w:tr>
            <w:tr w14:paraId="05C6797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EB608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7EA5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3D7A7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2282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财务报表系统</w:t>
                  </w:r>
                </w:p>
              </w:tc>
            </w:tr>
            <w:tr w14:paraId="2465B9C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1C9E2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4DFA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3F118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0452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病案统计系统</w:t>
                  </w:r>
                </w:p>
              </w:tc>
            </w:tr>
            <w:tr w14:paraId="5638600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D1DE4A">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F20F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临床诊断管理平台</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53BB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临床诊断管理平台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8FB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医学知识库构建平台</w:t>
                  </w:r>
                </w:p>
              </w:tc>
            </w:tr>
            <w:tr w14:paraId="1CD44E5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B216D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833C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E8E9B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8A8C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基于知识库的结构化诊断系统</w:t>
                  </w:r>
                </w:p>
              </w:tc>
            </w:tr>
            <w:tr w14:paraId="40FC233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85196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D36F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321F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6301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临床知识库</w:t>
                  </w:r>
                </w:p>
              </w:tc>
            </w:tr>
            <w:tr w14:paraId="141CBCB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399602">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5FE4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科教研管理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D59F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科教研管理</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4EA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临床药理试验管理系统</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需提供系统截图</w:t>
                  </w:r>
                  <w:r>
                    <w:rPr>
                      <w:rFonts w:hint="eastAsia" w:ascii="宋体" w:hAnsi="宋体" w:cs="宋体"/>
                      <w:color w:val="auto"/>
                      <w:kern w:val="0"/>
                      <w:sz w:val="21"/>
                      <w:szCs w:val="21"/>
                      <w:highlight w:val="none"/>
                      <w:lang w:eastAsia="zh-CN" w:bidi="ar"/>
                    </w:rPr>
                    <w:t>）</w:t>
                  </w:r>
                </w:p>
              </w:tc>
            </w:tr>
            <w:tr w14:paraId="1F27E8E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C7F67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E520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06365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83B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药理中心信息管理系统</w:t>
                  </w:r>
                </w:p>
              </w:tc>
            </w:tr>
            <w:tr w14:paraId="420E4E2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566A94">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7DB096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药事管理</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3167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药品供应</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63564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制剂管理系统</w:t>
                  </w:r>
                </w:p>
              </w:tc>
            </w:tr>
            <w:tr w14:paraId="37DE5462">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75E7A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FDB91E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D91F9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E6F5D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煎药室管理系统</w:t>
                  </w:r>
                </w:p>
              </w:tc>
            </w:tr>
            <w:tr w14:paraId="3E06F08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F3C14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736C20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DE0C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9122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药库管理系统</w:t>
                  </w:r>
                </w:p>
              </w:tc>
            </w:tr>
            <w:tr w14:paraId="551483E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112C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98AC4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B7074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药学服务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530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临床药师服务平台</w:t>
                  </w:r>
                </w:p>
              </w:tc>
            </w:tr>
            <w:tr w14:paraId="32C9F8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EA48D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87821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2E9CA51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8B5F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电子药历</w:t>
                  </w:r>
                </w:p>
              </w:tc>
            </w:tr>
            <w:tr w14:paraId="5179DC5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5D02C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B8F89A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06DE62D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0EB7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处方点评系统</w:t>
                  </w:r>
                </w:p>
              </w:tc>
            </w:tr>
            <w:tr w14:paraId="672D6C1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731F4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ADF978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C7359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29C4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处方审核</w:t>
                  </w:r>
                </w:p>
              </w:tc>
            </w:tr>
            <w:tr w14:paraId="5C0ED0F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8C50C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88E9C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3D8885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2632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药品临采管理系统</w:t>
                  </w:r>
                </w:p>
              </w:tc>
            </w:tr>
            <w:tr w14:paraId="28FBF5B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A7488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026E2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6A17C51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C2D9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毒麻管系统</w:t>
                  </w:r>
                </w:p>
              </w:tc>
            </w:tr>
            <w:tr w14:paraId="71C627E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F66049">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6E0D8D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医保产品</w:t>
                  </w:r>
                </w:p>
                <w:p w14:paraId="74BEC7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DF17E3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医保智能审核</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4E18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项目付费管理系统</w:t>
                  </w:r>
                </w:p>
              </w:tc>
            </w:tr>
            <w:tr w14:paraId="3D0F08B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A4F20B">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E4313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kern w:val="0"/>
                      <w:sz w:val="21"/>
                      <w:szCs w:val="21"/>
                      <w:highlight w:val="none"/>
                      <w:lang w:bidi="ar"/>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0AFC79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1838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医保知识库工具</w:t>
                  </w:r>
                </w:p>
              </w:tc>
            </w:tr>
            <w:tr w14:paraId="00078FF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E7C59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780848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A90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70A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医保服务(城镇职工)</w:t>
                  </w:r>
                </w:p>
              </w:tc>
            </w:tr>
            <w:tr w14:paraId="4589930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32448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9B68D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8D7B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F95C7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医保服务(城镇居民)</w:t>
                  </w:r>
                </w:p>
              </w:tc>
            </w:tr>
            <w:tr w14:paraId="40E1550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7C8A9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5CEB4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EC930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68C1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医保服务(城乡居民)</w:t>
                  </w:r>
                </w:p>
              </w:tc>
            </w:tr>
            <w:tr w14:paraId="0F833D4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D0FE4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4277C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2660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医保精细化管理</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51766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人次付费管理系统</w:t>
                  </w:r>
                </w:p>
              </w:tc>
            </w:tr>
            <w:tr w14:paraId="48C9808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2EE22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77B8CA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E2E9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033E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门诊慢特病管理系统</w:t>
                  </w:r>
                </w:p>
              </w:tc>
            </w:tr>
            <w:tr w14:paraId="72B5257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50057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C700EE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BC63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985E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项目付费管理系统</w:t>
                  </w:r>
                </w:p>
              </w:tc>
            </w:tr>
            <w:tr w14:paraId="0817C0D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8F416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4767DE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1DE75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89A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总额预付管理系统</w:t>
                  </w:r>
                </w:p>
              </w:tc>
            </w:tr>
            <w:tr w14:paraId="4FDE969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8F0EB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40DFB7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BDC1B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F58E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医保知识库工具</w:t>
                  </w:r>
                </w:p>
              </w:tc>
            </w:tr>
            <w:tr w14:paraId="621CC68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B152B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2922B4C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3810D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391A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单病种付费管理系统</w:t>
                  </w:r>
                </w:p>
              </w:tc>
            </w:tr>
            <w:tr w14:paraId="2340B63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67DF2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CFA4A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2938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医保本地算法</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04C1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院内医保结算</w:t>
                  </w:r>
                </w:p>
              </w:tc>
            </w:tr>
            <w:tr w14:paraId="548A6AA7">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E184A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7D4BD1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C939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院端商保转换平台</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D6A4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院端商保平台转换接口</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需提供系统截图</w:t>
                  </w:r>
                  <w:r>
                    <w:rPr>
                      <w:rFonts w:hint="eastAsia" w:ascii="宋体" w:hAnsi="宋体" w:cs="宋体"/>
                      <w:color w:val="auto"/>
                      <w:kern w:val="0"/>
                      <w:sz w:val="21"/>
                      <w:szCs w:val="21"/>
                      <w:highlight w:val="none"/>
                      <w:lang w:eastAsia="zh-CN" w:bidi="ar"/>
                    </w:rPr>
                    <w:t>）</w:t>
                  </w:r>
                </w:p>
              </w:tc>
            </w:tr>
            <w:tr w14:paraId="4ED7D02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E5194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E3DCF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4DCFF6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院端DRG医保付费监控与管理系统</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772E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临期监测</w:t>
                  </w:r>
                </w:p>
              </w:tc>
            </w:tr>
            <w:tr w14:paraId="2C7D4C7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C8E45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16FE34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2768C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2DD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DRG付费盈亏分析</w:t>
                  </w:r>
                </w:p>
              </w:tc>
            </w:tr>
            <w:tr w14:paraId="15B38DC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77C61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38912D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8CA48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C53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重点病组监测</w:t>
                  </w:r>
                </w:p>
              </w:tc>
            </w:tr>
            <w:tr w14:paraId="611230C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42794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34053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1FF283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BAD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象限分析</w:t>
                  </w:r>
                </w:p>
              </w:tc>
            </w:tr>
            <w:tr w14:paraId="00C8F77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5FB82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FC537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5F292A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B84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病例监测</w:t>
                  </w:r>
                </w:p>
              </w:tc>
            </w:tr>
            <w:tr w14:paraId="532CC83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E036F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FDED2C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6C71EC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C6A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指标排名监测</w:t>
                  </w:r>
                </w:p>
              </w:tc>
            </w:tr>
            <w:tr w14:paraId="6985619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FA46A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672C5F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44CC6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EFF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局端差异分析</w:t>
                  </w:r>
                </w:p>
              </w:tc>
            </w:tr>
            <w:tr w14:paraId="69C6536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D36FF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1D3FC57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13695F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578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病例申诉</w:t>
                  </w:r>
                </w:p>
              </w:tc>
            </w:tr>
            <w:tr w14:paraId="33A4250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9EDDF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0EFF24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783116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EC8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报表统计</w:t>
                  </w:r>
                </w:p>
              </w:tc>
            </w:tr>
            <w:tr w14:paraId="3D29646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FD7B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6F98CAD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477FA1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2E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分组服务</w:t>
                  </w:r>
                </w:p>
              </w:tc>
            </w:tr>
            <w:tr w14:paraId="17F4315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F0995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3CC252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2FF01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47D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分组结果数据接口服务</w:t>
                  </w:r>
                </w:p>
              </w:tc>
            </w:tr>
            <w:tr w14:paraId="5233822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9305E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right w:val="single" w:color="000000" w:sz="4" w:space="0"/>
                  </w:tcBorders>
                  <w:tcMar>
                    <w:top w:w="10" w:type="dxa"/>
                    <w:left w:w="10" w:type="dxa"/>
                    <w:right w:w="10" w:type="dxa"/>
                  </w:tcMar>
                  <w:vAlign w:val="center"/>
                </w:tcPr>
                <w:p w14:paraId="5F7E718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right w:val="single" w:color="000000" w:sz="4" w:space="0"/>
                  </w:tcBorders>
                  <w:tcMar>
                    <w:top w:w="10" w:type="dxa"/>
                    <w:left w:w="10" w:type="dxa"/>
                    <w:right w:w="10" w:type="dxa"/>
                  </w:tcMar>
                  <w:vAlign w:val="center"/>
                </w:tcPr>
                <w:p w14:paraId="6D69AD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44E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字典管理</w:t>
                  </w:r>
                </w:p>
              </w:tc>
            </w:tr>
            <w:tr w14:paraId="5B93C15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66827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087A52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210CED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E15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系统管理</w:t>
                  </w:r>
                </w:p>
              </w:tc>
            </w:tr>
            <w:tr w14:paraId="08E71ED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A470FC">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1088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21C8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CEC7E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数字媒体宣教</w:t>
                  </w:r>
                </w:p>
              </w:tc>
            </w:tr>
            <w:tr w14:paraId="660833A6">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49A6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DCDC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D9B71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8F7F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数字媒体信息发布</w:t>
                  </w:r>
                </w:p>
              </w:tc>
            </w:tr>
            <w:tr w14:paraId="54727F27">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93D89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AC2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0BCB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排队叫号</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67C2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数字媒体呼叫系统</w:t>
                  </w:r>
                </w:p>
              </w:tc>
            </w:tr>
            <w:tr w14:paraId="35F8983E">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BF4591">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08B9B2">
                  <w:pPr>
                    <w:keepNext w:val="0"/>
                    <w:keepLines w:val="0"/>
                    <w:pageBreakBefore w:val="0"/>
                    <w:numPr>
                      <w:ilvl w:val="0"/>
                      <w:numId w:val="0"/>
                    </w:numPr>
                    <w:suppressLineNumbers w:val="0"/>
                    <w:kinsoku/>
                    <w:wordWrap/>
                    <w:overflowPunct/>
                    <w:topLinePunct w:val="0"/>
                    <w:autoSpaceDE/>
                    <w:autoSpaceDN/>
                    <w:bidi w:val="0"/>
                    <w:spacing w:beforeAutospacing="0" w:afterAutospacing="0" w:line="400" w:lineRule="exact"/>
                    <w:ind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其他类</w:t>
                  </w:r>
                </w:p>
                <w:p w14:paraId="43AB95D3">
                  <w:pPr>
                    <w:keepNext w:val="0"/>
                    <w:keepLines w:val="0"/>
                    <w:pageBreakBefore w:val="0"/>
                    <w:numPr>
                      <w:ilvl w:val="0"/>
                      <w:numId w:val="0"/>
                    </w:numPr>
                    <w:suppressLineNumbers w:val="0"/>
                    <w:kinsoku/>
                    <w:wordWrap/>
                    <w:overflowPunct/>
                    <w:topLinePunct w:val="0"/>
                    <w:autoSpaceDE/>
                    <w:autoSpaceDN/>
                    <w:bidi w:val="0"/>
                    <w:spacing w:beforeAutospacing="0" w:afterAutospacing="0" w:line="400" w:lineRule="exact"/>
                    <w:ind w:left="0" w:leftChars="0" w:right="0" w:rightChars="0"/>
                    <w:jc w:val="both"/>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5908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增量开发服务</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A5C8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原有系统的个性化增量开发，功能拓展</w:t>
                  </w:r>
                </w:p>
              </w:tc>
            </w:tr>
            <w:tr w14:paraId="40740C0F">
              <w:tblPrEx>
                <w:tblCellMar>
                  <w:top w:w="0" w:type="dxa"/>
                  <w:left w:w="0" w:type="dxa"/>
                  <w:bottom w:w="0" w:type="dxa"/>
                  <w:right w:w="0" w:type="dxa"/>
                </w:tblCellMar>
              </w:tblPrEx>
              <w:trPr>
                <w:trHeight w:val="770"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30B54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900E29">
                  <w:pPr>
                    <w:keepNext w:val="0"/>
                    <w:keepLines w:val="0"/>
                    <w:pageBreakBefore w:val="0"/>
                    <w:numPr>
                      <w:ilvl w:val="0"/>
                      <w:numId w:val="6"/>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91095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政策性必须产品</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9622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Cs w:val="21"/>
                      <w:highlight w:val="none"/>
                      <w:u w:val="none"/>
                      <w:lang w:bidi="ar"/>
                    </w:rPr>
                    <w:t>▲工作量报价15万以内的政策性必须类产品</w:t>
                  </w:r>
                </w:p>
              </w:tc>
            </w:tr>
            <w:tr w14:paraId="24FCF6B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EC373B">
                  <w:pPr>
                    <w:keepNext w:val="0"/>
                    <w:keepLines w:val="0"/>
                    <w:pageBreakBefore w:val="0"/>
                    <w:widowControl/>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textAlignment w:val="center"/>
                    <w:rPr>
                      <w:rFonts w:hint="eastAsia" w:ascii="宋体" w:hAnsi="宋体" w:eastAsia="宋体" w:cs="宋体"/>
                      <w:color w:val="auto"/>
                      <w:kern w:val="0"/>
                      <w:sz w:val="21"/>
                      <w:szCs w:val="21"/>
                      <w:highlight w:val="none"/>
                      <w:lang w:bidi="ar"/>
                    </w:rPr>
                  </w:pPr>
                </w:p>
              </w:tc>
              <w:tc>
                <w:tcPr>
                  <w:tcW w:w="9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FC403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接口服务</w:t>
                  </w: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24AE2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仪器接口</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4C1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心电设备接口</w:t>
                  </w:r>
                </w:p>
              </w:tc>
            </w:tr>
            <w:tr w14:paraId="44FC6CC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5021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2EEC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F974E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17B8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电生理设备接口</w:t>
                  </w:r>
                </w:p>
              </w:tc>
            </w:tr>
            <w:tr w14:paraId="3FD8C475">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0104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3D79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F57D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5A1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病理设备接口</w:t>
                  </w:r>
                </w:p>
              </w:tc>
            </w:tr>
            <w:tr w14:paraId="1522D3B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4E806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FB03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B623B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060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检验仪器接口</w:t>
                  </w:r>
                </w:p>
              </w:tc>
            </w:tr>
            <w:tr w14:paraId="47AA8D1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54C9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E9859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19E60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C27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实验室前处理系统接口</w:t>
                  </w:r>
                </w:p>
              </w:tc>
            </w:tr>
            <w:tr w14:paraId="480A3D3F">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C151E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C31D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A96D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547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实验室流水线系统接口</w:t>
                  </w:r>
                </w:p>
              </w:tc>
            </w:tr>
            <w:tr w14:paraId="1A0CF3DA">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BF91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1CDD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77ACD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395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智能采血设备接口</w:t>
                  </w:r>
                </w:p>
              </w:tc>
            </w:tr>
            <w:tr w14:paraId="5174275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C0077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78CC4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BA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临床系统接口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B712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临床服务类集成接口</w:t>
                  </w:r>
                </w:p>
              </w:tc>
            </w:tr>
            <w:tr w14:paraId="6142BBC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8A0A50">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02465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3A7BD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院外平台接口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0946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药房药库对外接口</w:t>
                  </w:r>
                </w:p>
              </w:tc>
            </w:tr>
            <w:tr w14:paraId="1B28F7A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4244D8">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A395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4E46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C25B6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综合查询对外接口服务</w:t>
                  </w:r>
                </w:p>
              </w:tc>
            </w:tr>
            <w:tr w14:paraId="755C071B">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B2EE3">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D284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439A6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BBE8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医技产品对外接口</w:t>
                  </w:r>
                </w:p>
              </w:tc>
            </w:tr>
            <w:tr w14:paraId="2DF012E9">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6C4705">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0CF4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5330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74038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医生站对外接口</w:t>
                  </w:r>
                </w:p>
              </w:tc>
            </w:tr>
            <w:tr w14:paraId="0ADE253C">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863214">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7B4B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B780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CD29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第三方互联网医院接口</w:t>
                  </w:r>
                </w:p>
              </w:tc>
            </w:tr>
            <w:tr w14:paraId="2473E1ED">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81CD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986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AD0C2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93CC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院外平台类集成接口</w:t>
                  </w:r>
                </w:p>
              </w:tc>
            </w:tr>
            <w:tr w14:paraId="726A70B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4DA54F">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7857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C0B0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8476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护理组对外接口</w:t>
                  </w:r>
                </w:p>
              </w:tc>
            </w:tr>
            <w:tr w14:paraId="2ABE4154">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B993B7">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DEA2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9BF4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支付接口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45DA6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窗口第三方支付服务</w:t>
                  </w:r>
                </w:p>
              </w:tc>
            </w:tr>
            <w:tr w14:paraId="356AA298">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D4AC4A">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888EF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A1CB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1CBC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医保对外接口服务</w:t>
                  </w:r>
                </w:p>
              </w:tc>
            </w:tr>
            <w:tr w14:paraId="7CB5D05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E9B51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0EB7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FFAE7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D293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患者第三方支付服务</w:t>
                  </w:r>
                </w:p>
              </w:tc>
            </w:tr>
            <w:tr w14:paraId="797D19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44B1D9">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BBC5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7B10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CA93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计费接口服务</w:t>
                  </w:r>
                </w:p>
              </w:tc>
            </w:tr>
            <w:tr w14:paraId="1C86FC13">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F57492">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8CCD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AAA4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41A00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运营管理类集成接口</w:t>
                  </w:r>
                </w:p>
              </w:tc>
            </w:tr>
            <w:tr w14:paraId="2562F6B0">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7D18CB">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0BC57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E808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患者管理接口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BA58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患者服务类集成接口</w:t>
                  </w:r>
                </w:p>
              </w:tc>
            </w:tr>
            <w:tr w14:paraId="52DD96C1">
              <w:tblPrEx>
                <w:tblCellMar>
                  <w:top w:w="0" w:type="dxa"/>
                  <w:left w:w="0" w:type="dxa"/>
                  <w:bottom w:w="0" w:type="dxa"/>
                  <w:right w:w="0" w:type="dxa"/>
                </w:tblCellMar>
              </w:tblPrEx>
              <w:trPr>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57475D">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2DA0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197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数字签名接口</w:t>
                  </w: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24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数字签名基础服务系统</w:t>
                  </w:r>
                </w:p>
              </w:tc>
            </w:tr>
            <w:tr w14:paraId="66C97E5D">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A7BEBE">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A025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13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6D85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p>
              </w:tc>
              <w:tc>
                <w:tcPr>
                  <w:tcW w:w="324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2BA6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电子签名接口服务</w:t>
                  </w:r>
                </w:p>
              </w:tc>
            </w:tr>
            <w:tr w14:paraId="3BD08E02">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D65CE6">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BDE5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业务系统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95D21">
                  <w:pPr>
                    <w:keepNext w:val="0"/>
                    <w:keepLines w:val="0"/>
                    <w:pageBreakBefore w:val="0"/>
                    <w:suppressLineNumbers w:val="0"/>
                    <w:kinsoku/>
                    <w:wordWrap/>
                    <w:overflowPunct/>
                    <w:topLinePunct w:val="0"/>
                    <w:autoSpaceDE/>
                    <w:autoSpaceDN/>
                    <w:bidi w:val="0"/>
                    <w:spacing w:beforeAutospacing="0" w:afterAutospacing="0" w:line="380" w:lineRule="exact"/>
                    <w:ind w:left="0" w:leftChars="0" w:right="0" w:rightChars="0"/>
                    <w:jc w:val="center"/>
                    <w:rPr>
                      <w:rFonts w:hint="eastAsia" w:ascii="宋体" w:hAnsi="宋体" w:eastAsia="宋体" w:cs="宋体"/>
                      <w:color w:val="auto"/>
                      <w:kern w:val="2"/>
                      <w:sz w:val="26"/>
                      <w:szCs w:val="26"/>
                      <w:highlight w:val="none"/>
                      <w:lang w:val="en-US" w:eastAsia="zh-CN" w:bidi="ar-SA"/>
                    </w:rPr>
                  </w:pPr>
                  <w:r>
                    <w:rPr>
                      <w:rFonts w:hint="eastAsia" w:ascii="宋体" w:hAnsi="宋体" w:eastAsia="宋体" w:cs="宋体"/>
                      <w:color w:val="auto"/>
                      <w:kern w:val="0"/>
                      <w:szCs w:val="21"/>
                      <w:highlight w:val="none"/>
                      <w:vertAlign w:val="baseline"/>
                      <w:lang w:val="en-US" w:eastAsia="zh-CN" w:bidi="ar"/>
                    </w:rPr>
                    <w:t>资源计划系统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1AE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全院排班管理（具体参数</w:t>
                  </w:r>
                  <w:r>
                    <w:rPr>
                      <w:rFonts w:hint="eastAsia" w:ascii="宋体" w:hAnsi="宋体" w:cs="宋体"/>
                      <w:color w:val="auto"/>
                      <w:kern w:val="0"/>
                      <w:sz w:val="21"/>
                      <w:szCs w:val="21"/>
                      <w:highlight w:val="none"/>
                      <w:lang w:val="en-US" w:eastAsia="zh-CN" w:bidi="ar"/>
                    </w:rPr>
                    <w:t>要求详见附件1：</w:t>
                  </w:r>
                  <w:r>
                    <w:rPr>
                      <w:rFonts w:hint="eastAsia" w:ascii="宋体" w:hAnsi="宋体" w:eastAsia="宋体" w:cs="宋体"/>
                      <w:color w:val="auto"/>
                      <w:kern w:val="0"/>
                      <w:szCs w:val="21"/>
                      <w:highlight w:val="none"/>
                      <w:vertAlign w:val="baseline"/>
                      <w:lang w:val="en-US" w:eastAsia="zh-CN" w:bidi="ar"/>
                    </w:rPr>
                    <w:t>资源计划系统</w:t>
                  </w:r>
                  <w:r>
                    <w:rPr>
                      <w:rFonts w:hint="eastAsia" w:ascii="宋体" w:hAnsi="宋体" w:cs="宋体"/>
                      <w:color w:val="auto"/>
                      <w:kern w:val="0"/>
                      <w:szCs w:val="21"/>
                      <w:highlight w:val="none"/>
                      <w:vertAlign w:val="baseline"/>
                      <w:lang w:val="en-US" w:eastAsia="zh-CN" w:bidi="ar"/>
                    </w:rPr>
                    <w:t>参数要求</w:t>
                  </w:r>
                  <w:r>
                    <w:rPr>
                      <w:rFonts w:hint="eastAsia" w:ascii="宋体" w:hAnsi="宋体" w:eastAsia="宋体" w:cs="宋体"/>
                      <w:color w:val="auto"/>
                      <w:kern w:val="0"/>
                      <w:sz w:val="21"/>
                      <w:szCs w:val="21"/>
                      <w:highlight w:val="none"/>
                      <w:lang w:val="en-US" w:eastAsia="zh-CN" w:bidi="ar"/>
                    </w:rPr>
                    <w:t>）</w:t>
                  </w:r>
                </w:p>
              </w:tc>
            </w:tr>
            <w:tr w14:paraId="6F718E5B">
              <w:tblPrEx>
                <w:tblCellMar>
                  <w:top w:w="0" w:type="dxa"/>
                  <w:left w:w="0" w:type="dxa"/>
                  <w:bottom w:w="0" w:type="dxa"/>
                  <w:right w:w="0" w:type="dxa"/>
                </w:tblCellMar>
              </w:tblPrEx>
              <w:trPr>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977FCC">
                  <w:pPr>
                    <w:keepNext w:val="0"/>
                    <w:keepLines w:val="0"/>
                    <w:pageBreakBefore w:val="0"/>
                    <w:numPr>
                      <w:ilvl w:val="0"/>
                      <w:numId w:val="5"/>
                    </w:numPr>
                    <w:suppressLineNumbers w:val="0"/>
                    <w:kinsoku/>
                    <w:wordWrap/>
                    <w:overflowPunct/>
                    <w:topLinePunct w:val="0"/>
                    <w:autoSpaceDE/>
                    <w:autoSpaceDN/>
                    <w:bidi w:val="0"/>
                    <w:spacing w:beforeAutospacing="0" w:afterAutospacing="0" w:line="400" w:lineRule="exact"/>
                    <w:ind w:left="425" w:leftChars="0" w:right="0" w:hanging="425" w:firstLineChars="0"/>
                    <w:jc w:val="center"/>
                    <w:rPr>
                      <w:rFonts w:hint="eastAsia" w:ascii="宋体" w:hAnsi="宋体" w:eastAsia="宋体" w:cs="宋体"/>
                      <w:color w:val="auto"/>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F41F3B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业务系统</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09C8D">
                  <w:pPr>
                    <w:keepNext w:val="0"/>
                    <w:keepLines w:val="0"/>
                    <w:pageBreakBefore w:val="0"/>
                    <w:suppressLineNumbers w:val="0"/>
                    <w:kinsoku/>
                    <w:wordWrap/>
                    <w:overflowPunct/>
                    <w:topLinePunct w:val="0"/>
                    <w:autoSpaceDE/>
                    <w:autoSpaceDN/>
                    <w:bidi w:val="0"/>
                    <w:spacing w:beforeAutospacing="0" w:afterAutospacing="0" w:line="380" w:lineRule="exact"/>
                    <w:ind w:left="0" w:leftChars="0" w:right="0" w:rightChars="0"/>
                    <w:jc w:val="center"/>
                    <w:rPr>
                      <w:rFonts w:hint="eastAsia" w:ascii="宋体" w:hAnsi="宋体" w:eastAsia="宋体" w:cs="宋体"/>
                      <w:color w:val="auto"/>
                      <w:kern w:val="2"/>
                      <w:sz w:val="26"/>
                      <w:szCs w:val="26"/>
                      <w:highlight w:val="none"/>
                      <w:lang w:val="en-US" w:eastAsia="zh-CN" w:bidi="ar-SA"/>
                    </w:rPr>
                  </w:pPr>
                  <w:r>
                    <w:rPr>
                      <w:rFonts w:hint="eastAsia"/>
                      <w:color w:val="auto"/>
                      <w:highlight w:val="none"/>
                      <w:vertAlign w:val="baseline"/>
                      <w:lang w:val="en-US" w:eastAsia="zh-CN"/>
                    </w:rPr>
                    <w:t>VTE系统</w:t>
                  </w:r>
                </w:p>
              </w:tc>
              <w:tc>
                <w:tcPr>
                  <w:tcW w:w="3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EFC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leftChars="0" w:right="0" w:right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VTE评估、预警、处置等（具体参数</w:t>
                  </w:r>
                  <w:r>
                    <w:rPr>
                      <w:rFonts w:hint="eastAsia" w:ascii="宋体" w:hAnsi="宋体" w:cs="宋体"/>
                      <w:color w:val="auto"/>
                      <w:kern w:val="0"/>
                      <w:sz w:val="21"/>
                      <w:szCs w:val="21"/>
                      <w:highlight w:val="none"/>
                      <w:lang w:val="en-US" w:eastAsia="zh-CN" w:bidi="ar"/>
                    </w:rPr>
                    <w:t>要求详见附件2：VTE</w:t>
                  </w:r>
                  <w:r>
                    <w:rPr>
                      <w:rFonts w:hint="eastAsia"/>
                      <w:color w:val="auto"/>
                      <w:highlight w:val="none"/>
                      <w:vertAlign w:val="baseline"/>
                      <w:lang w:val="en-US" w:eastAsia="zh-CN"/>
                    </w:rPr>
                    <w:t>系统</w:t>
                  </w:r>
                  <w:r>
                    <w:rPr>
                      <w:rFonts w:hint="eastAsia" w:ascii="宋体" w:hAnsi="宋体" w:cs="宋体"/>
                      <w:color w:val="auto"/>
                      <w:kern w:val="0"/>
                      <w:sz w:val="21"/>
                      <w:szCs w:val="21"/>
                      <w:highlight w:val="none"/>
                      <w:lang w:val="en-US" w:eastAsia="zh-CN" w:bidi="ar"/>
                    </w:rPr>
                    <w:t>软件功能要求</w:t>
                  </w:r>
                  <w:r>
                    <w:rPr>
                      <w:rFonts w:hint="eastAsia" w:ascii="宋体" w:hAnsi="宋体" w:eastAsia="宋体" w:cs="宋体"/>
                      <w:color w:val="auto"/>
                      <w:kern w:val="0"/>
                      <w:sz w:val="21"/>
                      <w:szCs w:val="21"/>
                      <w:highlight w:val="none"/>
                      <w:lang w:val="en-US" w:eastAsia="zh-CN" w:bidi="ar"/>
                    </w:rPr>
                    <w:t>）</w:t>
                  </w:r>
                </w:p>
              </w:tc>
            </w:tr>
          </w:tbl>
          <w:p w14:paraId="22FD0B8F">
            <w:pPr>
              <w:pStyle w:val="3"/>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医院现有HIS系统清单</w:t>
            </w:r>
          </w:p>
          <w:p w14:paraId="2B058562">
            <w:pPr>
              <w:pageBreakBefore w:val="0"/>
              <w:kinsoku/>
              <w:wordWrap/>
              <w:overflowPunct/>
              <w:topLinePunct w:val="0"/>
              <w:autoSpaceDE/>
              <w:autoSpaceDN/>
              <w:bidi w:val="0"/>
              <w:spacing w:beforeAutospacing="0" w:afterAutospacing="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医院现正在使用和实施的系统清单如下，主要分为本院区HIS系统（2019年升级）、国际版HIS系统（2023年采购）两项，都将纳入本次项目的运维内容里。本次项目涉原有产品清单如下：</w:t>
            </w:r>
          </w:p>
          <w:p w14:paraId="3566C801">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本院区HIS系统产品清单</w:t>
            </w:r>
          </w:p>
          <w:tbl>
            <w:tblPr>
              <w:tblStyle w:val="49"/>
              <w:tblW w:w="5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030"/>
              <w:gridCol w:w="812"/>
              <w:gridCol w:w="1970"/>
              <w:gridCol w:w="850"/>
              <w:gridCol w:w="610"/>
            </w:tblGrid>
            <w:tr w14:paraId="359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5AF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30" w:type="dxa"/>
                  <w:tcBorders>
                    <w:top w:val="single" w:color="auto" w:sz="4" w:space="0"/>
                    <w:left w:val="nil"/>
                    <w:bottom w:val="single" w:color="auto" w:sz="4" w:space="0"/>
                    <w:right w:val="single" w:color="auto" w:sz="4" w:space="0"/>
                  </w:tcBorders>
                  <w:shd w:val="clear" w:color="auto" w:fill="auto"/>
                  <w:noWrap/>
                  <w:vAlign w:val="center"/>
                </w:tcPr>
                <w:p w14:paraId="171A3A9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289511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子系统</w:t>
                  </w:r>
                </w:p>
              </w:tc>
              <w:tc>
                <w:tcPr>
                  <w:tcW w:w="1970" w:type="dxa"/>
                  <w:tcBorders>
                    <w:top w:val="single" w:color="auto" w:sz="4" w:space="0"/>
                    <w:left w:val="nil"/>
                    <w:bottom w:val="single" w:color="auto" w:sz="4" w:space="0"/>
                    <w:right w:val="single" w:color="auto" w:sz="4" w:space="0"/>
                  </w:tcBorders>
                  <w:shd w:val="clear" w:color="auto" w:fill="auto"/>
                  <w:noWrap/>
                  <w:vAlign w:val="center"/>
                </w:tcPr>
                <w:p w14:paraId="6F43F03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模块</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B5A197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服务方式</w:t>
                  </w:r>
                </w:p>
              </w:tc>
              <w:tc>
                <w:tcPr>
                  <w:tcW w:w="610" w:type="dxa"/>
                  <w:tcBorders>
                    <w:top w:val="single" w:color="auto" w:sz="4" w:space="0"/>
                    <w:left w:val="nil"/>
                    <w:bottom w:val="single" w:color="auto" w:sz="4" w:space="0"/>
                    <w:right w:val="single" w:color="000000" w:sz="4" w:space="0"/>
                  </w:tcBorders>
                  <w:shd w:val="clear" w:color="auto" w:fill="auto"/>
                  <w:noWrap/>
                  <w:vAlign w:val="center"/>
                </w:tcPr>
                <w:p w14:paraId="5498ED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879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6ADA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0" w:type="dxa"/>
                  <w:tcBorders>
                    <w:top w:val="nil"/>
                    <w:left w:val="nil"/>
                    <w:bottom w:val="single" w:color="auto" w:sz="4" w:space="0"/>
                    <w:right w:val="single" w:color="auto" w:sz="4" w:space="0"/>
                  </w:tcBorders>
                  <w:shd w:val="clear" w:color="auto" w:fill="auto"/>
                  <w:vAlign w:val="center"/>
                </w:tcPr>
                <w:p w14:paraId="5FDD5D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基础数据平台</w:t>
                  </w:r>
                </w:p>
              </w:tc>
              <w:tc>
                <w:tcPr>
                  <w:tcW w:w="812" w:type="dxa"/>
                  <w:tcBorders>
                    <w:top w:val="nil"/>
                    <w:left w:val="nil"/>
                    <w:bottom w:val="single" w:color="auto" w:sz="4" w:space="0"/>
                    <w:right w:val="single" w:color="auto" w:sz="4" w:space="0"/>
                  </w:tcBorders>
                  <w:shd w:val="clear" w:color="auto" w:fill="auto"/>
                  <w:vAlign w:val="center"/>
                </w:tcPr>
                <w:p w14:paraId="4AC3F1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3060CEE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基础数据管理平台</w:t>
                  </w:r>
                </w:p>
              </w:tc>
              <w:tc>
                <w:tcPr>
                  <w:tcW w:w="850" w:type="dxa"/>
                  <w:tcBorders>
                    <w:top w:val="nil"/>
                    <w:left w:val="nil"/>
                    <w:bottom w:val="single" w:color="auto" w:sz="4" w:space="0"/>
                    <w:right w:val="single" w:color="auto" w:sz="4" w:space="0"/>
                  </w:tcBorders>
                  <w:shd w:val="clear" w:color="auto" w:fill="auto"/>
                  <w:vAlign w:val="center"/>
                </w:tcPr>
                <w:p w14:paraId="47DAA2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3F6F5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A0A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B1206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0" w:type="dxa"/>
                  <w:tcBorders>
                    <w:top w:val="nil"/>
                    <w:left w:val="nil"/>
                    <w:bottom w:val="single" w:color="auto" w:sz="4" w:space="0"/>
                    <w:right w:val="single" w:color="auto" w:sz="4" w:space="0"/>
                  </w:tcBorders>
                  <w:shd w:val="clear" w:color="auto" w:fill="auto"/>
                  <w:vAlign w:val="center"/>
                </w:tcPr>
                <w:p w14:paraId="00A956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基础平台</w:t>
                  </w:r>
                </w:p>
              </w:tc>
              <w:tc>
                <w:tcPr>
                  <w:tcW w:w="812" w:type="dxa"/>
                  <w:tcBorders>
                    <w:top w:val="nil"/>
                    <w:left w:val="nil"/>
                    <w:bottom w:val="single" w:color="auto" w:sz="4" w:space="0"/>
                    <w:right w:val="single" w:color="auto" w:sz="4" w:space="0"/>
                  </w:tcBorders>
                  <w:shd w:val="clear" w:color="auto" w:fill="auto"/>
                  <w:vAlign w:val="center"/>
                </w:tcPr>
                <w:p w14:paraId="57DE3F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07323F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基础平台</w:t>
                  </w:r>
                </w:p>
              </w:tc>
              <w:tc>
                <w:tcPr>
                  <w:tcW w:w="850" w:type="dxa"/>
                  <w:tcBorders>
                    <w:top w:val="nil"/>
                    <w:left w:val="nil"/>
                    <w:bottom w:val="single" w:color="auto" w:sz="4" w:space="0"/>
                    <w:right w:val="single" w:color="auto" w:sz="4" w:space="0"/>
                  </w:tcBorders>
                  <w:shd w:val="clear" w:color="auto" w:fill="auto"/>
                  <w:vAlign w:val="center"/>
                </w:tcPr>
                <w:p w14:paraId="16B6E8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FCF6C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EBC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C3E9A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0" w:type="dxa"/>
                  <w:vMerge w:val="restart"/>
                  <w:tcBorders>
                    <w:top w:val="nil"/>
                    <w:left w:val="single" w:color="auto" w:sz="4" w:space="0"/>
                    <w:bottom w:val="nil"/>
                    <w:right w:val="single" w:color="auto" w:sz="4" w:space="0"/>
                  </w:tcBorders>
                  <w:shd w:val="clear" w:color="auto" w:fill="auto"/>
                  <w:vAlign w:val="center"/>
                </w:tcPr>
                <w:p w14:paraId="6DABCA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HIS</w:t>
                  </w:r>
                </w:p>
              </w:tc>
              <w:tc>
                <w:tcPr>
                  <w:tcW w:w="812" w:type="dxa"/>
                  <w:tcBorders>
                    <w:top w:val="nil"/>
                    <w:left w:val="nil"/>
                    <w:bottom w:val="single" w:color="auto" w:sz="4" w:space="0"/>
                    <w:right w:val="single" w:color="auto" w:sz="4" w:space="0"/>
                  </w:tcBorders>
                  <w:shd w:val="clear" w:color="auto" w:fill="auto"/>
                  <w:vAlign w:val="center"/>
                </w:tcPr>
                <w:p w14:paraId="01C536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患者基本信息管理</w:t>
                  </w:r>
                </w:p>
              </w:tc>
              <w:tc>
                <w:tcPr>
                  <w:tcW w:w="1970" w:type="dxa"/>
                  <w:tcBorders>
                    <w:top w:val="nil"/>
                    <w:left w:val="nil"/>
                    <w:bottom w:val="single" w:color="auto" w:sz="4" w:space="0"/>
                    <w:right w:val="single" w:color="auto" w:sz="4" w:space="0"/>
                  </w:tcBorders>
                  <w:shd w:val="clear" w:color="auto" w:fill="auto"/>
                  <w:vAlign w:val="center"/>
                </w:tcPr>
                <w:p w14:paraId="289C05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患者基本信息管理系统</w:t>
                  </w:r>
                </w:p>
              </w:tc>
              <w:tc>
                <w:tcPr>
                  <w:tcW w:w="850" w:type="dxa"/>
                  <w:tcBorders>
                    <w:top w:val="nil"/>
                    <w:left w:val="nil"/>
                    <w:bottom w:val="single" w:color="auto" w:sz="4" w:space="0"/>
                    <w:right w:val="single" w:color="auto" w:sz="4" w:space="0"/>
                  </w:tcBorders>
                  <w:shd w:val="clear" w:color="auto" w:fill="auto"/>
                  <w:vAlign w:val="center"/>
                </w:tcPr>
                <w:p w14:paraId="1EB188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88296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DDD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D6CC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0" w:type="dxa"/>
                  <w:vMerge w:val="continue"/>
                  <w:tcBorders>
                    <w:top w:val="nil"/>
                    <w:left w:val="single" w:color="auto" w:sz="4" w:space="0"/>
                    <w:bottom w:val="nil"/>
                    <w:right w:val="single" w:color="auto" w:sz="4" w:space="0"/>
                  </w:tcBorders>
                  <w:shd w:val="clear" w:color="auto" w:fill="auto"/>
                  <w:vAlign w:val="center"/>
                </w:tcPr>
                <w:p w14:paraId="56A99F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C294A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w:t>
                  </w:r>
                </w:p>
              </w:tc>
              <w:tc>
                <w:tcPr>
                  <w:tcW w:w="1970" w:type="dxa"/>
                  <w:tcBorders>
                    <w:top w:val="nil"/>
                    <w:left w:val="nil"/>
                    <w:bottom w:val="single" w:color="auto" w:sz="4" w:space="0"/>
                    <w:right w:val="single" w:color="auto" w:sz="4" w:space="0"/>
                  </w:tcBorders>
                  <w:shd w:val="clear" w:color="auto" w:fill="auto"/>
                  <w:vAlign w:val="center"/>
                </w:tcPr>
                <w:p w14:paraId="55A485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门诊预约挂号系统</w:t>
                  </w:r>
                </w:p>
              </w:tc>
              <w:tc>
                <w:tcPr>
                  <w:tcW w:w="850" w:type="dxa"/>
                  <w:tcBorders>
                    <w:top w:val="nil"/>
                    <w:left w:val="nil"/>
                    <w:bottom w:val="single" w:color="auto" w:sz="4" w:space="0"/>
                    <w:right w:val="single" w:color="auto" w:sz="4" w:space="0"/>
                  </w:tcBorders>
                  <w:shd w:val="clear" w:color="auto" w:fill="auto"/>
                  <w:vAlign w:val="center"/>
                </w:tcPr>
                <w:p w14:paraId="69FEA0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A47F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5A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CFC07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0" w:type="dxa"/>
                  <w:vMerge w:val="continue"/>
                  <w:tcBorders>
                    <w:top w:val="nil"/>
                    <w:left w:val="single" w:color="auto" w:sz="4" w:space="0"/>
                    <w:bottom w:val="nil"/>
                    <w:right w:val="single" w:color="auto" w:sz="4" w:space="0"/>
                  </w:tcBorders>
                  <w:shd w:val="clear" w:color="auto" w:fill="auto"/>
                  <w:vAlign w:val="center"/>
                </w:tcPr>
                <w:p w14:paraId="05E2EB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B2674E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3D441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门诊分诊系统</w:t>
                  </w:r>
                </w:p>
              </w:tc>
              <w:tc>
                <w:tcPr>
                  <w:tcW w:w="850" w:type="dxa"/>
                  <w:tcBorders>
                    <w:top w:val="nil"/>
                    <w:left w:val="nil"/>
                    <w:bottom w:val="single" w:color="auto" w:sz="4" w:space="0"/>
                    <w:right w:val="single" w:color="auto" w:sz="4" w:space="0"/>
                  </w:tcBorders>
                  <w:shd w:val="clear" w:color="auto" w:fill="auto"/>
                  <w:vAlign w:val="center"/>
                </w:tcPr>
                <w:p w14:paraId="7F988A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0701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EB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F45A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0" w:type="dxa"/>
                  <w:vMerge w:val="continue"/>
                  <w:tcBorders>
                    <w:top w:val="nil"/>
                    <w:left w:val="single" w:color="auto" w:sz="4" w:space="0"/>
                    <w:bottom w:val="nil"/>
                    <w:right w:val="single" w:color="auto" w:sz="4" w:space="0"/>
                  </w:tcBorders>
                  <w:shd w:val="clear" w:color="auto" w:fill="auto"/>
                  <w:vAlign w:val="center"/>
                </w:tcPr>
                <w:p w14:paraId="08099A5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141C16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473D0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门诊收费系统</w:t>
                  </w:r>
                </w:p>
              </w:tc>
              <w:tc>
                <w:tcPr>
                  <w:tcW w:w="850" w:type="dxa"/>
                  <w:tcBorders>
                    <w:top w:val="nil"/>
                    <w:left w:val="nil"/>
                    <w:bottom w:val="single" w:color="auto" w:sz="4" w:space="0"/>
                    <w:right w:val="single" w:color="auto" w:sz="4" w:space="0"/>
                  </w:tcBorders>
                  <w:shd w:val="clear" w:color="auto" w:fill="auto"/>
                  <w:vAlign w:val="center"/>
                </w:tcPr>
                <w:p w14:paraId="5E40A9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373433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E2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83A7CB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0" w:type="dxa"/>
                  <w:vMerge w:val="continue"/>
                  <w:tcBorders>
                    <w:top w:val="nil"/>
                    <w:left w:val="single" w:color="auto" w:sz="4" w:space="0"/>
                    <w:bottom w:val="nil"/>
                    <w:right w:val="single" w:color="auto" w:sz="4" w:space="0"/>
                  </w:tcBorders>
                  <w:shd w:val="clear" w:color="auto" w:fill="auto"/>
                  <w:vAlign w:val="center"/>
                </w:tcPr>
                <w:p w14:paraId="258575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8F34D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D6FD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门诊医生工作站</w:t>
                  </w:r>
                </w:p>
              </w:tc>
              <w:tc>
                <w:tcPr>
                  <w:tcW w:w="850" w:type="dxa"/>
                  <w:tcBorders>
                    <w:top w:val="nil"/>
                    <w:left w:val="nil"/>
                    <w:bottom w:val="single" w:color="auto" w:sz="4" w:space="0"/>
                    <w:right w:val="single" w:color="auto" w:sz="4" w:space="0"/>
                  </w:tcBorders>
                  <w:shd w:val="clear" w:color="auto" w:fill="auto"/>
                  <w:vAlign w:val="center"/>
                </w:tcPr>
                <w:p w14:paraId="63D94C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A3473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698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14CF2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0" w:type="dxa"/>
                  <w:vMerge w:val="continue"/>
                  <w:tcBorders>
                    <w:top w:val="nil"/>
                    <w:left w:val="single" w:color="auto" w:sz="4" w:space="0"/>
                    <w:bottom w:val="nil"/>
                    <w:right w:val="single" w:color="auto" w:sz="4" w:space="0"/>
                  </w:tcBorders>
                  <w:shd w:val="clear" w:color="auto" w:fill="auto"/>
                  <w:vAlign w:val="center"/>
                </w:tcPr>
                <w:p w14:paraId="73A3A73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0B94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DB360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门诊护士工作站</w:t>
                  </w:r>
                </w:p>
              </w:tc>
              <w:tc>
                <w:tcPr>
                  <w:tcW w:w="850" w:type="dxa"/>
                  <w:tcBorders>
                    <w:top w:val="nil"/>
                    <w:left w:val="nil"/>
                    <w:bottom w:val="single" w:color="auto" w:sz="4" w:space="0"/>
                    <w:right w:val="single" w:color="auto" w:sz="4" w:space="0"/>
                  </w:tcBorders>
                  <w:shd w:val="clear" w:color="auto" w:fill="auto"/>
                  <w:vAlign w:val="center"/>
                </w:tcPr>
                <w:p w14:paraId="6309055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C0E5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37B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C2BC4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0" w:type="dxa"/>
                  <w:vMerge w:val="continue"/>
                  <w:tcBorders>
                    <w:top w:val="nil"/>
                    <w:left w:val="single" w:color="auto" w:sz="4" w:space="0"/>
                    <w:bottom w:val="nil"/>
                    <w:right w:val="single" w:color="auto" w:sz="4" w:space="0"/>
                  </w:tcBorders>
                  <w:shd w:val="clear" w:color="auto" w:fill="auto"/>
                  <w:vAlign w:val="center"/>
                </w:tcPr>
                <w:p w14:paraId="3CCC2DE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2CB555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CFB3E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门诊中西医药房系统</w:t>
                  </w:r>
                </w:p>
              </w:tc>
              <w:tc>
                <w:tcPr>
                  <w:tcW w:w="850" w:type="dxa"/>
                  <w:tcBorders>
                    <w:top w:val="nil"/>
                    <w:left w:val="nil"/>
                    <w:bottom w:val="single" w:color="auto" w:sz="4" w:space="0"/>
                    <w:right w:val="single" w:color="auto" w:sz="4" w:space="0"/>
                  </w:tcBorders>
                  <w:shd w:val="clear" w:color="auto" w:fill="auto"/>
                  <w:vAlign w:val="center"/>
                </w:tcPr>
                <w:p w14:paraId="3D948E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5E9E5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F7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27C2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0" w:type="dxa"/>
                  <w:vMerge w:val="continue"/>
                  <w:tcBorders>
                    <w:top w:val="nil"/>
                    <w:left w:val="single" w:color="auto" w:sz="4" w:space="0"/>
                    <w:bottom w:val="nil"/>
                    <w:right w:val="single" w:color="auto" w:sz="4" w:space="0"/>
                  </w:tcBorders>
                  <w:shd w:val="clear" w:color="auto" w:fill="auto"/>
                  <w:vAlign w:val="center"/>
                </w:tcPr>
                <w:p w14:paraId="052B95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9D79F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E20502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门诊配液管理系统</w:t>
                  </w:r>
                </w:p>
              </w:tc>
              <w:tc>
                <w:tcPr>
                  <w:tcW w:w="850" w:type="dxa"/>
                  <w:tcBorders>
                    <w:top w:val="nil"/>
                    <w:left w:val="nil"/>
                    <w:bottom w:val="single" w:color="auto" w:sz="4" w:space="0"/>
                    <w:right w:val="single" w:color="auto" w:sz="4" w:space="0"/>
                  </w:tcBorders>
                  <w:shd w:val="clear" w:color="auto" w:fill="auto"/>
                  <w:vAlign w:val="center"/>
                </w:tcPr>
                <w:p w14:paraId="0F4CCC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0B5E8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D2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E29AB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0" w:type="dxa"/>
                  <w:vMerge w:val="continue"/>
                  <w:tcBorders>
                    <w:top w:val="nil"/>
                    <w:left w:val="single" w:color="auto" w:sz="4" w:space="0"/>
                    <w:bottom w:val="nil"/>
                    <w:right w:val="single" w:color="auto" w:sz="4" w:space="0"/>
                  </w:tcBorders>
                  <w:shd w:val="clear" w:color="auto" w:fill="auto"/>
                  <w:vAlign w:val="center"/>
                </w:tcPr>
                <w:p w14:paraId="3C4B94D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F0C9D7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F542C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门诊应急系统</w:t>
                  </w:r>
                </w:p>
              </w:tc>
              <w:tc>
                <w:tcPr>
                  <w:tcW w:w="850" w:type="dxa"/>
                  <w:tcBorders>
                    <w:top w:val="nil"/>
                    <w:left w:val="nil"/>
                    <w:bottom w:val="single" w:color="auto" w:sz="4" w:space="0"/>
                    <w:right w:val="single" w:color="auto" w:sz="4" w:space="0"/>
                  </w:tcBorders>
                  <w:shd w:val="clear" w:color="auto" w:fill="auto"/>
                  <w:vAlign w:val="center"/>
                </w:tcPr>
                <w:p w14:paraId="2A5750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5DDD9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F7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38FD4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0" w:type="dxa"/>
                  <w:vMerge w:val="continue"/>
                  <w:tcBorders>
                    <w:top w:val="nil"/>
                    <w:left w:val="single" w:color="auto" w:sz="4" w:space="0"/>
                    <w:bottom w:val="nil"/>
                    <w:right w:val="single" w:color="auto" w:sz="4" w:space="0"/>
                  </w:tcBorders>
                  <w:shd w:val="clear" w:color="auto" w:fill="auto"/>
                  <w:vAlign w:val="center"/>
                </w:tcPr>
                <w:p w14:paraId="5583FDE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412094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37BF7D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多学科会诊（MDT）管理系统</w:t>
                  </w:r>
                </w:p>
              </w:tc>
              <w:tc>
                <w:tcPr>
                  <w:tcW w:w="850" w:type="dxa"/>
                  <w:tcBorders>
                    <w:top w:val="nil"/>
                    <w:left w:val="nil"/>
                    <w:bottom w:val="single" w:color="auto" w:sz="4" w:space="0"/>
                    <w:right w:val="single" w:color="auto" w:sz="4" w:space="0"/>
                  </w:tcBorders>
                  <w:shd w:val="clear" w:color="auto" w:fill="auto"/>
                  <w:vAlign w:val="center"/>
                </w:tcPr>
                <w:p w14:paraId="7A388C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402984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F24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21C47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0" w:type="dxa"/>
                  <w:vMerge w:val="continue"/>
                  <w:tcBorders>
                    <w:top w:val="nil"/>
                    <w:left w:val="single" w:color="auto" w:sz="4" w:space="0"/>
                    <w:bottom w:val="nil"/>
                    <w:right w:val="single" w:color="auto" w:sz="4" w:space="0"/>
                  </w:tcBorders>
                  <w:shd w:val="clear" w:color="auto" w:fill="auto"/>
                  <w:vAlign w:val="center"/>
                </w:tcPr>
                <w:p w14:paraId="50041AB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6D826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w:t>
                  </w:r>
                </w:p>
              </w:tc>
              <w:tc>
                <w:tcPr>
                  <w:tcW w:w="1970" w:type="dxa"/>
                  <w:tcBorders>
                    <w:top w:val="nil"/>
                    <w:left w:val="nil"/>
                    <w:bottom w:val="single" w:color="auto" w:sz="4" w:space="0"/>
                    <w:right w:val="single" w:color="auto" w:sz="4" w:space="0"/>
                  </w:tcBorders>
                  <w:shd w:val="clear" w:color="auto" w:fill="auto"/>
                  <w:vAlign w:val="center"/>
                </w:tcPr>
                <w:p w14:paraId="2757E2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急诊挂号系统</w:t>
                  </w:r>
                </w:p>
              </w:tc>
              <w:tc>
                <w:tcPr>
                  <w:tcW w:w="850" w:type="dxa"/>
                  <w:tcBorders>
                    <w:top w:val="nil"/>
                    <w:left w:val="nil"/>
                    <w:bottom w:val="single" w:color="auto" w:sz="4" w:space="0"/>
                    <w:right w:val="single" w:color="auto" w:sz="4" w:space="0"/>
                  </w:tcBorders>
                  <w:shd w:val="clear" w:color="auto" w:fill="auto"/>
                  <w:vAlign w:val="center"/>
                </w:tcPr>
                <w:p w14:paraId="3502E4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79326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FC5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705EB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0" w:type="dxa"/>
                  <w:vMerge w:val="continue"/>
                  <w:tcBorders>
                    <w:top w:val="nil"/>
                    <w:left w:val="single" w:color="auto" w:sz="4" w:space="0"/>
                    <w:bottom w:val="nil"/>
                    <w:right w:val="single" w:color="auto" w:sz="4" w:space="0"/>
                  </w:tcBorders>
                  <w:shd w:val="clear" w:color="auto" w:fill="auto"/>
                  <w:vAlign w:val="center"/>
                </w:tcPr>
                <w:p w14:paraId="5F49A2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4E9E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E3BC3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急诊预检分诊系统</w:t>
                  </w:r>
                </w:p>
              </w:tc>
              <w:tc>
                <w:tcPr>
                  <w:tcW w:w="850" w:type="dxa"/>
                  <w:tcBorders>
                    <w:top w:val="nil"/>
                    <w:left w:val="nil"/>
                    <w:bottom w:val="single" w:color="auto" w:sz="4" w:space="0"/>
                    <w:right w:val="single" w:color="auto" w:sz="4" w:space="0"/>
                  </w:tcBorders>
                  <w:shd w:val="clear" w:color="auto" w:fill="auto"/>
                  <w:vAlign w:val="center"/>
                </w:tcPr>
                <w:p w14:paraId="3E2B27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B7B991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BEC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7AD43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0" w:type="dxa"/>
                  <w:vMerge w:val="continue"/>
                  <w:tcBorders>
                    <w:top w:val="nil"/>
                    <w:left w:val="single" w:color="auto" w:sz="4" w:space="0"/>
                    <w:bottom w:val="nil"/>
                    <w:right w:val="single" w:color="auto" w:sz="4" w:space="0"/>
                  </w:tcBorders>
                  <w:shd w:val="clear" w:color="auto" w:fill="auto"/>
                  <w:vAlign w:val="center"/>
                </w:tcPr>
                <w:p w14:paraId="51D5D2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1C882E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06C7C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急诊收费系统</w:t>
                  </w:r>
                </w:p>
              </w:tc>
              <w:tc>
                <w:tcPr>
                  <w:tcW w:w="850" w:type="dxa"/>
                  <w:tcBorders>
                    <w:top w:val="nil"/>
                    <w:left w:val="nil"/>
                    <w:bottom w:val="single" w:color="auto" w:sz="4" w:space="0"/>
                    <w:right w:val="single" w:color="auto" w:sz="4" w:space="0"/>
                  </w:tcBorders>
                  <w:shd w:val="clear" w:color="auto" w:fill="auto"/>
                  <w:vAlign w:val="center"/>
                </w:tcPr>
                <w:p w14:paraId="3FD95B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185CE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C5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72A80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0" w:type="dxa"/>
                  <w:vMerge w:val="continue"/>
                  <w:tcBorders>
                    <w:top w:val="nil"/>
                    <w:left w:val="single" w:color="auto" w:sz="4" w:space="0"/>
                    <w:bottom w:val="nil"/>
                    <w:right w:val="single" w:color="auto" w:sz="4" w:space="0"/>
                  </w:tcBorders>
                  <w:shd w:val="clear" w:color="auto" w:fill="auto"/>
                  <w:vAlign w:val="center"/>
                </w:tcPr>
                <w:p w14:paraId="227519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CB8ABD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A7718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急诊医生工作站</w:t>
                  </w:r>
                </w:p>
              </w:tc>
              <w:tc>
                <w:tcPr>
                  <w:tcW w:w="850" w:type="dxa"/>
                  <w:tcBorders>
                    <w:top w:val="nil"/>
                    <w:left w:val="nil"/>
                    <w:bottom w:val="single" w:color="auto" w:sz="4" w:space="0"/>
                    <w:right w:val="single" w:color="auto" w:sz="4" w:space="0"/>
                  </w:tcBorders>
                  <w:shd w:val="clear" w:color="auto" w:fill="auto"/>
                  <w:vAlign w:val="center"/>
                </w:tcPr>
                <w:p w14:paraId="6E2064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E9785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51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98E87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0" w:type="dxa"/>
                  <w:vMerge w:val="continue"/>
                  <w:tcBorders>
                    <w:top w:val="nil"/>
                    <w:left w:val="single" w:color="auto" w:sz="4" w:space="0"/>
                    <w:bottom w:val="nil"/>
                    <w:right w:val="single" w:color="auto" w:sz="4" w:space="0"/>
                  </w:tcBorders>
                  <w:shd w:val="clear" w:color="auto" w:fill="auto"/>
                  <w:vAlign w:val="center"/>
                </w:tcPr>
                <w:p w14:paraId="0BD5DD5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A8372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BBEE3C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急诊护士工作站</w:t>
                  </w:r>
                </w:p>
              </w:tc>
              <w:tc>
                <w:tcPr>
                  <w:tcW w:w="850" w:type="dxa"/>
                  <w:tcBorders>
                    <w:top w:val="nil"/>
                    <w:left w:val="nil"/>
                    <w:bottom w:val="single" w:color="auto" w:sz="4" w:space="0"/>
                    <w:right w:val="single" w:color="auto" w:sz="4" w:space="0"/>
                  </w:tcBorders>
                  <w:shd w:val="clear" w:color="auto" w:fill="auto"/>
                  <w:vAlign w:val="center"/>
                </w:tcPr>
                <w:p w14:paraId="2BEC4B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F5A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3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5A87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0" w:type="dxa"/>
                  <w:vMerge w:val="continue"/>
                  <w:tcBorders>
                    <w:top w:val="nil"/>
                    <w:left w:val="single" w:color="auto" w:sz="4" w:space="0"/>
                    <w:bottom w:val="nil"/>
                    <w:right w:val="single" w:color="auto" w:sz="4" w:space="0"/>
                  </w:tcBorders>
                  <w:shd w:val="clear" w:color="auto" w:fill="auto"/>
                  <w:vAlign w:val="center"/>
                </w:tcPr>
                <w:p w14:paraId="624E1BF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3C5EA1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CB526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急诊中西医药房系统</w:t>
                  </w:r>
                </w:p>
              </w:tc>
              <w:tc>
                <w:tcPr>
                  <w:tcW w:w="850" w:type="dxa"/>
                  <w:tcBorders>
                    <w:top w:val="nil"/>
                    <w:left w:val="nil"/>
                    <w:bottom w:val="single" w:color="auto" w:sz="4" w:space="0"/>
                    <w:right w:val="single" w:color="auto" w:sz="4" w:space="0"/>
                  </w:tcBorders>
                  <w:shd w:val="clear" w:color="auto" w:fill="auto"/>
                  <w:vAlign w:val="center"/>
                </w:tcPr>
                <w:p w14:paraId="5B990FB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2B287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AFB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705B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0" w:type="dxa"/>
                  <w:vMerge w:val="continue"/>
                  <w:tcBorders>
                    <w:top w:val="nil"/>
                    <w:left w:val="single" w:color="auto" w:sz="4" w:space="0"/>
                    <w:bottom w:val="nil"/>
                    <w:right w:val="single" w:color="auto" w:sz="4" w:space="0"/>
                  </w:tcBorders>
                  <w:shd w:val="clear" w:color="auto" w:fill="auto"/>
                  <w:vAlign w:val="center"/>
                </w:tcPr>
                <w:p w14:paraId="058FF3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E12634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214B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急诊留观系统</w:t>
                  </w:r>
                </w:p>
              </w:tc>
              <w:tc>
                <w:tcPr>
                  <w:tcW w:w="850" w:type="dxa"/>
                  <w:tcBorders>
                    <w:top w:val="nil"/>
                    <w:left w:val="nil"/>
                    <w:bottom w:val="single" w:color="auto" w:sz="4" w:space="0"/>
                    <w:right w:val="single" w:color="auto" w:sz="4" w:space="0"/>
                  </w:tcBorders>
                  <w:shd w:val="clear" w:color="auto" w:fill="auto"/>
                  <w:vAlign w:val="center"/>
                </w:tcPr>
                <w:p w14:paraId="01617E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6C9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D8E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19DCD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0" w:type="dxa"/>
                  <w:vMerge w:val="continue"/>
                  <w:tcBorders>
                    <w:top w:val="nil"/>
                    <w:left w:val="single" w:color="auto" w:sz="4" w:space="0"/>
                    <w:bottom w:val="nil"/>
                    <w:right w:val="single" w:color="auto" w:sz="4" w:space="0"/>
                  </w:tcBorders>
                  <w:shd w:val="clear" w:color="auto" w:fill="auto"/>
                  <w:vAlign w:val="center"/>
                </w:tcPr>
                <w:p w14:paraId="7F67A0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21689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2BD6F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急诊质控统计</w:t>
                  </w:r>
                </w:p>
              </w:tc>
              <w:tc>
                <w:tcPr>
                  <w:tcW w:w="850" w:type="dxa"/>
                  <w:tcBorders>
                    <w:top w:val="nil"/>
                    <w:left w:val="nil"/>
                    <w:bottom w:val="single" w:color="auto" w:sz="4" w:space="0"/>
                    <w:right w:val="single" w:color="auto" w:sz="4" w:space="0"/>
                  </w:tcBorders>
                  <w:shd w:val="clear" w:color="auto" w:fill="auto"/>
                  <w:vAlign w:val="center"/>
                </w:tcPr>
                <w:p w14:paraId="399E1CE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0762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244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1B44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0" w:type="dxa"/>
                  <w:vMerge w:val="continue"/>
                  <w:tcBorders>
                    <w:top w:val="nil"/>
                    <w:left w:val="single" w:color="auto" w:sz="4" w:space="0"/>
                    <w:bottom w:val="nil"/>
                    <w:right w:val="single" w:color="auto" w:sz="4" w:space="0"/>
                  </w:tcBorders>
                  <w:shd w:val="clear" w:color="auto" w:fill="auto"/>
                  <w:vAlign w:val="center"/>
                </w:tcPr>
                <w:p w14:paraId="7C1F46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nil"/>
                    <w:right w:val="single" w:color="auto" w:sz="4" w:space="0"/>
                  </w:tcBorders>
                  <w:shd w:val="clear" w:color="auto" w:fill="auto"/>
                  <w:vAlign w:val="center"/>
                </w:tcPr>
                <w:p w14:paraId="0F8CBE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w:t>
                  </w:r>
                </w:p>
              </w:tc>
              <w:tc>
                <w:tcPr>
                  <w:tcW w:w="1970" w:type="dxa"/>
                  <w:tcBorders>
                    <w:top w:val="nil"/>
                    <w:left w:val="nil"/>
                    <w:bottom w:val="single" w:color="auto" w:sz="4" w:space="0"/>
                    <w:right w:val="single" w:color="auto" w:sz="4" w:space="0"/>
                  </w:tcBorders>
                  <w:shd w:val="clear" w:color="auto" w:fill="auto"/>
                  <w:vAlign w:val="center"/>
                </w:tcPr>
                <w:p w14:paraId="6080BE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住院医生工作站</w:t>
                  </w:r>
                </w:p>
              </w:tc>
              <w:tc>
                <w:tcPr>
                  <w:tcW w:w="850" w:type="dxa"/>
                  <w:tcBorders>
                    <w:top w:val="nil"/>
                    <w:left w:val="nil"/>
                    <w:bottom w:val="single" w:color="auto" w:sz="4" w:space="0"/>
                    <w:right w:val="single" w:color="auto" w:sz="4" w:space="0"/>
                  </w:tcBorders>
                  <w:shd w:val="clear" w:color="auto" w:fill="auto"/>
                  <w:vAlign w:val="center"/>
                </w:tcPr>
                <w:p w14:paraId="51EE7C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335D66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26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9CB7F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0" w:type="dxa"/>
                  <w:vMerge w:val="continue"/>
                  <w:tcBorders>
                    <w:top w:val="nil"/>
                    <w:left w:val="single" w:color="auto" w:sz="4" w:space="0"/>
                    <w:bottom w:val="nil"/>
                    <w:right w:val="single" w:color="auto" w:sz="4" w:space="0"/>
                  </w:tcBorders>
                  <w:shd w:val="clear" w:color="auto" w:fill="auto"/>
                  <w:vAlign w:val="center"/>
                </w:tcPr>
                <w:p w14:paraId="651949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64C000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58E70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住院护士工作站</w:t>
                  </w:r>
                </w:p>
              </w:tc>
              <w:tc>
                <w:tcPr>
                  <w:tcW w:w="850" w:type="dxa"/>
                  <w:tcBorders>
                    <w:top w:val="nil"/>
                    <w:left w:val="nil"/>
                    <w:bottom w:val="single" w:color="auto" w:sz="4" w:space="0"/>
                    <w:right w:val="single" w:color="auto" w:sz="4" w:space="0"/>
                  </w:tcBorders>
                  <w:shd w:val="clear" w:color="auto" w:fill="auto"/>
                  <w:vAlign w:val="center"/>
                </w:tcPr>
                <w:p w14:paraId="21C458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A8E356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4D3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B80D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0" w:type="dxa"/>
                  <w:vMerge w:val="continue"/>
                  <w:tcBorders>
                    <w:top w:val="nil"/>
                    <w:left w:val="single" w:color="auto" w:sz="4" w:space="0"/>
                    <w:bottom w:val="nil"/>
                    <w:right w:val="single" w:color="auto" w:sz="4" w:space="0"/>
                  </w:tcBorders>
                  <w:shd w:val="clear" w:color="auto" w:fill="auto"/>
                  <w:vAlign w:val="center"/>
                </w:tcPr>
                <w:p w14:paraId="3B32B08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78DCF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E1F28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住院出入转系统</w:t>
                  </w:r>
                </w:p>
              </w:tc>
              <w:tc>
                <w:tcPr>
                  <w:tcW w:w="850" w:type="dxa"/>
                  <w:tcBorders>
                    <w:top w:val="nil"/>
                    <w:left w:val="nil"/>
                    <w:bottom w:val="single" w:color="auto" w:sz="4" w:space="0"/>
                    <w:right w:val="single" w:color="auto" w:sz="4" w:space="0"/>
                  </w:tcBorders>
                  <w:shd w:val="clear" w:color="auto" w:fill="auto"/>
                  <w:vAlign w:val="center"/>
                </w:tcPr>
                <w:p w14:paraId="3B08D4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F9844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2B5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FA56A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0" w:type="dxa"/>
                  <w:vMerge w:val="continue"/>
                  <w:tcBorders>
                    <w:top w:val="nil"/>
                    <w:left w:val="single" w:color="auto" w:sz="4" w:space="0"/>
                    <w:bottom w:val="nil"/>
                    <w:right w:val="single" w:color="auto" w:sz="4" w:space="0"/>
                  </w:tcBorders>
                  <w:shd w:val="clear" w:color="auto" w:fill="auto"/>
                  <w:vAlign w:val="center"/>
                </w:tcPr>
                <w:p w14:paraId="3FC170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62A2DA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39767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住院收费系统</w:t>
                  </w:r>
                </w:p>
              </w:tc>
              <w:tc>
                <w:tcPr>
                  <w:tcW w:w="850" w:type="dxa"/>
                  <w:tcBorders>
                    <w:top w:val="nil"/>
                    <w:left w:val="nil"/>
                    <w:bottom w:val="single" w:color="auto" w:sz="4" w:space="0"/>
                    <w:right w:val="single" w:color="auto" w:sz="4" w:space="0"/>
                  </w:tcBorders>
                  <w:shd w:val="clear" w:color="auto" w:fill="auto"/>
                  <w:vAlign w:val="center"/>
                </w:tcPr>
                <w:p w14:paraId="6151B6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339AB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C8B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E2598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0" w:type="dxa"/>
                  <w:vMerge w:val="continue"/>
                  <w:tcBorders>
                    <w:top w:val="nil"/>
                    <w:left w:val="single" w:color="auto" w:sz="4" w:space="0"/>
                    <w:bottom w:val="nil"/>
                    <w:right w:val="single" w:color="auto" w:sz="4" w:space="0"/>
                  </w:tcBorders>
                  <w:shd w:val="clear" w:color="auto" w:fill="auto"/>
                  <w:vAlign w:val="center"/>
                </w:tcPr>
                <w:p w14:paraId="0825FE3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C0716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111D70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住院中心药房系统</w:t>
                  </w:r>
                </w:p>
              </w:tc>
              <w:tc>
                <w:tcPr>
                  <w:tcW w:w="850" w:type="dxa"/>
                  <w:tcBorders>
                    <w:top w:val="nil"/>
                    <w:left w:val="nil"/>
                    <w:bottom w:val="single" w:color="auto" w:sz="4" w:space="0"/>
                    <w:right w:val="single" w:color="auto" w:sz="4" w:space="0"/>
                  </w:tcBorders>
                  <w:shd w:val="clear" w:color="auto" w:fill="auto"/>
                  <w:vAlign w:val="center"/>
                </w:tcPr>
                <w:p w14:paraId="59283B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C9D8F0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89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BB4A2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0" w:type="dxa"/>
                  <w:vMerge w:val="continue"/>
                  <w:tcBorders>
                    <w:top w:val="nil"/>
                    <w:left w:val="single" w:color="auto" w:sz="4" w:space="0"/>
                    <w:bottom w:val="nil"/>
                    <w:right w:val="single" w:color="auto" w:sz="4" w:space="0"/>
                  </w:tcBorders>
                  <w:shd w:val="clear" w:color="auto" w:fill="auto"/>
                  <w:vAlign w:val="center"/>
                </w:tcPr>
                <w:p w14:paraId="0CD8F5D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0D3099C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B60C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住院配液中心系统</w:t>
                  </w:r>
                </w:p>
              </w:tc>
              <w:tc>
                <w:tcPr>
                  <w:tcW w:w="850" w:type="dxa"/>
                  <w:tcBorders>
                    <w:top w:val="nil"/>
                    <w:left w:val="nil"/>
                    <w:bottom w:val="single" w:color="auto" w:sz="4" w:space="0"/>
                    <w:right w:val="single" w:color="auto" w:sz="4" w:space="0"/>
                  </w:tcBorders>
                  <w:shd w:val="clear" w:color="auto" w:fill="auto"/>
                  <w:vAlign w:val="center"/>
                </w:tcPr>
                <w:p w14:paraId="6F2469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A91099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3AD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F2647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0" w:type="dxa"/>
                  <w:vMerge w:val="continue"/>
                  <w:tcBorders>
                    <w:top w:val="nil"/>
                    <w:left w:val="single" w:color="auto" w:sz="4" w:space="0"/>
                    <w:bottom w:val="nil"/>
                    <w:right w:val="single" w:color="auto" w:sz="4" w:space="0"/>
                  </w:tcBorders>
                  <w:shd w:val="clear" w:color="auto" w:fill="auto"/>
                  <w:vAlign w:val="center"/>
                </w:tcPr>
                <w:p w14:paraId="4CD835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88A866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5781B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床位管理中心</w:t>
                  </w:r>
                </w:p>
              </w:tc>
              <w:tc>
                <w:tcPr>
                  <w:tcW w:w="850" w:type="dxa"/>
                  <w:tcBorders>
                    <w:top w:val="nil"/>
                    <w:left w:val="nil"/>
                    <w:bottom w:val="single" w:color="auto" w:sz="4" w:space="0"/>
                    <w:right w:val="single" w:color="auto" w:sz="4" w:space="0"/>
                  </w:tcBorders>
                  <w:shd w:val="clear" w:color="auto" w:fill="auto"/>
                  <w:vAlign w:val="center"/>
                </w:tcPr>
                <w:p w14:paraId="306555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A24F3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E03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7C517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30" w:type="dxa"/>
                  <w:vMerge w:val="continue"/>
                  <w:tcBorders>
                    <w:top w:val="nil"/>
                    <w:left w:val="single" w:color="auto" w:sz="4" w:space="0"/>
                    <w:bottom w:val="nil"/>
                    <w:right w:val="single" w:color="auto" w:sz="4" w:space="0"/>
                  </w:tcBorders>
                  <w:shd w:val="clear" w:color="auto" w:fill="auto"/>
                  <w:vAlign w:val="center"/>
                </w:tcPr>
                <w:p w14:paraId="54FF969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334523B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D9628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会诊管理系统</w:t>
                  </w:r>
                </w:p>
              </w:tc>
              <w:tc>
                <w:tcPr>
                  <w:tcW w:w="850" w:type="dxa"/>
                  <w:tcBorders>
                    <w:top w:val="nil"/>
                    <w:left w:val="nil"/>
                    <w:bottom w:val="single" w:color="auto" w:sz="4" w:space="0"/>
                    <w:right w:val="single" w:color="auto" w:sz="4" w:space="0"/>
                  </w:tcBorders>
                  <w:shd w:val="clear" w:color="auto" w:fill="auto"/>
                  <w:vAlign w:val="center"/>
                </w:tcPr>
                <w:p w14:paraId="68A98B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021A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D9F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F2381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30" w:type="dxa"/>
                  <w:vMerge w:val="continue"/>
                  <w:tcBorders>
                    <w:top w:val="nil"/>
                    <w:left w:val="single" w:color="auto" w:sz="4" w:space="0"/>
                    <w:bottom w:val="nil"/>
                    <w:right w:val="single" w:color="auto" w:sz="4" w:space="0"/>
                  </w:tcBorders>
                  <w:shd w:val="clear" w:color="auto" w:fill="auto"/>
                  <w:vAlign w:val="center"/>
                </w:tcPr>
                <w:p w14:paraId="02F3FB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3F00E7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DA9927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预住院日间手术管理</w:t>
                  </w:r>
                </w:p>
              </w:tc>
              <w:tc>
                <w:tcPr>
                  <w:tcW w:w="850" w:type="dxa"/>
                  <w:tcBorders>
                    <w:top w:val="nil"/>
                    <w:left w:val="nil"/>
                    <w:bottom w:val="single" w:color="auto" w:sz="4" w:space="0"/>
                    <w:right w:val="single" w:color="auto" w:sz="4" w:space="0"/>
                  </w:tcBorders>
                  <w:shd w:val="clear" w:color="auto" w:fill="auto"/>
                  <w:vAlign w:val="center"/>
                </w:tcPr>
                <w:p w14:paraId="6E2938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6B97BD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6A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88533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30" w:type="dxa"/>
                  <w:vMerge w:val="continue"/>
                  <w:tcBorders>
                    <w:top w:val="nil"/>
                    <w:left w:val="single" w:color="auto" w:sz="4" w:space="0"/>
                    <w:bottom w:val="nil"/>
                    <w:right w:val="single" w:color="auto" w:sz="4" w:space="0"/>
                  </w:tcBorders>
                  <w:shd w:val="clear" w:color="auto" w:fill="auto"/>
                  <w:vAlign w:val="center"/>
                </w:tcPr>
                <w:p w14:paraId="6C28499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17C4E4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4B22B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中药汤剂发放管理系统</w:t>
                  </w:r>
                </w:p>
              </w:tc>
              <w:tc>
                <w:tcPr>
                  <w:tcW w:w="850" w:type="dxa"/>
                  <w:tcBorders>
                    <w:top w:val="nil"/>
                    <w:left w:val="nil"/>
                    <w:bottom w:val="single" w:color="auto" w:sz="4" w:space="0"/>
                    <w:right w:val="single" w:color="auto" w:sz="4" w:space="0"/>
                  </w:tcBorders>
                  <w:shd w:val="clear" w:color="auto" w:fill="auto"/>
                  <w:vAlign w:val="center"/>
                </w:tcPr>
                <w:p w14:paraId="4F0F34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78E8C6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2B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3CA95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30" w:type="dxa"/>
                  <w:vMerge w:val="continue"/>
                  <w:tcBorders>
                    <w:top w:val="nil"/>
                    <w:left w:val="single" w:color="auto" w:sz="4" w:space="0"/>
                    <w:bottom w:val="nil"/>
                    <w:right w:val="single" w:color="auto" w:sz="4" w:space="0"/>
                  </w:tcBorders>
                  <w:shd w:val="clear" w:color="auto" w:fill="auto"/>
                  <w:vAlign w:val="center"/>
                </w:tcPr>
                <w:p w14:paraId="284F14D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3807857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2571C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移动医生工作站</w:t>
                  </w:r>
                </w:p>
              </w:tc>
              <w:tc>
                <w:tcPr>
                  <w:tcW w:w="850" w:type="dxa"/>
                  <w:tcBorders>
                    <w:top w:val="nil"/>
                    <w:left w:val="nil"/>
                    <w:bottom w:val="single" w:color="auto" w:sz="4" w:space="0"/>
                    <w:right w:val="single" w:color="auto" w:sz="4" w:space="0"/>
                  </w:tcBorders>
                  <w:shd w:val="clear" w:color="auto" w:fill="auto"/>
                  <w:vAlign w:val="center"/>
                </w:tcPr>
                <w:p w14:paraId="352510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9FF7E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D79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F1B4EA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30" w:type="dxa"/>
                  <w:vMerge w:val="continue"/>
                  <w:tcBorders>
                    <w:top w:val="nil"/>
                    <w:left w:val="single" w:color="auto" w:sz="4" w:space="0"/>
                    <w:bottom w:val="nil"/>
                    <w:right w:val="single" w:color="auto" w:sz="4" w:space="0"/>
                  </w:tcBorders>
                  <w:shd w:val="clear" w:color="auto" w:fill="auto"/>
                  <w:vAlign w:val="center"/>
                </w:tcPr>
                <w:p w14:paraId="2F6E72A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247218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29B467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陪送管理系统</w:t>
                  </w:r>
                </w:p>
              </w:tc>
              <w:tc>
                <w:tcPr>
                  <w:tcW w:w="850" w:type="dxa"/>
                  <w:tcBorders>
                    <w:top w:val="nil"/>
                    <w:left w:val="nil"/>
                    <w:bottom w:val="single" w:color="auto" w:sz="4" w:space="0"/>
                    <w:right w:val="single" w:color="auto" w:sz="4" w:space="0"/>
                  </w:tcBorders>
                  <w:shd w:val="clear" w:color="auto" w:fill="auto"/>
                  <w:vAlign w:val="center"/>
                </w:tcPr>
                <w:p w14:paraId="3721AD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2D6E7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9C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2426E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30" w:type="dxa"/>
                  <w:vMerge w:val="continue"/>
                  <w:tcBorders>
                    <w:top w:val="nil"/>
                    <w:left w:val="single" w:color="auto" w:sz="4" w:space="0"/>
                    <w:bottom w:val="nil"/>
                    <w:right w:val="single" w:color="auto" w:sz="4" w:space="0"/>
                  </w:tcBorders>
                  <w:shd w:val="clear" w:color="auto" w:fill="auto"/>
                  <w:vAlign w:val="center"/>
                </w:tcPr>
                <w:p w14:paraId="38E8A6A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04774D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EC09D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体温单</w:t>
                  </w:r>
                </w:p>
              </w:tc>
              <w:tc>
                <w:tcPr>
                  <w:tcW w:w="850" w:type="dxa"/>
                  <w:tcBorders>
                    <w:top w:val="nil"/>
                    <w:left w:val="nil"/>
                    <w:bottom w:val="single" w:color="auto" w:sz="4" w:space="0"/>
                    <w:right w:val="single" w:color="auto" w:sz="4" w:space="0"/>
                  </w:tcBorders>
                  <w:shd w:val="clear" w:color="auto" w:fill="auto"/>
                  <w:vAlign w:val="center"/>
                </w:tcPr>
                <w:p w14:paraId="6D7AA9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BB107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E9C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52B22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030" w:type="dxa"/>
                  <w:vMerge w:val="continue"/>
                  <w:tcBorders>
                    <w:top w:val="nil"/>
                    <w:left w:val="single" w:color="auto" w:sz="4" w:space="0"/>
                    <w:bottom w:val="nil"/>
                    <w:right w:val="single" w:color="auto" w:sz="4" w:space="0"/>
                  </w:tcBorders>
                  <w:shd w:val="clear" w:color="auto" w:fill="auto"/>
                  <w:vAlign w:val="center"/>
                </w:tcPr>
                <w:p w14:paraId="1FB7C5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nil"/>
                    <w:right w:val="single" w:color="auto" w:sz="4" w:space="0"/>
                  </w:tcBorders>
                  <w:shd w:val="clear" w:color="auto" w:fill="auto"/>
                  <w:vAlign w:val="center"/>
                </w:tcPr>
                <w:p w14:paraId="4514625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8F7E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化疗系统（含日间化疗）</w:t>
                  </w:r>
                </w:p>
              </w:tc>
              <w:tc>
                <w:tcPr>
                  <w:tcW w:w="850" w:type="dxa"/>
                  <w:tcBorders>
                    <w:top w:val="nil"/>
                    <w:left w:val="nil"/>
                    <w:bottom w:val="single" w:color="auto" w:sz="4" w:space="0"/>
                    <w:right w:val="single" w:color="auto" w:sz="4" w:space="0"/>
                  </w:tcBorders>
                  <w:shd w:val="clear" w:color="auto" w:fill="auto"/>
                  <w:vAlign w:val="center"/>
                </w:tcPr>
                <w:p w14:paraId="3A25F1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B6098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B0C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4A10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A2DC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急救中心</w:t>
                  </w:r>
                </w:p>
              </w:tc>
              <w:tc>
                <w:tcPr>
                  <w:tcW w:w="81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F167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急救中心专病管理系统</w:t>
                  </w:r>
                </w:p>
              </w:tc>
              <w:tc>
                <w:tcPr>
                  <w:tcW w:w="1970" w:type="dxa"/>
                  <w:tcBorders>
                    <w:top w:val="nil"/>
                    <w:left w:val="nil"/>
                    <w:bottom w:val="single" w:color="auto" w:sz="4" w:space="0"/>
                    <w:right w:val="single" w:color="auto" w:sz="4" w:space="0"/>
                  </w:tcBorders>
                  <w:shd w:val="clear" w:color="auto" w:fill="auto"/>
                  <w:vAlign w:val="center"/>
                </w:tcPr>
                <w:p w14:paraId="76550F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创伤工作站</w:t>
                  </w:r>
                </w:p>
              </w:tc>
              <w:tc>
                <w:tcPr>
                  <w:tcW w:w="850" w:type="dxa"/>
                  <w:tcBorders>
                    <w:top w:val="nil"/>
                    <w:left w:val="nil"/>
                    <w:bottom w:val="single" w:color="auto" w:sz="4" w:space="0"/>
                    <w:right w:val="single" w:color="auto" w:sz="4" w:space="0"/>
                  </w:tcBorders>
                  <w:shd w:val="clear" w:color="auto" w:fill="auto"/>
                  <w:vAlign w:val="center"/>
                </w:tcPr>
                <w:p w14:paraId="382B671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46B9C7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D2E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A0B84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3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490C04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A70781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9B3B5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卒中工作站</w:t>
                  </w:r>
                </w:p>
              </w:tc>
              <w:tc>
                <w:tcPr>
                  <w:tcW w:w="850" w:type="dxa"/>
                  <w:tcBorders>
                    <w:top w:val="nil"/>
                    <w:left w:val="nil"/>
                    <w:bottom w:val="single" w:color="auto" w:sz="4" w:space="0"/>
                    <w:right w:val="single" w:color="auto" w:sz="4" w:space="0"/>
                  </w:tcBorders>
                  <w:shd w:val="clear" w:color="auto" w:fill="auto"/>
                  <w:vAlign w:val="center"/>
                </w:tcPr>
                <w:p w14:paraId="048D003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80F4A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8F6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6F0FD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3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E59C3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064C9F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517A8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胸痛工作站</w:t>
                  </w:r>
                </w:p>
              </w:tc>
              <w:tc>
                <w:tcPr>
                  <w:tcW w:w="850" w:type="dxa"/>
                  <w:tcBorders>
                    <w:top w:val="nil"/>
                    <w:left w:val="nil"/>
                    <w:bottom w:val="single" w:color="auto" w:sz="4" w:space="0"/>
                    <w:right w:val="single" w:color="auto" w:sz="4" w:space="0"/>
                  </w:tcBorders>
                  <w:shd w:val="clear" w:color="auto" w:fill="auto"/>
                  <w:vAlign w:val="center"/>
                </w:tcPr>
                <w:p w14:paraId="2F9703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DCB21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7CF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46C86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48B3D9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w:t>
                  </w:r>
                </w:p>
              </w:tc>
              <w:tc>
                <w:tcPr>
                  <w:tcW w:w="812" w:type="dxa"/>
                  <w:tcBorders>
                    <w:top w:val="nil"/>
                    <w:left w:val="nil"/>
                    <w:bottom w:val="single" w:color="auto" w:sz="4" w:space="0"/>
                    <w:right w:val="single" w:color="auto" w:sz="4" w:space="0"/>
                  </w:tcBorders>
                  <w:shd w:val="clear" w:color="auto" w:fill="auto"/>
                  <w:vAlign w:val="center"/>
                </w:tcPr>
                <w:p w14:paraId="68B8A9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医技预约</w:t>
                  </w:r>
                </w:p>
              </w:tc>
              <w:tc>
                <w:tcPr>
                  <w:tcW w:w="1970" w:type="dxa"/>
                  <w:tcBorders>
                    <w:top w:val="nil"/>
                    <w:left w:val="nil"/>
                    <w:bottom w:val="single" w:color="auto" w:sz="4" w:space="0"/>
                    <w:right w:val="single" w:color="auto" w:sz="4" w:space="0"/>
                  </w:tcBorders>
                  <w:shd w:val="clear" w:color="auto" w:fill="auto"/>
                  <w:vAlign w:val="center"/>
                </w:tcPr>
                <w:p w14:paraId="4C8ED1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医技检查预约平台</w:t>
                  </w:r>
                </w:p>
              </w:tc>
              <w:tc>
                <w:tcPr>
                  <w:tcW w:w="850" w:type="dxa"/>
                  <w:tcBorders>
                    <w:top w:val="nil"/>
                    <w:left w:val="nil"/>
                    <w:bottom w:val="single" w:color="auto" w:sz="4" w:space="0"/>
                    <w:right w:val="single" w:color="auto" w:sz="4" w:space="0"/>
                  </w:tcBorders>
                  <w:shd w:val="clear" w:color="auto" w:fill="auto"/>
                  <w:vAlign w:val="center"/>
                </w:tcPr>
                <w:p w14:paraId="4DF071D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D8ED9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04B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D11F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44A76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1E72CE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w:t>
                  </w:r>
                </w:p>
              </w:tc>
              <w:tc>
                <w:tcPr>
                  <w:tcW w:w="1970" w:type="dxa"/>
                  <w:tcBorders>
                    <w:top w:val="nil"/>
                    <w:left w:val="nil"/>
                    <w:bottom w:val="single" w:color="auto" w:sz="4" w:space="0"/>
                    <w:right w:val="single" w:color="auto" w:sz="4" w:space="0"/>
                  </w:tcBorders>
                  <w:shd w:val="clear" w:color="auto" w:fill="auto"/>
                  <w:vAlign w:val="center"/>
                </w:tcPr>
                <w:p w14:paraId="6C9D9BC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实验室质量管理系统</w:t>
                  </w:r>
                </w:p>
              </w:tc>
              <w:tc>
                <w:tcPr>
                  <w:tcW w:w="850" w:type="dxa"/>
                  <w:tcBorders>
                    <w:top w:val="nil"/>
                    <w:left w:val="nil"/>
                    <w:bottom w:val="single" w:color="auto" w:sz="4" w:space="0"/>
                    <w:right w:val="single" w:color="auto" w:sz="4" w:space="0"/>
                  </w:tcBorders>
                  <w:shd w:val="clear" w:color="auto" w:fill="auto"/>
                  <w:vAlign w:val="center"/>
                </w:tcPr>
                <w:p w14:paraId="44C8E4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05C0A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640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3047A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4AC4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EFC32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98E8B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检验信息管理系统</w:t>
                  </w:r>
                </w:p>
              </w:tc>
              <w:tc>
                <w:tcPr>
                  <w:tcW w:w="850" w:type="dxa"/>
                  <w:tcBorders>
                    <w:top w:val="nil"/>
                    <w:left w:val="nil"/>
                    <w:bottom w:val="single" w:color="auto" w:sz="4" w:space="0"/>
                    <w:right w:val="single" w:color="auto" w:sz="4" w:space="0"/>
                  </w:tcBorders>
                  <w:shd w:val="clear" w:color="auto" w:fill="auto"/>
                  <w:vAlign w:val="center"/>
                </w:tcPr>
                <w:p w14:paraId="536E12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5F1D0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561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6D86F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226FB0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5A23FA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1E54B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微生物信息管理系统</w:t>
                  </w:r>
                </w:p>
              </w:tc>
              <w:tc>
                <w:tcPr>
                  <w:tcW w:w="850" w:type="dxa"/>
                  <w:tcBorders>
                    <w:top w:val="nil"/>
                    <w:left w:val="nil"/>
                    <w:bottom w:val="single" w:color="auto" w:sz="4" w:space="0"/>
                    <w:right w:val="single" w:color="auto" w:sz="4" w:space="0"/>
                  </w:tcBorders>
                  <w:shd w:val="clear" w:color="auto" w:fill="auto"/>
                  <w:vAlign w:val="center"/>
                </w:tcPr>
                <w:p w14:paraId="6EFD529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4B379A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851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ADE19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8AF511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FE3C0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试剂管理</w:t>
                  </w:r>
                </w:p>
              </w:tc>
              <w:tc>
                <w:tcPr>
                  <w:tcW w:w="1970" w:type="dxa"/>
                  <w:tcBorders>
                    <w:top w:val="nil"/>
                    <w:left w:val="nil"/>
                    <w:bottom w:val="single" w:color="auto" w:sz="4" w:space="0"/>
                    <w:right w:val="single" w:color="auto" w:sz="4" w:space="0"/>
                  </w:tcBorders>
                  <w:shd w:val="clear" w:color="auto" w:fill="auto"/>
                  <w:vAlign w:val="center"/>
                </w:tcPr>
                <w:p w14:paraId="0E3A24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试剂管理系统</w:t>
                  </w:r>
                </w:p>
              </w:tc>
              <w:tc>
                <w:tcPr>
                  <w:tcW w:w="850" w:type="dxa"/>
                  <w:tcBorders>
                    <w:top w:val="nil"/>
                    <w:left w:val="nil"/>
                    <w:bottom w:val="single" w:color="auto" w:sz="4" w:space="0"/>
                    <w:right w:val="single" w:color="auto" w:sz="4" w:space="0"/>
                  </w:tcBorders>
                  <w:shd w:val="clear" w:color="auto" w:fill="auto"/>
                  <w:vAlign w:val="center"/>
                </w:tcPr>
                <w:p w14:paraId="6DA988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CAFAE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25E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98D22D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20EA5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3A0942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输血</w:t>
                  </w:r>
                </w:p>
              </w:tc>
              <w:tc>
                <w:tcPr>
                  <w:tcW w:w="1970" w:type="dxa"/>
                  <w:tcBorders>
                    <w:top w:val="nil"/>
                    <w:left w:val="nil"/>
                    <w:bottom w:val="single" w:color="auto" w:sz="4" w:space="0"/>
                    <w:right w:val="single" w:color="auto" w:sz="4" w:space="0"/>
                  </w:tcBorders>
                  <w:shd w:val="clear" w:color="auto" w:fill="auto"/>
                  <w:vAlign w:val="center"/>
                </w:tcPr>
                <w:p w14:paraId="2D5161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临床用血管理</w:t>
                  </w:r>
                </w:p>
              </w:tc>
              <w:tc>
                <w:tcPr>
                  <w:tcW w:w="850" w:type="dxa"/>
                  <w:tcBorders>
                    <w:top w:val="nil"/>
                    <w:left w:val="nil"/>
                    <w:bottom w:val="single" w:color="auto" w:sz="4" w:space="0"/>
                    <w:right w:val="single" w:color="auto" w:sz="4" w:space="0"/>
                  </w:tcBorders>
                  <w:shd w:val="clear" w:color="auto" w:fill="auto"/>
                  <w:vAlign w:val="center"/>
                </w:tcPr>
                <w:p w14:paraId="3F206F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14945F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23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17627E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6F0830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7A3FF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4F35C4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输血科信息管理系统</w:t>
                  </w:r>
                </w:p>
              </w:tc>
              <w:tc>
                <w:tcPr>
                  <w:tcW w:w="850" w:type="dxa"/>
                  <w:tcBorders>
                    <w:top w:val="nil"/>
                    <w:left w:val="nil"/>
                    <w:bottom w:val="single" w:color="auto" w:sz="4" w:space="0"/>
                    <w:right w:val="single" w:color="auto" w:sz="4" w:space="0"/>
                  </w:tcBorders>
                  <w:shd w:val="clear" w:color="auto" w:fill="auto"/>
                  <w:vAlign w:val="center"/>
                </w:tcPr>
                <w:p w14:paraId="425490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906F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BEB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9079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38840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BB904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手麻</w:t>
                  </w:r>
                </w:p>
              </w:tc>
              <w:tc>
                <w:tcPr>
                  <w:tcW w:w="1970" w:type="dxa"/>
                  <w:tcBorders>
                    <w:top w:val="nil"/>
                    <w:left w:val="nil"/>
                    <w:bottom w:val="single" w:color="auto" w:sz="4" w:space="0"/>
                    <w:right w:val="single" w:color="auto" w:sz="4" w:space="0"/>
                  </w:tcBorders>
                  <w:shd w:val="clear" w:color="auto" w:fill="auto"/>
                  <w:vAlign w:val="center"/>
                </w:tcPr>
                <w:p w14:paraId="29C2222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手术申请管理系统</w:t>
                  </w:r>
                </w:p>
              </w:tc>
              <w:tc>
                <w:tcPr>
                  <w:tcW w:w="850" w:type="dxa"/>
                  <w:tcBorders>
                    <w:top w:val="nil"/>
                    <w:left w:val="nil"/>
                    <w:bottom w:val="single" w:color="auto" w:sz="4" w:space="0"/>
                    <w:right w:val="single" w:color="auto" w:sz="4" w:space="0"/>
                  </w:tcBorders>
                  <w:shd w:val="clear" w:color="auto" w:fill="auto"/>
                  <w:vAlign w:val="center"/>
                </w:tcPr>
                <w:p w14:paraId="7579930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2CF949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FC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79227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30" w:type="dxa"/>
                  <w:tcBorders>
                    <w:top w:val="nil"/>
                    <w:left w:val="nil"/>
                    <w:bottom w:val="single" w:color="auto" w:sz="4" w:space="0"/>
                    <w:right w:val="single" w:color="auto" w:sz="4" w:space="0"/>
                  </w:tcBorders>
                  <w:shd w:val="clear" w:color="auto" w:fill="auto"/>
                  <w:vAlign w:val="center"/>
                </w:tcPr>
                <w:p w14:paraId="68D884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w:t>
                  </w:r>
                </w:p>
              </w:tc>
              <w:tc>
                <w:tcPr>
                  <w:tcW w:w="812" w:type="dxa"/>
                  <w:tcBorders>
                    <w:top w:val="nil"/>
                    <w:left w:val="nil"/>
                    <w:bottom w:val="single" w:color="auto" w:sz="4" w:space="0"/>
                    <w:right w:val="single" w:color="auto" w:sz="4" w:space="0"/>
                  </w:tcBorders>
                  <w:shd w:val="clear" w:color="auto" w:fill="auto"/>
                  <w:vAlign w:val="center"/>
                </w:tcPr>
                <w:p w14:paraId="40B0C59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w:t>
                  </w:r>
                </w:p>
              </w:tc>
              <w:tc>
                <w:tcPr>
                  <w:tcW w:w="1970" w:type="dxa"/>
                  <w:tcBorders>
                    <w:top w:val="nil"/>
                    <w:left w:val="nil"/>
                    <w:bottom w:val="single" w:color="auto" w:sz="4" w:space="0"/>
                    <w:right w:val="single" w:color="auto" w:sz="4" w:space="0"/>
                  </w:tcBorders>
                  <w:shd w:val="clear" w:color="auto" w:fill="auto"/>
                  <w:vAlign w:val="center"/>
                </w:tcPr>
                <w:p w14:paraId="0CB3D2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体检系统</w:t>
                  </w:r>
                </w:p>
              </w:tc>
              <w:tc>
                <w:tcPr>
                  <w:tcW w:w="850" w:type="dxa"/>
                  <w:tcBorders>
                    <w:top w:val="nil"/>
                    <w:left w:val="nil"/>
                    <w:bottom w:val="single" w:color="auto" w:sz="4" w:space="0"/>
                    <w:right w:val="single" w:color="auto" w:sz="4" w:space="0"/>
                  </w:tcBorders>
                  <w:shd w:val="clear" w:color="auto" w:fill="auto"/>
                  <w:vAlign w:val="center"/>
                </w:tcPr>
                <w:p w14:paraId="75C48DC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F4904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3F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4DBB1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5984A0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物流</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7C311D3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耗材管理</w:t>
                  </w:r>
                </w:p>
              </w:tc>
              <w:tc>
                <w:tcPr>
                  <w:tcW w:w="1970" w:type="dxa"/>
                  <w:tcBorders>
                    <w:top w:val="nil"/>
                    <w:left w:val="nil"/>
                    <w:bottom w:val="single" w:color="auto" w:sz="4" w:space="0"/>
                    <w:right w:val="single" w:color="auto" w:sz="4" w:space="0"/>
                  </w:tcBorders>
                  <w:shd w:val="clear" w:color="auto" w:fill="auto"/>
                  <w:vAlign w:val="center"/>
                </w:tcPr>
                <w:p w14:paraId="08D02EC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卫生材料管理系统</w:t>
                  </w:r>
                </w:p>
              </w:tc>
              <w:tc>
                <w:tcPr>
                  <w:tcW w:w="850" w:type="dxa"/>
                  <w:tcBorders>
                    <w:top w:val="nil"/>
                    <w:left w:val="nil"/>
                    <w:bottom w:val="single" w:color="auto" w:sz="4" w:space="0"/>
                    <w:right w:val="single" w:color="auto" w:sz="4" w:space="0"/>
                  </w:tcBorders>
                  <w:shd w:val="clear" w:color="auto" w:fill="auto"/>
                  <w:vAlign w:val="center"/>
                </w:tcPr>
                <w:p w14:paraId="60A11DC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6B2DC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二级库</w:t>
                  </w:r>
                </w:p>
              </w:tc>
            </w:tr>
            <w:tr w14:paraId="7A86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72DC0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B1676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09753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CA601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高值耗材管理系统</w:t>
                  </w:r>
                </w:p>
              </w:tc>
              <w:tc>
                <w:tcPr>
                  <w:tcW w:w="850" w:type="dxa"/>
                  <w:tcBorders>
                    <w:top w:val="nil"/>
                    <w:left w:val="nil"/>
                    <w:bottom w:val="single" w:color="auto" w:sz="4" w:space="0"/>
                    <w:right w:val="single" w:color="auto" w:sz="4" w:space="0"/>
                  </w:tcBorders>
                  <w:shd w:val="clear" w:color="auto" w:fill="auto"/>
                  <w:vAlign w:val="center"/>
                </w:tcPr>
                <w:p w14:paraId="1A0AA5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04D1E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对接第三方</w:t>
                  </w:r>
                </w:p>
              </w:tc>
            </w:tr>
            <w:tr w14:paraId="4571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6E611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30" w:type="dxa"/>
                  <w:vMerge w:val="restart"/>
                  <w:tcBorders>
                    <w:top w:val="nil"/>
                    <w:left w:val="single" w:color="auto" w:sz="4" w:space="0"/>
                    <w:bottom w:val="nil"/>
                    <w:right w:val="single" w:color="auto" w:sz="4" w:space="0"/>
                  </w:tcBorders>
                  <w:shd w:val="clear" w:color="auto" w:fill="auto"/>
                  <w:vAlign w:val="center"/>
                </w:tcPr>
                <w:p w14:paraId="4E17A4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医政</w:t>
                  </w: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053979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医政管理</w:t>
                  </w:r>
                </w:p>
              </w:tc>
              <w:tc>
                <w:tcPr>
                  <w:tcW w:w="1970" w:type="dxa"/>
                  <w:tcBorders>
                    <w:top w:val="nil"/>
                    <w:left w:val="nil"/>
                    <w:bottom w:val="single" w:color="auto" w:sz="4" w:space="0"/>
                    <w:right w:val="single" w:color="auto" w:sz="4" w:space="0"/>
                  </w:tcBorders>
                  <w:shd w:val="clear" w:color="auto" w:fill="auto"/>
                  <w:vAlign w:val="center"/>
                </w:tcPr>
                <w:p w14:paraId="379139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抗菌抗肿瘤管理系统</w:t>
                  </w:r>
                </w:p>
              </w:tc>
              <w:tc>
                <w:tcPr>
                  <w:tcW w:w="850" w:type="dxa"/>
                  <w:tcBorders>
                    <w:top w:val="nil"/>
                    <w:left w:val="nil"/>
                    <w:bottom w:val="single" w:color="auto" w:sz="4" w:space="0"/>
                    <w:right w:val="single" w:color="auto" w:sz="4" w:space="0"/>
                  </w:tcBorders>
                  <w:shd w:val="clear" w:color="auto" w:fill="auto"/>
                  <w:vAlign w:val="center"/>
                </w:tcPr>
                <w:p w14:paraId="5D9C8C4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F1EF6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E26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DD572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30" w:type="dxa"/>
                  <w:vMerge w:val="continue"/>
                  <w:tcBorders>
                    <w:top w:val="nil"/>
                    <w:left w:val="single" w:color="auto" w:sz="4" w:space="0"/>
                    <w:bottom w:val="nil"/>
                    <w:right w:val="single" w:color="auto" w:sz="4" w:space="0"/>
                  </w:tcBorders>
                  <w:shd w:val="clear" w:color="auto" w:fill="auto"/>
                  <w:vAlign w:val="center"/>
                </w:tcPr>
                <w:p w14:paraId="63AC17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95F4A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DC86D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慢病管理</w:t>
                  </w:r>
                </w:p>
              </w:tc>
              <w:tc>
                <w:tcPr>
                  <w:tcW w:w="850" w:type="dxa"/>
                  <w:tcBorders>
                    <w:top w:val="nil"/>
                    <w:left w:val="nil"/>
                    <w:bottom w:val="single" w:color="auto" w:sz="4" w:space="0"/>
                    <w:right w:val="single" w:color="auto" w:sz="4" w:space="0"/>
                  </w:tcBorders>
                  <w:shd w:val="clear" w:color="auto" w:fill="auto"/>
                  <w:vAlign w:val="center"/>
                </w:tcPr>
                <w:p w14:paraId="65773B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F1DA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9F4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96632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30" w:type="dxa"/>
                  <w:vMerge w:val="continue"/>
                  <w:tcBorders>
                    <w:top w:val="nil"/>
                    <w:left w:val="single" w:color="auto" w:sz="4" w:space="0"/>
                    <w:bottom w:val="nil"/>
                    <w:right w:val="single" w:color="auto" w:sz="4" w:space="0"/>
                  </w:tcBorders>
                  <w:shd w:val="clear" w:color="auto" w:fill="auto"/>
                  <w:vAlign w:val="center"/>
                </w:tcPr>
                <w:p w14:paraId="55F04F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796D81D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B6883B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食源性疾病管理</w:t>
                  </w:r>
                </w:p>
              </w:tc>
              <w:tc>
                <w:tcPr>
                  <w:tcW w:w="850" w:type="dxa"/>
                  <w:tcBorders>
                    <w:top w:val="nil"/>
                    <w:left w:val="nil"/>
                    <w:bottom w:val="single" w:color="auto" w:sz="4" w:space="0"/>
                    <w:right w:val="single" w:color="auto" w:sz="4" w:space="0"/>
                  </w:tcBorders>
                  <w:shd w:val="clear" w:color="auto" w:fill="auto"/>
                  <w:vAlign w:val="center"/>
                </w:tcPr>
                <w:p w14:paraId="7ECD9CB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94757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CC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29D3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30" w:type="dxa"/>
                  <w:vMerge w:val="continue"/>
                  <w:tcBorders>
                    <w:top w:val="nil"/>
                    <w:left w:val="single" w:color="auto" w:sz="4" w:space="0"/>
                    <w:bottom w:val="nil"/>
                    <w:right w:val="single" w:color="auto" w:sz="4" w:space="0"/>
                  </w:tcBorders>
                  <w:shd w:val="clear" w:color="auto" w:fill="auto"/>
                  <w:vAlign w:val="center"/>
                </w:tcPr>
                <w:p w14:paraId="0F94A15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1232EBC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A4774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精神疾病管理</w:t>
                  </w:r>
                </w:p>
              </w:tc>
              <w:tc>
                <w:tcPr>
                  <w:tcW w:w="850" w:type="dxa"/>
                  <w:tcBorders>
                    <w:top w:val="nil"/>
                    <w:left w:val="nil"/>
                    <w:bottom w:val="single" w:color="auto" w:sz="4" w:space="0"/>
                    <w:right w:val="single" w:color="auto" w:sz="4" w:space="0"/>
                  </w:tcBorders>
                  <w:shd w:val="clear" w:color="auto" w:fill="auto"/>
                  <w:vAlign w:val="center"/>
                </w:tcPr>
                <w:p w14:paraId="405615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9BD0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C2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366BD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30" w:type="dxa"/>
                  <w:vMerge w:val="continue"/>
                  <w:tcBorders>
                    <w:top w:val="nil"/>
                    <w:left w:val="single" w:color="auto" w:sz="4" w:space="0"/>
                    <w:bottom w:val="nil"/>
                    <w:right w:val="single" w:color="auto" w:sz="4" w:space="0"/>
                  </w:tcBorders>
                  <w:shd w:val="clear" w:color="auto" w:fill="auto"/>
                  <w:vAlign w:val="center"/>
                </w:tcPr>
                <w:p w14:paraId="27571BC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1DCFC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3D04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传染病管理</w:t>
                  </w:r>
                </w:p>
              </w:tc>
              <w:tc>
                <w:tcPr>
                  <w:tcW w:w="850" w:type="dxa"/>
                  <w:tcBorders>
                    <w:top w:val="nil"/>
                    <w:left w:val="nil"/>
                    <w:bottom w:val="single" w:color="auto" w:sz="4" w:space="0"/>
                    <w:right w:val="single" w:color="auto" w:sz="4" w:space="0"/>
                  </w:tcBorders>
                  <w:shd w:val="clear" w:color="auto" w:fill="auto"/>
                  <w:vAlign w:val="center"/>
                </w:tcPr>
                <w:p w14:paraId="5E2ADA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294FF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321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C0C0F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30" w:type="dxa"/>
                  <w:vMerge w:val="continue"/>
                  <w:tcBorders>
                    <w:top w:val="nil"/>
                    <w:left w:val="single" w:color="auto" w:sz="4" w:space="0"/>
                    <w:bottom w:val="nil"/>
                    <w:right w:val="single" w:color="auto" w:sz="4" w:space="0"/>
                  </w:tcBorders>
                  <w:shd w:val="clear" w:color="auto" w:fill="auto"/>
                  <w:vAlign w:val="center"/>
                </w:tcPr>
                <w:p w14:paraId="26F8CE9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982DEE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EE8A1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临床路径管理系统</w:t>
                  </w:r>
                </w:p>
              </w:tc>
              <w:tc>
                <w:tcPr>
                  <w:tcW w:w="850" w:type="dxa"/>
                  <w:tcBorders>
                    <w:top w:val="nil"/>
                    <w:left w:val="nil"/>
                    <w:bottom w:val="single" w:color="auto" w:sz="4" w:space="0"/>
                    <w:right w:val="single" w:color="auto" w:sz="4" w:space="0"/>
                  </w:tcBorders>
                  <w:shd w:val="clear" w:color="auto" w:fill="auto"/>
                  <w:vAlign w:val="center"/>
                </w:tcPr>
                <w:p w14:paraId="3A318A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B61F8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7B7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CBF6E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30" w:type="dxa"/>
                  <w:vMerge w:val="continue"/>
                  <w:tcBorders>
                    <w:top w:val="nil"/>
                    <w:left w:val="single" w:color="auto" w:sz="4" w:space="0"/>
                    <w:bottom w:val="nil"/>
                    <w:right w:val="single" w:color="auto" w:sz="4" w:space="0"/>
                  </w:tcBorders>
                  <w:shd w:val="clear" w:color="auto" w:fill="auto"/>
                  <w:vAlign w:val="center"/>
                </w:tcPr>
                <w:p w14:paraId="7F83AF3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5F3BE9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69B80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死亡证明书管理</w:t>
                  </w:r>
                </w:p>
              </w:tc>
              <w:tc>
                <w:tcPr>
                  <w:tcW w:w="850" w:type="dxa"/>
                  <w:tcBorders>
                    <w:top w:val="nil"/>
                    <w:left w:val="nil"/>
                    <w:bottom w:val="single" w:color="auto" w:sz="4" w:space="0"/>
                    <w:right w:val="single" w:color="auto" w:sz="4" w:space="0"/>
                  </w:tcBorders>
                  <w:shd w:val="clear" w:color="auto" w:fill="auto"/>
                  <w:vAlign w:val="center"/>
                </w:tcPr>
                <w:p w14:paraId="6BB17F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CC924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73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D1519B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30" w:type="dxa"/>
                  <w:vMerge w:val="continue"/>
                  <w:tcBorders>
                    <w:top w:val="nil"/>
                    <w:left w:val="single" w:color="auto" w:sz="4" w:space="0"/>
                    <w:bottom w:val="nil"/>
                    <w:right w:val="single" w:color="auto" w:sz="4" w:space="0"/>
                  </w:tcBorders>
                  <w:shd w:val="clear" w:color="auto" w:fill="auto"/>
                  <w:vAlign w:val="center"/>
                </w:tcPr>
                <w:p w14:paraId="1FDC36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27856B6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E8E42F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医疗安全(不良)事件</w:t>
                  </w:r>
                </w:p>
              </w:tc>
              <w:tc>
                <w:tcPr>
                  <w:tcW w:w="850" w:type="dxa"/>
                  <w:tcBorders>
                    <w:top w:val="nil"/>
                    <w:left w:val="nil"/>
                    <w:bottom w:val="single" w:color="auto" w:sz="4" w:space="0"/>
                    <w:right w:val="single" w:color="auto" w:sz="4" w:space="0"/>
                  </w:tcBorders>
                  <w:shd w:val="clear" w:color="auto" w:fill="auto"/>
                  <w:vAlign w:val="center"/>
                </w:tcPr>
                <w:p w14:paraId="0605F5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6A79C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190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D2564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30" w:type="dxa"/>
                  <w:vMerge w:val="continue"/>
                  <w:tcBorders>
                    <w:top w:val="nil"/>
                    <w:left w:val="single" w:color="auto" w:sz="4" w:space="0"/>
                    <w:bottom w:val="nil"/>
                    <w:right w:val="single" w:color="auto" w:sz="4" w:space="0"/>
                  </w:tcBorders>
                  <w:shd w:val="clear" w:color="auto" w:fill="auto"/>
                  <w:vAlign w:val="center"/>
                </w:tcPr>
                <w:p w14:paraId="1C2A725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F2E202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C9FA0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医师资质授权</w:t>
                  </w:r>
                </w:p>
              </w:tc>
              <w:tc>
                <w:tcPr>
                  <w:tcW w:w="850" w:type="dxa"/>
                  <w:tcBorders>
                    <w:top w:val="nil"/>
                    <w:left w:val="nil"/>
                    <w:bottom w:val="single" w:color="auto" w:sz="4" w:space="0"/>
                    <w:right w:val="single" w:color="auto" w:sz="4" w:space="0"/>
                  </w:tcBorders>
                  <w:shd w:val="clear" w:color="auto" w:fill="auto"/>
                  <w:vAlign w:val="center"/>
                </w:tcPr>
                <w:p w14:paraId="4C2E36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C9D22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4D1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6EA1A1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30" w:type="dxa"/>
                  <w:vMerge w:val="continue"/>
                  <w:tcBorders>
                    <w:top w:val="nil"/>
                    <w:left w:val="single" w:color="auto" w:sz="4" w:space="0"/>
                    <w:bottom w:val="nil"/>
                    <w:right w:val="single" w:color="auto" w:sz="4" w:space="0"/>
                  </w:tcBorders>
                  <w:shd w:val="clear" w:color="auto" w:fill="auto"/>
                  <w:vAlign w:val="center"/>
                </w:tcPr>
                <w:p w14:paraId="63E7D44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3BE37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1BA62B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危急值管理平台</w:t>
                  </w:r>
                </w:p>
              </w:tc>
              <w:tc>
                <w:tcPr>
                  <w:tcW w:w="850" w:type="dxa"/>
                  <w:tcBorders>
                    <w:top w:val="nil"/>
                    <w:left w:val="nil"/>
                    <w:bottom w:val="single" w:color="auto" w:sz="4" w:space="0"/>
                    <w:right w:val="single" w:color="auto" w:sz="4" w:space="0"/>
                  </w:tcBorders>
                  <w:shd w:val="clear" w:color="auto" w:fill="auto"/>
                  <w:vAlign w:val="center"/>
                </w:tcPr>
                <w:p w14:paraId="18D59D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8F3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A7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49436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30" w:type="dxa"/>
                  <w:vMerge w:val="continue"/>
                  <w:tcBorders>
                    <w:top w:val="nil"/>
                    <w:left w:val="single" w:color="auto" w:sz="4" w:space="0"/>
                    <w:bottom w:val="nil"/>
                    <w:right w:val="single" w:color="auto" w:sz="4" w:space="0"/>
                  </w:tcBorders>
                  <w:shd w:val="clear" w:color="auto" w:fill="auto"/>
                  <w:vAlign w:val="center"/>
                </w:tcPr>
                <w:p w14:paraId="33B76BE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1349E0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EE88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单病种质量管理系统</w:t>
                  </w:r>
                </w:p>
              </w:tc>
              <w:tc>
                <w:tcPr>
                  <w:tcW w:w="850" w:type="dxa"/>
                  <w:tcBorders>
                    <w:top w:val="nil"/>
                    <w:left w:val="nil"/>
                    <w:bottom w:val="single" w:color="auto" w:sz="4" w:space="0"/>
                    <w:right w:val="single" w:color="auto" w:sz="4" w:space="0"/>
                  </w:tcBorders>
                  <w:shd w:val="clear" w:color="auto" w:fill="auto"/>
                  <w:vAlign w:val="center"/>
                </w:tcPr>
                <w:p w14:paraId="4D4F62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407C9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CC4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E0680B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30" w:type="dxa"/>
                  <w:vMerge w:val="continue"/>
                  <w:tcBorders>
                    <w:top w:val="nil"/>
                    <w:left w:val="single" w:color="auto" w:sz="4" w:space="0"/>
                    <w:bottom w:val="nil"/>
                    <w:right w:val="single" w:color="auto" w:sz="4" w:space="0"/>
                  </w:tcBorders>
                  <w:shd w:val="clear" w:color="auto" w:fill="auto"/>
                  <w:vAlign w:val="center"/>
                </w:tcPr>
                <w:p w14:paraId="0260B57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23C91F4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8404E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慢性阻塞性肺疾病管理系统</w:t>
                  </w:r>
                </w:p>
              </w:tc>
              <w:tc>
                <w:tcPr>
                  <w:tcW w:w="850" w:type="dxa"/>
                  <w:tcBorders>
                    <w:top w:val="nil"/>
                    <w:left w:val="nil"/>
                    <w:bottom w:val="single" w:color="auto" w:sz="4" w:space="0"/>
                    <w:right w:val="single" w:color="auto" w:sz="4" w:space="0"/>
                  </w:tcBorders>
                  <w:shd w:val="clear" w:color="auto" w:fill="auto"/>
                  <w:vAlign w:val="center"/>
                </w:tcPr>
                <w:p w14:paraId="0651D2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6AD98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0AD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00DEC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0" w:type="dxa"/>
                  <w:vMerge w:val="continue"/>
                  <w:tcBorders>
                    <w:top w:val="nil"/>
                    <w:left w:val="single" w:color="auto" w:sz="4" w:space="0"/>
                    <w:bottom w:val="nil"/>
                    <w:right w:val="single" w:color="auto" w:sz="4" w:space="0"/>
                  </w:tcBorders>
                  <w:shd w:val="clear" w:color="auto" w:fill="auto"/>
                  <w:vAlign w:val="center"/>
                </w:tcPr>
                <w:p w14:paraId="2C32DB7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4913C97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21F4D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罕见病诊疗服务登记系统</w:t>
                  </w:r>
                </w:p>
              </w:tc>
              <w:tc>
                <w:tcPr>
                  <w:tcW w:w="850" w:type="dxa"/>
                  <w:tcBorders>
                    <w:top w:val="nil"/>
                    <w:left w:val="nil"/>
                    <w:bottom w:val="single" w:color="auto" w:sz="4" w:space="0"/>
                    <w:right w:val="single" w:color="auto" w:sz="4" w:space="0"/>
                  </w:tcBorders>
                  <w:shd w:val="clear" w:color="auto" w:fill="auto"/>
                  <w:vAlign w:val="center"/>
                </w:tcPr>
                <w:p w14:paraId="39809CA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F790B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A9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81235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30" w:type="dxa"/>
                  <w:vMerge w:val="continue"/>
                  <w:tcBorders>
                    <w:top w:val="nil"/>
                    <w:left w:val="single" w:color="auto" w:sz="4" w:space="0"/>
                    <w:bottom w:val="nil"/>
                    <w:right w:val="single" w:color="auto" w:sz="4" w:space="0"/>
                  </w:tcBorders>
                  <w:shd w:val="clear" w:color="auto" w:fill="auto"/>
                  <w:vAlign w:val="center"/>
                </w:tcPr>
                <w:p w14:paraId="2FF6EF3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05535D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30F66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医疗质量综合监控与管理平台</w:t>
                  </w:r>
                </w:p>
              </w:tc>
              <w:tc>
                <w:tcPr>
                  <w:tcW w:w="850" w:type="dxa"/>
                  <w:tcBorders>
                    <w:top w:val="nil"/>
                    <w:left w:val="nil"/>
                    <w:bottom w:val="single" w:color="auto" w:sz="4" w:space="0"/>
                    <w:right w:val="single" w:color="auto" w:sz="4" w:space="0"/>
                  </w:tcBorders>
                  <w:shd w:val="clear" w:color="auto" w:fill="auto"/>
                  <w:vAlign w:val="center"/>
                </w:tcPr>
                <w:p w14:paraId="09CBBC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A70A8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00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E81BD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6187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09C9C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w:t>
                  </w:r>
                </w:p>
              </w:tc>
              <w:tc>
                <w:tcPr>
                  <w:tcW w:w="1970" w:type="dxa"/>
                  <w:tcBorders>
                    <w:top w:val="nil"/>
                    <w:left w:val="nil"/>
                    <w:bottom w:val="single" w:color="auto" w:sz="4" w:space="0"/>
                    <w:right w:val="single" w:color="auto" w:sz="4" w:space="0"/>
                  </w:tcBorders>
                  <w:shd w:val="clear" w:color="auto" w:fill="auto"/>
                  <w:vAlign w:val="center"/>
                </w:tcPr>
                <w:p w14:paraId="2497460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门（急）诊电子病历</w:t>
                  </w:r>
                </w:p>
              </w:tc>
              <w:tc>
                <w:tcPr>
                  <w:tcW w:w="850" w:type="dxa"/>
                  <w:tcBorders>
                    <w:top w:val="nil"/>
                    <w:left w:val="nil"/>
                    <w:bottom w:val="single" w:color="auto" w:sz="4" w:space="0"/>
                    <w:right w:val="single" w:color="auto" w:sz="4" w:space="0"/>
                  </w:tcBorders>
                  <w:shd w:val="clear" w:color="auto" w:fill="auto"/>
                  <w:vAlign w:val="center"/>
                </w:tcPr>
                <w:p w14:paraId="3FA37B5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3B5CC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52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2ADDB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80EE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356F63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1D13E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住院医生电子病历</w:t>
                  </w:r>
                </w:p>
              </w:tc>
              <w:tc>
                <w:tcPr>
                  <w:tcW w:w="850" w:type="dxa"/>
                  <w:tcBorders>
                    <w:top w:val="nil"/>
                    <w:left w:val="nil"/>
                    <w:bottom w:val="single" w:color="auto" w:sz="4" w:space="0"/>
                    <w:right w:val="single" w:color="auto" w:sz="4" w:space="0"/>
                  </w:tcBorders>
                  <w:shd w:val="clear" w:color="auto" w:fill="auto"/>
                  <w:vAlign w:val="center"/>
                </w:tcPr>
                <w:p w14:paraId="489B44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0007E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25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4E080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5B7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DE7D2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CCB93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病历质控系统</w:t>
                  </w:r>
                </w:p>
              </w:tc>
              <w:tc>
                <w:tcPr>
                  <w:tcW w:w="850" w:type="dxa"/>
                  <w:tcBorders>
                    <w:top w:val="nil"/>
                    <w:left w:val="nil"/>
                    <w:bottom w:val="single" w:color="auto" w:sz="4" w:space="0"/>
                    <w:right w:val="single" w:color="auto" w:sz="4" w:space="0"/>
                  </w:tcBorders>
                  <w:shd w:val="clear" w:color="auto" w:fill="auto"/>
                  <w:vAlign w:val="center"/>
                </w:tcPr>
                <w:p w14:paraId="2D48C2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EF766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857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24F32D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B63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BC76EA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9E9BE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电子病历归档系统</w:t>
                  </w:r>
                </w:p>
              </w:tc>
              <w:tc>
                <w:tcPr>
                  <w:tcW w:w="850" w:type="dxa"/>
                  <w:tcBorders>
                    <w:top w:val="nil"/>
                    <w:left w:val="nil"/>
                    <w:bottom w:val="single" w:color="auto" w:sz="4" w:space="0"/>
                    <w:right w:val="single" w:color="auto" w:sz="4" w:space="0"/>
                  </w:tcBorders>
                  <w:shd w:val="clear" w:color="auto" w:fill="auto"/>
                  <w:vAlign w:val="center"/>
                </w:tcPr>
                <w:p w14:paraId="553AD9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63E4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FF3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1B29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6CEC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60068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0870DD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电子病历归档全文检索系统</w:t>
                  </w:r>
                </w:p>
              </w:tc>
              <w:tc>
                <w:tcPr>
                  <w:tcW w:w="850" w:type="dxa"/>
                  <w:tcBorders>
                    <w:top w:val="nil"/>
                    <w:left w:val="nil"/>
                    <w:bottom w:val="single" w:color="auto" w:sz="4" w:space="0"/>
                    <w:right w:val="single" w:color="auto" w:sz="4" w:space="0"/>
                  </w:tcBorders>
                  <w:shd w:val="clear" w:color="auto" w:fill="auto"/>
                  <w:vAlign w:val="center"/>
                </w:tcPr>
                <w:p w14:paraId="4A2FC22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81DAA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899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8115F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9D8A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2B151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B6AF6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住院病案管理系统</w:t>
                  </w:r>
                </w:p>
              </w:tc>
              <w:tc>
                <w:tcPr>
                  <w:tcW w:w="850" w:type="dxa"/>
                  <w:tcBorders>
                    <w:top w:val="nil"/>
                    <w:left w:val="nil"/>
                    <w:bottom w:val="single" w:color="auto" w:sz="4" w:space="0"/>
                    <w:right w:val="single" w:color="auto" w:sz="4" w:space="0"/>
                  </w:tcBorders>
                  <w:shd w:val="clear" w:color="auto" w:fill="auto"/>
                  <w:vAlign w:val="center"/>
                </w:tcPr>
                <w:p w14:paraId="17E55C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6043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D0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F5096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E5BA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1D5B64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F11101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门诊病案管理系统</w:t>
                  </w:r>
                </w:p>
              </w:tc>
              <w:tc>
                <w:tcPr>
                  <w:tcW w:w="850" w:type="dxa"/>
                  <w:tcBorders>
                    <w:top w:val="nil"/>
                    <w:left w:val="nil"/>
                    <w:bottom w:val="single" w:color="auto" w:sz="4" w:space="0"/>
                    <w:right w:val="single" w:color="auto" w:sz="4" w:space="0"/>
                  </w:tcBorders>
                  <w:shd w:val="clear" w:color="auto" w:fill="auto"/>
                  <w:vAlign w:val="center"/>
                </w:tcPr>
                <w:p w14:paraId="7EC6E3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914E76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4D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0A944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30" w:type="dxa"/>
                  <w:vMerge w:val="restart"/>
                  <w:tcBorders>
                    <w:top w:val="nil"/>
                    <w:left w:val="single" w:color="auto" w:sz="4" w:space="0"/>
                    <w:bottom w:val="single" w:color="000000" w:sz="4" w:space="0"/>
                    <w:right w:val="single" w:color="auto" w:sz="4" w:space="0"/>
                  </w:tcBorders>
                  <w:shd w:val="clear" w:color="auto" w:fill="auto"/>
                  <w:vAlign w:val="center"/>
                </w:tcPr>
                <w:p w14:paraId="1B57A00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w:t>
                  </w:r>
                </w:p>
              </w:tc>
              <w:tc>
                <w:tcPr>
                  <w:tcW w:w="812" w:type="dxa"/>
                  <w:tcBorders>
                    <w:top w:val="nil"/>
                    <w:left w:val="nil"/>
                    <w:bottom w:val="single" w:color="auto" w:sz="4" w:space="0"/>
                    <w:right w:val="single" w:color="auto" w:sz="4" w:space="0"/>
                  </w:tcBorders>
                  <w:shd w:val="clear" w:color="auto" w:fill="auto"/>
                  <w:vAlign w:val="center"/>
                </w:tcPr>
                <w:p w14:paraId="783C69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w:t>
                  </w:r>
                </w:p>
              </w:tc>
              <w:tc>
                <w:tcPr>
                  <w:tcW w:w="1970" w:type="dxa"/>
                  <w:tcBorders>
                    <w:top w:val="nil"/>
                    <w:left w:val="nil"/>
                    <w:bottom w:val="single" w:color="auto" w:sz="4" w:space="0"/>
                    <w:right w:val="single" w:color="auto" w:sz="4" w:space="0"/>
                  </w:tcBorders>
                  <w:shd w:val="clear" w:color="auto" w:fill="auto"/>
                  <w:vAlign w:val="center"/>
                </w:tcPr>
                <w:p w14:paraId="054FD2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w:t>
                  </w:r>
                </w:p>
              </w:tc>
              <w:tc>
                <w:tcPr>
                  <w:tcW w:w="850" w:type="dxa"/>
                  <w:tcBorders>
                    <w:top w:val="nil"/>
                    <w:left w:val="nil"/>
                    <w:bottom w:val="single" w:color="auto" w:sz="4" w:space="0"/>
                    <w:right w:val="single" w:color="auto" w:sz="4" w:space="0"/>
                  </w:tcBorders>
                  <w:shd w:val="clear" w:color="auto" w:fill="auto"/>
                  <w:vAlign w:val="center"/>
                </w:tcPr>
                <w:p w14:paraId="3B5698D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92C208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65A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75EE3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E988F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FC69BF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智能护理病历</w:t>
                  </w:r>
                </w:p>
              </w:tc>
              <w:tc>
                <w:tcPr>
                  <w:tcW w:w="1970" w:type="dxa"/>
                  <w:tcBorders>
                    <w:top w:val="nil"/>
                    <w:left w:val="nil"/>
                    <w:bottom w:val="single" w:color="auto" w:sz="4" w:space="0"/>
                    <w:right w:val="single" w:color="auto" w:sz="4" w:space="0"/>
                  </w:tcBorders>
                  <w:shd w:val="clear" w:color="auto" w:fill="auto"/>
                  <w:vAlign w:val="center"/>
                </w:tcPr>
                <w:p w14:paraId="769A48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智能护理病历</w:t>
                  </w:r>
                </w:p>
              </w:tc>
              <w:tc>
                <w:tcPr>
                  <w:tcW w:w="850" w:type="dxa"/>
                  <w:tcBorders>
                    <w:top w:val="nil"/>
                    <w:left w:val="nil"/>
                    <w:bottom w:val="single" w:color="auto" w:sz="4" w:space="0"/>
                    <w:right w:val="single" w:color="auto" w:sz="4" w:space="0"/>
                  </w:tcBorders>
                  <w:shd w:val="clear" w:color="auto" w:fill="auto"/>
                  <w:vAlign w:val="center"/>
                </w:tcPr>
                <w:p w14:paraId="084CF79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610" w:type="dxa"/>
                  <w:tcBorders>
                    <w:top w:val="nil"/>
                    <w:left w:val="nil"/>
                    <w:bottom w:val="single" w:color="auto" w:sz="4" w:space="0"/>
                    <w:right w:val="single" w:color="000000" w:sz="4" w:space="0"/>
                  </w:tcBorders>
                  <w:shd w:val="clear" w:color="auto" w:fill="auto"/>
                  <w:vAlign w:val="center"/>
                </w:tcPr>
                <w:p w14:paraId="4F514D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BE6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102C0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42561BF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450CD38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智能引导</w:t>
                  </w:r>
                </w:p>
              </w:tc>
              <w:tc>
                <w:tcPr>
                  <w:tcW w:w="1970" w:type="dxa"/>
                  <w:tcBorders>
                    <w:top w:val="nil"/>
                    <w:left w:val="nil"/>
                    <w:bottom w:val="single" w:color="auto" w:sz="4" w:space="0"/>
                    <w:right w:val="single" w:color="auto" w:sz="4" w:space="0"/>
                  </w:tcBorders>
                  <w:shd w:val="clear" w:color="auto" w:fill="auto"/>
                  <w:vAlign w:val="center"/>
                </w:tcPr>
                <w:p w14:paraId="2560A1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智能护理路径引导系统（智能引导）</w:t>
                  </w:r>
                </w:p>
              </w:tc>
              <w:tc>
                <w:tcPr>
                  <w:tcW w:w="850" w:type="dxa"/>
                  <w:tcBorders>
                    <w:top w:val="nil"/>
                    <w:left w:val="nil"/>
                    <w:bottom w:val="single" w:color="auto" w:sz="4" w:space="0"/>
                    <w:right w:val="single" w:color="auto" w:sz="4" w:space="0"/>
                  </w:tcBorders>
                  <w:shd w:val="clear" w:color="auto" w:fill="auto"/>
                  <w:vAlign w:val="center"/>
                </w:tcPr>
                <w:p w14:paraId="14A480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75E454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0A4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2166C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48A63B1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541E34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智能移动护理</w:t>
                  </w:r>
                </w:p>
              </w:tc>
              <w:tc>
                <w:tcPr>
                  <w:tcW w:w="1970" w:type="dxa"/>
                  <w:tcBorders>
                    <w:top w:val="nil"/>
                    <w:left w:val="nil"/>
                    <w:bottom w:val="single" w:color="auto" w:sz="4" w:space="0"/>
                    <w:right w:val="single" w:color="auto" w:sz="4" w:space="0"/>
                  </w:tcBorders>
                  <w:shd w:val="clear" w:color="auto" w:fill="auto"/>
                  <w:vAlign w:val="center"/>
                </w:tcPr>
                <w:p w14:paraId="415E76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智能移动护理</w:t>
                  </w:r>
                </w:p>
              </w:tc>
              <w:tc>
                <w:tcPr>
                  <w:tcW w:w="850" w:type="dxa"/>
                  <w:tcBorders>
                    <w:top w:val="nil"/>
                    <w:left w:val="nil"/>
                    <w:bottom w:val="single" w:color="auto" w:sz="4" w:space="0"/>
                    <w:right w:val="single" w:color="auto" w:sz="4" w:space="0"/>
                  </w:tcBorders>
                  <w:shd w:val="clear" w:color="auto" w:fill="auto"/>
                  <w:vAlign w:val="center"/>
                </w:tcPr>
                <w:p w14:paraId="293D45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4D1F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B69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E41F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25E912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14524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7638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门诊移动输液系统</w:t>
                  </w:r>
                </w:p>
              </w:tc>
              <w:tc>
                <w:tcPr>
                  <w:tcW w:w="850" w:type="dxa"/>
                  <w:tcBorders>
                    <w:top w:val="nil"/>
                    <w:left w:val="nil"/>
                    <w:bottom w:val="single" w:color="auto" w:sz="4" w:space="0"/>
                    <w:right w:val="single" w:color="auto" w:sz="4" w:space="0"/>
                  </w:tcBorders>
                  <w:shd w:val="clear" w:color="auto" w:fill="auto"/>
                  <w:vAlign w:val="center"/>
                </w:tcPr>
                <w:p w14:paraId="1B0A22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453F7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C48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89E6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72EC4AB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1611F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智能护理白板</w:t>
                  </w:r>
                </w:p>
              </w:tc>
              <w:tc>
                <w:tcPr>
                  <w:tcW w:w="1970" w:type="dxa"/>
                  <w:tcBorders>
                    <w:top w:val="nil"/>
                    <w:left w:val="nil"/>
                    <w:bottom w:val="single" w:color="auto" w:sz="4" w:space="0"/>
                    <w:right w:val="single" w:color="auto" w:sz="4" w:space="0"/>
                  </w:tcBorders>
                  <w:shd w:val="clear" w:color="auto" w:fill="auto"/>
                  <w:vAlign w:val="center"/>
                </w:tcPr>
                <w:p w14:paraId="4B99F8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850" w:type="dxa"/>
                  <w:tcBorders>
                    <w:top w:val="nil"/>
                    <w:left w:val="nil"/>
                    <w:bottom w:val="single" w:color="auto" w:sz="4" w:space="0"/>
                    <w:right w:val="single" w:color="auto" w:sz="4" w:space="0"/>
                  </w:tcBorders>
                  <w:shd w:val="clear" w:color="auto" w:fill="auto"/>
                  <w:vAlign w:val="center"/>
                </w:tcPr>
                <w:p w14:paraId="49961D1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4F84F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C7E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2DBC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7641A9A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44E24A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智能护理管理系统</w:t>
                  </w:r>
                </w:p>
              </w:tc>
              <w:tc>
                <w:tcPr>
                  <w:tcW w:w="1970" w:type="dxa"/>
                  <w:tcBorders>
                    <w:top w:val="nil"/>
                    <w:left w:val="nil"/>
                    <w:bottom w:val="single" w:color="auto" w:sz="4" w:space="0"/>
                    <w:right w:val="single" w:color="auto" w:sz="4" w:space="0"/>
                  </w:tcBorders>
                  <w:shd w:val="clear" w:color="auto" w:fill="auto"/>
                  <w:vAlign w:val="center"/>
                </w:tcPr>
                <w:p w14:paraId="06825F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护理排班系统</w:t>
                  </w:r>
                </w:p>
              </w:tc>
              <w:tc>
                <w:tcPr>
                  <w:tcW w:w="850" w:type="dxa"/>
                  <w:tcBorders>
                    <w:top w:val="nil"/>
                    <w:left w:val="nil"/>
                    <w:bottom w:val="single" w:color="auto" w:sz="4" w:space="0"/>
                    <w:right w:val="single" w:color="auto" w:sz="4" w:space="0"/>
                  </w:tcBorders>
                  <w:shd w:val="clear" w:color="auto" w:fill="auto"/>
                  <w:vAlign w:val="center"/>
                </w:tcPr>
                <w:p w14:paraId="1E78DD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499EBA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ED0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FAB8F9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4C4524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654C795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78132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护理质控系统</w:t>
                  </w:r>
                </w:p>
              </w:tc>
              <w:tc>
                <w:tcPr>
                  <w:tcW w:w="850" w:type="dxa"/>
                  <w:tcBorders>
                    <w:top w:val="nil"/>
                    <w:left w:val="nil"/>
                    <w:bottom w:val="single" w:color="auto" w:sz="4" w:space="0"/>
                    <w:right w:val="single" w:color="auto" w:sz="4" w:space="0"/>
                  </w:tcBorders>
                  <w:shd w:val="clear" w:color="auto" w:fill="auto"/>
                  <w:vAlign w:val="center"/>
                </w:tcPr>
                <w:p w14:paraId="05655E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7FE2B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E0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2E372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1E996DF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7225618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A1E73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护理绩效系统</w:t>
                  </w:r>
                </w:p>
              </w:tc>
              <w:tc>
                <w:tcPr>
                  <w:tcW w:w="850" w:type="dxa"/>
                  <w:tcBorders>
                    <w:top w:val="nil"/>
                    <w:left w:val="nil"/>
                    <w:bottom w:val="single" w:color="auto" w:sz="4" w:space="0"/>
                    <w:right w:val="single" w:color="auto" w:sz="4" w:space="0"/>
                  </w:tcBorders>
                  <w:shd w:val="clear" w:color="auto" w:fill="auto"/>
                  <w:vAlign w:val="center"/>
                </w:tcPr>
                <w:p w14:paraId="6FED7C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F5391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39E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CE49D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5C8352D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704102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敏感指标系统</w:t>
                  </w:r>
                </w:p>
              </w:tc>
              <w:tc>
                <w:tcPr>
                  <w:tcW w:w="1970" w:type="dxa"/>
                  <w:tcBorders>
                    <w:top w:val="nil"/>
                    <w:left w:val="nil"/>
                    <w:bottom w:val="single" w:color="auto" w:sz="4" w:space="0"/>
                    <w:right w:val="single" w:color="auto" w:sz="4" w:space="0"/>
                  </w:tcBorders>
                  <w:shd w:val="clear" w:color="auto" w:fill="auto"/>
                  <w:vAlign w:val="center"/>
                </w:tcPr>
                <w:p w14:paraId="3CD150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敏感指标系统</w:t>
                  </w:r>
                </w:p>
              </w:tc>
              <w:tc>
                <w:tcPr>
                  <w:tcW w:w="850" w:type="dxa"/>
                  <w:tcBorders>
                    <w:top w:val="nil"/>
                    <w:left w:val="nil"/>
                    <w:bottom w:val="single" w:color="auto" w:sz="4" w:space="0"/>
                    <w:right w:val="single" w:color="auto" w:sz="4" w:space="0"/>
                  </w:tcBorders>
                  <w:shd w:val="clear" w:color="auto" w:fill="auto"/>
                  <w:vAlign w:val="center"/>
                </w:tcPr>
                <w:p w14:paraId="143A54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77D4A2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99C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F95DF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32AD4B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EC8D26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w:t>
                  </w:r>
                </w:p>
              </w:tc>
              <w:tc>
                <w:tcPr>
                  <w:tcW w:w="1970" w:type="dxa"/>
                  <w:tcBorders>
                    <w:top w:val="nil"/>
                    <w:left w:val="nil"/>
                    <w:bottom w:val="single" w:color="auto" w:sz="4" w:space="0"/>
                    <w:right w:val="single" w:color="auto" w:sz="4" w:space="0"/>
                  </w:tcBorders>
                  <w:shd w:val="clear" w:color="auto" w:fill="auto"/>
                  <w:vAlign w:val="center"/>
                </w:tcPr>
                <w:p w14:paraId="702057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统一用户管理</w:t>
                  </w:r>
                </w:p>
              </w:tc>
              <w:tc>
                <w:tcPr>
                  <w:tcW w:w="850" w:type="dxa"/>
                  <w:tcBorders>
                    <w:top w:val="nil"/>
                    <w:left w:val="nil"/>
                    <w:bottom w:val="single" w:color="auto" w:sz="4" w:space="0"/>
                    <w:right w:val="single" w:color="auto" w:sz="4" w:space="0"/>
                  </w:tcBorders>
                  <w:shd w:val="clear" w:color="auto" w:fill="auto"/>
                  <w:vAlign w:val="center"/>
                </w:tcPr>
                <w:p w14:paraId="3EA07B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253D9D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4FC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A732B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119CF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8698E3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5AEA6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医院服务总线</w:t>
                  </w:r>
                </w:p>
              </w:tc>
              <w:tc>
                <w:tcPr>
                  <w:tcW w:w="850" w:type="dxa"/>
                  <w:tcBorders>
                    <w:top w:val="nil"/>
                    <w:left w:val="nil"/>
                    <w:bottom w:val="single" w:color="auto" w:sz="4" w:space="0"/>
                    <w:right w:val="single" w:color="auto" w:sz="4" w:space="0"/>
                  </w:tcBorders>
                  <w:shd w:val="clear" w:color="auto" w:fill="auto"/>
                  <w:vAlign w:val="center"/>
                </w:tcPr>
                <w:p w14:paraId="157409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4B93B6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18B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AB52EB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030" w:type="dxa"/>
                  <w:tcBorders>
                    <w:top w:val="nil"/>
                    <w:left w:val="nil"/>
                    <w:bottom w:val="single" w:color="auto" w:sz="4" w:space="0"/>
                    <w:right w:val="single" w:color="auto" w:sz="4" w:space="0"/>
                  </w:tcBorders>
                  <w:shd w:val="clear" w:color="auto" w:fill="auto"/>
                  <w:vAlign w:val="center"/>
                </w:tcPr>
                <w:p w14:paraId="23C7D4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w:t>
                  </w:r>
                </w:p>
              </w:tc>
              <w:tc>
                <w:tcPr>
                  <w:tcW w:w="812" w:type="dxa"/>
                  <w:tcBorders>
                    <w:top w:val="nil"/>
                    <w:left w:val="nil"/>
                    <w:bottom w:val="single" w:color="auto" w:sz="4" w:space="0"/>
                    <w:right w:val="single" w:color="auto" w:sz="4" w:space="0"/>
                  </w:tcBorders>
                  <w:shd w:val="clear" w:color="auto" w:fill="auto"/>
                  <w:vAlign w:val="center"/>
                </w:tcPr>
                <w:p w14:paraId="70CF81B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治疗室系统</w:t>
                  </w:r>
                </w:p>
              </w:tc>
              <w:tc>
                <w:tcPr>
                  <w:tcW w:w="1970" w:type="dxa"/>
                  <w:tcBorders>
                    <w:top w:val="nil"/>
                    <w:left w:val="nil"/>
                    <w:bottom w:val="single" w:color="auto" w:sz="4" w:space="0"/>
                    <w:right w:val="single" w:color="auto" w:sz="4" w:space="0"/>
                  </w:tcBorders>
                  <w:shd w:val="clear" w:color="auto" w:fill="auto"/>
                  <w:vAlign w:val="center"/>
                </w:tcPr>
                <w:p w14:paraId="6E5C9A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治疗科室工作站</w:t>
                  </w:r>
                </w:p>
              </w:tc>
              <w:tc>
                <w:tcPr>
                  <w:tcW w:w="850" w:type="dxa"/>
                  <w:tcBorders>
                    <w:top w:val="nil"/>
                    <w:left w:val="nil"/>
                    <w:bottom w:val="single" w:color="auto" w:sz="4" w:space="0"/>
                    <w:right w:val="single" w:color="auto" w:sz="4" w:space="0"/>
                  </w:tcBorders>
                  <w:shd w:val="clear" w:color="auto" w:fill="auto"/>
                  <w:vAlign w:val="center"/>
                </w:tcPr>
                <w:p w14:paraId="599263D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6DB5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E8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A684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73060D3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综合数据</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3505E8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综合数据</w:t>
                  </w:r>
                </w:p>
              </w:tc>
              <w:tc>
                <w:tcPr>
                  <w:tcW w:w="1970" w:type="dxa"/>
                  <w:tcBorders>
                    <w:top w:val="nil"/>
                    <w:left w:val="nil"/>
                    <w:bottom w:val="single" w:color="auto" w:sz="4" w:space="0"/>
                    <w:right w:val="single" w:color="auto" w:sz="4" w:space="0"/>
                  </w:tcBorders>
                  <w:shd w:val="clear" w:color="auto" w:fill="auto"/>
                  <w:vAlign w:val="center"/>
                </w:tcPr>
                <w:p w14:paraId="262D332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抗菌药物统计查询分析</w:t>
                  </w:r>
                </w:p>
              </w:tc>
              <w:tc>
                <w:tcPr>
                  <w:tcW w:w="850" w:type="dxa"/>
                  <w:tcBorders>
                    <w:top w:val="nil"/>
                    <w:left w:val="nil"/>
                    <w:bottom w:val="single" w:color="auto" w:sz="4" w:space="0"/>
                    <w:right w:val="single" w:color="auto" w:sz="4" w:space="0"/>
                  </w:tcBorders>
                  <w:shd w:val="clear" w:color="auto" w:fill="auto"/>
                  <w:vAlign w:val="center"/>
                </w:tcPr>
                <w:p w14:paraId="13CF14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194992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1E2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056D08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5B0A9A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CA77DB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23B6C4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统计室报表系统</w:t>
                  </w:r>
                </w:p>
              </w:tc>
              <w:tc>
                <w:tcPr>
                  <w:tcW w:w="850" w:type="dxa"/>
                  <w:tcBorders>
                    <w:top w:val="nil"/>
                    <w:left w:val="nil"/>
                    <w:bottom w:val="single" w:color="auto" w:sz="4" w:space="0"/>
                    <w:right w:val="single" w:color="auto" w:sz="4" w:space="0"/>
                  </w:tcBorders>
                  <w:shd w:val="clear" w:color="auto" w:fill="auto"/>
                  <w:vAlign w:val="center"/>
                </w:tcPr>
                <w:p w14:paraId="2581D3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71029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922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1AD4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B52833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F4FE18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BF09A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院长查询系统</w:t>
                  </w:r>
                </w:p>
              </w:tc>
              <w:tc>
                <w:tcPr>
                  <w:tcW w:w="850" w:type="dxa"/>
                  <w:tcBorders>
                    <w:top w:val="nil"/>
                    <w:left w:val="nil"/>
                    <w:bottom w:val="single" w:color="auto" w:sz="4" w:space="0"/>
                    <w:right w:val="single" w:color="auto" w:sz="4" w:space="0"/>
                  </w:tcBorders>
                  <w:shd w:val="clear" w:color="auto" w:fill="auto"/>
                  <w:vAlign w:val="center"/>
                </w:tcPr>
                <w:p w14:paraId="4C936B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205974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B3B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53F8E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5A9593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1B97A9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2A85F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阳光用药系统</w:t>
                  </w:r>
                </w:p>
              </w:tc>
              <w:tc>
                <w:tcPr>
                  <w:tcW w:w="850" w:type="dxa"/>
                  <w:tcBorders>
                    <w:top w:val="nil"/>
                    <w:left w:val="nil"/>
                    <w:bottom w:val="single" w:color="auto" w:sz="4" w:space="0"/>
                    <w:right w:val="single" w:color="auto" w:sz="4" w:space="0"/>
                  </w:tcBorders>
                  <w:shd w:val="clear" w:color="auto" w:fill="auto"/>
                  <w:vAlign w:val="center"/>
                </w:tcPr>
                <w:p w14:paraId="24375B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98C5D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338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B250C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09A324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27CAE2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22173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指标Cube系统</w:t>
                  </w:r>
                </w:p>
              </w:tc>
              <w:tc>
                <w:tcPr>
                  <w:tcW w:w="850" w:type="dxa"/>
                  <w:tcBorders>
                    <w:top w:val="nil"/>
                    <w:left w:val="nil"/>
                    <w:bottom w:val="single" w:color="auto" w:sz="4" w:space="0"/>
                    <w:right w:val="single" w:color="auto" w:sz="4" w:space="0"/>
                  </w:tcBorders>
                  <w:shd w:val="clear" w:color="auto" w:fill="auto"/>
                  <w:vAlign w:val="center"/>
                </w:tcPr>
                <w:p w14:paraId="1F70AC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E49BF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413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77CB4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1B1A1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2060BB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0949B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基础数据查询</w:t>
                  </w:r>
                </w:p>
              </w:tc>
              <w:tc>
                <w:tcPr>
                  <w:tcW w:w="850" w:type="dxa"/>
                  <w:tcBorders>
                    <w:top w:val="nil"/>
                    <w:left w:val="nil"/>
                    <w:bottom w:val="single" w:color="auto" w:sz="4" w:space="0"/>
                    <w:right w:val="single" w:color="auto" w:sz="4" w:space="0"/>
                  </w:tcBorders>
                  <w:shd w:val="clear" w:color="auto" w:fill="auto"/>
                  <w:vAlign w:val="center"/>
                </w:tcPr>
                <w:p w14:paraId="171C3A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63B46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69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50F8B1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706CC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561CCB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ED23DC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统计查询套件</w:t>
                  </w:r>
                </w:p>
              </w:tc>
              <w:tc>
                <w:tcPr>
                  <w:tcW w:w="850" w:type="dxa"/>
                  <w:tcBorders>
                    <w:top w:val="nil"/>
                    <w:left w:val="nil"/>
                    <w:bottom w:val="single" w:color="auto" w:sz="4" w:space="0"/>
                    <w:right w:val="single" w:color="auto" w:sz="4" w:space="0"/>
                  </w:tcBorders>
                  <w:shd w:val="clear" w:color="auto" w:fill="auto"/>
                  <w:vAlign w:val="center"/>
                </w:tcPr>
                <w:p w14:paraId="256949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3BC75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26C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E25F1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9DB4CB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8565EF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36704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核算报表系统</w:t>
                  </w:r>
                </w:p>
              </w:tc>
              <w:tc>
                <w:tcPr>
                  <w:tcW w:w="850" w:type="dxa"/>
                  <w:tcBorders>
                    <w:top w:val="nil"/>
                    <w:left w:val="nil"/>
                    <w:bottom w:val="single" w:color="auto" w:sz="4" w:space="0"/>
                    <w:right w:val="single" w:color="auto" w:sz="4" w:space="0"/>
                  </w:tcBorders>
                  <w:shd w:val="clear" w:color="auto" w:fill="auto"/>
                  <w:vAlign w:val="center"/>
                </w:tcPr>
                <w:p w14:paraId="4D0F08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BCC90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A94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89857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8FE08E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8B75D3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EB037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财务报表系统</w:t>
                  </w:r>
                </w:p>
              </w:tc>
              <w:tc>
                <w:tcPr>
                  <w:tcW w:w="850" w:type="dxa"/>
                  <w:tcBorders>
                    <w:top w:val="nil"/>
                    <w:left w:val="nil"/>
                    <w:bottom w:val="single" w:color="auto" w:sz="4" w:space="0"/>
                    <w:right w:val="single" w:color="auto" w:sz="4" w:space="0"/>
                  </w:tcBorders>
                  <w:shd w:val="clear" w:color="auto" w:fill="auto"/>
                  <w:vAlign w:val="center"/>
                </w:tcPr>
                <w:p w14:paraId="6F06922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8B521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A2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BC5147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17EE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0287F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8068C3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病案统计系统</w:t>
                  </w:r>
                </w:p>
              </w:tc>
              <w:tc>
                <w:tcPr>
                  <w:tcW w:w="850" w:type="dxa"/>
                  <w:tcBorders>
                    <w:top w:val="nil"/>
                    <w:left w:val="nil"/>
                    <w:bottom w:val="single" w:color="auto" w:sz="4" w:space="0"/>
                    <w:right w:val="single" w:color="auto" w:sz="4" w:space="0"/>
                  </w:tcBorders>
                  <w:shd w:val="clear" w:color="auto" w:fill="auto"/>
                  <w:vAlign w:val="center"/>
                </w:tcPr>
                <w:p w14:paraId="1B729F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14C6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5AF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5E051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4146002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临床诊断管理平台</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07B1F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临床诊断管理平台</w:t>
                  </w:r>
                </w:p>
              </w:tc>
              <w:tc>
                <w:tcPr>
                  <w:tcW w:w="1970" w:type="dxa"/>
                  <w:tcBorders>
                    <w:top w:val="nil"/>
                    <w:left w:val="nil"/>
                    <w:bottom w:val="single" w:color="auto" w:sz="4" w:space="0"/>
                    <w:right w:val="single" w:color="auto" w:sz="4" w:space="0"/>
                  </w:tcBorders>
                  <w:shd w:val="clear" w:color="auto" w:fill="auto"/>
                  <w:vAlign w:val="center"/>
                </w:tcPr>
                <w:p w14:paraId="05E2BD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医学知识库构建平台</w:t>
                  </w:r>
                </w:p>
              </w:tc>
              <w:tc>
                <w:tcPr>
                  <w:tcW w:w="850" w:type="dxa"/>
                  <w:tcBorders>
                    <w:top w:val="nil"/>
                    <w:left w:val="nil"/>
                    <w:bottom w:val="single" w:color="auto" w:sz="4" w:space="0"/>
                    <w:right w:val="single" w:color="auto" w:sz="4" w:space="0"/>
                  </w:tcBorders>
                  <w:shd w:val="clear" w:color="auto" w:fill="auto"/>
                  <w:vAlign w:val="center"/>
                </w:tcPr>
                <w:p w14:paraId="31F927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4A62C0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20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929C4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22712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0960B7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3881F4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基于知识库的结构化诊断系统</w:t>
                  </w:r>
                </w:p>
              </w:tc>
              <w:tc>
                <w:tcPr>
                  <w:tcW w:w="850" w:type="dxa"/>
                  <w:tcBorders>
                    <w:top w:val="nil"/>
                    <w:left w:val="nil"/>
                    <w:bottom w:val="single" w:color="auto" w:sz="4" w:space="0"/>
                    <w:right w:val="single" w:color="auto" w:sz="4" w:space="0"/>
                  </w:tcBorders>
                  <w:shd w:val="clear" w:color="auto" w:fill="auto"/>
                  <w:vAlign w:val="center"/>
                </w:tcPr>
                <w:p w14:paraId="54D37C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3AEF9E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C9F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C181BE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DA370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C6CBE2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E46AF3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临床知识库</w:t>
                  </w:r>
                </w:p>
              </w:tc>
              <w:tc>
                <w:tcPr>
                  <w:tcW w:w="850" w:type="dxa"/>
                  <w:tcBorders>
                    <w:top w:val="nil"/>
                    <w:left w:val="nil"/>
                    <w:bottom w:val="single" w:color="auto" w:sz="4" w:space="0"/>
                    <w:right w:val="single" w:color="auto" w:sz="4" w:space="0"/>
                  </w:tcBorders>
                  <w:shd w:val="clear" w:color="auto" w:fill="auto"/>
                  <w:vAlign w:val="center"/>
                </w:tcPr>
                <w:p w14:paraId="066402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3DDBAD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91A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F44AB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030" w:type="dxa"/>
                  <w:tcBorders>
                    <w:top w:val="nil"/>
                    <w:left w:val="nil"/>
                    <w:bottom w:val="single" w:color="auto" w:sz="4" w:space="0"/>
                    <w:right w:val="single" w:color="auto" w:sz="4" w:space="0"/>
                  </w:tcBorders>
                  <w:shd w:val="clear" w:color="auto" w:fill="auto"/>
                  <w:vAlign w:val="center"/>
                </w:tcPr>
                <w:p w14:paraId="4E94AB0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药理学</w:t>
                  </w:r>
                </w:p>
              </w:tc>
              <w:tc>
                <w:tcPr>
                  <w:tcW w:w="812" w:type="dxa"/>
                  <w:tcBorders>
                    <w:top w:val="nil"/>
                    <w:left w:val="nil"/>
                    <w:bottom w:val="single" w:color="auto" w:sz="4" w:space="0"/>
                    <w:right w:val="single" w:color="auto" w:sz="4" w:space="0"/>
                  </w:tcBorders>
                  <w:shd w:val="clear" w:color="auto" w:fill="auto"/>
                  <w:vAlign w:val="center"/>
                </w:tcPr>
                <w:p w14:paraId="3C0839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药理学</w:t>
                  </w:r>
                </w:p>
              </w:tc>
              <w:tc>
                <w:tcPr>
                  <w:tcW w:w="1970" w:type="dxa"/>
                  <w:tcBorders>
                    <w:top w:val="nil"/>
                    <w:left w:val="nil"/>
                    <w:bottom w:val="single" w:color="auto" w:sz="4" w:space="0"/>
                    <w:right w:val="single" w:color="auto" w:sz="4" w:space="0"/>
                  </w:tcBorders>
                  <w:shd w:val="clear" w:color="auto" w:fill="auto"/>
                  <w:vAlign w:val="center"/>
                </w:tcPr>
                <w:p w14:paraId="30A687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临床药理试验管理系统</w:t>
                  </w:r>
                </w:p>
              </w:tc>
              <w:tc>
                <w:tcPr>
                  <w:tcW w:w="850" w:type="dxa"/>
                  <w:tcBorders>
                    <w:top w:val="nil"/>
                    <w:left w:val="nil"/>
                    <w:bottom w:val="single" w:color="auto" w:sz="4" w:space="0"/>
                    <w:right w:val="single" w:color="auto" w:sz="4" w:space="0"/>
                  </w:tcBorders>
                  <w:shd w:val="clear" w:color="auto" w:fill="auto"/>
                  <w:vAlign w:val="center"/>
                </w:tcPr>
                <w:p w14:paraId="6B2C4F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1F45B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F54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E50E27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1EDC69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药事管理</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C1F64E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药品供应</w:t>
                  </w:r>
                </w:p>
              </w:tc>
              <w:tc>
                <w:tcPr>
                  <w:tcW w:w="1970" w:type="dxa"/>
                  <w:tcBorders>
                    <w:top w:val="nil"/>
                    <w:left w:val="nil"/>
                    <w:bottom w:val="single" w:color="auto" w:sz="4" w:space="0"/>
                    <w:right w:val="single" w:color="auto" w:sz="4" w:space="0"/>
                  </w:tcBorders>
                  <w:shd w:val="clear" w:color="auto" w:fill="auto"/>
                  <w:vAlign w:val="center"/>
                </w:tcPr>
                <w:p w14:paraId="79F811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制剂管理系统</w:t>
                  </w:r>
                </w:p>
              </w:tc>
              <w:tc>
                <w:tcPr>
                  <w:tcW w:w="850" w:type="dxa"/>
                  <w:tcBorders>
                    <w:top w:val="nil"/>
                    <w:left w:val="nil"/>
                    <w:bottom w:val="single" w:color="auto" w:sz="4" w:space="0"/>
                    <w:right w:val="single" w:color="auto" w:sz="4" w:space="0"/>
                  </w:tcBorders>
                  <w:shd w:val="clear" w:color="auto" w:fill="auto"/>
                  <w:vAlign w:val="center"/>
                </w:tcPr>
                <w:p w14:paraId="1A14BA5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7702060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BC1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2094F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E94B99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C649C8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169748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煎药室管理系统</w:t>
                  </w:r>
                </w:p>
              </w:tc>
              <w:tc>
                <w:tcPr>
                  <w:tcW w:w="850" w:type="dxa"/>
                  <w:tcBorders>
                    <w:top w:val="nil"/>
                    <w:left w:val="nil"/>
                    <w:bottom w:val="single" w:color="auto" w:sz="4" w:space="0"/>
                    <w:right w:val="single" w:color="auto" w:sz="4" w:space="0"/>
                  </w:tcBorders>
                  <w:shd w:val="clear" w:color="auto" w:fill="auto"/>
                  <w:vAlign w:val="center"/>
                </w:tcPr>
                <w:p w14:paraId="43AE4A8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1E7500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601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99DE97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11DA16B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61CF7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D0B9F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药库管理系统</w:t>
                  </w:r>
                </w:p>
              </w:tc>
              <w:tc>
                <w:tcPr>
                  <w:tcW w:w="850" w:type="dxa"/>
                  <w:tcBorders>
                    <w:top w:val="nil"/>
                    <w:left w:val="nil"/>
                    <w:bottom w:val="single" w:color="auto" w:sz="4" w:space="0"/>
                    <w:right w:val="single" w:color="auto" w:sz="4" w:space="0"/>
                  </w:tcBorders>
                  <w:shd w:val="clear" w:color="auto" w:fill="auto"/>
                  <w:vAlign w:val="center"/>
                </w:tcPr>
                <w:p w14:paraId="290B47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412C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DD5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2A5D56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628DD8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6789D25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药学服务</w:t>
                  </w:r>
                </w:p>
              </w:tc>
              <w:tc>
                <w:tcPr>
                  <w:tcW w:w="1970" w:type="dxa"/>
                  <w:tcBorders>
                    <w:top w:val="nil"/>
                    <w:left w:val="nil"/>
                    <w:bottom w:val="single" w:color="auto" w:sz="4" w:space="0"/>
                    <w:right w:val="single" w:color="auto" w:sz="4" w:space="0"/>
                  </w:tcBorders>
                  <w:shd w:val="clear" w:color="auto" w:fill="auto"/>
                  <w:vAlign w:val="center"/>
                </w:tcPr>
                <w:p w14:paraId="7AE5941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临床药师服务平台</w:t>
                  </w:r>
                </w:p>
              </w:tc>
              <w:tc>
                <w:tcPr>
                  <w:tcW w:w="850" w:type="dxa"/>
                  <w:tcBorders>
                    <w:top w:val="nil"/>
                    <w:left w:val="nil"/>
                    <w:bottom w:val="single" w:color="auto" w:sz="4" w:space="0"/>
                    <w:right w:val="single" w:color="auto" w:sz="4" w:space="0"/>
                  </w:tcBorders>
                  <w:shd w:val="clear" w:color="auto" w:fill="auto"/>
                  <w:vAlign w:val="center"/>
                </w:tcPr>
                <w:p w14:paraId="7277BE7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3C29F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D8B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431CD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20B47AA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9DFF33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9BB0B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电子药历</w:t>
                  </w:r>
                </w:p>
              </w:tc>
              <w:tc>
                <w:tcPr>
                  <w:tcW w:w="850" w:type="dxa"/>
                  <w:tcBorders>
                    <w:top w:val="nil"/>
                    <w:left w:val="nil"/>
                    <w:bottom w:val="single" w:color="auto" w:sz="4" w:space="0"/>
                    <w:right w:val="single" w:color="auto" w:sz="4" w:space="0"/>
                  </w:tcBorders>
                  <w:shd w:val="clear" w:color="auto" w:fill="auto"/>
                  <w:vAlign w:val="center"/>
                </w:tcPr>
                <w:p w14:paraId="34831D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F26957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1A0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983F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E46329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AA2E4F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F418B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处方点评系统</w:t>
                  </w:r>
                </w:p>
              </w:tc>
              <w:tc>
                <w:tcPr>
                  <w:tcW w:w="850" w:type="dxa"/>
                  <w:tcBorders>
                    <w:top w:val="nil"/>
                    <w:left w:val="nil"/>
                    <w:bottom w:val="single" w:color="auto" w:sz="4" w:space="0"/>
                    <w:right w:val="single" w:color="auto" w:sz="4" w:space="0"/>
                  </w:tcBorders>
                  <w:shd w:val="clear" w:color="auto" w:fill="auto"/>
                  <w:vAlign w:val="center"/>
                </w:tcPr>
                <w:p w14:paraId="0EB824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6F30B5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31F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B28EE8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D54FD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39829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C0B11D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智能处方审核</w:t>
                  </w:r>
                </w:p>
              </w:tc>
              <w:tc>
                <w:tcPr>
                  <w:tcW w:w="850" w:type="dxa"/>
                  <w:tcBorders>
                    <w:top w:val="nil"/>
                    <w:left w:val="nil"/>
                    <w:bottom w:val="single" w:color="auto" w:sz="4" w:space="0"/>
                    <w:right w:val="single" w:color="auto" w:sz="4" w:space="0"/>
                  </w:tcBorders>
                  <w:shd w:val="clear" w:color="auto" w:fill="auto"/>
                  <w:vAlign w:val="center"/>
                </w:tcPr>
                <w:p w14:paraId="57DD78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6356EB2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7C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64E37B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7E95540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64ACF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医保智能审核</w:t>
                  </w:r>
                </w:p>
              </w:tc>
              <w:tc>
                <w:tcPr>
                  <w:tcW w:w="1970" w:type="dxa"/>
                  <w:tcBorders>
                    <w:top w:val="nil"/>
                    <w:left w:val="nil"/>
                    <w:bottom w:val="single" w:color="auto" w:sz="4" w:space="0"/>
                    <w:right w:val="single" w:color="auto" w:sz="4" w:space="0"/>
                  </w:tcBorders>
                  <w:shd w:val="clear" w:color="auto" w:fill="auto"/>
                  <w:vAlign w:val="center"/>
                </w:tcPr>
                <w:p w14:paraId="7649289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项目付费管理系统</w:t>
                  </w:r>
                </w:p>
              </w:tc>
              <w:tc>
                <w:tcPr>
                  <w:tcW w:w="850" w:type="dxa"/>
                  <w:tcBorders>
                    <w:top w:val="nil"/>
                    <w:left w:val="nil"/>
                    <w:bottom w:val="single" w:color="auto" w:sz="4" w:space="0"/>
                    <w:right w:val="single" w:color="auto" w:sz="4" w:space="0"/>
                  </w:tcBorders>
                  <w:shd w:val="clear" w:color="auto" w:fill="auto"/>
                  <w:vAlign w:val="center"/>
                </w:tcPr>
                <w:p w14:paraId="06B64C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AFEC9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57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FBC81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383172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5FF032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7CC198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医保知识库工具</w:t>
                  </w:r>
                </w:p>
              </w:tc>
              <w:tc>
                <w:tcPr>
                  <w:tcW w:w="850" w:type="dxa"/>
                  <w:tcBorders>
                    <w:top w:val="nil"/>
                    <w:left w:val="nil"/>
                    <w:bottom w:val="single" w:color="auto" w:sz="4" w:space="0"/>
                    <w:right w:val="single" w:color="auto" w:sz="4" w:space="0"/>
                  </w:tcBorders>
                  <w:shd w:val="clear" w:color="auto" w:fill="auto"/>
                  <w:vAlign w:val="center"/>
                </w:tcPr>
                <w:p w14:paraId="5BDD512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5F762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17D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1B5C38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6D9FC6D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1A17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w:t>
                  </w:r>
                </w:p>
              </w:tc>
              <w:tc>
                <w:tcPr>
                  <w:tcW w:w="1970" w:type="dxa"/>
                  <w:tcBorders>
                    <w:top w:val="nil"/>
                    <w:left w:val="nil"/>
                    <w:bottom w:val="single" w:color="auto" w:sz="4" w:space="0"/>
                    <w:right w:val="single" w:color="auto" w:sz="4" w:space="0"/>
                  </w:tcBorders>
                  <w:shd w:val="clear" w:color="auto" w:fill="auto"/>
                  <w:vAlign w:val="center"/>
                </w:tcPr>
                <w:p w14:paraId="1C0213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医保服务(城镇职工)</w:t>
                  </w:r>
                </w:p>
              </w:tc>
              <w:tc>
                <w:tcPr>
                  <w:tcW w:w="850" w:type="dxa"/>
                  <w:tcBorders>
                    <w:top w:val="nil"/>
                    <w:left w:val="nil"/>
                    <w:bottom w:val="single" w:color="auto" w:sz="4" w:space="0"/>
                    <w:right w:val="single" w:color="auto" w:sz="4" w:space="0"/>
                  </w:tcBorders>
                  <w:shd w:val="clear" w:color="auto" w:fill="auto"/>
                  <w:vAlign w:val="center"/>
                </w:tcPr>
                <w:p w14:paraId="0DB6A1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E630B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7F2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FCBC9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8F2F8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C6B4C5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F7241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医保服务(城镇居民)</w:t>
                  </w:r>
                </w:p>
              </w:tc>
              <w:tc>
                <w:tcPr>
                  <w:tcW w:w="850" w:type="dxa"/>
                  <w:tcBorders>
                    <w:top w:val="nil"/>
                    <w:left w:val="nil"/>
                    <w:bottom w:val="single" w:color="auto" w:sz="4" w:space="0"/>
                    <w:right w:val="single" w:color="auto" w:sz="4" w:space="0"/>
                  </w:tcBorders>
                  <w:shd w:val="clear" w:color="auto" w:fill="auto"/>
                  <w:vAlign w:val="center"/>
                </w:tcPr>
                <w:p w14:paraId="5C8FF7A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F3EC8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625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09510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DCB1C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03A0E5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F2F35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医保服务(城乡居民)</w:t>
                  </w:r>
                </w:p>
              </w:tc>
              <w:tc>
                <w:tcPr>
                  <w:tcW w:w="850" w:type="dxa"/>
                  <w:tcBorders>
                    <w:top w:val="nil"/>
                    <w:left w:val="nil"/>
                    <w:bottom w:val="single" w:color="auto" w:sz="4" w:space="0"/>
                    <w:right w:val="single" w:color="auto" w:sz="4" w:space="0"/>
                  </w:tcBorders>
                  <w:shd w:val="clear" w:color="auto" w:fill="auto"/>
                  <w:vAlign w:val="center"/>
                </w:tcPr>
                <w:p w14:paraId="21FDCF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F6A887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C7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4B3801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695D1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FF02FB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医保精细化管理</w:t>
                  </w:r>
                </w:p>
              </w:tc>
              <w:tc>
                <w:tcPr>
                  <w:tcW w:w="1970" w:type="dxa"/>
                  <w:tcBorders>
                    <w:top w:val="nil"/>
                    <w:left w:val="nil"/>
                    <w:bottom w:val="single" w:color="auto" w:sz="4" w:space="0"/>
                    <w:right w:val="single" w:color="auto" w:sz="4" w:space="0"/>
                  </w:tcBorders>
                  <w:shd w:val="clear" w:color="auto" w:fill="auto"/>
                  <w:vAlign w:val="center"/>
                </w:tcPr>
                <w:p w14:paraId="1EA4E3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人次付费管理系统</w:t>
                  </w:r>
                </w:p>
              </w:tc>
              <w:tc>
                <w:tcPr>
                  <w:tcW w:w="850" w:type="dxa"/>
                  <w:tcBorders>
                    <w:top w:val="nil"/>
                    <w:left w:val="nil"/>
                    <w:bottom w:val="single" w:color="auto" w:sz="4" w:space="0"/>
                    <w:right w:val="single" w:color="auto" w:sz="4" w:space="0"/>
                  </w:tcBorders>
                  <w:shd w:val="clear" w:color="auto" w:fill="auto"/>
                  <w:vAlign w:val="center"/>
                </w:tcPr>
                <w:p w14:paraId="043221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B79E92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B83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7D38B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9A728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33CAB6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78F261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门诊慢特病管理系统</w:t>
                  </w:r>
                </w:p>
              </w:tc>
              <w:tc>
                <w:tcPr>
                  <w:tcW w:w="850" w:type="dxa"/>
                  <w:tcBorders>
                    <w:top w:val="nil"/>
                    <w:left w:val="nil"/>
                    <w:bottom w:val="single" w:color="auto" w:sz="4" w:space="0"/>
                    <w:right w:val="single" w:color="auto" w:sz="4" w:space="0"/>
                  </w:tcBorders>
                  <w:shd w:val="clear" w:color="auto" w:fill="auto"/>
                  <w:vAlign w:val="center"/>
                </w:tcPr>
                <w:p w14:paraId="56A506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20AE2C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59D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434ED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3C5D8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ADDF01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48442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项目付费管理系统</w:t>
                  </w:r>
                </w:p>
              </w:tc>
              <w:tc>
                <w:tcPr>
                  <w:tcW w:w="850" w:type="dxa"/>
                  <w:tcBorders>
                    <w:top w:val="nil"/>
                    <w:left w:val="nil"/>
                    <w:bottom w:val="single" w:color="auto" w:sz="4" w:space="0"/>
                    <w:right w:val="single" w:color="auto" w:sz="4" w:space="0"/>
                  </w:tcBorders>
                  <w:shd w:val="clear" w:color="auto" w:fill="auto"/>
                  <w:vAlign w:val="center"/>
                </w:tcPr>
                <w:p w14:paraId="5A3151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9D3B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790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D14E5E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3CCBE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5AA0DA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804E58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总额预付管理系统</w:t>
                  </w:r>
                </w:p>
              </w:tc>
              <w:tc>
                <w:tcPr>
                  <w:tcW w:w="850" w:type="dxa"/>
                  <w:tcBorders>
                    <w:top w:val="nil"/>
                    <w:left w:val="nil"/>
                    <w:bottom w:val="single" w:color="auto" w:sz="4" w:space="0"/>
                    <w:right w:val="single" w:color="auto" w:sz="4" w:space="0"/>
                  </w:tcBorders>
                  <w:shd w:val="clear" w:color="auto" w:fill="auto"/>
                  <w:vAlign w:val="center"/>
                </w:tcPr>
                <w:p w14:paraId="69F4A05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C92DA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7EC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17E33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3B204B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6BBF40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81B4C5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医保知识库工具</w:t>
                  </w:r>
                </w:p>
              </w:tc>
              <w:tc>
                <w:tcPr>
                  <w:tcW w:w="850" w:type="dxa"/>
                  <w:tcBorders>
                    <w:top w:val="nil"/>
                    <w:left w:val="nil"/>
                    <w:bottom w:val="single" w:color="auto" w:sz="4" w:space="0"/>
                    <w:right w:val="single" w:color="auto" w:sz="4" w:space="0"/>
                  </w:tcBorders>
                  <w:shd w:val="clear" w:color="auto" w:fill="auto"/>
                  <w:vAlign w:val="center"/>
                </w:tcPr>
                <w:p w14:paraId="1039F6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23E00A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04C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67D1A8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01753A0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236E7FC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15D2BA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单病种付费管理系统</w:t>
                  </w:r>
                </w:p>
              </w:tc>
              <w:tc>
                <w:tcPr>
                  <w:tcW w:w="850" w:type="dxa"/>
                  <w:tcBorders>
                    <w:top w:val="nil"/>
                    <w:left w:val="nil"/>
                    <w:bottom w:val="single" w:color="auto" w:sz="4" w:space="0"/>
                    <w:right w:val="single" w:color="auto" w:sz="4" w:space="0"/>
                  </w:tcBorders>
                  <w:shd w:val="clear" w:color="auto" w:fill="auto"/>
                  <w:vAlign w:val="center"/>
                </w:tcPr>
                <w:p w14:paraId="63277C4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B9419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9F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D871CC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7F90CAE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6B28A0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医保本地算法</w:t>
                  </w:r>
                </w:p>
              </w:tc>
              <w:tc>
                <w:tcPr>
                  <w:tcW w:w="1970" w:type="dxa"/>
                  <w:tcBorders>
                    <w:top w:val="nil"/>
                    <w:left w:val="nil"/>
                    <w:bottom w:val="single" w:color="auto" w:sz="4" w:space="0"/>
                    <w:right w:val="single" w:color="auto" w:sz="4" w:space="0"/>
                  </w:tcBorders>
                  <w:shd w:val="clear" w:color="auto" w:fill="auto"/>
                  <w:vAlign w:val="center"/>
                </w:tcPr>
                <w:p w14:paraId="3EA010F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院内医保结算</w:t>
                  </w:r>
                </w:p>
              </w:tc>
              <w:tc>
                <w:tcPr>
                  <w:tcW w:w="850" w:type="dxa"/>
                  <w:tcBorders>
                    <w:top w:val="nil"/>
                    <w:left w:val="nil"/>
                    <w:bottom w:val="single" w:color="auto" w:sz="4" w:space="0"/>
                    <w:right w:val="single" w:color="auto" w:sz="4" w:space="0"/>
                  </w:tcBorders>
                  <w:shd w:val="clear" w:color="auto" w:fill="auto"/>
                  <w:vAlign w:val="center"/>
                </w:tcPr>
                <w:p w14:paraId="7DD72C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B28FF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63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16A75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37BD59A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60E6B4C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院端商保转换平台</w:t>
                  </w:r>
                </w:p>
              </w:tc>
              <w:tc>
                <w:tcPr>
                  <w:tcW w:w="1970" w:type="dxa"/>
                  <w:tcBorders>
                    <w:top w:val="nil"/>
                    <w:left w:val="nil"/>
                    <w:bottom w:val="single" w:color="auto" w:sz="4" w:space="0"/>
                    <w:right w:val="single" w:color="auto" w:sz="4" w:space="0"/>
                  </w:tcBorders>
                  <w:shd w:val="clear" w:color="auto" w:fill="auto"/>
                  <w:vAlign w:val="center"/>
                </w:tcPr>
                <w:p w14:paraId="2ED623C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院端商保平台转换接口</w:t>
                  </w:r>
                </w:p>
              </w:tc>
              <w:tc>
                <w:tcPr>
                  <w:tcW w:w="850" w:type="dxa"/>
                  <w:tcBorders>
                    <w:top w:val="nil"/>
                    <w:left w:val="nil"/>
                    <w:bottom w:val="single" w:color="auto" w:sz="4" w:space="0"/>
                    <w:right w:val="single" w:color="auto" w:sz="4" w:space="0"/>
                  </w:tcBorders>
                  <w:shd w:val="clear" w:color="auto" w:fill="auto"/>
                  <w:vAlign w:val="center"/>
                </w:tcPr>
                <w:p w14:paraId="63E3E0B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vAlign w:val="center"/>
                </w:tcPr>
                <w:p w14:paraId="0FB580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A07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9E227F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030" w:type="dxa"/>
                  <w:tcBorders>
                    <w:top w:val="nil"/>
                    <w:left w:val="nil"/>
                    <w:bottom w:val="single" w:color="auto" w:sz="4" w:space="0"/>
                    <w:right w:val="single" w:color="auto" w:sz="4" w:space="0"/>
                  </w:tcBorders>
                  <w:shd w:val="clear" w:color="auto" w:fill="auto"/>
                  <w:vAlign w:val="center"/>
                </w:tcPr>
                <w:p w14:paraId="36A84C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812" w:type="dxa"/>
                  <w:tcBorders>
                    <w:top w:val="nil"/>
                    <w:left w:val="nil"/>
                    <w:bottom w:val="single" w:color="auto" w:sz="4" w:space="0"/>
                    <w:right w:val="single" w:color="auto" w:sz="4" w:space="0"/>
                  </w:tcBorders>
                  <w:shd w:val="clear" w:color="auto" w:fill="auto"/>
                  <w:vAlign w:val="center"/>
                </w:tcPr>
                <w:p w14:paraId="0D971D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1970" w:type="dxa"/>
                  <w:tcBorders>
                    <w:top w:val="nil"/>
                    <w:left w:val="nil"/>
                    <w:bottom w:val="single" w:color="auto" w:sz="4" w:space="0"/>
                    <w:right w:val="single" w:color="auto" w:sz="4" w:space="0"/>
                  </w:tcBorders>
                  <w:shd w:val="clear" w:color="auto" w:fill="auto"/>
                  <w:vAlign w:val="center"/>
                </w:tcPr>
                <w:p w14:paraId="20304BC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多渠道对账管理系统</w:t>
                  </w:r>
                </w:p>
              </w:tc>
              <w:tc>
                <w:tcPr>
                  <w:tcW w:w="850" w:type="dxa"/>
                  <w:tcBorders>
                    <w:top w:val="nil"/>
                    <w:left w:val="nil"/>
                    <w:bottom w:val="single" w:color="auto" w:sz="4" w:space="0"/>
                    <w:right w:val="single" w:color="auto" w:sz="4" w:space="0"/>
                  </w:tcBorders>
                  <w:shd w:val="clear" w:color="auto" w:fill="auto"/>
                  <w:vAlign w:val="center"/>
                </w:tcPr>
                <w:p w14:paraId="697B06D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8DA52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86C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EF1DBE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030" w:type="dxa"/>
                  <w:vMerge w:val="restart"/>
                  <w:tcBorders>
                    <w:top w:val="nil"/>
                    <w:left w:val="single" w:color="auto" w:sz="4" w:space="0"/>
                    <w:bottom w:val="single" w:color="auto" w:sz="4" w:space="0"/>
                    <w:right w:val="single" w:color="auto" w:sz="4" w:space="0"/>
                  </w:tcBorders>
                  <w:shd w:val="clear" w:color="auto" w:fill="auto"/>
                  <w:vAlign w:val="center"/>
                </w:tcPr>
                <w:p w14:paraId="0A3EA4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6A007B6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多媒体</w:t>
                  </w:r>
                </w:p>
              </w:tc>
              <w:tc>
                <w:tcPr>
                  <w:tcW w:w="1970" w:type="dxa"/>
                  <w:tcBorders>
                    <w:top w:val="nil"/>
                    <w:left w:val="nil"/>
                    <w:bottom w:val="single" w:color="auto" w:sz="4" w:space="0"/>
                    <w:right w:val="single" w:color="auto" w:sz="4" w:space="0"/>
                  </w:tcBorders>
                  <w:shd w:val="clear" w:color="auto" w:fill="auto"/>
                  <w:vAlign w:val="center"/>
                </w:tcPr>
                <w:p w14:paraId="0B3B632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数字媒体宣教</w:t>
                  </w:r>
                </w:p>
              </w:tc>
              <w:tc>
                <w:tcPr>
                  <w:tcW w:w="850" w:type="dxa"/>
                  <w:tcBorders>
                    <w:top w:val="nil"/>
                    <w:left w:val="nil"/>
                    <w:bottom w:val="single" w:color="auto" w:sz="4" w:space="0"/>
                    <w:right w:val="single" w:color="auto" w:sz="4" w:space="0"/>
                  </w:tcBorders>
                  <w:shd w:val="clear" w:color="auto" w:fill="auto"/>
                  <w:vAlign w:val="center"/>
                </w:tcPr>
                <w:p w14:paraId="4CB294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ACC64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FDF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DFC2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4DD6456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1FE9CC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5DC7A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数字媒体信息发布</w:t>
                  </w:r>
                </w:p>
              </w:tc>
              <w:tc>
                <w:tcPr>
                  <w:tcW w:w="850" w:type="dxa"/>
                  <w:tcBorders>
                    <w:top w:val="nil"/>
                    <w:left w:val="nil"/>
                    <w:bottom w:val="single" w:color="auto" w:sz="4" w:space="0"/>
                    <w:right w:val="single" w:color="auto" w:sz="4" w:space="0"/>
                  </w:tcBorders>
                  <w:shd w:val="clear" w:color="auto" w:fill="auto"/>
                  <w:vAlign w:val="center"/>
                </w:tcPr>
                <w:p w14:paraId="6D6B244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C1EBBB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189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7C6FF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030" w:type="dxa"/>
                  <w:vMerge w:val="continue"/>
                  <w:tcBorders>
                    <w:top w:val="nil"/>
                    <w:left w:val="single" w:color="auto" w:sz="4" w:space="0"/>
                    <w:bottom w:val="single" w:color="auto" w:sz="4" w:space="0"/>
                    <w:right w:val="single" w:color="auto" w:sz="4" w:space="0"/>
                  </w:tcBorders>
                  <w:shd w:val="clear" w:color="auto" w:fill="auto"/>
                  <w:vAlign w:val="center"/>
                </w:tcPr>
                <w:p w14:paraId="55C6F7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0B588D3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排队叫号</w:t>
                  </w:r>
                </w:p>
              </w:tc>
              <w:tc>
                <w:tcPr>
                  <w:tcW w:w="1970" w:type="dxa"/>
                  <w:tcBorders>
                    <w:top w:val="nil"/>
                    <w:left w:val="nil"/>
                    <w:bottom w:val="single" w:color="auto" w:sz="4" w:space="0"/>
                    <w:right w:val="single" w:color="auto" w:sz="4" w:space="0"/>
                  </w:tcBorders>
                  <w:shd w:val="clear" w:color="auto" w:fill="auto"/>
                  <w:vAlign w:val="center"/>
                </w:tcPr>
                <w:p w14:paraId="31B9F18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数字媒体呼叫系统</w:t>
                  </w:r>
                </w:p>
              </w:tc>
              <w:tc>
                <w:tcPr>
                  <w:tcW w:w="850" w:type="dxa"/>
                  <w:tcBorders>
                    <w:top w:val="nil"/>
                    <w:left w:val="nil"/>
                    <w:bottom w:val="single" w:color="auto" w:sz="4" w:space="0"/>
                    <w:right w:val="single" w:color="auto" w:sz="4" w:space="0"/>
                  </w:tcBorders>
                  <w:shd w:val="clear" w:color="auto" w:fill="auto"/>
                  <w:vAlign w:val="center"/>
                </w:tcPr>
                <w:p w14:paraId="773D6C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04496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55D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B4442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30" w:type="dxa"/>
                  <w:vMerge w:val="restart"/>
                  <w:tcBorders>
                    <w:top w:val="nil"/>
                    <w:left w:val="single" w:color="auto" w:sz="4" w:space="0"/>
                    <w:bottom w:val="single" w:color="000000" w:sz="4" w:space="0"/>
                    <w:right w:val="single" w:color="auto" w:sz="4" w:space="0"/>
                  </w:tcBorders>
                  <w:shd w:val="clear" w:color="auto" w:fill="auto"/>
                  <w:vAlign w:val="center"/>
                </w:tcPr>
                <w:p w14:paraId="7140A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医院营养信息系统</w:t>
                  </w:r>
                </w:p>
              </w:tc>
              <w:tc>
                <w:tcPr>
                  <w:tcW w:w="812" w:type="dxa"/>
                  <w:vMerge w:val="restart"/>
                  <w:tcBorders>
                    <w:top w:val="nil"/>
                    <w:left w:val="single" w:color="auto" w:sz="4" w:space="0"/>
                    <w:bottom w:val="single" w:color="000000" w:sz="4" w:space="0"/>
                    <w:right w:val="single" w:color="auto" w:sz="4" w:space="0"/>
                  </w:tcBorders>
                  <w:shd w:val="clear" w:color="auto" w:fill="auto"/>
                  <w:vAlign w:val="center"/>
                </w:tcPr>
                <w:p w14:paraId="415509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医院营养信息系统</w:t>
                  </w:r>
                </w:p>
              </w:tc>
              <w:tc>
                <w:tcPr>
                  <w:tcW w:w="1970" w:type="dxa"/>
                  <w:tcBorders>
                    <w:top w:val="nil"/>
                    <w:left w:val="nil"/>
                    <w:bottom w:val="single" w:color="auto" w:sz="4" w:space="0"/>
                    <w:right w:val="single" w:color="auto" w:sz="4" w:space="0"/>
                  </w:tcBorders>
                  <w:shd w:val="clear" w:color="auto" w:fill="auto"/>
                  <w:noWrap/>
                  <w:vAlign w:val="center"/>
                </w:tcPr>
                <w:p w14:paraId="2D96CC5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住院营养诊疗</w:t>
                  </w:r>
                </w:p>
              </w:tc>
              <w:tc>
                <w:tcPr>
                  <w:tcW w:w="850" w:type="dxa"/>
                  <w:tcBorders>
                    <w:top w:val="nil"/>
                    <w:left w:val="nil"/>
                    <w:bottom w:val="single" w:color="auto" w:sz="4" w:space="0"/>
                    <w:right w:val="single" w:color="auto" w:sz="4" w:space="0"/>
                  </w:tcBorders>
                  <w:shd w:val="clear" w:color="auto" w:fill="auto"/>
                  <w:vAlign w:val="center"/>
                </w:tcPr>
                <w:p w14:paraId="146E29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FC2A70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20F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61A47B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030" w:type="dxa"/>
                  <w:vMerge w:val="continue"/>
                  <w:tcBorders>
                    <w:top w:val="nil"/>
                    <w:left w:val="single" w:color="auto" w:sz="4" w:space="0"/>
                    <w:bottom w:val="single" w:color="000000" w:sz="4" w:space="0"/>
                    <w:right w:val="single" w:color="auto" w:sz="4" w:space="0"/>
                  </w:tcBorders>
                  <w:shd w:val="clear" w:color="auto" w:fill="auto"/>
                  <w:vAlign w:val="center"/>
                </w:tcPr>
                <w:p w14:paraId="347C4E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000000" w:sz="4" w:space="0"/>
                    <w:right w:val="single" w:color="auto" w:sz="4" w:space="0"/>
                  </w:tcBorders>
                  <w:shd w:val="clear" w:color="auto" w:fill="auto"/>
                  <w:vAlign w:val="center"/>
                </w:tcPr>
                <w:p w14:paraId="10642A2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noWrap/>
                  <w:vAlign w:val="center"/>
                </w:tcPr>
                <w:p w14:paraId="3AD3B0F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门诊营养系统</w:t>
                  </w:r>
                </w:p>
              </w:tc>
              <w:tc>
                <w:tcPr>
                  <w:tcW w:w="850" w:type="dxa"/>
                  <w:tcBorders>
                    <w:top w:val="nil"/>
                    <w:left w:val="nil"/>
                    <w:bottom w:val="single" w:color="auto" w:sz="4" w:space="0"/>
                    <w:right w:val="single" w:color="auto" w:sz="4" w:space="0"/>
                  </w:tcBorders>
                  <w:shd w:val="clear" w:color="auto" w:fill="auto"/>
                  <w:vAlign w:val="center"/>
                </w:tcPr>
                <w:p w14:paraId="25FE61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07808F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44C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D38D1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30" w:type="dxa"/>
                  <w:vMerge w:val="restart"/>
                  <w:tcBorders>
                    <w:top w:val="nil"/>
                    <w:left w:val="single" w:color="auto" w:sz="4" w:space="0"/>
                    <w:bottom w:val="nil"/>
                    <w:right w:val="single" w:color="auto" w:sz="4" w:space="0"/>
                  </w:tcBorders>
                  <w:shd w:val="clear" w:color="auto" w:fill="auto"/>
                  <w:vAlign w:val="center"/>
                </w:tcPr>
                <w:p w14:paraId="5BE107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w:t>
                  </w: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251CE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1970" w:type="dxa"/>
                  <w:tcBorders>
                    <w:top w:val="nil"/>
                    <w:left w:val="nil"/>
                    <w:bottom w:val="single" w:color="auto" w:sz="4" w:space="0"/>
                    <w:right w:val="single" w:color="auto" w:sz="4" w:space="0"/>
                  </w:tcBorders>
                  <w:shd w:val="clear" w:color="auto" w:fill="auto"/>
                  <w:vAlign w:val="center"/>
                </w:tcPr>
                <w:p w14:paraId="08B2F7F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检验仪器接口</w:t>
                  </w:r>
                </w:p>
              </w:tc>
              <w:tc>
                <w:tcPr>
                  <w:tcW w:w="850" w:type="dxa"/>
                  <w:tcBorders>
                    <w:top w:val="nil"/>
                    <w:left w:val="nil"/>
                    <w:bottom w:val="single" w:color="auto" w:sz="4" w:space="0"/>
                    <w:right w:val="single" w:color="auto" w:sz="4" w:space="0"/>
                  </w:tcBorders>
                  <w:shd w:val="clear" w:color="auto" w:fill="auto"/>
                  <w:vAlign w:val="center"/>
                </w:tcPr>
                <w:p w14:paraId="05F7525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E4BEC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6A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20CF83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030" w:type="dxa"/>
                  <w:vMerge w:val="continue"/>
                  <w:tcBorders>
                    <w:top w:val="nil"/>
                    <w:left w:val="single" w:color="auto" w:sz="4" w:space="0"/>
                    <w:bottom w:val="nil"/>
                    <w:right w:val="single" w:color="auto" w:sz="4" w:space="0"/>
                  </w:tcBorders>
                  <w:shd w:val="clear" w:color="auto" w:fill="auto"/>
                  <w:vAlign w:val="center"/>
                </w:tcPr>
                <w:p w14:paraId="179EAB8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8DB5A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92566D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实验室前处理系统接口</w:t>
                  </w:r>
                </w:p>
              </w:tc>
              <w:tc>
                <w:tcPr>
                  <w:tcW w:w="850" w:type="dxa"/>
                  <w:tcBorders>
                    <w:top w:val="nil"/>
                    <w:left w:val="nil"/>
                    <w:bottom w:val="single" w:color="auto" w:sz="4" w:space="0"/>
                    <w:right w:val="single" w:color="auto" w:sz="4" w:space="0"/>
                  </w:tcBorders>
                  <w:shd w:val="clear" w:color="auto" w:fill="auto"/>
                  <w:vAlign w:val="center"/>
                </w:tcPr>
                <w:p w14:paraId="645BE1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11F7C5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4D6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36D63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030" w:type="dxa"/>
                  <w:vMerge w:val="continue"/>
                  <w:tcBorders>
                    <w:top w:val="nil"/>
                    <w:left w:val="single" w:color="auto" w:sz="4" w:space="0"/>
                    <w:bottom w:val="nil"/>
                    <w:right w:val="single" w:color="auto" w:sz="4" w:space="0"/>
                  </w:tcBorders>
                  <w:shd w:val="clear" w:color="auto" w:fill="auto"/>
                  <w:vAlign w:val="center"/>
                </w:tcPr>
                <w:p w14:paraId="70B056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1FCCED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7C22F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实验室流水线系统接口</w:t>
                  </w:r>
                </w:p>
              </w:tc>
              <w:tc>
                <w:tcPr>
                  <w:tcW w:w="850" w:type="dxa"/>
                  <w:tcBorders>
                    <w:top w:val="nil"/>
                    <w:left w:val="nil"/>
                    <w:bottom w:val="single" w:color="auto" w:sz="4" w:space="0"/>
                    <w:right w:val="single" w:color="auto" w:sz="4" w:space="0"/>
                  </w:tcBorders>
                  <w:shd w:val="clear" w:color="auto" w:fill="auto"/>
                  <w:vAlign w:val="center"/>
                </w:tcPr>
                <w:p w14:paraId="31D9314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92872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277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7C1AA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030" w:type="dxa"/>
                  <w:vMerge w:val="continue"/>
                  <w:tcBorders>
                    <w:top w:val="nil"/>
                    <w:left w:val="single" w:color="auto" w:sz="4" w:space="0"/>
                    <w:bottom w:val="nil"/>
                    <w:right w:val="single" w:color="auto" w:sz="4" w:space="0"/>
                  </w:tcBorders>
                  <w:shd w:val="clear" w:color="auto" w:fill="auto"/>
                  <w:vAlign w:val="center"/>
                </w:tcPr>
                <w:p w14:paraId="0458E2F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6034ED9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70AA5F3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智能采血设备接口</w:t>
                  </w:r>
                </w:p>
              </w:tc>
              <w:tc>
                <w:tcPr>
                  <w:tcW w:w="850" w:type="dxa"/>
                  <w:tcBorders>
                    <w:top w:val="nil"/>
                    <w:left w:val="nil"/>
                    <w:bottom w:val="single" w:color="auto" w:sz="4" w:space="0"/>
                    <w:right w:val="single" w:color="auto" w:sz="4" w:space="0"/>
                  </w:tcBorders>
                  <w:shd w:val="clear" w:color="auto" w:fill="auto"/>
                  <w:vAlign w:val="center"/>
                </w:tcPr>
                <w:p w14:paraId="543640C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C0954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987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A6FE63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030" w:type="dxa"/>
                  <w:vMerge w:val="continue"/>
                  <w:tcBorders>
                    <w:top w:val="nil"/>
                    <w:left w:val="single" w:color="auto" w:sz="4" w:space="0"/>
                    <w:bottom w:val="nil"/>
                    <w:right w:val="single" w:color="auto" w:sz="4" w:space="0"/>
                  </w:tcBorders>
                  <w:shd w:val="clear" w:color="auto" w:fill="auto"/>
                  <w:vAlign w:val="center"/>
                </w:tcPr>
                <w:p w14:paraId="70B03FE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2715C0E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临床系统接口</w:t>
                  </w:r>
                </w:p>
              </w:tc>
              <w:tc>
                <w:tcPr>
                  <w:tcW w:w="1970" w:type="dxa"/>
                  <w:tcBorders>
                    <w:top w:val="nil"/>
                    <w:left w:val="nil"/>
                    <w:bottom w:val="single" w:color="auto" w:sz="4" w:space="0"/>
                    <w:right w:val="single" w:color="auto" w:sz="4" w:space="0"/>
                  </w:tcBorders>
                  <w:shd w:val="clear" w:color="auto" w:fill="auto"/>
                  <w:vAlign w:val="center"/>
                </w:tcPr>
                <w:p w14:paraId="1C2096E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临床服务类集成接口</w:t>
                  </w:r>
                </w:p>
              </w:tc>
              <w:tc>
                <w:tcPr>
                  <w:tcW w:w="850" w:type="dxa"/>
                  <w:tcBorders>
                    <w:top w:val="nil"/>
                    <w:left w:val="nil"/>
                    <w:bottom w:val="single" w:color="auto" w:sz="4" w:space="0"/>
                    <w:right w:val="single" w:color="auto" w:sz="4" w:space="0"/>
                  </w:tcBorders>
                  <w:shd w:val="clear" w:color="auto" w:fill="auto"/>
                  <w:vAlign w:val="center"/>
                </w:tcPr>
                <w:p w14:paraId="1B95F15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10BEF0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13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F2472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030" w:type="dxa"/>
                  <w:vMerge w:val="continue"/>
                  <w:tcBorders>
                    <w:top w:val="nil"/>
                    <w:left w:val="single" w:color="auto" w:sz="4" w:space="0"/>
                    <w:bottom w:val="nil"/>
                    <w:right w:val="single" w:color="auto" w:sz="4" w:space="0"/>
                  </w:tcBorders>
                  <w:shd w:val="clear" w:color="auto" w:fill="auto"/>
                  <w:vAlign w:val="center"/>
                </w:tcPr>
                <w:p w14:paraId="4A2F687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0E03DBF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院外平台接口</w:t>
                  </w:r>
                </w:p>
              </w:tc>
              <w:tc>
                <w:tcPr>
                  <w:tcW w:w="1970" w:type="dxa"/>
                  <w:tcBorders>
                    <w:top w:val="nil"/>
                    <w:left w:val="nil"/>
                    <w:bottom w:val="single" w:color="auto" w:sz="4" w:space="0"/>
                    <w:right w:val="single" w:color="auto" w:sz="4" w:space="0"/>
                  </w:tcBorders>
                  <w:shd w:val="clear" w:color="auto" w:fill="auto"/>
                  <w:vAlign w:val="center"/>
                </w:tcPr>
                <w:p w14:paraId="48D7FC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药房药库对外接口</w:t>
                  </w:r>
                </w:p>
              </w:tc>
              <w:tc>
                <w:tcPr>
                  <w:tcW w:w="850" w:type="dxa"/>
                  <w:tcBorders>
                    <w:top w:val="nil"/>
                    <w:left w:val="nil"/>
                    <w:bottom w:val="single" w:color="auto" w:sz="4" w:space="0"/>
                    <w:right w:val="single" w:color="auto" w:sz="4" w:space="0"/>
                  </w:tcBorders>
                  <w:shd w:val="clear" w:color="auto" w:fill="auto"/>
                  <w:vAlign w:val="center"/>
                </w:tcPr>
                <w:p w14:paraId="1BEA643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91C0B6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D4E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847B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030" w:type="dxa"/>
                  <w:vMerge w:val="continue"/>
                  <w:tcBorders>
                    <w:top w:val="nil"/>
                    <w:left w:val="single" w:color="auto" w:sz="4" w:space="0"/>
                    <w:bottom w:val="nil"/>
                    <w:right w:val="single" w:color="auto" w:sz="4" w:space="0"/>
                  </w:tcBorders>
                  <w:shd w:val="clear" w:color="auto" w:fill="auto"/>
                  <w:vAlign w:val="center"/>
                </w:tcPr>
                <w:p w14:paraId="74359F9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29530E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E34EBF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综合查询对外接口服务</w:t>
                  </w:r>
                </w:p>
              </w:tc>
              <w:tc>
                <w:tcPr>
                  <w:tcW w:w="850" w:type="dxa"/>
                  <w:tcBorders>
                    <w:top w:val="nil"/>
                    <w:left w:val="nil"/>
                    <w:bottom w:val="single" w:color="auto" w:sz="4" w:space="0"/>
                    <w:right w:val="single" w:color="auto" w:sz="4" w:space="0"/>
                  </w:tcBorders>
                  <w:shd w:val="clear" w:color="auto" w:fill="auto"/>
                  <w:vAlign w:val="center"/>
                </w:tcPr>
                <w:p w14:paraId="77E6D97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68727AC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9A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4CFD52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030" w:type="dxa"/>
                  <w:vMerge w:val="continue"/>
                  <w:tcBorders>
                    <w:top w:val="nil"/>
                    <w:left w:val="single" w:color="auto" w:sz="4" w:space="0"/>
                    <w:bottom w:val="nil"/>
                    <w:right w:val="single" w:color="auto" w:sz="4" w:space="0"/>
                  </w:tcBorders>
                  <w:shd w:val="clear" w:color="auto" w:fill="auto"/>
                  <w:vAlign w:val="center"/>
                </w:tcPr>
                <w:p w14:paraId="3C4D851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044DC5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2BF869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医技产品对外接口</w:t>
                  </w:r>
                </w:p>
              </w:tc>
              <w:tc>
                <w:tcPr>
                  <w:tcW w:w="850" w:type="dxa"/>
                  <w:tcBorders>
                    <w:top w:val="nil"/>
                    <w:left w:val="nil"/>
                    <w:bottom w:val="single" w:color="auto" w:sz="4" w:space="0"/>
                    <w:right w:val="single" w:color="auto" w:sz="4" w:space="0"/>
                  </w:tcBorders>
                  <w:shd w:val="clear" w:color="auto" w:fill="auto"/>
                  <w:vAlign w:val="center"/>
                </w:tcPr>
                <w:p w14:paraId="3AF9199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DA7B8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72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2411CA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30" w:type="dxa"/>
                  <w:vMerge w:val="continue"/>
                  <w:tcBorders>
                    <w:top w:val="nil"/>
                    <w:left w:val="single" w:color="auto" w:sz="4" w:space="0"/>
                    <w:bottom w:val="nil"/>
                    <w:right w:val="single" w:color="auto" w:sz="4" w:space="0"/>
                  </w:tcBorders>
                  <w:shd w:val="clear" w:color="auto" w:fill="auto"/>
                  <w:vAlign w:val="center"/>
                </w:tcPr>
                <w:p w14:paraId="5E1A19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0E6E21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45F7D1A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医生站对外接口</w:t>
                  </w:r>
                </w:p>
              </w:tc>
              <w:tc>
                <w:tcPr>
                  <w:tcW w:w="850" w:type="dxa"/>
                  <w:tcBorders>
                    <w:top w:val="nil"/>
                    <w:left w:val="nil"/>
                    <w:bottom w:val="single" w:color="auto" w:sz="4" w:space="0"/>
                    <w:right w:val="single" w:color="auto" w:sz="4" w:space="0"/>
                  </w:tcBorders>
                  <w:shd w:val="clear" w:color="auto" w:fill="auto"/>
                  <w:vAlign w:val="center"/>
                </w:tcPr>
                <w:p w14:paraId="6B73B4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194C86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40BB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3849E9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030" w:type="dxa"/>
                  <w:vMerge w:val="continue"/>
                  <w:tcBorders>
                    <w:top w:val="nil"/>
                    <w:left w:val="single" w:color="auto" w:sz="4" w:space="0"/>
                    <w:bottom w:val="nil"/>
                    <w:right w:val="single" w:color="auto" w:sz="4" w:space="0"/>
                  </w:tcBorders>
                  <w:shd w:val="clear" w:color="auto" w:fill="auto"/>
                  <w:vAlign w:val="center"/>
                </w:tcPr>
                <w:p w14:paraId="5A99C98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5032E8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5388B84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第三方互联网医院接口</w:t>
                  </w:r>
                </w:p>
              </w:tc>
              <w:tc>
                <w:tcPr>
                  <w:tcW w:w="850" w:type="dxa"/>
                  <w:tcBorders>
                    <w:top w:val="nil"/>
                    <w:left w:val="nil"/>
                    <w:bottom w:val="single" w:color="auto" w:sz="4" w:space="0"/>
                    <w:right w:val="single" w:color="auto" w:sz="4" w:space="0"/>
                  </w:tcBorders>
                  <w:shd w:val="clear" w:color="auto" w:fill="auto"/>
                  <w:vAlign w:val="center"/>
                </w:tcPr>
                <w:p w14:paraId="7F1223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6446BD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BB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5C1EF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030" w:type="dxa"/>
                  <w:vMerge w:val="continue"/>
                  <w:tcBorders>
                    <w:top w:val="nil"/>
                    <w:left w:val="single" w:color="auto" w:sz="4" w:space="0"/>
                    <w:bottom w:val="nil"/>
                    <w:right w:val="single" w:color="auto" w:sz="4" w:space="0"/>
                  </w:tcBorders>
                  <w:shd w:val="clear" w:color="auto" w:fill="auto"/>
                  <w:vAlign w:val="center"/>
                </w:tcPr>
                <w:p w14:paraId="3A5A790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4BE7410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4CC1F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院外平台类集成接口</w:t>
                  </w:r>
                </w:p>
              </w:tc>
              <w:tc>
                <w:tcPr>
                  <w:tcW w:w="850" w:type="dxa"/>
                  <w:tcBorders>
                    <w:top w:val="nil"/>
                    <w:left w:val="nil"/>
                    <w:bottom w:val="single" w:color="auto" w:sz="4" w:space="0"/>
                    <w:right w:val="single" w:color="auto" w:sz="4" w:space="0"/>
                  </w:tcBorders>
                  <w:shd w:val="clear" w:color="auto" w:fill="auto"/>
                  <w:vAlign w:val="center"/>
                </w:tcPr>
                <w:p w14:paraId="1D967B1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4321F9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8B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739D0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030" w:type="dxa"/>
                  <w:vMerge w:val="continue"/>
                  <w:tcBorders>
                    <w:top w:val="nil"/>
                    <w:left w:val="single" w:color="auto" w:sz="4" w:space="0"/>
                    <w:bottom w:val="nil"/>
                    <w:right w:val="single" w:color="auto" w:sz="4" w:space="0"/>
                  </w:tcBorders>
                  <w:shd w:val="clear" w:color="auto" w:fill="auto"/>
                  <w:vAlign w:val="center"/>
                </w:tcPr>
                <w:p w14:paraId="663C606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7970CFA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32E5DD7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护理组对外接口</w:t>
                  </w:r>
                </w:p>
              </w:tc>
              <w:tc>
                <w:tcPr>
                  <w:tcW w:w="850" w:type="dxa"/>
                  <w:tcBorders>
                    <w:top w:val="nil"/>
                    <w:left w:val="nil"/>
                    <w:bottom w:val="single" w:color="auto" w:sz="4" w:space="0"/>
                    <w:right w:val="single" w:color="auto" w:sz="4" w:space="0"/>
                  </w:tcBorders>
                  <w:shd w:val="clear" w:color="auto" w:fill="auto"/>
                  <w:vAlign w:val="center"/>
                </w:tcPr>
                <w:p w14:paraId="74EFC5C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B7ED7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37B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FA4C81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030" w:type="dxa"/>
                  <w:vMerge w:val="continue"/>
                  <w:tcBorders>
                    <w:top w:val="nil"/>
                    <w:left w:val="single" w:color="auto" w:sz="4" w:space="0"/>
                    <w:bottom w:val="nil"/>
                    <w:right w:val="single" w:color="auto" w:sz="4" w:space="0"/>
                  </w:tcBorders>
                  <w:shd w:val="clear" w:color="auto" w:fill="auto"/>
                  <w:vAlign w:val="center"/>
                </w:tcPr>
                <w:p w14:paraId="57C194E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2D3E559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支付接口</w:t>
                  </w:r>
                </w:p>
              </w:tc>
              <w:tc>
                <w:tcPr>
                  <w:tcW w:w="1970" w:type="dxa"/>
                  <w:tcBorders>
                    <w:top w:val="nil"/>
                    <w:left w:val="nil"/>
                    <w:bottom w:val="single" w:color="auto" w:sz="4" w:space="0"/>
                    <w:right w:val="single" w:color="auto" w:sz="4" w:space="0"/>
                  </w:tcBorders>
                  <w:shd w:val="clear" w:color="auto" w:fill="auto"/>
                  <w:vAlign w:val="center"/>
                </w:tcPr>
                <w:p w14:paraId="53AF2EC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窗口第三方支付服务</w:t>
                  </w:r>
                </w:p>
              </w:tc>
              <w:tc>
                <w:tcPr>
                  <w:tcW w:w="850" w:type="dxa"/>
                  <w:tcBorders>
                    <w:top w:val="nil"/>
                    <w:left w:val="nil"/>
                    <w:bottom w:val="single" w:color="auto" w:sz="4" w:space="0"/>
                    <w:right w:val="single" w:color="auto" w:sz="4" w:space="0"/>
                  </w:tcBorders>
                  <w:shd w:val="clear" w:color="auto" w:fill="auto"/>
                  <w:vAlign w:val="center"/>
                </w:tcPr>
                <w:p w14:paraId="7794CB9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31C31F8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A8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4B2BE8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30" w:type="dxa"/>
                  <w:vMerge w:val="continue"/>
                  <w:tcBorders>
                    <w:top w:val="nil"/>
                    <w:left w:val="single" w:color="auto" w:sz="4" w:space="0"/>
                    <w:bottom w:val="nil"/>
                    <w:right w:val="single" w:color="auto" w:sz="4" w:space="0"/>
                  </w:tcBorders>
                  <w:shd w:val="clear" w:color="auto" w:fill="auto"/>
                  <w:vAlign w:val="center"/>
                </w:tcPr>
                <w:p w14:paraId="1F7DD04A">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3626606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3CD9D5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医保对外接口服务</w:t>
                  </w:r>
                </w:p>
              </w:tc>
              <w:tc>
                <w:tcPr>
                  <w:tcW w:w="850" w:type="dxa"/>
                  <w:tcBorders>
                    <w:top w:val="nil"/>
                    <w:left w:val="nil"/>
                    <w:bottom w:val="single" w:color="auto" w:sz="4" w:space="0"/>
                    <w:right w:val="single" w:color="auto" w:sz="4" w:space="0"/>
                  </w:tcBorders>
                  <w:shd w:val="clear" w:color="auto" w:fill="auto"/>
                  <w:vAlign w:val="center"/>
                </w:tcPr>
                <w:p w14:paraId="2E3250B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79A33E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330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DF06F8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30" w:type="dxa"/>
                  <w:vMerge w:val="continue"/>
                  <w:tcBorders>
                    <w:top w:val="nil"/>
                    <w:left w:val="single" w:color="auto" w:sz="4" w:space="0"/>
                    <w:bottom w:val="nil"/>
                    <w:right w:val="single" w:color="auto" w:sz="4" w:space="0"/>
                  </w:tcBorders>
                  <w:shd w:val="clear" w:color="auto" w:fill="auto"/>
                  <w:vAlign w:val="center"/>
                </w:tcPr>
                <w:p w14:paraId="2B23563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7C892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0CA6BE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患者第三方支付服务</w:t>
                  </w:r>
                </w:p>
              </w:tc>
              <w:tc>
                <w:tcPr>
                  <w:tcW w:w="850" w:type="dxa"/>
                  <w:tcBorders>
                    <w:top w:val="nil"/>
                    <w:left w:val="nil"/>
                    <w:bottom w:val="single" w:color="auto" w:sz="4" w:space="0"/>
                    <w:right w:val="single" w:color="auto" w:sz="4" w:space="0"/>
                  </w:tcBorders>
                  <w:shd w:val="clear" w:color="auto" w:fill="auto"/>
                  <w:vAlign w:val="center"/>
                </w:tcPr>
                <w:p w14:paraId="19AAB0F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4390A99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A82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C5B8F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030" w:type="dxa"/>
                  <w:vMerge w:val="continue"/>
                  <w:tcBorders>
                    <w:top w:val="nil"/>
                    <w:left w:val="single" w:color="auto" w:sz="4" w:space="0"/>
                    <w:bottom w:val="nil"/>
                    <w:right w:val="single" w:color="auto" w:sz="4" w:space="0"/>
                  </w:tcBorders>
                  <w:shd w:val="clear" w:color="auto" w:fill="auto"/>
                  <w:vAlign w:val="center"/>
                </w:tcPr>
                <w:p w14:paraId="6E04F4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B24C91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single" w:color="auto" w:sz="4" w:space="0"/>
                    <w:right w:val="single" w:color="auto" w:sz="4" w:space="0"/>
                  </w:tcBorders>
                  <w:shd w:val="clear" w:color="auto" w:fill="auto"/>
                  <w:vAlign w:val="center"/>
                </w:tcPr>
                <w:p w14:paraId="630113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计费接口服务</w:t>
                  </w:r>
                </w:p>
              </w:tc>
              <w:tc>
                <w:tcPr>
                  <w:tcW w:w="850" w:type="dxa"/>
                  <w:tcBorders>
                    <w:top w:val="nil"/>
                    <w:left w:val="nil"/>
                    <w:bottom w:val="single" w:color="auto" w:sz="4" w:space="0"/>
                    <w:right w:val="single" w:color="auto" w:sz="4" w:space="0"/>
                  </w:tcBorders>
                  <w:shd w:val="clear" w:color="auto" w:fill="auto"/>
                  <w:vAlign w:val="center"/>
                </w:tcPr>
                <w:p w14:paraId="33F1F0C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789F3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56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287CB9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030" w:type="dxa"/>
                  <w:vMerge w:val="continue"/>
                  <w:tcBorders>
                    <w:top w:val="nil"/>
                    <w:left w:val="single" w:color="auto" w:sz="4" w:space="0"/>
                    <w:bottom w:val="nil"/>
                    <w:right w:val="single" w:color="auto" w:sz="4" w:space="0"/>
                  </w:tcBorders>
                  <w:shd w:val="clear" w:color="auto" w:fill="auto"/>
                  <w:vAlign w:val="center"/>
                </w:tcPr>
                <w:p w14:paraId="78E92AB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560832EC">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运营管理接口</w:t>
                  </w:r>
                </w:p>
              </w:tc>
              <w:tc>
                <w:tcPr>
                  <w:tcW w:w="1970" w:type="dxa"/>
                  <w:tcBorders>
                    <w:top w:val="nil"/>
                    <w:left w:val="nil"/>
                    <w:bottom w:val="single" w:color="auto" w:sz="4" w:space="0"/>
                    <w:right w:val="single" w:color="auto" w:sz="4" w:space="0"/>
                  </w:tcBorders>
                  <w:shd w:val="clear" w:color="auto" w:fill="auto"/>
                  <w:vAlign w:val="center"/>
                </w:tcPr>
                <w:p w14:paraId="052C89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运营管理类集成接口</w:t>
                  </w:r>
                </w:p>
              </w:tc>
              <w:tc>
                <w:tcPr>
                  <w:tcW w:w="850" w:type="dxa"/>
                  <w:tcBorders>
                    <w:top w:val="nil"/>
                    <w:left w:val="nil"/>
                    <w:bottom w:val="single" w:color="auto" w:sz="4" w:space="0"/>
                    <w:right w:val="single" w:color="auto" w:sz="4" w:space="0"/>
                  </w:tcBorders>
                  <w:shd w:val="clear" w:color="auto" w:fill="auto"/>
                  <w:vAlign w:val="center"/>
                </w:tcPr>
                <w:p w14:paraId="28BE4FF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0A3CAA5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1AB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4BC155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030" w:type="dxa"/>
                  <w:vMerge w:val="continue"/>
                  <w:tcBorders>
                    <w:top w:val="nil"/>
                    <w:left w:val="single" w:color="auto" w:sz="4" w:space="0"/>
                    <w:bottom w:val="nil"/>
                    <w:right w:val="single" w:color="auto" w:sz="4" w:space="0"/>
                  </w:tcBorders>
                  <w:shd w:val="clear" w:color="auto" w:fill="auto"/>
                  <w:vAlign w:val="center"/>
                </w:tcPr>
                <w:p w14:paraId="147EA1C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vAlign w:val="center"/>
                </w:tcPr>
                <w:p w14:paraId="326200B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患者管理接口</w:t>
                  </w:r>
                </w:p>
              </w:tc>
              <w:tc>
                <w:tcPr>
                  <w:tcW w:w="1970" w:type="dxa"/>
                  <w:tcBorders>
                    <w:top w:val="nil"/>
                    <w:left w:val="nil"/>
                    <w:bottom w:val="single" w:color="auto" w:sz="4" w:space="0"/>
                    <w:right w:val="single" w:color="auto" w:sz="4" w:space="0"/>
                  </w:tcBorders>
                  <w:shd w:val="clear" w:color="auto" w:fill="auto"/>
                  <w:vAlign w:val="center"/>
                </w:tcPr>
                <w:p w14:paraId="63BF921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患者服务类集成接口</w:t>
                  </w:r>
                </w:p>
              </w:tc>
              <w:tc>
                <w:tcPr>
                  <w:tcW w:w="850" w:type="dxa"/>
                  <w:tcBorders>
                    <w:top w:val="nil"/>
                    <w:left w:val="nil"/>
                    <w:bottom w:val="single" w:color="auto" w:sz="4" w:space="0"/>
                    <w:right w:val="single" w:color="auto" w:sz="4" w:space="0"/>
                  </w:tcBorders>
                  <w:shd w:val="clear" w:color="auto" w:fill="auto"/>
                  <w:vAlign w:val="center"/>
                </w:tcPr>
                <w:p w14:paraId="33A84AA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1ED3B9D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E04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E81991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030" w:type="dxa"/>
                  <w:vMerge w:val="continue"/>
                  <w:tcBorders>
                    <w:top w:val="nil"/>
                    <w:left w:val="single" w:color="auto" w:sz="4" w:space="0"/>
                    <w:bottom w:val="nil"/>
                    <w:right w:val="single" w:color="auto" w:sz="4" w:space="0"/>
                  </w:tcBorders>
                  <w:shd w:val="clear" w:color="auto" w:fill="auto"/>
                  <w:vAlign w:val="center"/>
                </w:tcPr>
                <w:p w14:paraId="61D7797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restart"/>
                  <w:tcBorders>
                    <w:top w:val="nil"/>
                    <w:left w:val="single" w:color="auto" w:sz="4" w:space="0"/>
                    <w:bottom w:val="single" w:color="auto" w:sz="4" w:space="0"/>
                    <w:right w:val="single" w:color="auto" w:sz="4" w:space="0"/>
                  </w:tcBorders>
                  <w:shd w:val="clear" w:color="auto" w:fill="auto"/>
                  <w:vAlign w:val="center"/>
                </w:tcPr>
                <w:p w14:paraId="4730033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数字签名接口</w:t>
                  </w:r>
                </w:p>
              </w:tc>
              <w:tc>
                <w:tcPr>
                  <w:tcW w:w="1970" w:type="dxa"/>
                  <w:tcBorders>
                    <w:top w:val="nil"/>
                    <w:left w:val="nil"/>
                    <w:bottom w:val="single" w:color="auto" w:sz="4" w:space="0"/>
                    <w:right w:val="single" w:color="auto" w:sz="4" w:space="0"/>
                  </w:tcBorders>
                  <w:shd w:val="clear" w:color="auto" w:fill="auto"/>
                  <w:vAlign w:val="center"/>
                </w:tcPr>
                <w:p w14:paraId="5755FEE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数字签名基础服务系统</w:t>
                  </w:r>
                </w:p>
              </w:tc>
              <w:tc>
                <w:tcPr>
                  <w:tcW w:w="850" w:type="dxa"/>
                  <w:tcBorders>
                    <w:top w:val="nil"/>
                    <w:left w:val="nil"/>
                    <w:bottom w:val="single" w:color="auto" w:sz="4" w:space="0"/>
                    <w:right w:val="single" w:color="auto" w:sz="4" w:space="0"/>
                  </w:tcBorders>
                  <w:shd w:val="clear" w:color="auto" w:fill="auto"/>
                  <w:vAlign w:val="center"/>
                </w:tcPr>
                <w:p w14:paraId="6987429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vAlign w:val="center"/>
                </w:tcPr>
                <w:p w14:paraId="53BE9DD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5B22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9C780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030" w:type="dxa"/>
                  <w:vMerge w:val="continue"/>
                  <w:tcBorders>
                    <w:top w:val="nil"/>
                    <w:left w:val="single" w:color="auto" w:sz="4" w:space="0"/>
                    <w:bottom w:val="nil"/>
                    <w:right w:val="single" w:color="auto" w:sz="4" w:space="0"/>
                  </w:tcBorders>
                  <w:shd w:val="clear" w:color="auto" w:fill="auto"/>
                  <w:vAlign w:val="center"/>
                </w:tcPr>
                <w:p w14:paraId="329914D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vMerge w:val="continue"/>
                  <w:tcBorders>
                    <w:top w:val="nil"/>
                    <w:left w:val="single" w:color="auto" w:sz="4" w:space="0"/>
                    <w:bottom w:val="single" w:color="auto" w:sz="4" w:space="0"/>
                    <w:right w:val="single" w:color="auto" w:sz="4" w:space="0"/>
                  </w:tcBorders>
                  <w:shd w:val="clear" w:color="auto" w:fill="auto"/>
                  <w:vAlign w:val="center"/>
                </w:tcPr>
                <w:p w14:paraId="59A09C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1970" w:type="dxa"/>
                  <w:tcBorders>
                    <w:top w:val="nil"/>
                    <w:left w:val="nil"/>
                    <w:bottom w:val="nil"/>
                    <w:right w:val="single" w:color="auto" w:sz="4" w:space="0"/>
                  </w:tcBorders>
                  <w:shd w:val="clear" w:color="auto" w:fill="auto"/>
                  <w:vAlign w:val="center"/>
                </w:tcPr>
                <w:p w14:paraId="12F50B8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电子签名接口服务</w:t>
                  </w:r>
                </w:p>
              </w:tc>
              <w:tc>
                <w:tcPr>
                  <w:tcW w:w="850" w:type="dxa"/>
                  <w:tcBorders>
                    <w:top w:val="nil"/>
                    <w:left w:val="nil"/>
                    <w:bottom w:val="single" w:color="auto" w:sz="4" w:space="0"/>
                    <w:right w:val="single" w:color="auto" w:sz="4" w:space="0"/>
                  </w:tcBorders>
                  <w:shd w:val="clear" w:color="auto" w:fill="auto"/>
                  <w:vAlign w:val="center"/>
                </w:tcPr>
                <w:p w14:paraId="328979A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nil"/>
                    <w:right w:val="single" w:color="000000" w:sz="4" w:space="0"/>
                  </w:tcBorders>
                  <w:shd w:val="clear" w:color="auto" w:fill="auto"/>
                  <w:noWrap/>
                  <w:vAlign w:val="center"/>
                </w:tcPr>
                <w:p w14:paraId="09C7437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68CB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0B76682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030" w:type="dxa"/>
                  <w:vMerge w:val="continue"/>
                  <w:tcBorders>
                    <w:top w:val="nil"/>
                    <w:left w:val="single" w:color="auto" w:sz="4" w:space="0"/>
                    <w:bottom w:val="nil"/>
                    <w:right w:val="single" w:color="auto" w:sz="4" w:space="0"/>
                  </w:tcBorders>
                  <w:shd w:val="clear" w:color="auto" w:fill="auto"/>
                  <w:vAlign w:val="center"/>
                </w:tcPr>
                <w:p w14:paraId="2A196D1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single" w:color="auto" w:sz="4" w:space="0"/>
                    <w:left w:val="nil"/>
                    <w:bottom w:val="nil"/>
                    <w:right w:val="single" w:color="auto" w:sz="4" w:space="0"/>
                  </w:tcBorders>
                  <w:shd w:val="clear" w:color="auto" w:fill="auto"/>
                  <w:vAlign w:val="center"/>
                </w:tcPr>
                <w:p w14:paraId="0175971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互联互通接口</w:t>
                  </w:r>
                </w:p>
              </w:tc>
              <w:tc>
                <w:tcPr>
                  <w:tcW w:w="1970" w:type="dxa"/>
                  <w:tcBorders>
                    <w:top w:val="single" w:color="auto" w:sz="4" w:space="0"/>
                    <w:left w:val="nil"/>
                    <w:bottom w:val="nil"/>
                    <w:right w:val="single" w:color="auto" w:sz="4" w:space="0"/>
                  </w:tcBorders>
                  <w:shd w:val="clear" w:color="auto" w:fill="auto"/>
                  <w:vAlign w:val="center"/>
                </w:tcPr>
                <w:p w14:paraId="2466C9A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互联互通共享文档相关接口</w:t>
                  </w:r>
                </w:p>
              </w:tc>
              <w:tc>
                <w:tcPr>
                  <w:tcW w:w="850" w:type="dxa"/>
                  <w:tcBorders>
                    <w:top w:val="nil"/>
                    <w:left w:val="nil"/>
                    <w:bottom w:val="single" w:color="auto" w:sz="4" w:space="0"/>
                    <w:right w:val="single" w:color="auto" w:sz="4" w:space="0"/>
                  </w:tcBorders>
                  <w:shd w:val="clear" w:color="auto" w:fill="auto"/>
                  <w:vAlign w:val="center"/>
                </w:tcPr>
                <w:p w14:paraId="65FBAD6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nil"/>
                    <w:right w:val="single" w:color="000000" w:sz="4" w:space="0"/>
                  </w:tcBorders>
                  <w:shd w:val="clear" w:color="auto" w:fill="auto"/>
                  <w:noWrap/>
                  <w:vAlign w:val="center"/>
                </w:tcPr>
                <w:p w14:paraId="205E3E6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4F7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66335E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030" w:type="dxa"/>
                  <w:vMerge w:val="continue"/>
                  <w:tcBorders>
                    <w:top w:val="nil"/>
                    <w:left w:val="single" w:color="auto" w:sz="4" w:space="0"/>
                    <w:bottom w:val="nil"/>
                    <w:right w:val="single" w:color="auto" w:sz="4" w:space="0"/>
                  </w:tcBorders>
                  <w:shd w:val="clear" w:color="auto" w:fill="auto"/>
                  <w:vAlign w:val="center"/>
                </w:tcPr>
                <w:p w14:paraId="0220236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single" w:color="auto" w:sz="4" w:space="0"/>
                    <w:left w:val="nil"/>
                    <w:bottom w:val="nil"/>
                    <w:right w:val="single" w:color="auto" w:sz="4" w:space="0"/>
                  </w:tcBorders>
                  <w:shd w:val="clear" w:color="auto" w:fill="auto"/>
                  <w:vAlign w:val="center"/>
                </w:tcPr>
                <w:p w14:paraId="1C9046E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中台接口</w:t>
                  </w:r>
                </w:p>
              </w:tc>
              <w:tc>
                <w:tcPr>
                  <w:tcW w:w="1970" w:type="dxa"/>
                  <w:tcBorders>
                    <w:top w:val="single" w:color="auto" w:sz="4" w:space="0"/>
                    <w:left w:val="nil"/>
                    <w:bottom w:val="nil"/>
                    <w:right w:val="single" w:color="auto" w:sz="4" w:space="0"/>
                  </w:tcBorders>
                  <w:shd w:val="clear" w:color="auto" w:fill="auto"/>
                  <w:vAlign w:val="center"/>
                </w:tcPr>
                <w:p w14:paraId="3BD2A5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中台所需相关接口</w:t>
                  </w:r>
                </w:p>
              </w:tc>
              <w:tc>
                <w:tcPr>
                  <w:tcW w:w="850" w:type="dxa"/>
                  <w:tcBorders>
                    <w:top w:val="nil"/>
                    <w:left w:val="nil"/>
                    <w:bottom w:val="single" w:color="auto" w:sz="4" w:space="0"/>
                    <w:right w:val="single" w:color="auto" w:sz="4" w:space="0"/>
                  </w:tcBorders>
                  <w:shd w:val="clear" w:color="auto" w:fill="auto"/>
                  <w:vAlign w:val="center"/>
                </w:tcPr>
                <w:p w14:paraId="1CDD82C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nil"/>
                    <w:right w:val="single" w:color="000000" w:sz="4" w:space="0"/>
                  </w:tcBorders>
                  <w:shd w:val="clear" w:color="auto" w:fill="auto"/>
                  <w:noWrap/>
                  <w:vAlign w:val="center"/>
                </w:tcPr>
                <w:p w14:paraId="2EB441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16B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46EBE0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030" w:type="dxa"/>
                  <w:tcBorders>
                    <w:top w:val="single" w:color="auto" w:sz="4" w:space="0"/>
                    <w:left w:val="nil"/>
                    <w:bottom w:val="single" w:color="auto" w:sz="4" w:space="0"/>
                    <w:right w:val="single" w:color="auto" w:sz="4" w:space="0"/>
                  </w:tcBorders>
                  <w:shd w:val="clear" w:color="auto" w:fill="auto"/>
                  <w:noWrap/>
                  <w:vAlign w:val="center"/>
                </w:tcPr>
                <w:p w14:paraId="12F0A44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接口服务</w:t>
                  </w:r>
                </w:p>
              </w:tc>
              <w:tc>
                <w:tcPr>
                  <w:tcW w:w="812" w:type="dxa"/>
                  <w:tcBorders>
                    <w:top w:val="single" w:color="auto" w:sz="4" w:space="0"/>
                    <w:left w:val="nil"/>
                    <w:bottom w:val="single" w:color="auto" w:sz="4" w:space="0"/>
                    <w:right w:val="single" w:color="auto" w:sz="4" w:space="0"/>
                  </w:tcBorders>
                  <w:shd w:val="clear" w:color="auto" w:fill="auto"/>
                  <w:noWrap/>
                  <w:vAlign w:val="center"/>
                </w:tcPr>
                <w:p w14:paraId="3988CF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接口服务</w:t>
                  </w:r>
                </w:p>
              </w:tc>
              <w:tc>
                <w:tcPr>
                  <w:tcW w:w="1970" w:type="dxa"/>
                  <w:tcBorders>
                    <w:top w:val="single" w:color="auto" w:sz="4" w:space="0"/>
                    <w:left w:val="nil"/>
                    <w:bottom w:val="single" w:color="auto" w:sz="4" w:space="0"/>
                    <w:right w:val="single" w:color="auto" w:sz="4" w:space="0"/>
                  </w:tcBorders>
                  <w:shd w:val="clear" w:color="auto" w:fill="auto"/>
                  <w:noWrap/>
                  <w:vAlign w:val="center"/>
                </w:tcPr>
                <w:p w14:paraId="0862C33B">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除已列出来接口清单，医院已存在的，或医院将自行购买第三方产品，</w:t>
                  </w:r>
                  <w:r>
                    <w:rPr>
                      <w:rFonts w:hint="eastAsia" w:ascii="宋体" w:hAnsi="宋体" w:cs="宋体"/>
                      <w:i w:val="0"/>
                      <w:iCs w:val="0"/>
                      <w:color w:val="auto"/>
                      <w:kern w:val="0"/>
                      <w:sz w:val="21"/>
                      <w:szCs w:val="21"/>
                      <w:highlight w:val="none"/>
                      <w:u w:val="none"/>
                      <w:lang w:val="en-US" w:eastAsia="zh-CN" w:bidi="ar"/>
                    </w:rPr>
                    <w:t>HIS系统</w:t>
                  </w:r>
                  <w:r>
                    <w:rPr>
                      <w:rFonts w:hint="eastAsia" w:ascii="宋体" w:hAnsi="宋体" w:eastAsia="宋体" w:cs="宋体"/>
                      <w:i w:val="0"/>
                      <w:iCs w:val="0"/>
                      <w:color w:val="auto"/>
                      <w:kern w:val="0"/>
                      <w:sz w:val="21"/>
                      <w:szCs w:val="21"/>
                      <w:highlight w:val="none"/>
                      <w:u w:val="none"/>
                      <w:lang w:val="en-US" w:eastAsia="zh-CN" w:bidi="ar"/>
                    </w:rPr>
                    <w:t>将免费提供自身系统的接口服务。</w:t>
                  </w:r>
                </w:p>
              </w:tc>
              <w:tc>
                <w:tcPr>
                  <w:tcW w:w="850" w:type="dxa"/>
                  <w:tcBorders>
                    <w:top w:val="nil"/>
                    <w:left w:val="nil"/>
                    <w:bottom w:val="single" w:color="auto" w:sz="4" w:space="0"/>
                    <w:right w:val="single" w:color="auto" w:sz="4" w:space="0"/>
                  </w:tcBorders>
                  <w:shd w:val="clear" w:color="auto" w:fill="auto"/>
                  <w:vAlign w:val="center"/>
                </w:tcPr>
                <w:p w14:paraId="1B19F2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single" w:color="auto" w:sz="4" w:space="0"/>
                    <w:left w:val="nil"/>
                    <w:bottom w:val="single" w:color="auto" w:sz="4" w:space="0"/>
                    <w:right w:val="single" w:color="000000" w:sz="4" w:space="0"/>
                  </w:tcBorders>
                  <w:shd w:val="clear" w:color="auto" w:fill="auto"/>
                  <w:noWrap/>
                  <w:vAlign w:val="center"/>
                </w:tcPr>
                <w:p w14:paraId="12AC4A5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0EE8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5E3167C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030" w:type="dxa"/>
                  <w:vMerge w:val="restart"/>
                  <w:tcBorders>
                    <w:top w:val="nil"/>
                    <w:left w:val="single" w:color="auto" w:sz="4" w:space="0"/>
                    <w:bottom w:val="single" w:color="000000" w:sz="4" w:space="0"/>
                    <w:right w:val="single" w:color="auto" w:sz="4" w:space="0"/>
                  </w:tcBorders>
                  <w:shd w:val="clear" w:color="auto" w:fill="auto"/>
                  <w:noWrap/>
                  <w:vAlign w:val="center"/>
                </w:tcPr>
                <w:p w14:paraId="27659B4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评级服务</w:t>
                  </w:r>
                </w:p>
              </w:tc>
              <w:tc>
                <w:tcPr>
                  <w:tcW w:w="812" w:type="dxa"/>
                  <w:tcBorders>
                    <w:top w:val="nil"/>
                    <w:left w:val="nil"/>
                    <w:bottom w:val="single" w:color="auto" w:sz="4" w:space="0"/>
                    <w:right w:val="single" w:color="auto" w:sz="4" w:space="0"/>
                  </w:tcBorders>
                  <w:shd w:val="clear" w:color="auto" w:fill="auto"/>
                  <w:noWrap/>
                  <w:vAlign w:val="center"/>
                </w:tcPr>
                <w:p w14:paraId="46BC772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电子病历六级</w:t>
                  </w:r>
                </w:p>
              </w:tc>
              <w:tc>
                <w:tcPr>
                  <w:tcW w:w="1970" w:type="dxa"/>
                  <w:tcBorders>
                    <w:top w:val="nil"/>
                    <w:left w:val="nil"/>
                    <w:bottom w:val="single" w:color="auto" w:sz="4" w:space="0"/>
                    <w:right w:val="single" w:color="auto" w:sz="4" w:space="0"/>
                  </w:tcBorders>
                  <w:shd w:val="clear" w:color="auto" w:fill="auto"/>
                  <w:noWrap/>
                  <w:vAlign w:val="center"/>
                </w:tcPr>
                <w:p w14:paraId="2371F00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评级服务及满足电子病历六级的自身系统改造和接口对接</w:t>
                  </w:r>
                </w:p>
              </w:tc>
              <w:tc>
                <w:tcPr>
                  <w:tcW w:w="850" w:type="dxa"/>
                  <w:tcBorders>
                    <w:top w:val="nil"/>
                    <w:left w:val="nil"/>
                    <w:bottom w:val="single" w:color="auto" w:sz="4" w:space="0"/>
                    <w:right w:val="single" w:color="auto" w:sz="4" w:space="0"/>
                  </w:tcBorders>
                  <w:shd w:val="clear" w:color="auto" w:fill="auto"/>
                  <w:vAlign w:val="center"/>
                </w:tcPr>
                <w:p w14:paraId="42750E6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2B366B98">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D8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3355C7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5D785ED2">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73F29C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互联互通五乙</w:t>
                  </w:r>
                </w:p>
              </w:tc>
              <w:tc>
                <w:tcPr>
                  <w:tcW w:w="1970" w:type="dxa"/>
                  <w:tcBorders>
                    <w:top w:val="nil"/>
                    <w:left w:val="nil"/>
                    <w:bottom w:val="single" w:color="auto" w:sz="4" w:space="0"/>
                    <w:right w:val="single" w:color="auto" w:sz="4" w:space="0"/>
                  </w:tcBorders>
                  <w:shd w:val="clear" w:color="auto" w:fill="auto"/>
                  <w:noWrap/>
                  <w:vAlign w:val="center"/>
                </w:tcPr>
                <w:p w14:paraId="65ED6A3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满足互联互通五乙的自身系统改造及接口对接</w:t>
                  </w:r>
                </w:p>
              </w:tc>
              <w:tc>
                <w:tcPr>
                  <w:tcW w:w="850" w:type="dxa"/>
                  <w:tcBorders>
                    <w:top w:val="nil"/>
                    <w:left w:val="nil"/>
                    <w:bottom w:val="single" w:color="auto" w:sz="4" w:space="0"/>
                    <w:right w:val="single" w:color="auto" w:sz="4" w:space="0"/>
                  </w:tcBorders>
                  <w:shd w:val="clear" w:color="auto" w:fill="auto"/>
                  <w:vAlign w:val="center"/>
                </w:tcPr>
                <w:p w14:paraId="6018AE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1F908ED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66B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67DEB03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4CDBD59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044773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智慧医院三级</w:t>
                  </w:r>
                </w:p>
              </w:tc>
              <w:tc>
                <w:tcPr>
                  <w:tcW w:w="1970" w:type="dxa"/>
                  <w:tcBorders>
                    <w:top w:val="nil"/>
                    <w:left w:val="nil"/>
                    <w:bottom w:val="single" w:color="auto" w:sz="4" w:space="0"/>
                    <w:right w:val="single" w:color="auto" w:sz="4" w:space="0"/>
                  </w:tcBorders>
                  <w:shd w:val="clear" w:color="auto" w:fill="auto"/>
                  <w:noWrap/>
                  <w:vAlign w:val="center"/>
                </w:tcPr>
                <w:p w14:paraId="630B2E5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满足智慧医院三级的自身系统改造及接口对接</w:t>
                  </w:r>
                </w:p>
              </w:tc>
              <w:tc>
                <w:tcPr>
                  <w:tcW w:w="850" w:type="dxa"/>
                  <w:tcBorders>
                    <w:top w:val="nil"/>
                    <w:left w:val="nil"/>
                    <w:bottom w:val="single" w:color="auto" w:sz="4" w:space="0"/>
                    <w:right w:val="single" w:color="auto" w:sz="4" w:space="0"/>
                  </w:tcBorders>
                  <w:shd w:val="clear" w:color="auto" w:fill="auto"/>
                  <w:vAlign w:val="center"/>
                </w:tcPr>
                <w:p w14:paraId="4A6685C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可选</w:t>
                  </w:r>
                </w:p>
              </w:tc>
              <w:tc>
                <w:tcPr>
                  <w:tcW w:w="610" w:type="dxa"/>
                  <w:tcBorders>
                    <w:top w:val="nil"/>
                    <w:left w:val="nil"/>
                    <w:bottom w:val="single" w:color="auto" w:sz="4" w:space="0"/>
                    <w:right w:val="single" w:color="000000" w:sz="4" w:space="0"/>
                  </w:tcBorders>
                  <w:shd w:val="clear" w:color="auto" w:fill="auto"/>
                  <w:noWrap/>
                  <w:vAlign w:val="center"/>
                </w:tcPr>
                <w:p w14:paraId="036B73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3C2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7BA5EB7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030" w:type="dxa"/>
                  <w:vMerge w:val="restart"/>
                  <w:tcBorders>
                    <w:top w:val="nil"/>
                    <w:left w:val="single" w:color="auto" w:sz="4" w:space="0"/>
                    <w:bottom w:val="single" w:color="000000" w:sz="4" w:space="0"/>
                    <w:right w:val="single" w:color="auto" w:sz="4" w:space="0"/>
                  </w:tcBorders>
                  <w:shd w:val="clear" w:color="auto" w:fill="auto"/>
                  <w:noWrap/>
                  <w:vAlign w:val="center"/>
                </w:tcPr>
                <w:p w14:paraId="08FE8AA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第三方工具</w:t>
                  </w:r>
                </w:p>
              </w:tc>
              <w:tc>
                <w:tcPr>
                  <w:tcW w:w="812" w:type="dxa"/>
                  <w:tcBorders>
                    <w:top w:val="nil"/>
                    <w:left w:val="nil"/>
                    <w:bottom w:val="single" w:color="auto" w:sz="4" w:space="0"/>
                    <w:right w:val="single" w:color="auto" w:sz="4" w:space="0"/>
                  </w:tcBorders>
                  <w:shd w:val="clear" w:color="auto" w:fill="auto"/>
                  <w:noWrap/>
                  <w:vAlign w:val="center"/>
                </w:tcPr>
                <w:p w14:paraId="5E3822B6">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数据库</w:t>
                  </w:r>
                </w:p>
              </w:tc>
              <w:tc>
                <w:tcPr>
                  <w:tcW w:w="1970" w:type="dxa"/>
                  <w:tcBorders>
                    <w:top w:val="nil"/>
                    <w:left w:val="nil"/>
                    <w:bottom w:val="single" w:color="auto" w:sz="4" w:space="0"/>
                    <w:right w:val="single" w:color="auto" w:sz="4" w:space="0"/>
                  </w:tcBorders>
                  <w:shd w:val="clear" w:color="auto" w:fill="auto"/>
                  <w:noWrap/>
                  <w:vAlign w:val="center"/>
                </w:tcPr>
                <w:p w14:paraId="6A0D6C2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Cache2016</w:t>
                  </w:r>
                </w:p>
              </w:tc>
              <w:tc>
                <w:tcPr>
                  <w:tcW w:w="850" w:type="dxa"/>
                  <w:tcBorders>
                    <w:top w:val="nil"/>
                    <w:left w:val="nil"/>
                    <w:bottom w:val="single" w:color="auto" w:sz="4" w:space="0"/>
                    <w:right w:val="single" w:color="auto" w:sz="4" w:space="0"/>
                  </w:tcBorders>
                  <w:shd w:val="clear" w:color="auto" w:fill="auto"/>
                  <w:vAlign w:val="center"/>
                </w:tcPr>
                <w:p w14:paraId="03DF6D6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09B691A1">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22BA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18512C1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5CA2F74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32CA39A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报表工具</w:t>
                  </w:r>
                </w:p>
              </w:tc>
              <w:tc>
                <w:tcPr>
                  <w:tcW w:w="1970" w:type="dxa"/>
                  <w:tcBorders>
                    <w:top w:val="nil"/>
                    <w:left w:val="nil"/>
                    <w:bottom w:val="single" w:color="auto" w:sz="4" w:space="0"/>
                    <w:right w:val="single" w:color="auto" w:sz="4" w:space="0"/>
                  </w:tcBorders>
                  <w:shd w:val="clear" w:color="auto" w:fill="auto"/>
                  <w:noWrap/>
                  <w:vAlign w:val="center"/>
                </w:tcPr>
                <w:p w14:paraId="36E1BF93">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智能报表工具</w:t>
                  </w:r>
                </w:p>
              </w:tc>
              <w:tc>
                <w:tcPr>
                  <w:tcW w:w="850" w:type="dxa"/>
                  <w:tcBorders>
                    <w:top w:val="nil"/>
                    <w:left w:val="nil"/>
                    <w:bottom w:val="single" w:color="auto" w:sz="4" w:space="0"/>
                    <w:right w:val="single" w:color="auto" w:sz="4" w:space="0"/>
                  </w:tcBorders>
                  <w:shd w:val="clear" w:color="auto" w:fill="auto"/>
                  <w:vAlign w:val="center"/>
                </w:tcPr>
                <w:p w14:paraId="5E51E8EF">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0250D17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1955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363184D0">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30" w:type="dxa"/>
                  <w:vMerge w:val="continue"/>
                  <w:tcBorders>
                    <w:top w:val="nil"/>
                    <w:left w:val="single" w:color="auto" w:sz="4" w:space="0"/>
                    <w:bottom w:val="single" w:color="000000" w:sz="4" w:space="0"/>
                    <w:right w:val="single" w:color="auto" w:sz="4" w:space="0"/>
                  </w:tcBorders>
                  <w:shd w:val="clear" w:color="auto" w:fill="auto"/>
                  <w:noWrap/>
                  <w:vAlign w:val="center"/>
                </w:tcPr>
                <w:p w14:paraId="1DDDA295">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i w:val="0"/>
                      <w:iCs w:val="0"/>
                      <w:color w:val="auto"/>
                      <w:sz w:val="21"/>
                      <w:szCs w:val="21"/>
                      <w:highlight w:val="none"/>
                      <w:u w:val="none"/>
                    </w:rPr>
                  </w:pPr>
                </w:p>
              </w:tc>
              <w:tc>
                <w:tcPr>
                  <w:tcW w:w="812" w:type="dxa"/>
                  <w:tcBorders>
                    <w:top w:val="nil"/>
                    <w:left w:val="nil"/>
                    <w:bottom w:val="single" w:color="auto" w:sz="4" w:space="0"/>
                    <w:right w:val="single" w:color="auto" w:sz="4" w:space="0"/>
                  </w:tcBorders>
                  <w:shd w:val="clear" w:color="auto" w:fill="auto"/>
                  <w:noWrap/>
                  <w:vAlign w:val="center"/>
                </w:tcPr>
                <w:p w14:paraId="69951AB9">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集成平台工具</w:t>
                  </w:r>
                </w:p>
              </w:tc>
              <w:tc>
                <w:tcPr>
                  <w:tcW w:w="1970" w:type="dxa"/>
                  <w:tcBorders>
                    <w:top w:val="nil"/>
                    <w:left w:val="nil"/>
                    <w:bottom w:val="single" w:color="auto" w:sz="4" w:space="0"/>
                    <w:right w:val="single" w:color="auto" w:sz="4" w:space="0"/>
                  </w:tcBorders>
                  <w:shd w:val="clear" w:color="auto" w:fill="auto"/>
                  <w:noWrap/>
                  <w:vAlign w:val="center"/>
                </w:tcPr>
                <w:p w14:paraId="4E18648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Ensemble2016</w:t>
                  </w:r>
                </w:p>
              </w:tc>
              <w:tc>
                <w:tcPr>
                  <w:tcW w:w="850" w:type="dxa"/>
                  <w:tcBorders>
                    <w:top w:val="nil"/>
                    <w:left w:val="nil"/>
                    <w:bottom w:val="single" w:color="auto" w:sz="4" w:space="0"/>
                    <w:right w:val="single" w:color="auto" w:sz="4" w:space="0"/>
                  </w:tcBorders>
                  <w:shd w:val="clear" w:color="auto" w:fill="auto"/>
                  <w:vAlign w:val="center"/>
                </w:tcPr>
                <w:p w14:paraId="3EB63D02">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nil"/>
                    <w:left w:val="nil"/>
                    <w:bottom w:val="single" w:color="auto" w:sz="4" w:space="0"/>
                    <w:right w:val="single" w:color="000000" w:sz="4" w:space="0"/>
                  </w:tcBorders>
                  <w:shd w:val="clear" w:color="auto" w:fill="auto"/>
                  <w:noWrap/>
                  <w:vAlign w:val="center"/>
                </w:tcPr>
                <w:p w14:paraId="2C3C21D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r w14:paraId="7557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dxa"/>
                  <w:tcBorders>
                    <w:top w:val="nil"/>
                    <w:left w:val="single" w:color="auto" w:sz="4" w:space="0"/>
                    <w:bottom w:val="single" w:color="auto" w:sz="4" w:space="0"/>
                    <w:right w:val="single" w:color="auto" w:sz="4" w:space="0"/>
                  </w:tcBorders>
                  <w:shd w:val="clear" w:color="auto" w:fill="auto"/>
                  <w:vAlign w:val="center"/>
                </w:tcPr>
                <w:p w14:paraId="268BF195">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151</w:t>
                  </w:r>
                </w:p>
              </w:tc>
              <w:tc>
                <w:tcPr>
                  <w:tcW w:w="1030" w:type="dxa"/>
                  <w:tcBorders>
                    <w:top w:val="single" w:color="auto" w:sz="4" w:space="0"/>
                    <w:left w:val="nil"/>
                    <w:bottom w:val="single" w:color="000000" w:sz="4" w:space="0"/>
                    <w:right w:val="single" w:color="auto" w:sz="4" w:space="0"/>
                  </w:tcBorders>
                  <w:shd w:val="clear" w:color="auto" w:fill="auto"/>
                  <w:noWrap/>
                  <w:vAlign w:val="center"/>
                </w:tcPr>
                <w:p w14:paraId="6FBF330A">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驻场服务</w:t>
                  </w:r>
                </w:p>
              </w:tc>
              <w:tc>
                <w:tcPr>
                  <w:tcW w:w="812" w:type="dxa"/>
                  <w:tcBorders>
                    <w:top w:val="single" w:color="auto" w:sz="4" w:space="0"/>
                    <w:left w:val="nil"/>
                    <w:bottom w:val="single" w:color="000000" w:sz="4" w:space="0"/>
                    <w:right w:val="single" w:color="auto" w:sz="4" w:space="0"/>
                  </w:tcBorders>
                  <w:shd w:val="clear" w:color="auto" w:fill="auto"/>
                  <w:noWrap/>
                  <w:vAlign w:val="center"/>
                </w:tcPr>
                <w:p w14:paraId="352B60E7">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项目人员驻场</w:t>
                  </w:r>
                </w:p>
              </w:tc>
              <w:tc>
                <w:tcPr>
                  <w:tcW w:w="1970" w:type="dxa"/>
                  <w:tcBorders>
                    <w:top w:val="single" w:color="auto" w:sz="4" w:space="0"/>
                    <w:left w:val="nil"/>
                    <w:bottom w:val="single" w:color="000000" w:sz="4" w:space="0"/>
                    <w:right w:val="single" w:color="auto" w:sz="4" w:space="0"/>
                  </w:tcBorders>
                  <w:shd w:val="clear" w:color="auto" w:fill="auto"/>
                  <w:noWrap/>
                  <w:vAlign w:val="center"/>
                </w:tcPr>
                <w:p w14:paraId="47C5AC84">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不少于</w:t>
                  </w:r>
                  <w:r>
                    <w:rPr>
                      <w:rFonts w:hint="eastAsia" w:ascii="宋体" w:hAnsi="宋体" w:eastAsia="宋体" w:cs="宋体"/>
                      <w:i w:val="0"/>
                      <w:iCs w:val="0"/>
                      <w:strike w:val="0"/>
                      <w:dstrike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人的人员驻场服务</w:t>
                  </w:r>
                </w:p>
              </w:tc>
              <w:tc>
                <w:tcPr>
                  <w:tcW w:w="850" w:type="dxa"/>
                  <w:tcBorders>
                    <w:top w:val="nil"/>
                    <w:left w:val="nil"/>
                    <w:bottom w:val="single" w:color="auto" w:sz="4" w:space="0"/>
                    <w:right w:val="single" w:color="auto" w:sz="4" w:space="0"/>
                  </w:tcBorders>
                  <w:shd w:val="clear" w:color="auto" w:fill="auto"/>
                  <w:vAlign w:val="center"/>
                </w:tcPr>
                <w:p w14:paraId="0BA165BD">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运维</w:t>
                  </w:r>
                </w:p>
              </w:tc>
              <w:tc>
                <w:tcPr>
                  <w:tcW w:w="610" w:type="dxa"/>
                  <w:tcBorders>
                    <w:top w:val="single" w:color="auto" w:sz="4" w:space="0"/>
                    <w:left w:val="nil"/>
                    <w:bottom w:val="single" w:color="000000" w:sz="4" w:space="0"/>
                    <w:right w:val="single" w:color="000000" w:sz="4" w:space="0"/>
                  </w:tcBorders>
                  <w:shd w:val="clear" w:color="auto" w:fill="auto"/>
                  <w:noWrap/>
                  <w:vAlign w:val="center"/>
                </w:tcPr>
                <w:p w14:paraId="36642DFE">
                  <w:pPr>
                    <w:keepNext w:val="0"/>
                    <w:keepLines w:val="0"/>
                    <w:pageBreakBefore w:val="0"/>
                    <w:widowControl/>
                    <w:suppressLineNumbers w:val="0"/>
                    <w:kinsoku/>
                    <w:wordWrap/>
                    <w:overflowPunct/>
                    <w:topLinePunct w:val="0"/>
                    <w:autoSpaceDE/>
                    <w:autoSpaceDN/>
                    <w:bidi w:val="0"/>
                    <w:spacing w:beforeAutospacing="0" w:afterAutospacing="0" w:line="4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r>
          </w:tbl>
          <w:p w14:paraId="612A5369">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国际版HIS系统</w:t>
            </w:r>
          </w:p>
          <w:tbl>
            <w:tblPr>
              <w:tblStyle w:val="49"/>
              <w:tblW w:w="6117" w:type="dxa"/>
              <w:jc w:val="center"/>
              <w:tblLayout w:type="fixed"/>
              <w:tblCellMar>
                <w:top w:w="0" w:type="dxa"/>
                <w:left w:w="108" w:type="dxa"/>
                <w:bottom w:w="0" w:type="dxa"/>
                <w:right w:w="108" w:type="dxa"/>
              </w:tblCellMar>
            </w:tblPr>
            <w:tblGrid>
              <w:gridCol w:w="573"/>
              <w:gridCol w:w="1541"/>
              <w:gridCol w:w="3248"/>
              <w:gridCol w:w="755"/>
            </w:tblGrid>
            <w:tr w14:paraId="7C7AAEF5">
              <w:tblPrEx>
                <w:tblCellMar>
                  <w:top w:w="0" w:type="dxa"/>
                  <w:left w:w="108" w:type="dxa"/>
                  <w:bottom w:w="0" w:type="dxa"/>
                  <w:right w:w="108" w:type="dxa"/>
                </w:tblCellMar>
              </w:tblPrEx>
              <w:trPr>
                <w:trHeight w:val="285"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6DA91A5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9" w:type="pct"/>
                  <w:tcBorders>
                    <w:top w:val="single" w:color="auto" w:sz="4" w:space="0"/>
                    <w:left w:val="nil"/>
                    <w:bottom w:val="single" w:color="auto" w:sz="4" w:space="0"/>
                    <w:right w:val="single" w:color="auto" w:sz="4" w:space="0"/>
                  </w:tcBorders>
                  <w:vAlign w:val="center"/>
                </w:tcPr>
                <w:p w14:paraId="425853F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服务名称</w:t>
                  </w:r>
                </w:p>
              </w:tc>
              <w:tc>
                <w:tcPr>
                  <w:tcW w:w="2654" w:type="pct"/>
                  <w:tcBorders>
                    <w:top w:val="single" w:color="auto" w:sz="4" w:space="0"/>
                    <w:left w:val="nil"/>
                    <w:bottom w:val="single" w:color="auto" w:sz="4" w:space="0"/>
                    <w:right w:val="single" w:color="auto" w:sz="4" w:space="0"/>
                  </w:tcBorders>
                  <w:vAlign w:val="center"/>
                </w:tcPr>
                <w:p w14:paraId="55D071DB">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服务的具体内容</w:t>
                  </w:r>
                </w:p>
              </w:tc>
              <w:tc>
                <w:tcPr>
                  <w:tcW w:w="617" w:type="pct"/>
                  <w:tcBorders>
                    <w:top w:val="single" w:color="auto" w:sz="4" w:space="0"/>
                    <w:left w:val="nil"/>
                    <w:bottom w:val="single" w:color="auto" w:sz="4" w:space="0"/>
                    <w:right w:val="single" w:color="auto" w:sz="4" w:space="0"/>
                  </w:tcBorders>
                  <w:vAlign w:val="center"/>
                </w:tcPr>
                <w:p w14:paraId="68EE3AB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r>
            <w:tr w14:paraId="074B60AD">
              <w:tblPrEx>
                <w:tblCellMar>
                  <w:top w:w="0" w:type="dxa"/>
                  <w:left w:w="108" w:type="dxa"/>
                  <w:bottom w:w="0" w:type="dxa"/>
                  <w:right w:w="108" w:type="dxa"/>
                </w:tblCellMar>
              </w:tblPrEx>
              <w:trPr>
                <w:trHeight w:val="1080" w:hRule="atLeast"/>
                <w:jc w:val="center"/>
              </w:trPr>
              <w:tc>
                <w:tcPr>
                  <w:tcW w:w="468" w:type="pct"/>
                  <w:tcBorders>
                    <w:top w:val="nil"/>
                    <w:left w:val="single" w:color="auto" w:sz="4" w:space="0"/>
                    <w:bottom w:val="single" w:color="auto" w:sz="4" w:space="0"/>
                    <w:right w:val="single" w:color="auto" w:sz="4" w:space="0"/>
                  </w:tcBorders>
                  <w:vAlign w:val="center"/>
                </w:tcPr>
                <w:p w14:paraId="7FC9A0E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9" w:type="pct"/>
                  <w:tcBorders>
                    <w:top w:val="nil"/>
                    <w:left w:val="nil"/>
                    <w:bottom w:val="single" w:color="auto" w:sz="4" w:space="0"/>
                    <w:right w:val="single" w:color="auto" w:sz="4" w:space="0"/>
                  </w:tcBorders>
                  <w:vAlign w:val="center"/>
                </w:tcPr>
                <w:p w14:paraId="4B2D570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国际HIS特需医疗版系统开发</w:t>
                  </w:r>
                </w:p>
              </w:tc>
              <w:tc>
                <w:tcPr>
                  <w:tcW w:w="2654" w:type="pct"/>
                  <w:tcBorders>
                    <w:top w:val="nil"/>
                    <w:left w:val="nil"/>
                    <w:bottom w:val="single" w:color="auto" w:sz="4" w:space="0"/>
                    <w:right w:val="single" w:color="auto" w:sz="4" w:space="0"/>
                  </w:tcBorders>
                  <w:vAlign w:val="center"/>
                </w:tcPr>
                <w:p w14:paraId="0171B770">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系统基础管理、门诊诊疗服务、门诊应急系统、住院诊疗服务、电子病历、药库管理系统、合理用药接口、VIP患者管理</w:t>
                  </w:r>
                </w:p>
              </w:tc>
              <w:tc>
                <w:tcPr>
                  <w:tcW w:w="617" w:type="pct"/>
                  <w:tcBorders>
                    <w:top w:val="nil"/>
                    <w:left w:val="nil"/>
                    <w:bottom w:val="single" w:color="auto" w:sz="4" w:space="0"/>
                    <w:right w:val="single" w:color="auto" w:sz="4" w:space="0"/>
                  </w:tcBorders>
                  <w:vAlign w:val="center"/>
                </w:tcPr>
                <w:p w14:paraId="35E5E4D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35743AD1">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446E24C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9" w:type="pct"/>
                  <w:tcBorders>
                    <w:top w:val="nil"/>
                    <w:left w:val="nil"/>
                    <w:bottom w:val="single" w:color="auto" w:sz="4" w:space="0"/>
                    <w:right w:val="single" w:color="auto" w:sz="4" w:space="0"/>
                  </w:tcBorders>
                  <w:vAlign w:val="center"/>
                </w:tcPr>
                <w:p w14:paraId="1DFEE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医院现用HIS系统改造</w:t>
                  </w:r>
                </w:p>
              </w:tc>
              <w:tc>
                <w:tcPr>
                  <w:tcW w:w="2654" w:type="pct"/>
                  <w:tcBorders>
                    <w:top w:val="nil"/>
                    <w:left w:val="nil"/>
                    <w:bottom w:val="single" w:color="auto" w:sz="4" w:space="0"/>
                    <w:right w:val="single" w:color="auto" w:sz="4" w:space="0"/>
                  </w:tcBorders>
                  <w:vAlign w:val="center"/>
                </w:tcPr>
                <w:p w14:paraId="19A1FDF9">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基础数据改造、门诊系统改造、住院系统改造、报告系统改造、自助系统改造、其他改造</w:t>
                  </w:r>
                </w:p>
              </w:tc>
              <w:tc>
                <w:tcPr>
                  <w:tcW w:w="617" w:type="pct"/>
                  <w:tcBorders>
                    <w:top w:val="nil"/>
                    <w:left w:val="nil"/>
                    <w:bottom w:val="single" w:color="auto" w:sz="4" w:space="0"/>
                    <w:right w:val="single" w:color="auto" w:sz="4" w:space="0"/>
                  </w:tcBorders>
                  <w:vAlign w:val="center"/>
                </w:tcPr>
                <w:p w14:paraId="4E3C9A46">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r>
            <w:tr w14:paraId="7B74D769">
              <w:tblPrEx>
                <w:tblCellMar>
                  <w:top w:w="0" w:type="dxa"/>
                  <w:left w:w="108" w:type="dxa"/>
                  <w:bottom w:w="0" w:type="dxa"/>
                  <w:right w:w="108" w:type="dxa"/>
                </w:tblCellMar>
              </w:tblPrEx>
              <w:trPr>
                <w:trHeight w:val="540" w:hRule="atLeast"/>
                <w:jc w:val="center"/>
              </w:trPr>
              <w:tc>
                <w:tcPr>
                  <w:tcW w:w="468" w:type="pct"/>
                  <w:tcBorders>
                    <w:top w:val="nil"/>
                    <w:left w:val="single" w:color="auto" w:sz="4" w:space="0"/>
                    <w:bottom w:val="single" w:color="auto" w:sz="4" w:space="0"/>
                    <w:right w:val="single" w:color="auto" w:sz="4" w:space="0"/>
                  </w:tcBorders>
                  <w:vAlign w:val="center"/>
                </w:tcPr>
                <w:p w14:paraId="0A28C7F9">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9" w:type="pct"/>
                  <w:tcBorders>
                    <w:top w:val="nil"/>
                    <w:left w:val="nil"/>
                    <w:bottom w:val="single" w:color="auto" w:sz="4" w:space="0"/>
                    <w:right w:val="single" w:color="auto" w:sz="4" w:space="0"/>
                  </w:tcBorders>
                  <w:vAlign w:val="center"/>
                </w:tcPr>
                <w:p w14:paraId="5E1CCC5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医院医生资质管理系统开发</w:t>
                  </w:r>
                </w:p>
              </w:tc>
              <w:tc>
                <w:tcPr>
                  <w:tcW w:w="2654" w:type="pct"/>
                  <w:tcBorders>
                    <w:top w:val="nil"/>
                    <w:left w:val="nil"/>
                    <w:bottom w:val="single" w:color="auto" w:sz="4" w:space="0"/>
                    <w:right w:val="single" w:color="auto" w:sz="4" w:space="0"/>
                  </w:tcBorders>
                  <w:vAlign w:val="center"/>
                </w:tcPr>
                <w:p w14:paraId="4B93A58B">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信息管理、授权管理、综合查询、医疗能力提升、个人办公</w:t>
                  </w:r>
                </w:p>
              </w:tc>
              <w:tc>
                <w:tcPr>
                  <w:tcW w:w="617" w:type="pct"/>
                  <w:tcBorders>
                    <w:top w:val="nil"/>
                    <w:left w:val="nil"/>
                    <w:bottom w:val="single" w:color="auto" w:sz="4" w:space="0"/>
                    <w:right w:val="single" w:color="auto" w:sz="4" w:space="0"/>
                  </w:tcBorders>
                  <w:vAlign w:val="center"/>
                </w:tcPr>
                <w:p w14:paraId="079C3AC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404F1F87">
              <w:tblPrEx>
                <w:tblCellMar>
                  <w:top w:w="0" w:type="dxa"/>
                  <w:left w:w="108" w:type="dxa"/>
                  <w:bottom w:w="0" w:type="dxa"/>
                  <w:right w:w="108" w:type="dxa"/>
                </w:tblCellMar>
              </w:tblPrEx>
              <w:trPr>
                <w:trHeight w:val="1890" w:hRule="atLeast"/>
                <w:jc w:val="center"/>
              </w:trPr>
              <w:tc>
                <w:tcPr>
                  <w:tcW w:w="468" w:type="pct"/>
                  <w:tcBorders>
                    <w:top w:val="nil"/>
                    <w:left w:val="single" w:color="auto" w:sz="4" w:space="0"/>
                    <w:bottom w:val="single" w:color="auto" w:sz="4" w:space="0"/>
                    <w:right w:val="single" w:color="auto" w:sz="4" w:space="0"/>
                  </w:tcBorders>
                  <w:vAlign w:val="center"/>
                </w:tcPr>
                <w:p w14:paraId="4D06B94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59" w:type="pct"/>
                  <w:tcBorders>
                    <w:top w:val="nil"/>
                    <w:left w:val="nil"/>
                    <w:bottom w:val="single" w:color="auto" w:sz="4" w:space="0"/>
                    <w:right w:val="single" w:color="auto" w:sz="4" w:space="0"/>
                  </w:tcBorders>
                  <w:vAlign w:val="center"/>
                </w:tcPr>
                <w:p w14:paraId="686EC87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医院智能护理管理系统开发</w:t>
                  </w:r>
                </w:p>
              </w:tc>
              <w:tc>
                <w:tcPr>
                  <w:tcW w:w="2654" w:type="pct"/>
                  <w:tcBorders>
                    <w:top w:val="nil"/>
                    <w:left w:val="nil"/>
                    <w:bottom w:val="single" w:color="auto" w:sz="4" w:space="0"/>
                    <w:right w:val="single" w:color="auto" w:sz="4" w:space="0"/>
                  </w:tcBorders>
                  <w:vAlign w:val="center"/>
                </w:tcPr>
                <w:p w14:paraId="791C5F57">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理档案管理、科室事务管理、护理工作量管理、护理质量控制、人员动态、组织管理、护士长手册、护理教学、护理调查、科研管理、专业组管理、学习进修、护理指标分析、基础数据维护、智能护理路径引导系统、智能移动护理系统</w:t>
                  </w:r>
                </w:p>
              </w:tc>
              <w:tc>
                <w:tcPr>
                  <w:tcW w:w="617" w:type="pct"/>
                  <w:tcBorders>
                    <w:top w:val="nil"/>
                    <w:left w:val="nil"/>
                    <w:bottom w:val="single" w:color="auto" w:sz="4" w:space="0"/>
                    <w:right w:val="single" w:color="auto" w:sz="4" w:space="0"/>
                  </w:tcBorders>
                  <w:vAlign w:val="center"/>
                </w:tcPr>
                <w:p w14:paraId="7E70348C">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7C32F05C">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2255137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59" w:type="pct"/>
                  <w:tcBorders>
                    <w:top w:val="nil"/>
                    <w:left w:val="nil"/>
                    <w:bottom w:val="single" w:color="auto" w:sz="4" w:space="0"/>
                    <w:right w:val="single" w:color="auto" w:sz="4" w:space="0"/>
                  </w:tcBorders>
                  <w:vAlign w:val="center"/>
                </w:tcPr>
                <w:p w14:paraId="60FB4F81">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医院多渠道对账管理系统开发</w:t>
                  </w:r>
                </w:p>
              </w:tc>
              <w:tc>
                <w:tcPr>
                  <w:tcW w:w="2654" w:type="pct"/>
                  <w:tcBorders>
                    <w:top w:val="nil"/>
                    <w:left w:val="nil"/>
                    <w:bottom w:val="single" w:color="auto" w:sz="4" w:space="0"/>
                    <w:right w:val="single" w:color="auto" w:sz="4" w:space="0"/>
                  </w:tcBorders>
                  <w:vAlign w:val="center"/>
                </w:tcPr>
                <w:p w14:paraId="4C0CFA92">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支付通道交易记录获取、对账数据表与对账批次表获取、自动对账管理、对账情况统计、统一对外接口</w:t>
                  </w:r>
                </w:p>
              </w:tc>
              <w:tc>
                <w:tcPr>
                  <w:tcW w:w="617" w:type="pct"/>
                  <w:tcBorders>
                    <w:top w:val="nil"/>
                    <w:left w:val="nil"/>
                    <w:bottom w:val="single" w:color="auto" w:sz="4" w:space="0"/>
                    <w:right w:val="single" w:color="auto" w:sz="4" w:space="0"/>
                  </w:tcBorders>
                  <w:vAlign w:val="center"/>
                </w:tcPr>
                <w:p w14:paraId="196BE298">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41603D46">
              <w:tblPrEx>
                <w:tblCellMar>
                  <w:top w:w="0" w:type="dxa"/>
                  <w:left w:w="108" w:type="dxa"/>
                  <w:bottom w:w="0" w:type="dxa"/>
                  <w:right w:w="108" w:type="dxa"/>
                </w:tblCellMar>
              </w:tblPrEx>
              <w:trPr>
                <w:trHeight w:val="540" w:hRule="atLeast"/>
                <w:jc w:val="center"/>
              </w:trPr>
              <w:tc>
                <w:tcPr>
                  <w:tcW w:w="468" w:type="pct"/>
                  <w:tcBorders>
                    <w:top w:val="nil"/>
                    <w:left w:val="single" w:color="auto" w:sz="4" w:space="0"/>
                    <w:bottom w:val="single" w:color="auto" w:sz="4" w:space="0"/>
                    <w:right w:val="single" w:color="auto" w:sz="4" w:space="0"/>
                  </w:tcBorders>
                  <w:vAlign w:val="center"/>
                </w:tcPr>
                <w:p w14:paraId="2A752ED0">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59" w:type="pct"/>
                  <w:tcBorders>
                    <w:top w:val="nil"/>
                    <w:left w:val="nil"/>
                    <w:bottom w:val="single" w:color="auto" w:sz="4" w:space="0"/>
                    <w:right w:val="single" w:color="auto" w:sz="4" w:space="0"/>
                  </w:tcBorders>
                  <w:vAlign w:val="center"/>
                </w:tcPr>
                <w:p w14:paraId="14C74614">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医院抗菌抗肿瘤药物管理系统开发</w:t>
                  </w:r>
                </w:p>
              </w:tc>
              <w:tc>
                <w:tcPr>
                  <w:tcW w:w="2654" w:type="pct"/>
                  <w:tcBorders>
                    <w:top w:val="nil"/>
                    <w:left w:val="nil"/>
                    <w:bottom w:val="single" w:color="auto" w:sz="4" w:space="0"/>
                    <w:right w:val="single" w:color="auto" w:sz="4" w:space="0"/>
                  </w:tcBorders>
                  <w:vAlign w:val="center"/>
                </w:tcPr>
                <w:p w14:paraId="75CC814C">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抗菌抗肿瘤药物分级管理系统与抗菌抗肿瘤药物统计查询分析</w:t>
                  </w:r>
                </w:p>
              </w:tc>
              <w:tc>
                <w:tcPr>
                  <w:tcW w:w="617" w:type="pct"/>
                  <w:tcBorders>
                    <w:top w:val="nil"/>
                    <w:left w:val="nil"/>
                    <w:bottom w:val="single" w:color="auto" w:sz="4" w:space="0"/>
                    <w:right w:val="single" w:color="auto" w:sz="4" w:space="0"/>
                  </w:tcBorders>
                  <w:vAlign w:val="center"/>
                </w:tcPr>
                <w:p w14:paraId="63D6854D">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3A0E3165">
              <w:tblPrEx>
                <w:tblCellMar>
                  <w:top w:w="0" w:type="dxa"/>
                  <w:left w:w="108" w:type="dxa"/>
                  <w:bottom w:w="0" w:type="dxa"/>
                  <w:right w:w="108" w:type="dxa"/>
                </w:tblCellMar>
              </w:tblPrEx>
              <w:trPr>
                <w:trHeight w:val="810" w:hRule="atLeast"/>
                <w:jc w:val="center"/>
              </w:trPr>
              <w:tc>
                <w:tcPr>
                  <w:tcW w:w="468" w:type="pct"/>
                  <w:tcBorders>
                    <w:top w:val="nil"/>
                    <w:left w:val="single" w:color="auto" w:sz="4" w:space="0"/>
                    <w:bottom w:val="single" w:color="auto" w:sz="4" w:space="0"/>
                    <w:right w:val="single" w:color="auto" w:sz="4" w:space="0"/>
                  </w:tcBorders>
                  <w:vAlign w:val="center"/>
                </w:tcPr>
                <w:p w14:paraId="4596B76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59" w:type="pct"/>
                  <w:tcBorders>
                    <w:top w:val="nil"/>
                    <w:left w:val="nil"/>
                    <w:bottom w:val="single" w:color="auto" w:sz="4" w:space="0"/>
                    <w:right w:val="single" w:color="auto" w:sz="4" w:space="0"/>
                  </w:tcBorders>
                  <w:vAlign w:val="center"/>
                </w:tcPr>
                <w:p w14:paraId="709719D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医院处方点评系统开发</w:t>
                  </w:r>
                </w:p>
              </w:tc>
              <w:tc>
                <w:tcPr>
                  <w:tcW w:w="2654" w:type="pct"/>
                  <w:tcBorders>
                    <w:top w:val="nil"/>
                    <w:left w:val="nil"/>
                    <w:bottom w:val="single" w:color="auto" w:sz="4" w:space="0"/>
                    <w:right w:val="single" w:color="auto" w:sz="4" w:space="0"/>
                  </w:tcBorders>
                  <w:vAlign w:val="center"/>
                </w:tcPr>
                <w:p w14:paraId="540D6389">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生成点评单、分配点评任务、点评处方、点评医嘱、查询统计、参数配置</w:t>
                  </w:r>
                </w:p>
              </w:tc>
              <w:tc>
                <w:tcPr>
                  <w:tcW w:w="617" w:type="pct"/>
                  <w:tcBorders>
                    <w:top w:val="nil"/>
                    <w:left w:val="nil"/>
                    <w:bottom w:val="single" w:color="auto" w:sz="4" w:space="0"/>
                    <w:right w:val="single" w:color="auto" w:sz="4" w:space="0"/>
                  </w:tcBorders>
                  <w:vAlign w:val="center"/>
                </w:tcPr>
                <w:p w14:paraId="5F30E03E">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08FEFC42">
              <w:tblPrEx>
                <w:tblCellMar>
                  <w:top w:w="0" w:type="dxa"/>
                  <w:left w:w="108" w:type="dxa"/>
                  <w:bottom w:w="0" w:type="dxa"/>
                  <w:right w:w="108" w:type="dxa"/>
                </w:tblCellMar>
              </w:tblPrEx>
              <w:trPr>
                <w:trHeight w:val="1620" w:hRule="atLeast"/>
                <w:jc w:val="center"/>
              </w:trPr>
              <w:tc>
                <w:tcPr>
                  <w:tcW w:w="468" w:type="pct"/>
                  <w:tcBorders>
                    <w:top w:val="nil"/>
                    <w:left w:val="single" w:color="auto" w:sz="4" w:space="0"/>
                    <w:bottom w:val="single" w:color="auto" w:sz="4" w:space="0"/>
                    <w:right w:val="single" w:color="auto" w:sz="4" w:space="0"/>
                  </w:tcBorders>
                  <w:vAlign w:val="center"/>
                </w:tcPr>
                <w:p w14:paraId="0FAD9BE3">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59" w:type="pct"/>
                  <w:tcBorders>
                    <w:top w:val="nil"/>
                    <w:left w:val="nil"/>
                    <w:bottom w:val="single" w:color="auto" w:sz="4" w:space="0"/>
                    <w:right w:val="single" w:color="auto" w:sz="4" w:space="0"/>
                  </w:tcBorders>
                  <w:vAlign w:val="center"/>
                </w:tcPr>
                <w:p w14:paraId="412DC0FF">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医院营养信息系统开发</w:t>
                  </w:r>
                </w:p>
              </w:tc>
              <w:tc>
                <w:tcPr>
                  <w:tcW w:w="2654" w:type="pct"/>
                  <w:tcBorders>
                    <w:top w:val="nil"/>
                    <w:left w:val="nil"/>
                    <w:bottom w:val="single" w:color="auto" w:sz="4" w:space="0"/>
                    <w:right w:val="single" w:color="auto" w:sz="4" w:space="0"/>
                  </w:tcBorders>
                  <w:vAlign w:val="center"/>
                </w:tcPr>
                <w:p w14:paraId="1451B018">
                  <w:pPr>
                    <w:keepNext w:val="0"/>
                    <w:keepLines w:val="0"/>
                    <w:pageBreakBefore w:val="0"/>
                    <w:suppressLineNumbers w:val="0"/>
                    <w:kinsoku/>
                    <w:wordWrap/>
                    <w:overflowPunct/>
                    <w:topLinePunct w:val="0"/>
                    <w:autoSpaceDE/>
                    <w:autoSpaceDN/>
                    <w:bidi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营养筛查、营养评估、膳食调查、风险预警、统计、住院营养诊疗、肠内医嘱、基础管理、HIS医嘱、营养医嘱、食物库管理、检验项目、诊断管理、病种管理、系统管理、营养诊疗APP</w:t>
                  </w:r>
                </w:p>
              </w:tc>
              <w:tc>
                <w:tcPr>
                  <w:tcW w:w="617" w:type="pct"/>
                  <w:tcBorders>
                    <w:top w:val="nil"/>
                    <w:left w:val="nil"/>
                    <w:bottom w:val="single" w:color="auto" w:sz="4" w:space="0"/>
                    <w:right w:val="single" w:color="auto" w:sz="4" w:space="0"/>
                  </w:tcBorders>
                  <w:vAlign w:val="center"/>
                </w:tcPr>
                <w:p w14:paraId="4E0417F7">
                  <w:pPr>
                    <w:keepNext w:val="0"/>
                    <w:keepLines w:val="0"/>
                    <w:pageBreakBefore w:val="0"/>
                    <w:suppressLineNumbers w:val="0"/>
                    <w:kinsoku/>
                    <w:wordWrap/>
                    <w:overflowPunct/>
                    <w:topLinePunct w:val="0"/>
                    <w:autoSpaceDE/>
                    <w:autoSpaceDN/>
                    <w:bidi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bl>
          <w:p w14:paraId="05FF6E5B">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产品技术能力要求</w:t>
            </w:r>
          </w:p>
          <w:p w14:paraId="12AE4D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系统在院内部署，所有数据均存储在院内；</w:t>
            </w:r>
          </w:p>
          <w:p w14:paraId="70FC9F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具备完善应用部署能力，提供应用部署管理平台的界面和部署方案；</w:t>
            </w:r>
          </w:p>
          <w:p w14:paraId="5A6D0A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信息系统数据的实时同步，需提供技术方案；</w:t>
            </w:r>
          </w:p>
          <w:p w14:paraId="5EBA08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4、具</w:t>
            </w:r>
            <w:r>
              <w:rPr>
                <w:rFonts w:hint="eastAsia" w:ascii="宋体" w:hAnsi="宋体" w:eastAsia="宋体" w:cs="宋体"/>
                <w:color w:val="auto"/>
                <w:sz w:val="21"/>
                <w:szCs w:val="21"/>
                <w:highlight w:val="none"/>
              </w:rPr>
              <w:t>有完备的数据安全方案，对隐私数据等进行高强度加密存储，数据自动备份全面采用速度快、成功率高的物理备份；系统可通过各种渗透检测，并以软件等级保护</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级要求进行编写；</w:t>
            </w:r>
          </w:p>
          <w:p w14:paraId="14C921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产品稳定性要求：系统支持7*24小时不间断运行。</w:t>
            </w:r>
          </w:p>
          <w:p w14:paraId="69531E63">
            <w:pPr>
              <w:pStyle w:val="2"/>
              <w:pageBreakBefore w:val="0"/>
              <w:kinsoku/>
              <w:wordWrap/>
              <w:overflowPunct/>
              <w:topLinePunct w:val="0"/>
              <w:autoSpaceDE/>
              <w:autoSpaceDN/>
              <w:bidi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三、项目服务</w:t>
            </w:r>
            <w:r>
              <w:rPr>
                <w:rFonts w:hint="eastAsia" w:ascii="宋体" w:hAnsi="宋体" w:eastAsia="宋体" w:cs="宋体"/>
                <w:color w:val="auto"/>
                <w:sz w:val="21"/>
                <w:szCs w:val="21"/>
                <w:highlight w:val="none"/>
              </w:rPr>
              <w:t>要求</w:t>
            </w:r>
          </w:p>
          <w:p w14:paraId="261F4C68">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应用系统的日常维护</w:t>
            </w:r>
          </w:p>
          <w:p w14:paraId="7EDC1C4F">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维护要求为：通过对应用系统的维护，分析用户的不断更新的需求，分析应用系统对服务平台性能的要求，提出系统优化扩容解决方案，保障应用系统的处理服务性能。</w:t>
            </w:r>
          </w:p>
          <w:p w14:paraId="7DDDFC24">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主要维护内容包括：</w:t>
            </w:r>
          </w:p>
          <w:p w14:paraId="11E1298B">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（1）业务数据维护；</w:t>
            </w:r>
          </w:p>
          <w:p w14:paraId="4BFDFA1D">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（2）业务数据备份；</w:t>
            </w:r>
          </w:p>
          <w:p w14:paraId="1D52A5B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（3）业务系统日常维护；</w:t>
            </w:r>
          </w:p>
          <w:p w14:paraId="4C2D3CD1">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（4）软件更新服务；</w:t>
            </w:r>
          </w:p>
          <w:p w14:paraId="3D4F3072">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（5）对业务管理系统健康状态检查与分析报告；</w:t>
            </w:r>
          </w:p>
          <w:p w14:paraId="685107F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（6）对系统用户信息进行维护和修改，添加系统用户、更改系统用户信息、权限，负责系统中管理人员、操作人员、监督人员名单的调整，以及数据同步。</w:t>
            </w:r>
          </w:p>
          <w:p w14:paraId="70B45F9A">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2、信息系统安全服务</w:t>
            </w:r>
          </w:p>
          <w:p w14:paraId="1ADF07F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风险评估和安全加固工作贯穿于信息系统的整个生命周期的各阶段。在运行维护阶段，要不断地实施风险评估以识别系统面临的不断变化的风险和脆弱性，并通过安全加固进行有效的安全措施干预，确保安全目标得以实现。</w:t>
            </w:r>
          </w:p>
          <w:p w14:paraId="2D1E43EE">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w:t>
            </w:r>
          </w:p>
          <w:p w14:paraId="5037D7FC">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风险评估的目的是了解和控制运行过程中的信息系统安全风险，运维阶段的风险评估是一种较为全面的风险评估。评估内容包括对真实运行的信息系统、资产、威胁、脆弱性等各方面。</w:t>
            </w:r>
          </w:p>
          <w:p w14:paraId="64A5C335">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（1）资产评估：对真实环境下较为细致的评估，包括实施阶段采购的软硬件资产、系统运行过程中生成的信息资产、相关的人员与服务等。本阶段资产识别是前期资产识别的补充与增加；</w:t>
            </w:r>
          </w:p>
          <w:p w14:paraId="162C3F51">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威胁评估：真实环境中的威胁分析，应全面地评估威胁的可能性和影响程度。对非故意威胁产生安全事件的评估可以参照事故发生率；对故意威胁主要由评估人员就威胁的各个影响因素做出专业判断；同时考虑已有控制措施；</w:t>
            </w:r>
          </w:p>
          <w:p w14:paraId="3FFF2BA6">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脆弱性评估：全面的脆弱性评估。包括运行环境下物理、网络、系统、应用、安全保障设备、管理的脆弱性。对于技术的脆弱性评估采取核查、扫描、案例验证、渗透性测试的方式验证脆弱性；对安全保障设备脆弱性评估时考虑安全功能的实现情况和安全措施本身的脆弱性。对于管理脆弱性采取文档、记录核查进行验证；</w:t>
            </w:r>
          </w:p>
          <w:p w14:paraId="46207AB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（4）风险计算：根据相关标准，对主要资产的风险进行定性或定量的风险分析，描述不同资产的风险高低状况。</w:t>
            </w:r>
          </w:p>
          <w:p w14:paraId="0737D5E0">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4、安全加固</w:t>
            </w:r>
          </w:p>
          <w:p w14:paraId="2A29394F">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安全加固是指对在风险评估中发现的系统安全风险进行处理，按照级别不同，应该在相应时间内完成。安全加固的内容主要包括：</w:t>
            </w:r>
          </w:p>
          <w:p w14:paraId="0CCC09A8">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（1）日常安全加固工作，主要是根据风险评估结果进行系统安全调优服务，根据系统运行需要适时调整各类设备及系统配置、合理规划系统资源、消除系统漏洞，提高系统稳定性和可靠性；</w:t>
            </w:r>
          </w:p>
          <w:p w14:paraId="4BCF7860">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（2）主动安全加固，在未出现安全事故之前就对已经通报或者暴露出来的软件漏洞或最新病毒库更新，就主动进计划的升级和改进，从而避免出现安全事故。</w:t>
            </w:r>
          </w:p>
          <w:p w14:paraId="21E113D9">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具体加固内容包括但不限于：账户策略、账户锁定策略、审核策略、NTFS、用户权限分配、系统服务策略、补丁管理、事件日志、应用软件的更新等。</w:t>
            </w:r>
          </w:p>
          <w:p w14:paraId="0F6F5E87">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5、应急响应</w:t>
            </w:r>
          </w:p>
          <w:p w14:paraId="48C4DAB7">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应急状态的安全值守、响应工作，主要是系统应急响应、重大安全故障处理，确保系统出现安全事件时快速反应、及时处理，降低系统安全问题对院内内工作的影响。</w:t>
            </w:r>
          </w:p>
          <w:p w14:paraId="694EF00B">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6、安全巡检 </w:t>
            </w:r>
          </w:p>
          <w:p w14:paraId="0AC7BBA5">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安全巡检主要是指深入现场，了解情况：质检服务内容中的各类安全设备，了解安全设备运行情况，仔细观察各个安全节点的可靠性，并综合安全巡检情况，定制安全策略。</w:t>
            </w:r>
          </w:p>
          <w:p w14:paraId="0B5E1AEE">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7、安全监控</w:t>
            </w:r>
          </w:p>
          <w:p w14:paraId="478ABBCB">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对服务内容进行监控，在安全环境产生变化时，及时更新安全策略，在现有设备和网络情况有改变的时候，快速制定，针对更新后设备环境的安全策略，并实施部署。避免因设备变更而带来的安全风险。</w:t>
            </w:r>
          </w:p>
          <w:p w14:paraId="5085567D">
            <w:pPr>
              <w:pStyle w:val="4"/>
              <w:pageBreakBefore w:val="0"/>
              <w:kinsoku/>
              <w:wordWrap/>
              <w:overflowPunct/>
              <w:topLinePunct w:val="0"/>
              <w:autoSpaceDE/>
              <w:autoSpaceDN/>
              <w:bidi w:val="0"/>
              <w:spacing w:before="0" w:beforeAutospacing="0" w:after="0" w:afterAutospacing="0" w:line="400" w:lineRule="exact"/>
              <w:ind w:left="720" w:leftChars="0" w:hanging="7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8、安全通告</w:t>
            </w:r>
          </w:p>
          <w:p w14:paraId="003C5333">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定期安全通告，在互联网上出现新型病毒或者新出现漏洞并且部分修补的情况下，制作安全通告及时告知相关运维人员，增强对于新型病毒和漏洞的防御力。</w:t>
            </w:r>
          </w:p>
          <w:p w14:paraId="655BB7B1">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9、软件系统升级及其他软件产品服务</w:t>
            </w:r>
          </w:p>
          <w:p w14:paraId="2C56D0BE">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在合同有效期内，系统厂家（或服务商）承诺免费升级合同所约定的订阅模式服务范围内的双方约定的自主软件产品至合同有效期结束之日前</w:t>
            </w:r>
            <w:r>
              <w:rPr>
                <w:rFonts w:hint="eastAsia" w:ascii="宋体" w:hAnsi="宋体" w:cs="宋体"/>
                <w:color w:val="auto"/>
                <w:kern w:val="2"/>
                <w:sz w:val="21"/>
                <w:szCs w:val="21"/>
                <w:highlight w:val="none"/>
                <w:lang w:val="en-US" w:eastAsia="zh-CN"/>
              </w:rPr>
              <w:t>HIS系统</w:t>
            </w:r>
            <w:r>
              <w:rPr>
                <w:rFonts w:hint="eastAsia" w:ascii="宋体" w:hAnsi="宋体" w:eastAsia="宋体" w:cs="宋体"/>
                <w:color w:val="auto"/>
                <w:kern w:val="2"/>
                <w:sz w:val="21"/>
                <w:szCs w:val="21"/>
                <w:highlight w:val="none"/>
                <w:lang w:val="en-US" w:eastAsia="zh-CN"/>
              </w:rPr>
              <w:t>所发布的最新版本。</w:t>
            </w:r>
          </w:p>
          <w:p w14:paraId="6811290A">
            <w:pPr>
              <w:pStyle w:val="140"/>
              <w:pageBreakBefore w:val="0"/>
              <w:kinsoku/>
              <w:wordWrap/>
              <w:overflowPunct/>
              <w:topLinePunct w:val="0"/>
              <w:autoSpaceDE/>
              <w:autoSpaceDN/>
              <w:bidi w:val="0"/>
              <w:spacing w:beforeAutospacing="0" w:afterAutospacing="0" w:line="400" w:lineRule="exact"/>
              <w:ind w:firstLine="371" w:firstLineChars="177"/>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合同期内</w:t>
            </w:r>
            <w:r>
              <w:rPr>
                <w:rFonts w:hint="eastAsia" w:ascii="宋体" w:hAnsi="宋体" w:cs="宋体"/>
                <w:color w:val="auto"/>
                <w:kern w:val="2"/>
                <w:sz w:val="21"/>
                <w:szCs w:val="21"/>
                <w:highlight w:val="none"/>
              </w:rPr>
              <w:t>双方约定</w:t>
            </w:r>
            <w:r>
              <w:rPr>
                <w:rFonts w:hint="eastAsia" w:ascii="宋体" w:hAnsi="宋体" w:eastAsia="宋体" w:cs="宋体"/>
                <w:color w:val="auto"/>
                <w:kern w:val="2"/>
                <w:sz w:val="21"/>
                <w:szCs w:val="21"/>
                <w:highlight w:val="none"/>
                <w:lang w:val="en-US" w:eastAsia="zh-CN"/>
              </w:rPr>
              <w:t>对应的软件产品提供医院业务所需的所有许可，需求，接口服务。其他费用不再收取，如人员驻场费用，需求改动费和接口免费等。</w:t>
            </w:r>
          </w:p>
          <w:p w14:paraId="451AB661">
            <w:pPr>
              <w:pStyle w:val="3"/>
              <w:pageBreakBefore w:val="0"/>
              <w:tabs>
                <w:tab w:val="left" w:pos="567"/>
              </w:tabs>
              <w:kinsoku/>
              <w:wordWrap/>
              <w:overflowPunct/>
              <w:topLinePunct w:val="0"/>
              <w:autoSpaceDE/>
              <w:autoSpaceDN/>
              <w:bidi w:val="0"/>
              <w:adjustRightInd w:val="0"/>
              <w:snapToGrid w:val="0"/>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10、评级改造服务</w:t>
            </w:r>
          </w:p>
          <w:p w14:paraId="03FBB4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rPr>
              <w:t>根据医院电子病历6级、互联互通五乙、智慧服务4级、三甲医院绩效指标等评级要求，提供相应的咨询、改造服务，满足“四+五+六“信息化评审要求。</w:t>
            </w:r>
          </w:p>
        </w:tc>
      </w:tr>
      <w:tr w14:paraId="7A9B6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35DA6CBD">
            <w:pPr>
              <w:pageBreakBefore w:val="0"/>
              <w:kinsoku/>
              <w:wordWrap/>
              <w:topLinePunct w:val="0"/>
              <w:autoSpaceDE/>
              <w:autoSpaceDN/>
              <w:bidi w:val="0"/>
              <w:adjustRightInd/>
              <w:spacing w:line="40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商务要求</w:t>
            </w:r>
          </w:p>
        </w:tc>
      </w:tr>
      <w:tr w14:paraId="5250A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A8791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65BD8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自中标通知书发出之日起 25 日内。</w:t>
            </w:r>
          </w:p>
        </w:tc>
      </w:tr>
      <w:tr w14:paraId="3D195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0C7CD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二、服务期限及地点</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69082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1、服务期限：自合同签订之日起两年。</w:t>
            </w:r>
          </w:p>
          <w:p w14:paraId="465E2F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2、服务地点：广西医科大学第一附属医院指定地点，南宁市内。</w:t>
            </w:r>
          </w:p>
        </w:tc>
      </w:tr>
      <w:tr w14:paraId="2531E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E2A10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888E3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本项目实行包干总价；投标报价包含完成本项目所有服务内容、所涉及的配件、备品备件、工具、材料、实施、调试、验收、培训等各种费用和售后服务、税金及其它所有成本费用的总和。</w:t>
            </w:r>
          </w:p>
        </w:tc>
      </w:tr>
      <w:tr w14:paraId="55EC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1B0ED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四、付款条件</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AB8DE5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1、本合同全额款分八次支付：采购人按季度支付合同价款，成交供应商应当于下季度首月前5个工作日内开具发票申请采购人支付上季度的合同价款，采购人</w:t>
            </w:r>
            <w:r>
              <w:rPr>
                <w:rFonts w:hint="eastAsia" w:ascii="宋体" w:hAnsi="宋体" w:cs="宋体"/>
                <w:color w:val="auto"/>
                <w:sz w:val="21"/>
                <w:szCs w:val="21"/>
                <w:highlight w:val="none"/>
                <w:lang w:val="en-US" w:eastAsia="zh-CN"/>
              </w:rPr>
              <w:t>自材料审核完成之日起</w:t>
            </w:r>
            <w:r>
              <w:rPr>
                <w:rFonts w:hint="eastAsia" w:ascii="宋体" w:hAnsi="宋体" w:eastAsia="宋体" w:cs="宋体"/>
                <w:color w:val="auto"/>
                <w:sz w:val="21"/>
                <w:szCs w:val="21"/>
                <w:highlight w:val="none"/>
                <w:lang w:val="en-US" w:eastAsia="zh-CN"/>
              </w:rPr>
              <w:t>十个工作日内支付该季度的合同款，具体金额根据上季度服务考评结果及奖惩办法等情况</w:t>
            </w:r>
            <w:r>
              <w:rPr>
                <w:rFonts w:hint="eastAsia" w:ascii="宋体" w:hAnsi="宋体" w:cs="宋体"/>
                <w:color w:val="auto"/>
                <w:szCs w:val="21"/>
                <w:highlight w:val="none"/>
              </w:rPr>
              <w:t>（详见附件三）</w:t>
            </w:r>
            <w:r>
              <w:rPr>
                <w:rFonts w:hint="eastAsia" w:ascii="宋体" w:hAnsi="宋体" w:eastAsia="宋体" w:cs="宋体"/>
                <w:color w:val="auto"/>
                <w:sz w:val="21"/>
                <w:szCs w:val="21"/>
                <w:highlight w:val="none"/>
                <w:lang w:val="en-US" w:eastAsia="zh-CN"/>
              </w:rPr>
              <w:t>进行核算进行支付，服务周期的第一季度按100%支付。</w:t>
            </w:r>
          </w:p>
          <w:p w14:paraId="11EA8E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Cs w:val="21"/>
                <w:highlight w:val="none"/>
              </w:rPr>
              <w:t>付款前</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必须提供真实、有效、合法的正式发票，如</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提供虚假发票，除须向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补开合法发票外，须赔偿</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发票票面金额一倍的违约金，且</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有权终止合同，</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不得提出异议，因终止合同而产生的一切损失均由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w:t>
            </w:r>
          </w:p>
        </w:tc>
      </w:tr>
      <w:tr w14:paraId="22DA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253921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61F08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日常运维服务</w:t>
            </w:r>
          </w:p>
          <w:p w14:paraId="4C7BD0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针对医院24小时工作制度，为客户提供系统级的</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常维护、定期巡检、性能测试、故障排查等服务。</w:t>
            </w:r>
            <w:r>
              <w:rPr>
                <w:rFonts w:hint="eastAsia" w:ascii="宋体" w:hAnsi="宋体" w:eastAsia="宋体" w:cs="宋体"/>
                <w:color w:val="auto"/>
                <w:sz w:val="21"/>
                <w:szCs w:val="21"/>
                <w:highlight w:val="none"/>
                <w:lang w:val="en-US" w:eastAsia="zh-CN"/>
              </w:rPr>
              <w:t>具体内</w:t>
            </w:r>
            <w:r>
              <w:rPr>
                <w:rFonts w:hint="eastAsia" w:ascii="宋体" w:hAnsi="宋体" w:eastAsia="宋体" w:cs="宋体"/>
                <w:color w:val="auto"/>
                <w:sz w:val="21"/>
                <w:szCs w:val="21"/>
                <w:highlight w:val="none"/>
              </w:rPr>
              <w:t>容包括</w:t>
            </w:r>
            <w:r>
              <w:rPr>
                <w:rFonts w:hint="eastAsia" w:ascii="宋体" w:hAnsi="宋体" w:eastAsia="宋体" w:cs="宋体"/>
                <w:color w:val="auto"/>
                <w:sz w:val="21"/>
                <w:szCs w:val="21"/>
                <w:highlight w:val="none"/>
                <w:lang w:eastAsia="zh-CN"/>
              </w:rPr>
              <w:t>：</w:t>
            </w:r>
          </w:p>
          <w:p w14:paraId="7F06A9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驻场服务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主要指现场值守服务，维护团队需要指派资深服务技术服务工程师长期值守在现场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对现场设备运行状态进行监视、管理和维护以及工作织端的管理和维护，通过对系统运行日志的分析提前发现并排除可能发生的潜在故障，并在全部维护服务团队支持下，在1小时内排除普通故障，2小时内排除较大故障，4小时内排除重大故障，24小时内排除特大故障。</w:t>
            </w:r>
          </w:p>
          <w:p w14:paraId="68F076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故障响应服务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除了现场值守服务方式外，同时，提供 7</w:t>
            </w:r>
            <w:r>
              <w:rPr>
                <w:rFonts w:hint="default" w:ascii="Arial" w:hAnsi="Arial" w:eastAsia="宋体" w:cs="Arial"/>
                <w:color w:val="auto"/>
                <w:sz w:val="21"/>
                <w:szCs w:val="21"/>
                <w:highlight w:val="none"/>
              </w:rPr>
              <w:t>×</w:t>
            </w:r>
            <w:r>
              <w:rPr>
                <w:rFonts w:hint="eastAsia" w:ascii="宋体" w:hAnsi="宋体" w:eastAsia="宋体" w:cs="宋体"/>
                <w:color w:val="auto"/>
                <w:sz w:val="21"/>
                <w:szCs w:val="21"/>
                <w:highlight w:val="none"/>
              </w:rPr>
              <w:t>24小时故障响应服务具体包括</w:t>
            </w:r>
            <w:r>
              <w:rPr>
                <w:rFonts w:hint="eastAsia" w:ascii="宋体" w:hAnsi="宋体" w:eastAsia="宋体" w:cs="宋体"/>
                <w:color w:val="auto"/>
                <w:sz w:val="21"/>
                <w:szCs w:val="21"/>
                <w:highlight w:val="none"/>
                <w:lang w:eastAsia="zh-CN"/>
              </w:rPr>
              <w:t>：</w:t>
            </w:r>
          </w:p>
          <w:p w14:paraId="41A461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(1)维护期内提供电话、传真、电子邮件等方式的咨询和支持服务</w:t>
            </w:r>
            <w:r>
              <w:rPr>
                <w:rFonts w:hint="eastAsia" w:ascii="宋体" w:hAnsi="宋体" w:eastAsia="宋体" w:cs="宋体"/>
                <w:color w:val="auto"/>
                <w:sz w:val="21"/>
                <w:szCs w:val="21"/>
                <w:highlight w:val="none"/>
                <w:lang w:eastAsia="zh-CN"/>
              </w:rPr>
              <w:t>；</w:t>
            </w:r>
          </w:p>
          <w:p w14:paraId="28B40E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(2)主要系统设备出现故障时，15分钟内响应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当现场维护工程师或节假日值班维护工程师无法排除故障时，1小时内中心派专业工程师赶赴现场进行故障诊断及处理，在1小时内排除普通故障，2小时内排除较大故障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4小时内排除重大故障，24小时内排除特大故障</w:t>
            </w:r>
            <w:r>
              <w:rPr>
                <w:rFonts w:hint="eastAsia" w:ascii="宋体" w:hAnsi="宋体" w:eastAsia="宋体" w:cs="宋体"/>
                <w:color w:val="auto"/>
                <w:sz w:val="21"/>
                <w:szCs w:val="21"/>
                <w:highlight w:val="none"/>
                <w:lang w:eastAsia="zh-CN"/>
              </w:rPr>
              <w:t>；</w:t>
            </w:r>
          </w:p>
          <w:p w14:paraId="5B98A4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(3)一般故障，正常工作日内响应。</w:t>
            </w:r>
          </w:p>
          <w:p w14:paraId="1E1483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其他时间及夜间服务</w:t>
            </w:r>
          </w:p>
          <w:p w14:paraId="70C022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当系统在非工作日出现异常时，维护团队现场人员将在1小时内赶赴现场并排除系统普通故障，特大故障将在24小时内处理完毕</w:t>
            </w:r>
            <w:r>
              <w:rPr>
                <w:rFonts w:hint="eastAsia" w:ascii="宋体" w:hAnsi="宋体" w:eastAsia="宋体" w:cs="宋体"/>
                <w:color w:val="auto"/>
                <w:sz w:val="21"/>
                <w:szCs w:val="21"/>
                <w:highlight w:val="none"/>
                <w:lang w:eastAsia="zh-CN"/>
              </w:rPr>
              <w:t>。</w:t>
            </w:r>
          </w:p>
          <w:p w14:paraId="1D030D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临时保障服务</w:t>
            </w:r>
          </w:p>
          <w:p w14:paraId="5ADCD3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当遇到需要提供临时保障服务时，维护团队须在需要保障服务的前三天进驻现场，并对所有设备进行临时性安全检查，排除安全隐患，以做到万无一失。</w:t>
            </w:r>
          </w:p>
          <w:p w14:paraId="64AD5EE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月度检查</w:t>
            </w:r>
          </w:p>
          <w:p w14:paraId="79463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每月对各系统及设备进行检查，进行安全系统、防病毒系统检查，进行漏洞扫描，并对检查中存在的故障及安全隐患进行处理。每月第一周向用户单位提交上月的《月度巡检报告》，报请用户单位审批签署</w:t>
            </w:r>
            <w:r>
              <w:rPr>
                <w:rFonts w:hint="eastAsia" w:ascii="宋体" w:hAnsi="宋体" w:eastAsia="宋体" w:cs="宋体"/>
                <w:color w:val="auto"/>
                <w:sz w:val="21"/>
                <w:szCs w:val="21"/>
                <w:highlight w:val="none"/>
                <w:lang w:eastAsia="zh-CN"/>
              </w:rPr>
              <w:t>。</w:t>
            </w:r>
          </w:p>
          <w:p w14:paraId="03B0A9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季度检查</w:t>
            </w:r>
          </w:p>
          <w:p w14:paraId="748E2E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每季度对由维护团队的专业维护</w:t>
            </w:r>
            <w:r>
              <w:rPr>
                <w:rFonts w:hint="eastAsia" w:ascii="宋体" w:hAnsi="宋体" w:eastAsia="宋体" w:cs="宋体"/>
                <w:color w:val="auto"/>
                <w:sz w:val="21"/>
                <w:szCs w:val="21"/>
                <w:highlight w:val="none"/>
                <w:lang w:val="en-US" w:eastAsia="zh-CN"/>
              </w:rPr>
              <w:t>队伍</w:t>
            </w:r>
            <w:r>
              <w:rPr>
                <w:rFonts w:hint="eastAsia" w:ascii="宋体" w:hAnsi="宋体" w:eastAsia="宋体" w:cs="宋体"/>
                <w:color w:val="auto"/>
                <w:sz w:val="21"/>
                <w:szCs w:val="21"/>
                <w:highlight w:val="none"/>
              </w:rPr>
              <w:t>对所有设备进行安全评估和风险分析，提交完整的</w:t>
            </w:r>
            <w:r>
              <w:rPr>
                <w:rFonts w:hint="eastAsia" w:ascii="宋体" w:hAnsi="宋体" w:eastAsia="宋体" w:cs="宋体"/>
                <w:color w:val="auto"/>
                <w:sz w:val="21"/>
                <w:szCs w:val="21"/>
                <w:highlight w:val="none"/>
                <w:lang w:val="en-US" w:eastAsia="zh-CN"/>
              </w:rPr>
              <w:t>安全状况评估报告，</w:t>
            </w:r>
            <w:r>
              <w:rPr>
                <w:rFonts w:hint="eastAsia" w:ascii="宋体" w:hAnsi="宋体" w:eastAsia="宋体" w:cs="宋体"/>
                <w:color w:val="auto"/>
                <w:sz w:val="21"/>
                <w:szCs w:val="21"/>
                <w:highlight w:val="none"/>
              </w:rPr>
              <w:t>分析存在的安全漏洞情况，提出《整改方案和建议》</w:t>
            </w:r>
            <w:r>
              <w:rPr>
                <w:rFonts w:hint="eastAsia" w:ascii="宋体" w:hAnsi="宋体" w:eastAsia="宋体" w:cs="宋体"/>
                <w:color w:val="auto"/>
                <w:sz w:val="21"/>
                <w:szCs w:val="21"/>
                <w:highlight w:val="none"/>
                <w:lang w:eastAsia="zh-CN"/>
              </w:rPr>
              <w:t>。</w:t>
            </w:r>
          </w:p>
          <w:p w14:paraId="3E18510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年度检查</w:t>
            </w:r>
          </w:p>
          <w:p w14:paraId="58A257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每年由维护团队组织相关的专家对整个系统进行安全检查，对每个硬件设备使用状态进行风险评估，并对下</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年可能存在的问题进行风险预测。</w:t>
            </w:r>
          </w:p>
        </w:tc>
      </w:tr>
      <w:tr w14:paraId="16C73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F0906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六、验收要求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13711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应用软件由成交人与采购人一起验收，同时就系统的安全性、完整性、易用性、适用性等进行验收。</w:t>
            </w:r>
          </w:p>
          <w:p w14:paraId="58C38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(1)采取分阶段验收模式，验收各年度交付计划方案下的各子项目，及每个总体开工报告下的所有项目和子项目。</w:t>
            </w:r>
          </w:p>
          <w:p w14:paraId="5933D7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验收工作由成交人与采购人双方共同组成的联合组负责组织和开展验收具体工作。</w:t>
            </w:r>
          </w:p>
          <w:p w14:paraId="7165D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(3)验收依据和标准包括：</w:t>
            </w:r>
          </w:p>
          <w:p w14:paraId="736CCD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功能和需求满足度：按照实施报告中的产品功能清单、子项目计划书、需求报告、差异化调研情况等进行评估。</w:t>
            </w:r>
          </w:p>
          <w:p w14:paraId="1F8373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运行状态：确认项目或子项目是否处于无故障运行状</w:t>
            </w:r>
            <w:r>
              <w:rPr>
                <w:rFonts w:hint="eastAsia" w:ascii="宋体" w:hAnsi="宋体" w:eastAsia="宋体" w:cs="宋体"/>
                <w:color w:val="auto"/>
                <w:sz w:val="21"/>
                <w:szCs w:val="21"/>
                <w:highlight w:val="none"/>
                <w:lang w:val="en-US" w:eastAsia="zh-CN"/>
              </w:rPr>
              <w:t>态，</w:t>
            </w:r>
            <w:r>
              <w:rPr>
                <w:rFonts w:hint="eastAsia" w:ascii="宋体" w:hAnsi="宋体" w:eastAsia="宋体" w:cs="宋体"/>
                <w:color w:val="auto"/>
                <w:sz w:val="21"/>
                <w:szCs w:val="21"/>
                <w:highlight w:val="none"/>
                <w:lang w:eastAsia="zh-CN"/>
              </w:rPr>
              <w:t>且持续时间是否达到约定的时长。</w:t>
            </w:r>
          </w:p>
          <w:p w14:paraId="008E32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技术文档包括：产品功能清单；产品使用说明书；产品配置说明书；二次开发技术文档；接口及综合统计系统的数据源的技术说明书；所涉及的数据库的数据字典和知识图谱、cache 数据库管理及运维手册、cache 数据库开发手册、常见问题检索及故障处理手册。</w:t>
            </w:r>
          </w:p>
          <w:p w14:paraId="107236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系统用户使用报告：交付小组按项目或系项目涉及的子系统或模块的直接使用用户类别收集其对系统或模块使用情况的报告。</w:t>
            </w:r>
          </w:p>
          <w:p w14:paraId="1FD8A5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年度及总体使用情况评估报告：总体开工报告及各年度交付计划方案中各子项目的里程碑完成情况报告；项目小组对项目或子项目所涉及子系统或模块的总体使用情况进行评估并出具相关报告。</w:t>
            </w:r>
          </w:p>
          <w:p w14:paraId="3B1157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(4)验收交付报告的签署：各阶段</w:t>
            </w:r>
            <w:r>
              <w:rPr>
                <w:rFonts w:hint="eastAsia" w:ascii="宋体" w:hAnsi="宋体" w:eastAsia="宋体" w:cs="宋体"/>
                <w:color w:val="auto"/>
                <w:sz w:val="21"/>
                <w:szCs w:val="21"/>
                <w:highlight w:val="none"/>
                <w:lang w:val="en-US" w:eastAsia="zh-CN"/>
              </w:rPr>
              <w:t>交付验收后，</w:t>
            </w:r>
            <w:r>
              <w:rPr>
                <w:rFonts w:hint="eastAsia" w:ascii="宋体" w:hAnsi="宋体" w:eastAsia="宋体" w:cs="宋体"/>
                <w:color w:val="auto"/>
                <w:sz w:val="21"/>
                <w:szCs w:val="21"/>
                <w:highlight w:val="none"/>
                <w:lang w:eastAsia="zh-CN"/>
              </w:rPr>
              <w:t>双方授权代表在验收报告上签字盖章，确认验收通过。未能验收的各阶段的交付方案或总体方</w:t>
            </w:r>
            <w:r>
              <w:rPr>
                <w:rFonts w:hint="eastAsia" w:ascii="宋体" w:hAnsi="宋体" w:eastAsia="宋体" w:cs="宋体"/>
                <w:color w:val="auto"/>
                <w:sz w:val="21"/>
                <w:szCs w:val="21"/>
                <w:highlight w:val="none"/>
                <w:lang w:val="en-US" w:eastAsia="zh-CN"/>
              </w:rPr>
              <w:t>案，联合组应出具未能</w:t>
            </w:r>
            <w:r>
              <w:rPr>
                <w:rFonts w:hint="eastAsia" w:ascii="宋体" w:hAnsi="宋体" w:eastAsia="宋体" w:cs="宋体"/>
                <w:color w:val="auto"/>
                <w:sz w:val="21"/>
                <w:szCs w:val="21"/>
                <w:highlight w:val="none"/>
                <w:lang w:eastAsia="zh-CN"/>
              </w:rPr>
              <w:t>验收的文件，成交人与采购人各自</w:t>
            </w:r>
            <w:r>
              <w:rPr>
                <w:rFonts w:hint="eastAsia" w:ascii="宋体" w:hAnsi="宋体" w:eastAsia="宋体" w:cs="宋体"/>
                <w:color w:val="auto"/>
                <w:sz w:val="21"/>
                <w:szCs w:val="21"/>
                <w:highlight w:val="none"/>
                <w:lang w:val="en-US" w:eastAsia="zh-CN"/>
              </w:rPr>
              <w:t>解决验收文件</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lang w:val="en-US" w:eastAsia="zh-CN"/>
              </w:rPr>
              <w:t>的各</w:t>
            </w:r>
            <w:r>
              <w:rPr>
                <w:rFonts w:hint="eastAsia" w:ascii="宋体" w:hAnsi="宋体" w:eastAsia="宋体" w:cs="宋体"/>
                <w:color w:val="auto"/>
                <w:sz w:val="21"/>
                <w:szCs w:val="21"/>
                <w:highlight w:val="none"/>
                <w:lang w:eastAsia="zh-CN"/>
              </w:rPr>
              <w:t>方问题，遵有关里程碑要求完成各项</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再次</w:t>
            </w:r>
            <w:r>
              <w:rPr>
                <w:rFonts w:hint="eastAsia" w:ascii="宋体" w:hAnsi="宋体" w:eastAsia="宋体" w:cs="宋体"/>
                <w:color w:val="auto"/>
                <w:sz w:val="21"/>
                <w:szCs w:val="21"/>
                <w:highlight w:val="none"/>
                <w:lang w:val="en-US" w:eastAsia="zh-CN"/>
              </w:rPr>
              <w:t>验收如仍</w:t>
            </w:r>
            <w:r>
              <w:rPr>
                <w:rFonts w:hint="eastAsia" w:ascii="宋体" w:hAnsi="宋体" w:eastAsia="宋体" w:cs="宋体"/>
                <w:color w:val="auto"/>
                <w:sz w:val="21"/>
                <w:szCs w:val="21"/>
                <w:highlight w:val="none"/>
                <w:lang w:eastAsia="zh-CN"/>
              </w:rPr>
              <w:t>未能通过，成交人与采购人双方评估核减当年的服务费。</w:t>
            </w:r>
          </w:p>
        </w:tc>
      </w:tr>
    </w:tbl>
    <w:p w14:paraId="3EDE196D">
      <w:pPr>
        <w:spacing w:before="56" w:line="219" w:lineRule="auto"/>
        <w:ind w:left="112"/>
        <w:rPr>
          <w:rFonts w:hint="eastAsia" w:ascii="宋体" w:hAnsi="宋体" w:cs="宋体"/>
          <w:b/>
          <w:color w:val="auto"/>
          <w:sz w:val="24"/>
          <w:highlight w:val="none"/>
        </w:rPr>
      </w:pPr>
    </w:p>
    <w:p w14:paraId="762CEEB8">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2E977E5D">
      <w:pPr>
        <w:rPr>
          <w:rFonts w:hint="eastAsia" w:ascii="宋体" w:hAnsi="宋体" w:cs="宋体"/>
          <w:color w:val="auto"/>
          <w:kern w:val="0"/>
          <w:sz w:val="36"/>
          <w:szCs w:val="36"/>
          <w:highlight w:val="none"/>
          <w:vertAlign w:val="baseline"/>
          <w:lang w:val="en-US" w:eastAsia="zh-CN" w:bidi="ar"/>
        </w:rPr>
      </w:pPr>
      <w:r>
        <w:rPr>
          <w:rFonts w:hint="eastAsia" w:ascii="宋体" w:hAnsi="宋体" w:cs="宋体"/>
          <w:color w:val="auto"/>
          <w:kern w:val="0"/>
          <w:sz w:val="36"/>
          <w:szCs w:val="36"/>
          <w:highlight w:val="none"/>
          <w:lang w:val="en-US" w:eastAsia="zh-CN" w:bidi="ar"/>
        </w:rPr>
        <w:t>附件1：</w:t>
      </w:r>
      <w:r>
        <w:rPr>
          <w:rFonts w:hint="eastAsia" w:ascii="宋体" w:hAnsi="宋体" w:eastAsia="宋体" w:cs="宋体"/>
          <w:color w:val="auto"/>
          <w:kern w:val="0"/>
          <w:sz w:val="36"/>
          <w:szCs w:val="36"/>
          <w:highlight w:val="none"/>
          <w:vertAlign w:val="baseline"/>
          <w:lang w:val="en-US" w:eastAsia="zh-CN" w:bidi="ar"/>
        </w:rPr>
        <w:t>资源计划系统</w:t>
      </w:r>
      <w:r>
        <w:rPr>
          <w:rFonts w:hint="eastAsia" w:ascii="宋体" w:hAnsi="宋体" w:cs="宋体"/>
          <w:color w:val="auto"/>
          <w:kern w:val="0"/>
          <w:sz w:val="36"/>
          <w:szCs w:val="36"/>
          <w:highlight w:val="none"/>
          <w:vertAlign w:val="baseline"/>
          <w:lang w:val="en-US" w:eastAsia="zh-CN" w:bidi="ar"/>
        </w:rPr>
        <w:t>参数要求</w:t>
      </w:r>
    </w:p>
    <w:p w14:paraId="45BEEC5E">
      <w:pPr>
        <w:rPr>
          <w:rFonts w:hint="eastAsia" w:ascii="宋体" w:hAnsi="宋体" w:cs="宋体"/>
          <w:color w:val="auto"/>
          <w:kern w:val="0"/>
          <w:sz w:val="36"/>
          <w:szCs w:val="36"/>
          <w:highlight w:val="none"/>
          <w:vertAlign w:val="baseline"/>
          <w:lang w:val="en-US" w:eastAsia="zh-CN" w:bidi="ar"/>
        </w:rPr>
      </w:pPr>
    </w:p>
    <w:tbl>
      <w:tblPr>
        <w:tblStyle w:val="118"/>
        <w:tblW w:w="95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49"/>
        <w:gridCol w:w="7644"/>
      </w:tblGrid>
      <w:tr w14:paraId="11E6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02E729B">
            <w:pPr>
              <w:pStyle w:val="132"/>
              <w:keepNext w:val="0"/>
              <w:keepLines w:val="0"/>
              <w:pageBreakBefore w:val="0"/>
              <w:widowControl/>
              <w:kinsoku w:val="0"/>
              <w:wordWrap/>
              <w:overflowPunct/>
              <w:topLinePunct w:val="0"/>
              <w:autoSpaceDE w:val="0"/>
              <w:autoSpaceDN w:val="0"/>
              <w:bidi w:val="0"/>
              <w:adjustRightInd w:val="0"/>
              <w:snapToGrid w:val="0"/>
              <w:spacing w:before="71" w:line="400" w:lineRule="exact"/>
              <w:ind w:left="88"/>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模块</w:t>
            </w:r>
          </w:p>
        </w:tc>
        <w:tc>
          <w:tcPr>
            <w:tcW w:w="7644" w:type="dxa"/>
            <w:vAlign w:val="top"/>
          </w:tcPr>
          <w:p w14:paraId="627A6A7C">
            <w:pPr>
              <w:pStyle w:val="132"/>
              <w:keepNext w:val="0"/>
              <w:keepLines w:val="0"/>
              <w:pageBreakBefore w:val="0"/>
              <w:widowControl/>
              <w:kinsoku w:val="0"/>
              <w:wordWrap/>
              <w:overflowPunct/>
              <w:topLinePunct w:val="0"/>
              <w:autoSpaceDE w:val="0"/>
              <w:autoSpaceDN w:val="0"/>
              <w:bidi w:val="0"/>
              <w:adjustRightInd w:val="0"/>
              <w:snapToGrid w:val="0"/>
              <w:spacing w:before="72" w:line="400" w:lineRule="exact"/>
              <w:ind w:left="95"/>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功能描述</w:t>
            </w:r>
          </w:p>
        </w:tc>
      </w:tr>
      <w:tr w14:paraId="76EE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restart"/>
            <w:tcBorders>
              <w:bottom w:val="nil"/>
            </w:tcBorders>
            <w:vAlign w:val="top"/>
          </w:tcPr>
          <w:p w14:paraId="71B6B46F">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总体要求</w:t>
            </w:r>
          </w:p>
        </w:tc>
        <w:tc>
          <w:tcPr>
            <w:tcW w:w="7644" w:type="dxa"/>
            <w:vAlign w:val="top"/>
          </w:tcPr>
          <w:p w14:paraId="15C9853A">
            <w:pPr>
              <w:pStyle w:val="132"/>
              <w:keepNext w:val="0"/>
              <w:keepLines w:val="0"/>
              <w:pageBreakBefore w:val="0"/>
              <w:widowControl/>
              <w:kinsoku w:val="0"/>
              <w:wordWrap/>
              <w:overflowPunct/>
              <w:topLinePunct w:val="0"/>
              <w:autoSpaceDE w:val="0"/>
              <w:autoSpaceDN w:val="0"/>
              <w:bidi w:val="0"/>
              <w:adjustRightInd w:val="0"/>
              <w:snapToGrid w:val="0"/>
              <w:spacing w:before="20"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eastAsia="zh-CN"/>
              </w:rPr>
              <w:t>1）</w:t>
            </w:r>
            <w:r>
              <w:rPr>
                <w:rFonts w:hint="eastAsia" w:ascii="宋体" w:hAnsi="宋体" w:eastAsia="宋体" w:cs="宋体"/>
                <w:b w:val="0"/>
                <w:bCs w:val="0"/>
                <w:color w:val="auto"/>
                <w:spacing w:val="-4"/>
                <w:sz w:val="21"/>
                <w:szCs w:val="21"/>
                <w:highlight w:val="none"/>
              </w:rPr>
              <w:t>系统要以医疗业务工作及排班合理性、稳定性为基础，兼顾临床科室需求与医院整体管理规划两条主线，满足医院日常医疗服务运</w:t>
            </w:r>
            <w:r>
              <w:rPr>
                <w:rFonts w:hint="eastAsia" w:ascii="宋体" w:hAnsi="宋体" w:eastAsia="宋体" w:cs="宋体"/>
                <w:b w:val="0"/>
                <w:bCs w:val="0"/>
                <w:color w:val="auto"/>
                <w:spacing w:val="17"/>
                <w:sz w:val="21"/>
                <w:szCs w:val="21"/>
                <w:highlight w:val="none"/>
              </w:rPr>
              <w:t>转要求。</w:t>
            </w:r>
          </w:p>
        </w:tc>
      </w:tr>
      <w:tr w14:paraId="3EC6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4E87F1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078DAF7D">
            <w:pPr>
              <w:pStyle w:val="132"/>
              <w:keepNext w:val="0"/>
              <w:keepLines w:val="0"/>
              <w:pageBreakBefore w:val="0"/>
              <w:widowControl/>
              <w:kinsoku w:val="0"/>
              <w:wordWrap/>
              <w:overflowPunct/>
              <w:topLinePunct w:val="0"/>
              <w:autoSpaceDE w:val="0"/>
              <w:autoSpaceDN w:val="0"/>
              <w:bidi w:val="0"/>
              <w:adjustRightInd w:val="0"/>
              <w:snapToGrid w:val="0"/>
              <w:spacing w:before="20"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eastAsia="zh-CN"/>
              </w:rPr>
              <w:t>2）</w:t>
            </w:r>
            <w:r>
              <w:rPr>
                <w:rFonts w:hint="eastAsia" w:ascii="宋体" w:hAnsi="宋体" w:eastAsia="宋体" w:cs="宋体"/>
                <w:b w:val="0"/>
                <w:bCs w:val="0"/>
                <w:color w:val="auto"/>
                <w:spacing w:val="-4"/>
                <w:sz w:val="21"/>
                <w:szCs w:val="21"/>
                <w:highlight w:val="none"/>
              </w:rPr>
              <w:t>拥有灵活的排班规则设置模块，可根据不同业务单元需要维护排班模板，同时具备应急排班预案功能，在突发医疗状况下能迅速响</w:t>
            </w:r>
            <w:r>
              <w:rPr>
                <w:rFonts w:hint="eastAsia" w:ascii="宋体" w:hAnsi="宋体" w:eastAsia="宋体" w:cs="宋体"/>
                <w:b w:val="0"/>
                <w:bCs w:val="0"/>
                <w:color w:val="auto"/>
                <w:spacing w:val="3"/>
                <w:sz w:val="21"/>
                <w:szCs w:val="21"/>
                <w:highlight w:val="none"/>
              </w:rPr>
              <w:t>应，保障医疗服务不间断。</w:t>
            </w:r>
          </w:p>
        </w:tc>
      </w:tr>
      <w:tr w14:paraId="1ACD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5C9B18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2EFF75F5">
            <w:pPr>
              <w:pStyle w:val="132"/>
              <w:keepNext w:val="0"/>
              <w:keepLines w:val="0"/>
              <w:pageBreakBefore w:val="0"/>
              <w:widowControl/>
              <w:kinsoku w:val="0"/>
              <w:wordWrap/>
              <w:overflowPunct/>
              <w:topLinePunct w:val="0"/>
              <w:autoSpaceDE w:val="0"/>
              <w:autoSpaceDN w:val="0"/>
              <w:bidi w:val="0"/>
              <w:adjustRightInd w:val="0"/>
              <w:snapToGrid w:val="0"/>
              <w:spacing w:before="23"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lang w:val="en-US" w:eastAsia="zh-CN"/>
              </w:rPr>
              <w:t>3</w:t>
            </w:r>
            <w:r>
              <w:rPr>
                <w:rFonts w:hint="eastAsia" w:ascii="宋体" w:hAnsi="宋体" w:eastAsia="宋体" w:cs="宋体"/>
                <w:b w:val="0"/>
                <w:bCs w:val="0"/>
                <w:color w:val="auto"/>
                <w:spacing w:val="-7"/>
                <w:sz w:val="21"/>
                <w:szCs w:val="21"/>
                <w:highlight w:val="none"/>
                <w:lang w:eastAsia="zh-CN"/>
              </w:rPr>
              <w:t>）</w:t>
            </w:r>
            <w:r>
              <w:rPr>
                <w:rFonts w:hint="eastAsia" w:ascii="宋体" w:hAnsi="宋体" w:eastAsia="宋体" w:cs="宋体"/>
                <w:b w:val="0"/>
                <w:bCs w:val="0"/>
                <w:color w:val="auto"/>
                <w:spacing w:val="-7"/>
                <w:sz w:val="21"/>
                <w:szCs w:val="21"/>
                <w:highlight w:val="none"/>
              </w:rPr>
              <w:t>通过智能化算法与可视化操作界面实现全院医生排班</w:t>
            </w:r>
            <w:r>
              <w:rPr>
                <w:rFonts w:hint="eastAsia" w:ascii="宋体" w:hAnsi="宋体" w:eastAsia="宋体" w:cs="宋体"/>
                <w:b w:val="0"/>
                <w:bCs w:val="0"/>
                <w:color w:val="auto"/>
                <w:spacing w:val="-8"/>
                <w:sz w:val="21"/>
                <w:szCs w:val="21"/>
                <w:highlight w:val="none"/>
              </w:rPr>
              <w:t>工作的高效</w:t>
            </w:r>
            <w:r>
              <w:rPr>
                <w:rFonts w:hint="eastAsia" w:ascii="宋体" w:hAnsi="宋体" w:eastAsia="宋体" w:cs="宋体"/>
                <w:b w:val="0"/>
                <w:bCs w:val="0"/>
                <w:color w:val="auto"/>
                <w:spacing w:val="-12"/>
                <w:sz w:val="21"/>
                <w:szCs w:val="21"/>
                <w:highlight w:val="none"/>
              </w:rPr>
              <w:t>化与精准化，依据医生专业技能、工作经验、既往排班记录等信息，</w:t>
            </w:r>
            <w:r>
              <w:rPr>
                <w:rFonts w:hint="eastAsia" w:ascii="宋体" w:hAnsi="宋体" w:eastAsia="宋体" w:cs="宋体"/>
                <w:b w:val="0"/>
                <w:bCs w:val="0"/>
                <w:color w:val="auto"/>
                <w:spacing w:val="-7"/>
                <w:sz w:val="21"/>
                <w:szCs w:val="21"/>
                <w:highlight w:val="none"/>
              </w:rPr>
              <w:t>确保排班结果科学合理，减少因排班不当导致的医疗</w:t>
            </w:r>
            <w:r>
              <w:rPr>
                <w:rFonts w:hint="eastAsia" w:ascii="宋体" w:hAnsi="宋体" w:eastAsia="宋体" w:cs="宋体"/>
                <w:b w:val="0"/>
                <w:bCs w:val="0"/>
                <w:color w:val="auto"/>
                <w:spacing w:val="-8"/>
                <w:sz w:val="21"/>
                <w:szCs w:val="21"/>
                <w:highlight w:val="none"/>
              </w:rPr>
              <w:t>服务效率降低</w:t>
            </w:r>
            <w:r>
              <w:rPr>
                <w:rFonts w:hint="eastAsia" w:ascii="宋体" w:hAnsi="宋体" w:eastAsia="宋体" w:cs="宋体"/>
                <w:b w:val="0"/>
                <w:bCs w:val="0"/>
                <w:color w:val="auto"/>
                <w:spacing w:val="1"/>
                <w:sz w:val="21"/>
                <w:szCs w:val="21"/>
                <w:highlight w:val="none"/>
              </w:rPr>
              <w:t>问题，提升医疗团队协作流畅性。</w:t>
            </w:r>
          </w:p>
        </w:tc>
      </w:tr>
      <w:tr w14:paraId="1AE4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bottom w:val="nil"/>
            </w:tcBorders>
            <w:vAlign w:val="top"/>
          </w:tcPr>
          <w:p w14:paraId="3E1A33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79D43A9F">
            <w:pPr>
              <w:pStyle w:val="132"/>
              <w:keepNext w:val="0"/>
              <w:keepLines w:val="0"/>
              <w:pageBreakBefore w:val="0"/>
              <w:widowControl/>
              <w:kinsoku w:val="0"/>
              <w:wordWrap/>
              <w:overflowPunct/>
              <w:topLinePunct w:val="0"/>
              <w:autoSpaceDE w:val="0"/>
              <w:autoSpaceDN w:val="0"/>
              <w:bidi w:val="0"/>
              <w:adjustRightInd w:val="0"/>
              <w:snapToGrid w:val="0"/>
              <w:spacing w:before="13" w:line="400" w:lineRule="exact"/>
              <w:ind w:left="12"/>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val="en-US" w:eastAsia="zh-CN"/>
              </w:rPr>
              <w:t>4</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rPr>
              <w:t>基于医疗行业最佳实践与医院实际运营数据构建的排班优化决策系统，满足《医院医疗质量管理规范》中对人力资源合理配置的要</w:t>
            </w:r>
            <w:r>
              <w:rPr>
                <w:rFonts w:hint="eastAsia" w:ascii="宋体" w:hAnsi="宋体" w:eastAsia="宋体" w:cs="宋体"/>
                <w:b w:val="0"/>
                <w:bCs w:val="0"/>
                <w:color w:val="auto"/>
                <w:spacing w:val="3"/>
                <w:sz w:val="21"/>
                <w:szCs w:val="21"/>
                <w:highlight w:val="none"/>
              </w:rPr>
              <w:t>求，助力医院提升整体医疗服务质量与管理效能。</w:t>
            </w:r>
          </w:p>
        </w:tc>
      </w:tr>
      <w:tr w14:paraId="527E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Merge w:val="continue"/>
            <w:tcBorders>
              <w:top w:val="nil"/>
            </w:tcBorders>
            <w:vAlign w:val="top"/>
          </w:tcPr>
          <w:p w14:paraId="51A739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vAlign w:val="top"/>
          </w:tcPr>
          <w:p w14:paraId="5C2C1A5D">
            <w:pPr>
              <w:pStyle w:val="132"/>
              <w:keepNext w:val="0"/>
              <w:keepLines w:val="0"/>
              <w:pageBreakBefore w:val="0"/>
              <w:widowControl/>
              <w:kinsoku w:val="0"/>
              <w:wordWrap/>
              <w:overflowPunct/>
              <w:topLinePunct w:val="0"/>
              <w:autoSpaceDE w:val="0"/>
              <w:autoSpaceDN w:val="0"/>
              <w:bidi w:val="0"/>
              <w:adjustRightInd w:val="0"/>
              <w:snapToGrid w:val="0"/>
              <w:spacing w:before="12" w:line="400" w:lineRule="exact"/>
              <w:ind w:left="101" w:hanging="8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lang w:val="en-US" w:eastAsia="zh-CN"/>
              </w:rPr>
              <w:t>5</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rPr>
              <w:t>系统运行环境适配医院现有信息化基础架构，兼容常用操作系统</w:t>
            </w:r>
            <w:r>
              <w:rPr>
                <w:rFonts w:hint="eastAsia" w:ascii="宋体" w:hAnsi="宋体" w:eastAsia="宋体" w:cs="宋体"/>
                <w:b w:val="0"/>
                <w:bCs w:val="0"/>
                <w:color w:val="auto"/>
                <w:spacing w:val="13"/>
                <w:sz w:val="21"/>
                <w:szCs w:val="21"/>
                <w:highlight w:val="none"/>
                <w:lang w:eastAsia="zh-CN"/>
              </w:rPr>
              <w:t>（</w:t>
            </w:r>
            <w:r>
              <w:rPr>
                <w:rFonts w:hint="eastAsia" w:ascii="宋体" w:hAnsi="宋体" w:eastAsia="宋体" w:cs="宋体"/>
                <w:b w:val="0"/>
                <w:bCs w:val="0"/>
                <w:color w:val="auto"/>
                <w:spacing w:val="1"/>
                <w:sz w:val="21"/>
                <w:szCs w:val="21"/>
                <w:highlight w:val="none"/>
              </w:rPr>
              <w:t>如</w:t>
            </w:r>
            <w:r>
              <w:rPr>
                <w:rFonts w:hint="eastAsia" w:ascii="宋体" w:hAnsi="宋体" w:eastAsia="宋体" w:cs="宋体"/>
                <w:b w:val="0"/>
                <w:bCs w:val="0"/>
                <w:color w:val="auto"/>
                <w:sz w:val="21"/>
                <w:szCs w:val="21"/>
                <w:highlight w:val="none"/>
              </w:rPr>
              <w:t>Windows</w:t>
            </w:r>
            <w:r>
              <w:rPr>
                <w:rFonts w:hint="eastAsia" w:ascii="宋体" w:hAnsi="宋体" w:eastAsia="宋体" w:cs="宋体"/>
                <w:b w:val="0"/>
                <w:bCs w:val="0"/>
                <w:color w:val="auto"/>
                <w:spacing w:val="1"/>
                <w:sz w:val="21"/>
                <w:szCs w:val="21"/>
                <w:highlight w:val="none"/>
              </w:rPr>
              <w:t>、</w:t>
            </w:r>
            <w:r>
              <w:rPr>
                <w:rFonts w:hint="eastAsia" w:ascii="宋体" w:hAnsi="宋体" w:eastAsia="宋体" w:cs="宋体"/>
                <w:b w:val="0"/>
                <w:bCs w:val="0"/>
                <w:color w:val="auto"/>
                <w:sz w:val="21"/>
                <w:szCs w:val="21"/>
                <w:highlight w:val="none"/>
              </w:rPr>
              <w:t>Linux</w:t>
            </w:r>
            <w:r>
              <w:rPr>
                <w:rFonts w:hint="eastAsia" w:ascii="宋体" w:hAnsi="宋体" w:eastAsia="宋体" w:cs="宋体"/>
                <w:b w:val="0"/>
                <w:bCs w:val="0"/>
                <w:color w:val="auto"/>
                <w:spacing w:val="1"/>
                <w:sz w:val="21"/>
                <w:szCs w:val="21"/>
                <w:highlight w:val="none"/>
              </w:rPr>
              <w:t>等</w:t>
            </w:r>
            <w:r>
              <w:rPr>
                <w:rFonts w:hint="eastAsia" w:ascii="宋体" w:hAnsi="宋体" w:eastAsia="宋体" w:cs="宋体"/>
                <w:b w:val="0"/>
                <w:bCs w:val="0"/>
                <w:color w:val="auto"/>
                <w:spacing w:val="1"/>
                <w:sz w:val="21"/>
                <w:szCs w:val="21"/>
                <w:highlight w:val="none"/>
                <w:lang w:eastAsia="zh-CN"/>
              </w:rPr>
              <w:t>），</w:t>
            </w:r>
            <w:r>
              <w:rPr>
                <w:rFonts w:hint="eastAsia" w:ascii="宋体" w:hAnsi="宋体" w:eastAsia="宋体" w:cs="宋体"/>
                <w:b w:val="0"/>
                <w:bCs w:val="0"/>
                <w:color w:val="auto"/>
                <w:spacing w:val="1"/>
                <w:sz w:val="21"/>
                <w:szCs w:val="21"/>
                <w:highlight w:val="none"/>
              </w:rPr>
              <w:t>同时确保在移动端设备上运行，方便医</w:t>
            </w:r>
            <w:r>
              <w:rPr>
                <w:rFonts w:hint="eastAsia" w:ascii="宋体" w:hAnsi="宋体" w:eastAsia="宋体" w:cs="宋体"/>
                <w:b w:val="0"/>
                <w:bCs w:val="0"/>
                <w:color w:val="auto"/>
                <w:spacing w:val="-1"/>
                <w:sz w:val="21"/>
                <w:szCs w:val="21"/>
                <w:highlight w:val="none"/>
              </w:rPr>
              <w:t>院管理人员及科室负责人便捷操作。</w:t>
            </w:r>
          </w:p>
        </w:tc>
      </w:tr>
      <w:tr w14:paraId="2F93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tcBorders>
              <w:bottom w:val="nil"/>
            </w:tcBorders>
            <w:vAlign w:val="top"/>
          </w:tcPr>
          <w:p w14:paraId="6C4DB8E5">
            <w:pPr>
              <w:pStyle w:val="132"/>
              <w:keepNext w:val="0"/>
              <w:keepLines w:val="0"/>
              <w:pageBreakBefore w:val="0"/>
              <w:widowControl/>
              <w:kinsoku w:val="0"/>
              <w:wordWrap/>
              <w:overflowPunct/>
              <w:topLinePunct w:val="0"/>
              <w:autoSpaceDE w:val="0"/>
              <w:autoSpaceDN w:val="0"/>
              <w:bidi w:val="0"/>
              <w:adjustRightInd w:val="0"/>
              <w:snapToGrid w:val="0"/>
              <w:spacing w:before="36"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w:t>
            </w:r>
          </w:p>
          <w:p w14:paraId="5F93115E">
            <w:pPr>
              <w:pStyle w:val="132"/>
              <w:keepNext w:val="0"/>
              <w:keepLines w:val="0"/>
              <w:pageBreakBefore w:val="0"/>
              <w:widowControl/>
              <w:kinsoku w:val="0"/>
              <w:wordWrap/>
              <w:overflowPunct/>
              <w:topLinePunct w:val="0"/>
              <w:autoSpaceDE w:val="0"/>
              <w:autoSpaceDN w:val="0"/>
              <w:bidi w:val="0"/>
              <w:adjustRightInd w:val="0"/>
              <w:snapToGrid w:val="0"/>
              <w:spacing w:before="62"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首页</w:t>
            </w:r>
          </w:p>
        </w:tc>
        <w:tc>
          <w:tcPr>
            <w:tcW w:w="1149" w:type="dxa"/>
            <w:vAlign w:val="top"/>
          </w:tcPr>
          <w:p w14:paraId="48067DC2">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排班首页</w:t>
            </w:r>
          </w:p>
        </w:tc>
        <w:tc>
          <w:tcPr>
            <w:tcW w:w="7644" w:type="dxa"/>
            <w:vAlign w:val="top"/>
          </w:tcPr>
          <w:p w14:paraId="10062AD1">
            <w:pPr>
              <w:pStyle w:val="132"/>
              <w:keepNext w:val="0"/>
              <w:keepLines w:val="0"/>
              <w:pageBreakBefore w:val="0"/>
              <w:widowControl/>
              <w:kinsoku w:val="0"/>
              <w:wordWrap/>
              <w:overflowPunct/>
              <w:topLinePunct w:val="0"/>
              <w:autoSpaceDE w:val="0"/>
              <w:autoSpaceDN w:val="0"/>
              <w:bidi w:val="0"/>
              <w:adjustRightInd w:val="0"/>
              <w:snapToGrid w:val="0"/>
              <w:spacing w:before="11" w:line="400" w:lineRule="exact"/>
              <w:ind w:left="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以日历形式展示当前登录用户的排班信息，点</w:t>
            </w:r>
            <w:r>
              <w:rPr>
                <w:rFonts w:hint="eastAsia" w:ascii="宋体" w:hAnsi="宋体" w:eastAsia="宋体" w:cs="宋体"/>
                <w:b w:val="0"/>
                <w:bCs w:val="0"/>
                <w:color w:val="auto"/>
                <w:spacing w:val="-7"/>
                <w:sz w:val="21"/>
                <w:szCs w:val="21"/>
                <w:highlight w:val="none"/>
              </w:rPr>
              <w:t>击对应的排班可以查</w:t>
            </w:r>
            <w:r>
              <w:rPr>
                <w:rFonts w:hint="eastAsia" w:ascii="宋体" w:hAnsi="宋体" w:eastAsia="宋体" w:cs="宋体"/>
                <w:b w:val="0"/>
                <w:bCs w:val="0"/>
                <w:color w:val="auto"/>
                <w:sz w:val="21"/>
                <w:szCs w:val="21"/>
                <w:highlight w:val="none"/>
              </w:rPr>
              <w:t>看排班详情。日历上允许填写个人日程进行登记，并显</w:t>
            </w:r>
            <w:r>
              <w:rPr>
                <w:rFonts w:hint="eastAsia" w:ascii="宋体" w:hAnsi="宋体" w:eastAsia="宋体" w:cs="宋体"/>
                <w:b w:val="0"/>
                <w:bCs w:val="0"/>
                <w:color w:val="auto"/>
                <w:spacing w:val="-1"/>
                <w:sz w:val="21"/>
                <w:szCs w:val="21"/>
                <w:highlight w:val="none"/>
              </w:rPr>
              <w:t>示。</w:t>
            </w:r>
          </w:p>
          <w:p w14:paraId="476F3028">
            <w:pPr>
              <w:pStyle w:val="132"/>
              <w:keepNext w:val="0"/>
              <w:keepLines w:val="0"/>
              <w:pageBreakBefore w:val="0"/>
              <w:widowControl/>
              <w:kinsoku w:val="0"/>
              <w:wordWrap/>
              <w:overflowPunct/>
              <w:topLinePunct w:val="0"/>
              <w:autoSpaceDE w:val="0"/>
              <w:autoSpaceDN w:val="0"/>
              <w:bidi w:val="0"/>
              <w:adjustRightInd w:val="0"/>
              <w:snapToGrid w:val="0"/>
              <w:spacing w:before="81" w:line="400" w:lineRule="exact"/>
              <w:ind w:left="91" w:hanging="7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展示个人待办事项、已处理事项、请假休假汇总信息以及周</w:t>
            </w:r>
            <w:r>
              <w:rPr>
                <w:rFonts w:hint="eastAsia" w:ascii="宋体" w:hAnsi="宋体" w:eastAsia="宋体" w:cs="宋体"/>
                <w:b w:val="0"/>
                <w:bCs w:val="0"/>
                <w:color w:val="auto"/>
                <w:spacing w:val="-7"/>
                <w:sz w:val="21"/>
                <w:szCs w:val="21"/>
                <w:highlight w:val="none"/>
              </w:rPr>
              <w:t>期内工</w:t>
            </w:r>
            <w:r>
              <w:rPr>
                <w:rFonts w:hint="eastAsia" w:ascii="宋体" w:hAnsi="宋体" w:eastAsia="宋体" w:cs="宋体"/>
                <w:b w:val="0"/>
                <w:bCs w:val="0"/>
                <w:color w:val="auto"/>
                <w:spacing w:val="-1"/>
                <w:sz w:val="21"/>
                <w:szCs w:val="21"/>
                <w:highlight w:val="none"/>
              </w:rPr>
              <w:t>时汇总信息。</w:t>
            </w:r>
          </w:p>
        </w:tc>
      </w:tr>
      <w:tr w14:paraId="4E95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tcBorders>
            <w:vAlign w:val="top"/>
          </w:tcPr>
          <w:p w14:paraId="6F5B227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66148CA0">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排班看板</w:t>
            </w:r>
          </w:p>
        </w:tc>
        <w:tc>
          <w:tcPr>
            <w:tcW w:w="7644" w:type="dxa"/>
            <w:vAlign w:val="top"/>
          </w:tcPr>
          <w:p w14:paraId="6270C3D5">
            <w:pPr>
              <w:pStyle w:val="132"/>
              <w:keepNext w:val="0"/>
              <w:keepLines w:val="0"/>
              <w:pageBreakBefore w:val="0"/>
              <w:widowControl/>
              <w:kinsoku w:val="0"/>
              <w:wordWrap/>
              <w:overflowPunct/>
              <w:topLinePunct w:val="0"/>
              <w:autoSpaceDE w:val="0"/>
              <w:autoSpaceDN w:val="0"/>
              <w:bidi w:val="0"/>
              <w:adjustRightInd w:val="0"/>
              <w:snapToGrid w:val="0"/>
              <w:spacing w:before="22"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提供排班管理员查看一定周期内排班的发布情况：包括已发布、应</w:t>
            </w:r>
            <w:r>
              <w:rPr>
                <w:rFonts w:hint="eastAsia" w:ascii="宋体" w:hAnsi="宋体" w:eastAsia="宋体" w:cs="宋体"/>
                <w:b w:val="0"/>
                <w:bCs w:val="0"/>
                <w:color w:val="auto"/>
                <w:spacing w:val="-14"/>
                <w:sz w:val="21"/>
                <w:szCs w:val="21"/>
                <w:highlight w:val="none"/>
              </w:rPr>
              <w:t>发布、延时发布、未发布；周期内考勤信息：白班人次、</w:t>
            </w:r>
            <w:r>
              <w:rPr>
                <w:rFonts w:hint="eastAsia" w:ascii="宋体" w:hAnsi="宋体" w:eastAsia="宋体" w:cs="宋体"/>
                <w:b w:val="0"/>
                <w:bCs w:val="0"/>
                <w:color w:val="auto"/>
                <w:spacing w:val="-15"/>
                <w:sz w:val="21"/>
                <w:szCs w:val="21"/>
                <w:highlight w:val="none"/>
              </w:rPr>
              <w:t>夜班人次；</w:t>
            </w:r>
            <w:r>
              <w:rPr>
                <w:rFonts w:hint="eastAsia" w:ascii="宋体" w:hAnsi="宋体" w:eastAsia="宋体" w:cs="宋体"/>
                <w:b w:val="0"/>
                <w:bCs w:val="0"/>
                <w:color w:val="auto"/>
                <w:spacing w:val="-10"/>
                <w:sz w:val="21"/>
                <w:szCs w:val="21"/>
                <w:highlight w:val="none"/>
              </w:rPr>
              <w:t>请假情况：各请假类型天数；夜班情况：各年龄段夜班人次；岗位</w:t>
            </w:r>
            <w:r>
              <w:rPr>
                <w:rFonts w:hint="eastAsia" w:ascii="宋体" w:hAnsi="宋体" w:eastAsia="宋体" w:cs="宋体"/>
                <w:b w:val="0"/>
                <w:bCs w:val="0"/>
                <w:color w:val="auto"/>
                <w:spacing w:val="-6"/>
                <w:sz w:val="21"/>
                <w:szCs w:val="21"/>
                <w:highlight w:val="none"/>
              </w:rPr>
              <w:t>情况：各排班岗排班数量；工时情况：总工时</w:t>
            </w:r>
            <w:r>
              <w:rPr>
                <w:rFonts w:hint="eastAsia" w:ascii="宋体" w:hAnsi="宋体" w:eastAsia="宋体" w:cs="宋体"/>
                <w:b w:val="0"/>
                <w:bCs w:val="0"/>
                <w:color w:val="auto"/>
                <w:spacing w:val="-7"/>
                <w:sz w:val="21"/>
                <w:szCs w:val="21"/>
                <w:highlight w:val="none"/>
              </w:rPr>
              <w:t>、人均工时、人均工</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pacing w:val="-1"/>
                <w:sz w:val="21"/>
                <w:szCs w:val="21"/>
                <w:highlight w:val="none"/>
              </w:rPr>
              <w:t>时中位数。</w:t>
            </w:r>
          </w:p>
        </w:tc>
      </w:tr>
      <w:tr w14:paraId="280D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vAlign w:val="top"/>
          </w:tcPr>
          <w:p w14:paraId="19E42A79">
            <w:pPr>
              <w:pStyle w:val="132"/>
              <w:keepNext w:val="0"/>
              <w:keepLines w:val="0"/>
              <w:pageBreakBefore w:val="0"/>
              <w:widowControl/>
              <w:kinsoku w:val="0"/>
              <w:wordWrap/>
              <w:overflowPunct/>
              <w:topLinePunct w:val="0"/>
              <w:autoSpaceDE w:val="0"/>
              <w:autoSpaceDN w:val="0"/>
              <w:bidi w:val="0"/>
              <w:adjustRightInd w:val="0"/>
              <w:snapToGrid w:val="0"/>
              <w:spacing w:before="30"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排班</w:t>
            </w:r>
          </w:p>
        </w:tc>
        <w:tc>
          <w:tcPr>
            <w:tcW w:w="1149" w:type="dxa"/>
            <w:vAlign w:val="top"/>
          </w:tcPr>
          <w:p w14:paraId="5E0EC570">
            <w:pPr>
              <w:pStyle w:val="132"/>
              <w:keepNext w:val="0"/>
              <w:keepLines w:val="0"/>
              <w:pageBreakBefore w:val="0"/>
              <w:widowControl/>
              <w:kinsoku w:val="0"/>
              <w:wordWrap/>
              <w:overflowPunct/>
              <w:topLinePunct w:val="0"/>
              <w:autoSpaceDE w:val="0"/>
              <w:autoSpaceDN w:val="0"/>
              <w:bidi w:val="0"/>
              <w:adjustRightInd w:val="0"/>
              <w:snapToGrid w:val="0"/>
              <w:spacing w:before="18" w:line="400" w:lineRule="exact"/>
              <w:ind w:left="9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排班操作</w:t>
            </w:r>
          </w:p>
        </w:tc>
        <w:tc>
          <w:tcPr>
            <w:tcW w:w="7644" w:type="dxa"/>
            <w:vAlign w:val="top"/>
          </w:tcPr>
          <w:p w14:paraId="505B44DF">
            <w:pPr>
              <w:pStyle w:val="132"/>
              <w:keepNext w:val="0"/>
              <w:keepLines w:val="0"/>
              <w:pageBreakBefore w:val="0"/>
              <w:widowControl/>
              <w:kinsoku w:val="0"/>
              <w:wordWrap/>
              <w:overflowPunct/>
              <w:topLinePunct w:val="0"/>
              <w:autoSpaceDE w:val="0"/>
              <w:autoSpaceDN w:val="0"/>
              <w:bidi w:val="0"/>
              <w:adjustRightInd w:val="0"/>
              <w:snapToGrid w:val="0"/>
              <w:spacing w:before="13" w:line="400" w:lineRule="exact"/>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快速排班：排班右侧展示快排面板，支持点击</w:t>
            </w:r>
            <w:r>
              <w:rPr>
                <w:rFonts w:hint="eastAsia" w:ascii="宋体" w:hAnsi="宋体" w:eastAsia="宋体" w:cs="宋体"/>
                <w:b w:val="0"/>
                <w:bCs w:val="0"/>
                <w:color w:val="auto"/>
                <w:spacing w:val="-7"/>
                <w:sz w:val="21"/>
                <w:szCs w:val="21"/>
                <w:highlight w:val="none"/>
              </w:rPr>
              <w:t>多个人员并直接点击</w:t>
            </w:r>
            <w:r>
              <w:rPr>
                <w:rFonts w:hint="eastAsia" w:ascii="宋体" w:hAnsi="宋体" w:eastAsia="宋体" w:cs="宋体"/>
                <w:b w:val="0"/>
                <w:bCs w:val="0"/>
                <w:color w:val="auto"/>
                <w:sz w:val="21"/>
                <w:szCs w:val="21"/>
                <w:highlight w:val="none"/>
              </w:rPr>
              <w:t>单元进行快速排班。</w:t>
            </w:r>
          </w:p>
          <w:p w14:paraId="18282E0C">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4"/>
                <w:sz w:val="21"/>
                <w:szCs w:val="21"/>
                <w:highlight w:val="none"/>
              </w:rPr>
              <w:t>历史排班：可将复制任意周期排班数据复制到当前周期并</w:t>
            </w:r>
            <w:r>
              <w:rPr>
                <w:rFonts w:hint="eastAsia" w:ascii="宋体" w:hAnsi="宋体" w:eastAsia="宋体" w:cs="宋体"/>
                <w:b w:val="0"/>
                <w:bCs w:val="0"/>
                <w:color w:val="auto"/>
                <w:spacing w:val="-15"/>
                <w:sz w:val="21"/>
                <w:szCs w:val="21"/>
                <w:highlight w:val="none"/>
              </w:rPr>
              <w:t>调整使用。</w:t>
            </w:r>
            <w:r>
              <w:rPr>
                <w:rFonts w:hint="eastAsia" w:ascii="宋体" w:hAnsi="宋体" w:eastAsia="宋体" w:cs="宋体"/>
                <w:b w:val="0"/>
                <w:bCs w:val="0"/>
                <w:color w:val="auto"/>
                <w:sz w:val="21"/>
                <w:szCs w:val="21"/>
                <w:highlight w:val="none"/>
              </w:rPr>
              <w:t xml:space="preserve"> </w:t>
            </w:r>
          </w:p>
          <w:p w14:paraId="3F19D8CD">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循环排班：按照排班约束中设置</w:t>
            </w:r>
            <w:r>
              <w:rPr>
                <w:rFonts w:hint="eastAsia" w:ascii="宋体" w:hAnsi="宋体" w:eastAsia="宋体" w:cs="宋体"/>
                <w:b w:val="0"/>
                <w:bCs w:val="0"/>
                <w:color w:val="auto"/>
                <w:spacing w:val="-9"/>
                <w:sz w:val="21"/>
                <w:szCs w:val="21"/>
                <w:highlight w:val="none"/>
                <w:lang w:eastAsia="zh-CN"/>
              </w:rPr>
              <w:t>的循</w:t>
            </w:r>
            <w:r>
              <w:rPr>
                <w:rFonts w:hint="eastAsia" w:ascii="宋体" w:hAnsi="宋体" w:eastAsia="宋体" w:cs="宋体"/>
                <w:b w:val="0"/>
                <w:bCs w:val="0"/>
                <w:color w:val="auto"/>
                <w:spacing w:val="-9"/>
                <w:sz w:val="21"/>
                <w:szCs w:val="21"/>
                <w:highlight w:val="none"/>
              </w:rPr>
              <w:t>环规则及排班岗人员上限下限自</w:t>
            </w:r>
            <w:r>
              <w:rPr>
                <w:rFonts w:hint="eastAsia" w:ascii="宋体" w:hAnsi="宋体" w:eastAsia="宋体" w:cs="宋体"/>
                <w:b w:val="0"/>
                <w:bCs w:val="0"/>
                <w:color w:val="auto"/>
                <w:sz w:val="21"/>
                <w:szCs w:val="21"/>
                <w:highlight w:val="none"/>
              </w:rPr>
              <w:t>动安排人员。</w:t>
            </w:r>
          </w:p>
          <w:p w14:paraId="01CE693A">
            <w:pPr>
              <w:pStyle w:val="132"/>
              <w:keepNext w:val="0"/>
              <w:keepLines w:val="0"/>
              <w:pageBreakBefore w:val="0"/>
              <w:widowControl/>
              <w:kinsoku w:val="0"/>
              <w:wordWrap/>
              <w:overflowPunct/>
              <w:topLinePunct w:val="0"/>
              <w:autoSpaceDE w:val="0"/>
              <w:autoSpaceDN w:val="0"/>
              <w:bidi w:val="0"/>
              <w:adjustRightInd w:val="0"/>
              <w:snapToGrid w:val="0"/>
              <w:spacing w:before="58" w:line="400" w:lineRule="exact"/>
              <w:ind w:left="15"/>
              <w:textAlignment w:val="baseline"/>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自动排班：依据岗位要求、排班约束等设置实现一键自动排班功能。</w:t>
            </w:r>
          </w:p>
          <w:p w14:paraId="69E2D783">
            <w:pPr>
              <w:pStyle w:val="132"/>
              <w:keepNext w:val="0"/>
              <w:keepLines w:val="0"/>
              <w:pageBreakBefore w:val="0"/>
              <w:widowControl/>
              <w:kinsoku w:val="0"/>
              <w:wordWrap/>
              <w:overflowPunct/>
              <w:topLinePunct w:val="0"/>
              <w:autoSpaceDE w:val="0"/>
              <w:autoSpaceDN w:val="0"/>
              <w:bidi w:val="0"/>
              <w:adjustRightInd w:val="0"/>
              <w:snapToGrid w:val="0"/>
              <w:spacing w:before="58"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打印导出：支持各类型排班分别导出及总体合并打印导出。</w:t>
            </w:r>
          </w:p>
        </w:tc>
      </w:tr>
      <w:tr w14:paraId="1316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29EAD05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0260272">
            <w:pPr>
              <w:pStyle w:val="132"/>
              <w:keepNext w:val="0"/>
              <w:keepLines w:val="0"/>
              <w:pageBreakBefore w:val="0"/>
              <w:widowControl/>
              <w:kinsoku w:val="0"/>
              <w:wordWrap/>
              <w:overflowPunct/>
              <w:topLinePunct w:val="0"/>
              <w:autoSpaceDE w:val="0"/>
              <w:autoSpaceDN w:val="0"/>
              <w:bidi w:val="0"/>
              <w:adjustRightInd w:val="0"/>
              <w:snapToGrid w:val="0"/>
              <w:spacing w:before="68"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文本类型</w:t>
            </w:r>
          </w:p>
        </w:tc>
        <w:tc>
          <w:tcPr>
            <w:tcW w:w="7644" w:type="dxa"/>
            <w:vAlign w:val="top"/>
          </w:tcPr>
          <w:p w14:paraId="035416B8">
            <w:pPr>
              <w:pStyle w:val="132"/>
              <w:keepNext w:val="0"/>
              <w:keepLines w:val="0"/>
              <w:pageBreakBefore w:val="0"/>
              <w:widowControl/>
              <w:kinsoku w:val="0"/>
              <w:wordWrap/>
              <w:overflowPunct/>
              <w:topLinePunct w:val="0"/>
              <w:autoSpaceDE w:val="0"/>
              <w:autoSpaceDN w:val="0"/>
              <w:bidi w:val="0"/>
              <w:adjustRightInd w:val="0"/>
              <w:snapToGrid w:val="0"/>
              <w:spacing w:before="68"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展示为富文本编辑器，可自定义录入文本内容并编辑样式。</w:t>
            </w:r>
          </w:p>
        </w:tc>
      </w:tr>
      <w:tr w14:paraId="7F31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14FA73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D69EED8">
            <w:pPr>
              <w:pStyle w:val="132"/>
              <w:keepNext w:val="0"/>
              <w:keepLines w:val="0"/>
              <w:pageBreakBefore w:val="0"/>
              <w:widowControl/>
              <w:kinsoku w:val="0"/>
              <w:wordWrap/>
              <w:overflowPunct/>
              <w:topLinePunct w:val="0"/>
              <w:autoSpaceDE w:val="0"/>
              <w:autoSpaceDN w:val="0"/>
              <w:bidi w:val="0"/>
              <w:adjustRightInd w:val="0"/>
              <w:snapToGrid w:val="0"/>
              <w:spacing w:before="50"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日期类型</w:t>
            </w:r>
          </w:p>
        </w:tc>
        <w:tc>
          <w:tcPr>
            <w:tcW w:w="7644" w:type="dxa"/>
            <w:vAlign w:val="top"/>
          </w:tcPr>
          <w:p w14:paraId="32FFE151">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92" w:right="99"/>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提供门诊、会诊、值班等排班方式。支持按星期、按日历、按日期排班，点击日期与排班岗交叉单元格进行人员的安排，人员支持按</w:t>
            </w:r>
            <w:r>
              <w:rPr>
                <w:rFonts w:hint="eastAsia" w:ascii="宋体" w:hAnsi="宋体" w:eastAsia="宋体" w:cs="宋体"/>
                <w:b w:val="0"/>
                <w:bCs w:val="0"/>
                <w:color w:val="auto"/>
                <w:spacing w:val="1"/>
                <w:sz w:val="21"/>
                <w:szCs w:val="21"/>
                <w:highlight w:val="none"/>
              </w:rPr>
              <w:t>部门、职称、工号进行检索。</w:t>
            </w:r>
          </w:p>
        </w:tc>
      </w:tr>
      <w:tr w14:paraId="2B72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3A9923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FC7F929">
            <w:pPr>
              <w:pStyle w:val="132"/>
              <w:keepNext w:val="0"/>
              <w:keepLines w:val="0"/>
              <w:pageBreakBefore w:val="0"/>
              <w:widowControl/>
              <w:kinsoku w:val="0"/>
              <w:wordWrap/>
              <w:overflowPunct/>
              <w:topLinePunct w:val="0"/>
              <w:autoSpaceDE w:val="0"/>
              <w:autoSpaceDN w:val="0"/>
              <w:bidi w:val="0"/>
              <w:adjustRightInd w:val="0"/>
              <w:snapToGrid w:val="0"/>
              <w:spacing w:before="61"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病区类型</w:t>
            </w:r>
          </w:p>
        </w:tc>
        <w:tc>
          <w:tcPr>
            <w:tcW w:w="7644" w:type="dxa"/>
            <w:vAlign w:val="top"/>
          </w:tcPr>
          <w:p w14:paraId="40B5689A">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102" w:right="88"/>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提供病房排班，按不同病区及医疗组安排各种组长、人员，并维护各组管辖床位、患者数。</w:t>
            </w:r>
          </w:p>
        </w:tc>
      </w:tr>
      <w:tr w14:paraId="7312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73F460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2FC94E3">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事项类型</w:t>
            </w:r>
          </w:p>
        </w:tc>
        <w:tc>
          <w:tcPr>
            <w:tcW w:w="7644" w:type="dxa"/>
            <w:vAlign w:val="top"/>
          </w:tcPr>
          <w:p w14:paraId="321FC787">
            <w:pPr>
              <w:pStyle w:val="132"/>
              <w:keepNext w:val="0"/>
              <w:keepLines w:val="0"/>
              <w:pageBreakBefore w:val="0"/>
              <w:widowControl/>
              <w:kinsoku w:val="0"/>
              <w:wordWrap/>
              <w:overflowPunct/>
              <w:topLinePunct w:val="0"/>
              <w:autoSpaceDE w:val="0"/>
              <w:autoSpaceDN w:val="0"/>
              <w:bidi w:val="0"/>
              <w:adjustRightInd w:val="0"/>
              <w:snapToGrid w:val="0"/>
              <w:spacing w:before="31"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提供事项登记功能，按排班岗维护各排班岗详细情况，包括事项、</w:t>
            </w:r>
            <w:r>
              <w:rPr>
                <w:rFonts w:hint="eastAsia" w:ascii="宋体" w:hAnsi="宋体" w:eastAsia="宋体" w:cs="宋体"/>
                <w:b w:val="0"/>
                <w:bCs w:val="0"/>
                <w:color w:val="auto"/>
                <w:sz w:val="21"/>
                <w:szCs w:val="21"/>
                <w:highlight w:val="none"/>
              </w:rPr>
              <w:t>人员、时间范围、人员备注。</w:t>
            </w:r>
          </w:p>
        </w:tc>
      </w:tr>
      <w:tr w14:paraId="71D2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7186429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15265A81">
            <w:pPr>
              <w:pStyle w:val="132"/>
              <w:keepNext w:val="0"/>
              <w:keepLines w:val="0"/>
              <w:pageBreakBefore w:val="0"/>
              <w:widowControl/>
              <w:kinsoku w:val="0"/>
              <w:wordWrap/>
              <w:overflowPunct/>
              <w:topLinePunct w:val="0"/>
              <w:autoSpaceDE w:val="0"/>
              <w:autoSpaceDN w:val="0"/>
              <w:bidi w:val="0"/>
              <w:adjustRightInd w:val="0"/>
              <w:snapToGrid w:val="0"/>
              <w:spacing w:before="23"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按人排班</w:t>
            </w:r>
          </w:p>
        </w:tc>
        <w:tc>
          <w:tcPr>
            <w:tcW w:w="7644" w:type="dxa"/>
            <w:vAlign w:val="top"/>
          </w:tcPr>
          <w:p w14:paraId="14B29FAE">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101" w:right="111"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提供按人排班类型方式，点击日期与人员交叉单元格进行排班岗安</w:t>
            </w:r>
            <w:r>
              <w:rPr>
                <w:rFonts w:hint="eastAsia" w:ascii="宋体" w:hAnsi="宋体" w:eastAsia="宋体" w:cs="宋体"/>
                <w:b w:val="0"/>
                <w:bCs w:val="0"/>
                <w:color w:val="auto"/>
                <w:spacing w:val="2"/>
                <w:sz w:val="21"/>
                <w:szCs w:val="21"/>
                <w:highlight w:val="none"/>
              </w:rPr>
              <w:t>排。</w:t>
            </w:r>
          </w:p>
        </w:tc>
      </w:tr>
      <w:tr w14:paraId="5E7D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590B58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A9527C2">
            <w:pPr>
              <w:pStyle w:val="132"/>
              <w:keepNext w:val="0"/>
              <w:keepLines w:val="0"/>
              <w:pageBreakBefore w:val="0"/>
              <w:widowControl/>
              <w:kinsoku w:val="0"/>
              <w:wordWrap/>
              <w:overflowPunct/>
              <w:topLinePunct w:val="0"/>
              <w:autoSpaceDE w:val="0"/>
              <w:autoSpaceDN w:val="0"/>
              <w:bidi w:val="0"/>
              <w:adjustRightInd w:val="0"/>
              <w:snapToGrid w:val="0"/>
              <w:spacing w:before="34" w:line="400" w:lineRule="exact"/>
              <w:ind w:left="71"/>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更多</w:t>
            </w:r>
          </w:p>
        </w:tc>
        <w:tc>
          <w:tcPr>
            <w:tcW w:w="7644" w:type="dxa"/>
            <w:vAlign w:val="top"/>
          </w:tcPr>
          <w:p w14:paraId="26070654">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1" w:right="106"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支持按照业务单元配置其排班配置，如是否显示工号、按人排班列的样式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列宽、是否显示、是否打印等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tc>
      </w:tr>
      <w:tr w14:paraId="350F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vAlign w:val="top"/>
          </w:tcPr>
          <w:p w14:paraId="114358F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00A7E92B">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发布审核</w:t>
            </w:r>
          </w:p>
        </w:tc>
        <w:tc>
          <w:tcPr>
            <w:tcW w:w="7644" w:type="dxa"/>
            <w:vAlign w:val="top"/>
          </w:tcPr>
          <w:p w14:paraId="7EB92B0F">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101" w:right="108" w:hanging="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排班完成后支持发布，并按审核配置进入审核工作</w:t>
            </w:r>
            <w:r>
              <w:rPr>
                <w:rFonts w:hint="eastAsia" w:ascii="宋体" w:hAnsi="宋体" w:eastAsia="宋体" w:cs="宋体"/>
                <w:b w:val="0"/>
                <w:bCs w:val="0"/>
                <w:color w:val="auto"/>
                <w:sz w:val="21"/>
                <w:szCs w:val="21"/>
                <w:highlight w:val="none"/>
                <w:lang w:eastAsia="zh-CN"/>
              </w:rPr>
              <w:t>流程</w:t>
            </w:r>
            <w:r>
              <w:rPr>
                <w:rFonts w:hint="eastAsia" w:ascii="宋体" w:hAnsi="宋体" w:eastAsia="宋体" w:cs="宋体"/>
                <w:b w:val="0"/>
                <w:bCs w:val="0"/>
                <w:color w:val="auto"/>
                <w:sz w:val="21"/>
                <w:szCs w:val="21"/>
                <w:highlight w:val="none"/>
              </w:rPr>
              <w:t>，审核完成后排班状态变更并提供统计、预览查看。</w:t>
            </w:r>
          </w:p>
        </w:tc>
      </w:tr>
      <w:tr w14:paraId="704A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restart"/>
            <w:tcBorders>
              <w:bottom w:val="nil"/>
            </w:tcBorders>
            <w:vAlign w:val="top"/>
          </w:tcPr>
          <w:p w14:paraId="5706023B">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6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统计</w:t>
            </w:r>
          </w:p>
        </w:tc>
        <w:tc>
          <w:tcPr>
            <w:tcW w:w="1149" w:type="dxa"/>
            <w:vAlign w:val="top"/>
          </w:tcPr>
          <w:p w14:paraId="3EEECE19">
            <w:pPr>
              <w:pStyle w:val="132"/>
              <w:keepNext w:val="0"/>
              <w:keepLines w:val="0"/>
              <w:pageBreakBefore w:val="0"/>
              <w:widowControl/>
              <w:kinsoku w:val="0"/>
              <w:wordWrap/>
              <w:overflowPunct/>
              <w:topLinePunct w:val="0"/>
              <w:autoSpaceDE w:val="0"/>
              <w:autoSpaceDN w:val="0"/>
              <w:bidi w:val="0"/>
              <w:adjustRightInd w:val="0"/>
              <w:snapToGrid w:val="0"/>
              <w:spacing w:before="55"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工时统计</w:t>
            </w:r>
          </w:p>
        </w:tc>
        <w:tc>
          <w:tcPr>
            <w:tcW w:w="7644" w:type="dxa"/>
            <w:vAlign w:val="top"/>
          </w:tcPr>
          <w:p w14:paraId="72BFC937">
            <w:pPr>
              <w:pStyle w:val="132"/>
              <w:keepNext w:val="0"/>
              <w:keepLines w:val="0"/>
              <w:pageBreakBefore w:val="0"/>
              <w:widowControl/>
              <w:kinsoku w:val="0"/>
              <w:wordWrap/>
              <w:overflowPunct/>
              <w:topLinePunct w:val="0"/>
              <w:autoSpaceDE w:val="0"/>
              <w:autoSpaceDN w:val="0"/>
              <w:bidi w:val="0"/>
              <w:adjustRightInd w:val="0"/>
              <w:snapToGrid w:val="0"/>
              <w:spacing w:before="45" w:line="400" w:lineRule="exact"/>
              <w:ind w:left="102" w:right="75"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支持按人员或按部门统计时间范围内白班、夜班、节假日夜班、总</w:t>
            </w:r>
            <w:r>
              <w:rPr>
                <w:rFonts w:hint="eastAsia" w:ascii="宋体" w:hAnsi="宋体" w:eastAsia="宋体" w:cs="宋体"/>
                <w:b w:val="0"/>
                <w:bCs w:val="0"/>
                <w:color w:val="auto"/>
                <w:spacing w:val="1"/>
                <w:sz w:val="21"/>
                <w:szCs w:val="21"/>
                <w:highlight w:val="none"/>
              </w:rPr>
              <w:t>夜班、加班数量，并且支持查看排班岗信息的明细及导出为</w:t>
            </w:r>
            <w:r>
              <w:rPr>
                <w:rFonts w:hint="eastAsia" w:ascii="宋体" w:hAnsi="宋体" w:eastAsia="宋体" w:cs="宋体"/>
                <w:b w:val="0"/>
                <w:bCs w:val="0"/>
                <w:color w:val="auto"/>
                <w:sz w:val="21"/>
                <w:szCs w:val="21"/>
                <w:highlight w:val="none"/>
              </w:rPr>
              <w:t>excel</w:t>
            </w:r>
            <w:r>
              <w:rPr>
                <w:rFonts w:hint="eastAsia" w:ascii="宋体" w:hAnsi="宋体" w:eastAsia="宋体" w:cs="宋体"/>
                <w:b w:val="0"/>
                <w:bCs w:val="0"/>
                <w:color w:val="auto"/>
                <w:spacing w:val="1"/>
                <w:sz w:val="21"/>
                <w:szCs w:val="21"/>
                <w:highlight w:val="none"/>
              </w:rPr>
              <w:t>数据。</w:t>
            </w:r>
          </w:p>
        </w:tc>
      </w:tr>
      <w:tr w14:paraId="50D6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bottom w:val="nil"/>
            </w:tcBorders>
            <w:vAlign w:val="top"/>
          </w:tcPr>
          <w:p w14:paraId="16C794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39135A57">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81" w:right="126" w:firstLine="1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排班岗统</w:t>
            </w:r>
            <w:r>
              <w:rPr>
                <w:rFonts w:hint="eastAsia" w:ascii="宋体" w:hAnsi="宋体" w:eastAsia="宋体" w:cs="宋体"/>
                <w:b w:val="0"/>
                <w:bCs w:val="0"/>
                <w:color w:val="auto"/>
                <w:spacing w:val="2"/>
                <w:sz w:val="21"/>
                <w:szCs w:val="21"/>
                <w:highlight w:val="none"/>
              </w:rPr>
              <w:t xml:space="preserve"> </w:t>
            </w:r>
            <w:r>
              <w:rPr>
                <w:rFonts w:hint="eastAsia" w:ascii="宋体" w:hAnsi="宋体" w:eastAsia="宋体" w:cs="宋体"/>
                <w:b w:val="0"/>
                <w:bCs w:val="0"/>
                <w:color w:val="auto"/>
                <w:sz w:val="21"/>
                <w:szCs w:val="21"/>
                <w:highlight w:val="none"/>
              </w:rPr>
              <w:t>计</w:t>
            </w:r>
          </w:p>
        </w:tc>
        <w:tc>
          <w:tcPr>
            <w:tcW w:w="7644" w:type="dxa"/>
            <w:vAlign w:val="top"/>
          </w:tcPr>
          <w:p w14:paraId="24C28F8B">
            <w:pPr>
              <w:pStyle w:val="132"/>
              <w:keepNext w:val="0"/>
              <w:keepLines w:val="0"/>
              <w:pageBreakBefore w:val="0"/>
              <w:widowControl/>
              <w:kinsoku w:val="0"/>
              <w:wordWrap/>
              <w:overflowPunct/>
              <w:topLinePunct w:val="0"/>
              <w:autoSpaceDE w:val="0"/>
              <w:autoSpaceDN w:val="0"/>
              <w:bidi w:val="0"/>
              <w:adjustRightInd w:val="0"/>
              <w:snapToGrid w:val="0"/>
              <w:spacing w:before="33" w:line="400" w:lineRule="exact"/>
              <w:ind w:left="102" w:right="104"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支持按人员或按部门统计时间范围内各排班岗数量，并且支持查看人员排班岗的明细及</w:t>
            </w:r>
            <w:r>
              <w:rPr>
                <w:rFonts w:hint="eastAsia" w:ascii="宋体" w:hAnsi="宋体" w:eastAsia="宋体" w:cs="宋体"/>
                <w:b w:val="0"/>
                <w:bCs w:val="0"/>
                <w:color w:val="auto"/>
                <w:spacing w:val="-1"/>
                <w:sz w:val="21"/>
                <w:szCs w:val="21"/>
                <w:highlight w:val="none"/>
                <w:lang w:eastAsia="zh-CN"/>
              </w:rPr>
              <w:t>导出</w:t>
            </w:r>
            <w:r>
              <w:rPr>
                <w:rFonts w:hint="eastAsia" w:ascii="宋体" w:hAnsi="宋体" w:eastAsia="宋体" w:cs="宋体"/>
                <w:b w:val="0"/>
                <w:bCs w:val="0"/>
                <w:color w:val="auto"/>
                <w:spacing w:val="-1"/>
                <w:sz w:val="21"/>
                <w:szCs w:val="21"/>
                <w:highlight w:val="none"/>
              </w:rPr>
              <w:t>excel数据。</w:t>
            </w:r>
          </w:p>
        </w:tc>
      </w:tr>
      <w:tr w14:paraId="35B4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bottom w:val="nil"/>
            </w:tcBorders>
            <w:vAlign w:val="top"/>
          </w:tcPr>
          <w:p w14:paraId="7BE47D7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415E391A">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请假统计</w:t>
            </w:r>
          </w:p>
        </w:tc>
        <w:tc>
          <w:tcPr>
            <w:tcW w:w="7644" w:type="dxa"/>
            <w:vAlign w:val="top"/>
          </w:tcPr>
          <w:p w14:paraId="6E163972">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102" w:right="82" w:firstLine="9"/>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支持按人员或按部门统计时间范围内各类假期请假的个数，并且支持查看假期具体时长、人员信息明细及导出为excel数</w:t>
            </w:r>
            <w:r>
              <w:rPr>
                <w:rFonts w:hint="eastAsia" w:ascii="宋体" w:hAnsi="宋体" w:eastAsia="宋体" w:cs="宋体"/>
                <w:b w:val="0"/>
                <w:bCs w:val="0"/>
                <w:color w:val="auto"/>
                <w:spacing w:val="-1"/>
                <w:sz w:val="21"/>
                <w:szCs w:val="21"/>
                <w:highlight w:val="none"/>
              </w:rPr>
              <w:t>据。</w:t>
            </w:r>
          </w:p>
        </w:tc>
      </w:tr>
      <w:tr w14:paraId="6154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04" w:type="dxa"/>
            <w:vMerge w:val="continue"/>
            <w:tcBorders>
              <w:top w:val="nil"/>
            </w:tcBorders>
            <w:vAlign w:val="top"/>
          </w:tcPr>
          <w:p w14:paraId="5649EC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1149" w:type="dxa"/>
            <w:vAlign w:val="top"/>
          </w:tcPr>
          <w:p w14:paraId="2C774289">
            <w:pPr>
              <w:pStyle w:val="132"/>
              <w:keepNext w:val="0"/>
              <w:keepLines w:val="0"/>
              <w:pageBreakBefore w:val="0"/>
              <w:widowControl/>
              <w:kinsoku w:val="0"/>
              <w:wordWrap/>
              <w:overflowPunct/>
              <w:topLinePunct w:val="0"/>
              <w:autoSpaceDE w:val="0"/>
              <w:autoSpaceDN w:val="0"/>
              <w:bidi w:val="0"/>
              <w:adjustRightInd w:val="0"/>
              <w:snapToGrid w:val="0"/>
              <w:spacing w:before="26" w:line="400" w:lineRule="exact"/>
              <w:ind w:left="1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考勤统计</w:t>
            </w:r>
          </w:p>
        </w:tc>
        <w:tc>
          <w:tcPr>
            <w:tcW w:w="7644" w:type="dxa"/>
            <w:vAlign w:val="top"/>
          </w:tcPr>
          <w:p w14:paraId="2B03A846">
            <w:pPr>
              <w:pStyle w:val="132"/>
              <w:keepNext w:val="0"/>
              <w:keepLines w:val="0"/>
              <w:pageBreakBefore w:val="0"/>
              <w:widowControl/>
              <w:kinsoku w:val="0"/>
              <w:wordWrap/>
              <w:overflowPunct/>
              <w:topLinePunct w:val="0"/>
              <w:autoSpaceDE w:val="0"/>
              <w:autoSpaceDN w:val="0"/>
              <w:bidi w:val="0"/>
              <w:adjustRightInd w:val="0"/>
              <w:snapToGrid w:val="0"/>
              <w:spacing w:before="37" w:line="400" w:lineRule="exact"/>
              <w:ind w:left="102" w:right="93"/>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支持按人员或按部门统计时间范围内白班时长、夜班时长、24h班时长、休班时长、总时长，并且支持查看人员信息的明细及导出为</w:t>
            </w:r>
            <w:r>
              <w:rPr>
                <w:rFonts w:hint="eastAsia" w:ascii="宋体" w:hAnsi="宋体" w:eastAsia="宋体" w:cs="宋体"/>
                <w:b w:val="0"/>
                <w:bCs w:val="0"/>
                <w:color w:val="auto"/>
                <w:spacing w:val="10"/>
                <w:sz w:val="21"/>
                <w:szCs w:val="21"/>
                <w:highlight w:val="none"/>
              </w:rPr>
              <w:t xml:space="preserve"> </w:t>
            </w:r>
            <w:r>
              <w:rPr>
                <w:rFonts w:hint="eastAsia" w:ascii="宋体" w:hAnsi="宋体" w:eastAsia="宋体" w:cs="宋体"/>
                <w:b w:val="0"/>
                <w:bCs w:val="0"/>
                <w:color w:val="auto"/>
                <w:sz w:val="21"/>
                <w:szCs w:val="21"/>
                <w:highlight w:val="none"/>
              </w:rPr>
              <w:t>excel数据。</w:t>
            </w:r>
          </w:p>
        </w:tc>
      </w:tr>
      <w:tr w14:paraId="771A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3638D4C">
            <w:pPr>
              <w:pStyle w:val="132"/>
              <w:keepNext w:val="0"/>
              <w:keepLines w:val="0"/>
              <w:pageBreakBefore w:val="0"/>
              <w:widowControl/>
              <w:kinsoku w:val="0"/>
              <w:wordWrap/>
              <w:overflowPunct/>
              <w:topLinePunct w:val="0"/>
              <w:autoSpaceDE w:val="0"/>
              <w:autoSpaceDN w:val="0"/>
              <w:bidi w:val="0"/>
              <w:adjustRightInd w:val="0"/>
              <w:snapToGrid w:val="0"/>
              <w:spacing w:before="79"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排班预览</w:t>
            </w:r>
          </w:p>
        </w:tc>
        <w:tc>
          <w:tcPr>
            <w:tcW w:w="7644" w:type="dxa"/>
            <w:vAlign w:val="top"/>
          </w:tcPr>
          <w:p w14:paraId="0DDD6506">
            <w:pPr>
              <w:pStyle w:val="132"/>
              <w:keepNext w:val="0"/>
              <w:keepLines w:val="0"/>
              <w:pageBreakBefore w:val="0"/>
              <w:widowControl/>
              <w:kinsoku w:val="0"/>
              <w:wordWrap/>
              <w:overflowPunct/>
              <w:topLinePunct w:val="0"/>
              <w:autoSpaceDE w:val="0"/>
              <w:autoSpaceDN w:val="0"/>
              <w:bidi w:val="0"/>
              <w:adjustRightInd w:val="0"/>
              <w:snapToGrid w:val="0"/>
              <w:spacing w:before="78"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按时间范围查看所有已完成审核的排班数据，支持按部门筛选。</w:t>
            </w:r>
          </w:p>
        </w:tc>
      </w:tr>
      <w:tr w14:paraId="06A1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86F95E9">
            <w:pPr>
              <w:pStyle w:val="132"/>
              <w:keepNext w:val="0"/>
              <w:keepLines w:val="0"/>
              <w:pageBreakBefore w:val="0"/>
              <w:widowControl/>
              <w:kinsoku w:val="0"/>
              <w:wordWrap/>
              <w:overflowPunct/>
              <w:topLinePunct w:val="0"/>
              <w:autoSpaceDE w:val="0"/>
              <w:autoSpaceDN w:val="0"/>
              <w:bidi w:val="0"/>
              <w:adjustRightInd w:val="0"/>
              <w:snapToGrid w:val="0"/>
              <w:spacing w:before="77"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请假设置</w:t>
            </w:r>
          </w:p>
        </w:tc>
        <w:tc>
          <w:tcPr>
            <w:tcW w:w="7644" w:type="dxa"/>
            <w:vAlign w:val="top"/>
          </w:tcPr>
          <w:p w14:paraId="301882ED">
            <w:pPr>
              <w:pStyle w:val="132"/>
              <w:keepNext w:val="0"/>
              <w:keepLines w:val="0"/>
              <w:pageBreakBefore w:val="0"/>
              <w:widowControl/>
              <w:kinsoku w:val="0"/>
              <w:wordWrap/>
              <w:overflowPunct/>
              <w:topLinePunct w:val="0"/>
              <w:autoSpaceDE w:val="0"/>
              <w:autoSpaceDN w:val="0"/>
              <w:bidi w:val="0"/>
              <w:adjustRightInd w:val="0"/>
              <w:snapToGrid w:val="0"/>
              <w:spacing w:before="77" w:line="400" w:lineRule="exact"/>
              <w:ind w:left="102"/>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维护全院的请假类型及请假规则，为请假提供数据支持。</w:t>
            </w:r>
          </w:p>
        </w:tc>
      </w:tr>
      <w:tr w14:paraId="6E10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77C52C80">
            <w:pPr>
              <w:pStyle w:val="132"/>
              <w:keepNext w:val="0"/>
              <w:keepLines w:val="0"/>
              <w:pageBreakBefore w:val="0"/>
              <w:widowControl/>
              <w:kinsoku w:val="0"/>
              <w:wordWrap/>
              <w:overflowPunct/>
              <w:topLinePunct w:val="0"/>
              <w:autoSpaceDE w:val="0"/>
              <w:autoSpaceDN w:val="0"/>
              <w:bidi w:val="0"/>
              <w:adjustRightInd w:val="0"/>
              <w:snapToGrid w:val="0"/>
              <w:spacing w:before="49"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统计名称设置</w:t>
            </w:r>
          </w:p>
        </w:tc>
        <w:tc>
          <w:tcPr>
            <w:tcW w:w="7644" w:type="dxa"/>
            <w:vAlign w:val="top"/>
          </w:tcPr>
          <w:p w14:paraId="504E103A">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93"/>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按全院或业务单元维护所需的排班统计名称，便于对各排班岗进行归类，提供后续排班统计。</w:t>
            </w:r>
          </w:p>
        </w:tc>
      </w:tr>
      <w:tr w14:paraId="0240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B76F72A">
            <w:pPr>
              <w:pStyle w:val="132"/>
              <w:keepNext w:val="0"/>
              <w:keepLines w:val="0"/>
              <w:pageBreakBefore w:val="0"/>
              <w:widowControl/>
              <w:kinsoku w:val="0"/>
              <w:wordWrap/>
              <w:overflowPunct/>
              <w:topLinePunct w:val="0"/>
              <w:autoSpaceDE w:val="0"/>
              <w:autoSpaceDN w:val="0"/>
              <w:bidi w:val="0"/>
              <w:adjustRightInd w:val="0"/>
              <w:snapToGrid w:val="0"/>
              <w:spacing w:before="40" w:line="400" w:lineRule="exact"/>
              <w:ind w:left="8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排班岗设定</w:t>
            </w:r>
          </w:p>
        </w:tc>
        <w:tc>
          <w:tcPr>
            <w:tcW w:w="7644" w:type="dxa"/>
            <w:vAlign w:val="top"/>
          </w:tcPr>
          <w:p w14:paraId="71AA3398">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78"/>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按业务单元维护各业务单元所需的排班岗信息，包括基本</w:t>
            </w:r>
            <w:r>
              <w:rPr>
                <w:rFonts w:hint="eastAsia" w:ascii="宋体" w:hAnsi="宋体" w:eastAsia="宋体" w:cs="宋体"/>
                <w:b w:val="0"/>
                <w:bCs w:val="0"/>
                <w:color w:val="auto"/>
                <w:sz w:val="21"/>
                <w:szCs w:val="21"/>
                <w:highlight w:val="none"/>
              </w:rPr>
              <w:t>的排班岗名称、缩写、统计名称以及时段信息、扩展信息、超声信息、手术信息、门诊信息、会诊信息。提供排班使用。</w:t>
            </w:r>
          </w:p>
        </w:tc>
      </w:tr>
      <w:tr w14:paraId="6CD77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6D05B12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z w:val="21"/>
                <w:szCs w:val="21"/>
                <w:highlight w:val="none"/>
              </w:rPr>
            </w:pPr>
          </w:p>
        </w:tc>
        <w:tc>
          <w:tcPr>
            <w:tcW w:w="7644" w:type="dxa"/>
            <w:tcBorders>
              <w:right w:val="single" w:color="000000" w:sz="2" w:space="0"/>
            </w:tcBorders>
            <w:vAlign w:val="top"/>
          </w:tcPr>
          <w:p w14:paraId="52B6377A">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2" w:right="78"/>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支持岗位要求配置，排班时依据岗位要求进行人员筛选。支持组合设置，排班时可进行组合一键排班。</w:t>
            </w:r>
          </w:p>
        </w:tc>
      </w:tr>
      <w:tr w14:paraId="2821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9AE8F76">
            <w:pPr>
              <w:pStyle w:val="132"/>
              <w:keepNext w:val="0"/>
              <w:keepLines w:val="0"/>
              <w:pageBreakBefore w:val="0"/>
              <w:widowControl/>
              <w:kinsoku w:val="0"/>
              <w:wordWrap/>
              <w:overflowPunct/>
              <w:topLinePunct w:val="0"/>
              <w:autoSpaceDE w:val="0"/>
              <w:autoSpaceDN w:val="0"/>
              <w:bidi w:val="0"/>
              <w:adjustRightInd w:val="0"/>
              <w:snapToGrid w:val="0"/>
              <w:spacing w:before="41"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排班类型维护</w:t>
            </w:r>
          </w:p>
        </w:tc>
        <w:tc>
          <w:tcPr>
            <w:tcW w:w="7644" w:type="dxa"/>
            <w:tcBorders>
              <w:right w:val="single" w:color="000000" w:sz="2" w:space="0"/>
            </w:tcBorders>
            <w:vAlign w:val="top"/>
          </w:tcPr>
          <w:p w14:paraId="2EA7ABC1">
            <w:pPr>
              <w:pStyle w:val="132"/>
              <w:keepNext w:val="0"/>
              <w:keepLines w:val="0"/>
              <w:pageBreakBefore w:val="0"/>
              <w:widowControl/>
              <w:kinsoku w:val="0"/>
              <w:wordWrap/>
              <w:overflowPunct/>
              <w:topLinePunct w:val="0"/>
              <w:autoSpaceDE w:val="0"/>
              <w:autoSpaceDN w:val="0"/>
              <w:bidi w:val="0"/>
              <w:adjustRightInd w:val="0"/>
              <w:snapToGrid w:val="0"/>
              <w:spacing w:before="37"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按业务单元维护各业务单元所需的排班类型，各类型可维护不同业</w:t>
            </w:r>
            <w:r>
              <w:rPr>
                <w:rFonts w:hint="eastAsia" w:ascii="宋体" w:hAnsi="宋体" w:eastAsia="宋体" w:cs="宋体"/>
                <w:b w:val="0"/>
                <w:bCs w:val="0"/>
                <w:color w:val="auto"/>
                <w:sz w:val="21"/>
                <w:szCs w:val="21"/>
                <w:highlight w:val="none"/>
              </w:rPr>
              <w:t>务单元，方便后续排班业务</w:t>
            </w:r>
            <w:r>
              <w:rPr>
                <w:rFonts w:hint="eastAsia" w:ascii="宋体" w:hAnsi="宋体" w:eastAsia="宋体" w:cs="宋体"/>
                <w:b w:val="0"/>
                <w:bCs w:val="0"/>
                <w:color w:val="auto"/>
                <w:sz w:val="21"/>
                <w:szCs w:val="21"/>
                <w:highlight w:val="none"/>
                <w:lang w:val="en-US" w:eastAsia="zh-CN"/>
              </w:rPr>
              <w:t>界面</w:t>
            </w:r>
            <w:r>
              <w:rPr>
                <w:rFonts w:hint="eastAsia" w:ascii="宋体" w:hAnsi="宋体" w:eastAsia="宋体" w:cs="宋体"/>
                <w:b w:val="0"/>
                <w:bCs w:val="0"/>
                <w:color w:val="auto"/>
                <w:sz w:val="21"/>
                <w:szCs w:val="21"/>
                <w:highlight w:val="none"/>
                <w:lang w:eastAsia="zh-CN"/>
              </w:rPr>
              <w:t>以类型显示各排班格式</w:t>
            </w:r>
            <w:r>
              <w:rPr>
                <w:rFonts w:hint="eastAsia" w:ascii="宋体" w:hAnsi="宋体" w:eastAsia="宋体" w:cs="宋体"/>
                <w:b w:val="0"/>
                <w:bCs w:val="0"/>
                <w:color w:val="auto"/>
                <w:spacing w:val="-1"/>
                <w:sz w:val="21"/>
                <w:szCs w:val="21"/>
                <w:highlight w:val="none"/>
              </w:rPr>
              <w:t>。</w:t>
            </w:r>
          </w:p>
        </w:tc>
      </w:tr>
      <w:tr w14:paraId="5EB03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3163BD2">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排班格式维护</w:t>
            </w:r>
          </w:p>
        </w:tc>
        <w:tc>
          <w:tcPr>
            <w:tcW w:w="7644" w:type="dxa"/>
            <w:tcBorders>
              <w:right w:val="single" w:color="000000" w:sz="2" w:space="0"/>
            </w:tcBorders>
            <w:vAlign w:val="top"/>
          </w:tcPr>
          <w:p w14:paraId="64287EBB">
            <w:pPr>
              <w:pStyle w:val="132"/>
              <w:keepNext w:val="0"/>
              <w:keepLines w:val="0"/>
              <w:pageBreakBefore w:val="0"/>
              <w:widowControl/>
              <w:kinsoku w:val="0"/>
              <w:wordWrap/>
              <w:overflowPunct/>
              <w:topLinePunct w:val="0"/>
              <w:autoSpaceDE w:val="0"/>
              <w:autoSpaceDN w:val="0"/>
              <w:bidi w:val="0"/>
              <w:adjustRightInd w:val="0"/>
              <w:snapToGrid w:val="0"/>
              <w:spacing w:before="28" w:line="400" w:lineRule="exact"/>
              <w:ind w:left="15" w:right="7"/>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按业务单元维护各业务单元排班类型下详细的排班格式，支持文本类型、日期类型、病区类型、事项类型，日期、事项类型可关联排班岗，病区类型可关联人员分组。每个类型均可维护排班业务界面</w:t>
            </w:r>
            <w:r>
              <w:rPr>
                <w:rFonts w:hint="eastAsia" w:ascii="宋体" w:hAnsi="宋体" w:eastAsia="宋体" w:cs="宋体"/>
                <w:b w:val="0"/>
                <w:bCs w:val="0"/>
                <w:color w:val="auto"/>
                <w:spacing w:val="-1"/>
                <w:sz w:val="21"/>
                <w:szCs w:val="21"/>
                <w:highlight w:val="none"/>
              </w:rPr>
              <w:t>显示样式。</w:t>
            </w:r>
          </w:p>
        </w:tc>
      </w:tr>
      <w:tr w14:paraId="02C7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05B57DF">
            <w:pPr>
              <w:pStyle w:val="132"/>
              <w:keepNext w:val="0"/>
              <w:keepLines w:val="0"/>
              <w:pageBreakBefore w:val="0"/>
              <w:widowControl/>
              <w:kinsoku w:val="0"/>
              <w:wordWrap/>
              <w:overflowPunct/>
              <w:topLinePunct w:val="0"/>
              <w:autoSpaceDE w:val="0"/>
              <w:autoSpaceDN w:val="0"/>
              <w:bidi w:val="0"/>
              <w:adjustRightInd w:val="0"/>
              <w:snapToGrid w:val="0"/>
              <w:spacing w:before="42"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排班模板</w:t>
            </w:r>
          </w:p>
        </w:tc>
        <w:tc>
          <w:tcPr>
            <w:tcW w:w="7644" w:type="dxa"/>
            <w:tcBorders>
              <w:right w:val="single" w:color="000000" w:sz="2" w:space="0"/>
            </w:tcBorders>
            <w:vAlign w:val="top"/>
          </w:tcPr>
          <w:p w14:paraId="4DAADC0E">
            <w:pPr>
              <w:pStyle w:val="132"/>
              <w:keepNext w:val="0"/>
              <w:keepLines w:val="0"/>
              <w:pageBreakBefore w:val="0"/>
              <w:widowControl/>
              <w:kinsoku w:val="0"/>
              <w:wordWrap/>
              <w:overflowPunct/>
              <w:topLinePunct w:val="0"/>
              <w:autoSpaceDE w:val="0"/>
              <w:autoSpaceDN w:val="0"/>
              <w:bidi w:val="0"/>
              <w:adjustRightInd w:val="0"/>
              <w:snapToGrid w:val="0"/>
              <w:spacing w:before="32" w:line="400" w:lineRule="exact"/>
              <w:ind w:left="91" w:right="6" w:hanging="8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各业务单元可按需维护各自业务单元所用的排班模板，</w:t>
            </w:r>
            <w:r>
              <w:rPr>
                <w:rFonts w:hint="eastAsia" w:ascii="宋体" w:hAnsi="宋体" w:eastAsia="宋体" w:cs="宋体"/>
                <w:b w:val="0"/>
                <w:bCs w:val="0"/>
                <w:color w:val="auto"/>
                <w:spacing w:val="-4"/>
                <w:sz w:val="21"/>
                <w:szCs w:val="21"/>
                <w:highlight w:val="none"/>
              </w:rPr>
              <w:t>便于后续排</w:t>
            </w:r>
            <w:r>
              <w:rPr>
                <w:rFonts w:hint="eastAsia" w:ascii="宋体" w:hAnsi="宋体" w:eastAsia="宋体" w:cs="宋体"/>
                <w:b w:val="0"/>
                <w:bCs w:val="0"/>
                <w:color w:val="auto"/>
                <w:spacing w:val="-1"/>
                <w:sz w:val="21"/>
                <w:szCs w:val="21"/>
                <w:highlight w:val="none"/>
              </w:rPr>
              <w:t>班时直接引用排班模板来减少操作。</w:t>
            </w:r>
          </w:p>
        </w:tc>
      </w:tr>
      <w:tr w14:paraId="32E0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218F0D95">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人员扩展信息</w:t>
            </w:r>
          </w:p>
        </w:tc>
        <w:tc>
          <w:tcPr>
            <w:tcW w:w="7644" w:type="dxa"/>
            <w:tcBorders>
              <w:right w:val="single" w:color="000000" w:sz="2" w:space="0"/>
            </w:tcBorders>
            <w:vAlign w:val="top"/>
          </w:tcPr>
          <w:p w14:paraId="327CD2E7">
            <w:pPr>
              <w:pStyle w:val="132"/>
              <w:keepNext w:val="0"/>
              <w:keepLines w:val="0"/>
              <w:pageBreakBefore w:val="0"/>
              <w:widowControl/>
              <w:kinsoku w:val="0"/>
              <w:wordWrap/>
              <w:overflowPunct/>
              <w:topLinePunct w:val="0"/>
              <w:autoSpaceDE w:val="0"/>
              <w:autoSpaceDN w:val="0"/>
              <w:bidi w:val="0"/>
              <w:adjustRightInd w:val="0"/>
              <w:snapToGrid w:val="0"/>
              <w:spacing w:before="11" w:line="400" w:lineRule="exact"/>
              <w:ind w:left="15"/>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按业务单元维护各业务单元的分组信息字典及人员标签字典，并对</w:t>
            </w:r>
            <w:r>
              <w:rPr>
                <w:rFonts w:hint="eastAsia" w:ascii="宋体" w:hAnsi="宋体" w:eastAsia="宋体" w:cs="宋体"/>
                <w:b w:val="0"/>
                <w:bCs w:val="0"/>
                <w:color w:val="auto"/>
                <w:sz w:val="21"/>
                <w:szCs w:val="21"/>
                <w:highlight w:val="none"/>
              </w:rPr>
              <w:t>业务单元下人员分派隶属组、人员标签及人员的排序。</w:t>
            </w:r>
          </w:p>
        </w:tc>
      </w:tr>
      <w:tr w14:paraId="6BF2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55AC0016">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约束设置</w:t>
            </w:r>
          </w:p>
        </w:tc>
        <w:tc>
          <w:tcPr>
            <w:tcW w:w="7644" w:type="dxa"/>
            <w:tcBorders>
              <w:right w:val="single" w:color="000000" w:sz="2" w:space="0"/>
            </w:tcBorders>
            <w:vAlign w:val="top"/>
          </w:tcPr>
          <w:p w14:paraId="25292380">
            <w:pPr>
              <w:pStyle w:val="132"/>
              <w:keepNext w:val="0"/>
              <w:keepLines w:val="0"/>
              <w:pageBreakBefore w:val="0"/>
              <w:widowControl/>
              <w:kinsoku w:val="0"/>
              <w:wordWrap/>
              <w:overflowPunct/>
              <w:topLinePunct w:val="0"/>
              <w:autoSpaceDE w:val="0"/>
              <w:autoSpaceDN w:val="0"/>
              <w:bidi w:val="0"/>
              <w:adjustRightInd w:val="0"/>
              <w:snapToGrid w:val="0"/>
              <w:spacing w:before="35" w:line="400" w:lineRule="exact"/>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1"/>
                <w:sz w:val="21"/>
                <w:szCs w:val="21"/>
                <w:highlight w:val="none"/>
              </w:rPr>
              <w:t>以业务单元为单位，维护各业务单元排班的约束，分为八个子条目，</w:t>
            </w:r>
            <w:r>
              <w:rPr>
                <w:rFonts w:hint="eastAsia" w:ascii="宋体" w:hAnsi="宋体" w:eastAsia="宋体" w:cs="宋体"/>
                <w:b w:val="0"/>
                <w:bCs w:val="0"/>
                <w:color w:val="auto"/>
                <w:spacing w:val="-3"/>
                <w:sz w:val="21"/>
                <w:szCs w:val="21"/>
                <w:highlight w:val="none"/>
              </w:rPr>
              <w:t>分别为：连续工作日上限约束、排班周期总工时上限、排班岗人数的上限及下限、人员与排班岗的对照约束、排班岗与休班的对照约</w:t>
            </w:r>
            <w:r>
              <w:rPr>
                <w:rFonts w:hint="eastAsia" w:ascii="宋体" w:hAnsi="宋体" w:eastAsia="宋体" w:cs="宋体"/>
                <w:b w:val="0"/>
                <w:bCs w:val="0"/>
                <w:color w:val="auto"/>
                <w:sz w:val="21"/>
                <w:szCs w:val="21"/>
                <w:highlight w:val="none"/>
              </w:rPr>
              <w:t>束、排班岗与其他排班岗联动约束、按排班岗循环、按人循环。</w:t>
            </w:r>
          </w:p>
        </w:tc>
      </w:tr>
      <w:tr w14:paraId="1A48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0EDD8B72">
            <w:pPr>
              <w:pStyle w:val="132"/>
              <w:keepNext w:val="0"/>
              <w:keepLines w:val="0"/>
              <w:pageBreakBefore w:val="0"/>
              <w:widowControl/>
              <w:kinsoku w:val="0"/>
              <w:wordWrap/>
              <w:overflowPunct/>
              <w:topLinePunct w:val="0"/>
              <w:autoSpaceDE w:val="0"/>
              <w:autoSpaceDN w:val="0"/>
              <w:bidi w:val="0"/>
              <w:adjustRightInd w:val="0"/>
              <w:snapToGrid w:val="0"/>
              <w:spacing w:before="48"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审批设置</w:t>
            </w:r>
          </w:p>
        </w:tc>
        <w:tc>
          <w:tcPr>
            <w:tcW w:w="7644" w:type="dxa"/>
            <w:tcBorders>
              <w:right w:val="single" w:color="000000" w:sz="2" w:space="0"/>
            </w:tcBorders>
            <w:vAlign w:val="top"/>
          </w:tcPr>
          <w:p w14:paraId="5B45B688">
            <w:pPr>
              <w:pStyle w:val="132"/>
              <w:keepNext w:val="0"/>
              <w:keepLines w:val="0"/>
              <w:pageBreakBefore w:val="0"/>
              <w:widowControl/>
              <w:kinsoku w:val="0"/>
              <w:wordWrap/>
              <w:overflowPunct/>
              <w:topLinePunct w:val="0"/>
              <w:autoSpaceDE w:val="0"/>
              <w:autoSpaceDN w:val="0"/>
              <w:bidi w:val="0"/>
              <w:adjustRightInd w:val="0"/>
              <w:snapToGrid w:val="0"/>
              <w:spacing w:before="25" w:line="400" w:lineRule="exact"/>
              <w:ind w:left="11"/>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1"/>
                <w:sz w:val="21"/>
                <w:szCs w:val="21"/>
                <w:highlight w:val="none"/>
              </w:rPr>
              <w:t>以业务单元为单位，维护各业务单元排班发布及修改的审核工作</w:t>
            </w:r>
            <w:r>
              <w:rPr>
                <w:rFonts w:hint="eastAsia" w:ascii="宋体" w:hAnsi="宋体" w:eastAsia="宋体" w:cs="宋体"/>
                <w:b w:val="0"/>
                <w:bCs w:val="0"/>
                <w:color w:val="auto"/>
                <w:spacing w:val="-11"/>
                <w:sz w:val="21"/>
                <w:szCs w:val="21"/>
                <w:highlight w:val="none"/>
                <w:lang w:eastAsia="zh-CN"/>
              </w:rPr>
              <w:t>流程</w:t>
            </w:r>
            <w:r>
              <w:rPr>
                <w:rFonts w:hint="eastAsia" w:ascii="宋体" w:hAnsi="宋体" w:eastAsia="宋体" w:cs="宋体"/>
                <w:b w:val="0"/>
                <w:bCs w:val="0"/>
                <w:color w:val="auto"/>
                <w:spacing w:val="-11"/>
                <w:sz w:val="21"/>
                <w:szCs w:val="21"/>
                <w:highlight w:val="none"/>
              </w:rPr>
              <w:t>，</w:t>
            </w:r>
            <w:r>
              <w:rPr>
                <w:rFonts w:hint="eastAsia" w:ascii="宋体" w:hAnsi="宋体" w:eastAsia="宋体" w:cs="宋体"/>
                <w:b w:val="0"/>
                <w:bCs w:val="0"/>
                <w:color w:val="auto"/>
                <w:spacing w:val="-7"/>
                <w:sz w:val="21"/>
                <w:szCs w:val="21"/>
                <w:highlight w:val="none"/>
              </w:rPr>
              <w:t>可定义审核层级的名称、颜色、排班，以及满足符合该层级权限的</w:t>
            </w:r>
            <w:r>
              <w:rPr>
                <w:rFonts w:hint="eastAsia" w:ascii="宋体" w:hAnsi="宋体" w:eastAsia="宋体" w:cs="宋体"/>
                <w:b w:val="0"/>
                <w:bCs w:val="0"/>
                <w:color w:val="auto"/>
                <w:spacing w:val="9"/>
                <w:sz w:val="21"/>
                <w:szCs w:val="21"/>
                <w:highlight w:val="none"/>
              </w:rPr>
              <w:t>人员或岗位。</w:t>
            </w:r>
          </w:p>
        </w:tc>
      </w:tr>
      <w:tr w14:paraId="7DBA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953" w:type="dxa"/>
            <w:gridSpan w:val="2"/>
            <w:vAlign w:val="top"/>
          </w:tcPr>
          <w:p w14:paraId="42B224EC">
            <w:pPr>
              <w:pStyle w:val="132"/>
              <w:keepNext w:val="0"/>
              <w:keepLines w:val="0"/>
              <w:pageBreakBefore w:val="0"/>
              <w:widowControl/>
              <w:kinsoku w:val="0"/>
              <w:wordWrap/>
              <w:overflowPunct/>
              <w:topLinePunct w:val="0"/>
              <w:autoSpaceDE w:val="0"/>
              <w:autoSpaceDN w:val="0"/>
              <w:bidi w:val="0"/>
              <w:adjustRightInd w:val="0"/>
              <w:snapToGrid w:val="0"/>
              <w:spacing w:before="38" w:line="400" w:lineRule="exact"/>
              <w:ind w:left="104"/>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节假日维护</w:t>
            </w:r>
          </w:p>
        </w:tc>
        <w:tc>
          <w:tcPr>
            <w:tcW w:w="7644" w:type="dxa"/>
            <w:tcBorders>
              <w:right w:val="single" w:color="000000" w:sz="2" w:space="0"/>
            </w:tcBorders>
            <w:vAlign w:val="top"/>
          </w:tcPr>
          <w:p w14:paraId="5C7BD54A">
            <w:pPr>
              <w:pStyle w:val="132"/>
              <w:keepNext w:val="0"/>
              <w:keepLines w:val="0"/>
              <w:pageBreakBefore w:val="0"/>
              <w:widowControl/>
              <w:kinsoku w:val="0"/>
              <w:wordWrap/>
              <w:overflowPunct/>
              <w:topLinePunct w:val="0"/>
              <w:autoSpaceDE w:val="0"/>
              <w:autoSpaceDN w:val="0"/>
              <w:bidi w:val="0"/>
              <w:adjustRightInd w:val="0"/>
              <w:snapToGrid w:val="0"/>
              <w:spacing w:before="40" w:line="400" w:lineRule="exact"/>
              <w:ind w:left="121" w:right="6" w:hanging="11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维护全院的节假日及调休工作日，支持按年份维护，为</w:t>
            </w:r>
            <w:r>
              <w:rPr>
                <w:rFonts w:hint="eastAsia" w:ascii="宋体" w:hAnsi="宋体" w:eastAsia="宋体" w:cs="宋体"/>
                <w:b w:val="0"/>
                <w:bCs w:val="0"/>
                <w:color w:val="auto"/>
                <w:spacing w:val="-4"/>
                <w:sz w:val="21"/>
                <w:szCs w:val="21"/>
                <w:highlight w:val="none"/>
              </w:rPr>
              <w:t>排班及请假</w:t>
            </w:r>
            <w:r>
              <w:rPr>
                <w:rFonts w:hint="eastAsia" w:ascii="宋体" w:hAnsi="宋体" w:eastAsia="宋体" w:cs="宋体"/>
                <w:b w:val="0"/>
                <w:bCs w:val="0"/>
                <w:color w:val="auto"/>
                <w:spacing w:val="-1"/>
                <w:sz w:val="21"/>
                <w:szCs w:val="21"/>
                <w:highlight w:val="none"/>
              </w:rPr>
              <w:t>等模块提供节假日信息的数据支持。</w:t>
            </w:r>
          </w:p>
        </w:tc>
      </w:tr>
    </w:tbl>
    <w:p w14:paraId="307D7B12">
      <w:pPr>
        <w:rPr>
          <w:rFonts w:hint="eastAsia" w:ascii="宋体" w:hAnsi="宋体" w:cs="宋体"/>
          <w:color w:val="auto"/>
          <w:kern w:val="0"/>
          <w:sz w:val="36"/>
          <w:szCs w:val="36"/>
          <w:highlight w:val="none"/>
          <w:vertAlign w:val="baseline"/>
          <w:lang w:val="en-US" w:eastAsia="zh-CN" w:bidi="ar"/>
        </w:rPr>
      </w:pPr>
    </w:p>
    <w:p w14:paraId="7F4D644B">
      <w:pPr>
        <w:rPr>
          <w:rFonts w:hint="eastAsia" w:ascii="宋体" w:hAnsi="宋体" w:cs="宋体"/>
          <w:color w:val="auto"/>
          <w:kern w:val="0"/>
          <w:sz w:val="36"/>
          <w:szCs w:val="36"/>
          <w:highlight w:val="none"/>
          <w:lang w:val="en-US" w:eastAsia="zh-CN" w:bidi="ar"/>
        </w:rPr>
      </w:pPr>
      <w:r>
        <w:rPr>
          <w:rFonts w:hint="eastAsia" w:ascii="宋体" w:hAnsi="宋体" w:cs="宋体"/>
          <w:color w:val="auto"/>
          <w:kern w:val="0"/>
          <w:sz w:val="36"/>
          <w:szCs w:val="36"/>
          <w:highlight w:val="none"/>
          <w:lang w:val="en-US" w:eastAsia="zh-CN" w:bidi="ar"/>
        </w:rPr>
        <w:br w:type="page"/>
      </w:r>
    </w:p>
    <w:p w14:paraId="527B339C">
      <w:pPr>
        <w:rPr>
          <w:rFonts w:hint="eastAsia" w:ascii="宋体" w:hAnsi="宋体" w:cs="宋体"/>
          <w:color w:val="auto"/>
          <w:kern w:val="0"/>
          <w:sz w:val="36"/>
          <w:szCs w:val="36"/>
          <w:highlight w:val="none"/>
          <w:lang w:val="en-US" w:eastAsia="zh-CN" w:bidi="ar"/>
        </w:rPr>
      </w:pPr>
      <w:r>
        <w:rPr>
          <w:rFonts w:hint="eastAsia" w:ascii="宋体" w:hAnsi="宋体" w:cs="宋体"/>
          <w:color w:val="auto"/>
          <w:kern w:val="0"/>
          <w:sz w:val="36"/>
          <w:szCs w:val="36"/>
          <w:highlight w:val="none"/>
          <w:lang w:val="en-US" w:eastAsia="zh-CN" w:bidi="ar"/>
        </w:rPr>
        <w:t>附件2：VTE</w:t>
      </w:r>
      <w:r>
        <w:rPr>
          <w:rFonts w:hint="eastAsia"/>
          <w:color w:val="auto"/>
          <w:sz w:val="36"/>
          <w:szCs w:val="36"/>
          <w:highlight w:val="none"/>
          <w:vertAlign w:val="baseline"/>
          <w:lang w:val="en-US" w:eastAsia="zh-CN"/>
        </w:rPr>
        <w:t>系统</w:t>
      </w:r>
      <w:r>
        <w:rPr>
          <w:rFonts w:hint="eastAsia" w:ascii="宋体" w:hAnsi="宋体" w:cs="宋体"/>
          <w:color w:val="auto"/>
          <w:kern w:val="0"/>
          <w:sz w:val="36"/>
          <w:szCs w:val="36"/>
          <w:highlight w:val="none"/>
          <w:lang w:val="en-US" w:eastAsia="zh-CN" w:bidi="ar"/>
        </w:rPr>
        <w:t>软件功能要求</w:t>
      </w:r>
    </w:p>
    <w:p w14:paraId="54EDA57B">
      <w:pPr>
        <w:keepNext w:val="0"/>
        <w:keepLines w:val="0"/>
        <w:pageBreakBefore w:val="0"/>
        <w:widowControl w:val="0"/>
        <w:kinsoku/>
        <w:wordWrap/>
        <w:overflowPunct/>
        <w:topLinePunct w:val="0"/>
        <w:autoSpaceDE/>
        <w:autoSpaceDN/>
        <w:bidi w:val="0"/>
        <w:adjustRightInd/>
        <w:snapToGrid/>
        <w:spacing w:before="78"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11"/>
          <w:sz w:val="21"/>
          <w:szCs w:val="21"/>
          <w:highlight w:val="none"/>
          <w:lang w:val="en-US" w:eastAsia="zh-CN"/>
        </w:rPr>
        <w:t>一、</w:t>
      </w:r>
      <w:r>
        <w:rPr>
          <w:rFonts w:hint="eastAsia" w:ascii="宋体" w:hAnsi="宋体" w:eastAsia="宋体" w:cs="宋体"/>
          <w:b/>
          <w:bCs/>
          <w:color w:val="auto"/>
          <w:spacing w:val="-11"/>
          <w:sz w:val="21"/>
          <w:szCs w:val="21"/>
          <w:highlight w:val="none"/>
        </w:rPr>
        <w:t>系统功能列表</w:t>
      </w:r>
    </w:p>
    <w:tbl>
      <w:tblPr>
        <w:tblStyle w:val="118"/>
        <w:tblW w:w="8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188"/>
        <w:gridCol w:w="1"/>
        <w:gridCol w:w="5747"/>
        <w:gridCol w:w="1"/>
      </w:tblGrid>
      <w:tr w14:paraId="1A02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shd w:val="clear" w:color="auto" w:fill="auto"/>
            <w:vAlign w:val="top"/>
          </w:tcPr>
          <w:p w14:paraId="246AEEBB">
            <w:pPr>
              <w:pStyle w:val="132"/>
              <w:keepNext w:val="0"/>
              <w:keepLines w:val="0"/>
              <w:pageBreakBefore w:val="0"/>
              <w:widowControl w:val="0"/>
              <w:kinsoku/>
              <w:wordWrap/>
              <w:overflowPunct/>
              <w:topLinePunct w:val="0"/>
              <w:autoSpaceDE/>
              <w:autoSpaceDN/>
              <w:bidi w:val="0"/>
              <w:adjustRightInd/>
              <w:snapToGrid/>
              <w:spacing w:before="29" w:line="400" w:lineRule="exact"/>
              <w:ind w:left="3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序号</w:t>
            </w:r>
          </w:p>
        </w:tc>
        <w:tc>
          <w:tcPr>
            <w:tcW w:w="2189" w:type="dxa"/>
            <w:gridSpan w:val="2"/>
            <w:shd w:val="clear" w:color="auto" w:fill="auto"/>
            <w:vAlign w:val="top"/>
          </w:tcPr>
          <w:p w14:paraId="17A25EE5">
            <w:pPr>
              <w:pStyle w:val="132"/>
              <w:keepNext w:val="0"/>
              <w:keepLines w:val="0"/>
              <w:pageBreakBefore w:val="0"/>
              <w:widowControl w:val="0"/>
              <w:kinsoku/>
              <w:wordWrap/>
              <w:overflowPunct/>
              <w:topLinePunct w:val="0"/>
              <w:autoSpaceDE/>
              <w:autoSpaceDN/>
              <w:bidi w:val="0"/>
              <w:adjustRightInd/>
              <w:snapToGrid/>
              <w:spacing w:before="15" w:line="400" w:lineRule="exact"/>
              <w:ind w:left="831"/>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系统</w:t>
            </w:r>
          </w:p>
        </w:tc>
        <w:tc>
          <w:tcPr>
            <w:tcW w:w="5748" w:type="dxa"/>
            <w:gridSpan w:val="2"/>
            <w:shd w:val="clear" w:color="auto" w:fill="auto"/>
            <w:vAlign w:val="top"/>
          </w:tcPr>
          <w:p w14:paraId="5FE57991">
            <w:pPr>
              <w:pStyle w:val="132"/>
              <w:keepNext w:val="0"/>
              <w:keepLines w:val="0"/>
              <w:pageBreakBefore w:val="0"/>
              <w:widowControl w:val="0"/>
              <w:kinsoku/>
              <w:wordWrap/>
              <w:overflowPunct/>
              <w:topLinePunct w:val="0"/>
              <w:autoSpaceDE/>
              <w:autoSpaceDN/>
              <w:bidi w:val="0"/>
              <w:adjustRightInd/>
              <w:snapToGrid/>
              <w:spacing w:before="18" w:line="400" w:lineRule="exact"/>
              <w:ind w:left="2603"/>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模块</w:t>
            </w:r>
          </w:p>
        </w:tc>
      </w:tr>
      <w:tr w14:paraId="79F0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8AB6C58">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9" w:type="dxa"/>
            <w:gridSpan w:val="2"/>
            <w:vMerge w:val="restart"/>
            <w:tcBorders>
              <w:bottom w:val="nil"/>
            </w:tcBorders>
            <w:vAlign w:val="center"/>
          </w:tcPr>
          <w:p w14:paraId="590952AE">
            <w:pPr>
              <w:pStyle w:val="132"/>
              <w:keepNext w:val="0"/>
              <w:keepLines w:val="0"/>
              <w:pageBreakBefore w:val="0"/>
              <w:widowControl w:val="0"/>
              <w:kinsoku/>
              <w:wordWrap/>
              <w:overflowPunct/>
              <w:topLinePunct w:val="0"/>
              <w:autoSpaceDE/>
              <w:autoSpaceDN/>
              <w:bidi w:val="0"/>
              <w:adjustRightInd/>
              <w:snapToGrid/>
              <w:spacing w:before="75" w:line="400" w:lineRule="exact"/>
              <w:ind w:left="8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数据采集</w:t>
            </w:r>
          </w:p>
        </w:tc>
        <w:tc>
          <w:tcPr>
            <w:tcW w:w="5748" w:type="dxa"/>
            <w:gridSpan w:val="2"/>
            <w:vAlign w:val="top"/>
          </w:tcPr>
          <w:p w14:paraId="7E0B8035">
            <w:pPr>
              <w:pStyle w:val="132"/>
              <w:keepNext w:val="0"/>
              <w:keepLines w:val="0"/>
              <w:pageBreakBefore w:val="0"/>
              <w:widowControl w:val="0"/>
              <w:kinsoku/>
              <w:wordWrap/>
              <w:overflowPunct/>
              <w:topLinePunct w:val="0"/>
              <w:autoSpaceDE/>
              <w:autoSpaceDN/>
              <w:bidi w:val="0"/>
              <w:adjustRightInd/>
              <w:snapToGrid/>
              <w:spacing w:before="3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基本数据</w:t>
            </w:r>
          </w:p>
        </w:tc>
      </w:tr>
      <w:tr w14:paraId="4B5D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3437DFC">
            <w:pPr>
              <w:pStyle w:val="132"/>
              <w:keepNext w:val="0"/>
              <w:keepLines w:val="0"/>
              <w:pageBreakBefore w:val="0"/>
              <w:widowControl w:val="0"/>
              <w:kinsoku/>
              <w:wordWrap/>
              <w:overflowPunct/>
              <w:topLinePunct w:val="0"/>
              <w:autoSpaceDE/>
              <w:autoSpaceDN/>
              <w:bidi w:val="0"/>
              <w:adjustRightInd/>
              <w:snapToGrid/>
              <w:spacing w:before="10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89" w:type="dxa"/>
            <w:gridSpan w:val="2"/>
            <w:vMerge w:val="continue"/>
            <w:tcBorders>
              <w:top w:val="nil"/>
              <w:bottom w:val="nil"/>
            </w:tcBorders>
            <w:vAlign w:val="top"/>
          </w:tcPr>
          <w:p w14:paraId="1F87E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E3A1D0D">
            <w:pPr>
              <w:pStyle w:val="132"/>
              <w:keepNext w:val="0"/>
              <w:keepLines w:val="0"/>
              <w:pageBreakBefore w:val="0"/>
              <w:widowControl w:val="0"/>
              <w:kinsoku/>
              <w:wordWrap/>
              <w:overflowPunct/>
              <w:topLinePunct w:val="0"/>
              <w:autoSpaceDE/>
              <w:autoSpaceDN/>
              <w:bidi w:val="0"/>
              <w:adjustRightInd/>
              <w:snapToGrid/>
              <w:spacing w:before="3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医嘱数据</w:t>
            </w:r>
          </w:p>
        </w:tc>
      </w:tr>
      <w:tr w14:paraId="3043D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4AE69E9">
            <w:pPr>
              <w:pStyle w:val="132"/>
              <w:keepNext w:val="0"/>
              <w:keepLines w:val="0"/>
              <w:pageBreakBefore w:val="0"/>
              <w:widowControl w:val="0"/>
              <w:kinsoku/>
              <w:wordWrap/>
              <w:overflowPunct/>
              <w:topLinePunct w:val="0"/>
              <w:autoSpaceDE/>
              <w:autoSpaceDN/>
              <w:bidi w:val="0"/>
              <w:adjustRightInd/>
              <w:snapToGrid/>
              <w:spacing w:before="8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89" w:type="dxa"/>
            <w:gridSpan w:val="2"/>
            <w:vMerge w:val="continue"/>
            <w:tcBorders>
              <w:top w:val="nil"/>
              <w:bottom w:val="nil"/>
            </w:tcBorders>
            <w:vAlign w:val="top"/>
          </w:tcPr>
          <w:p w14:paraId="375735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260533D">
            <w:pPr>
              <w:pStyle w:val="132"/>
              <w:keepNext w:val="0"/>
              <w:keepLines w:val="0"/>
              <w:pageBreakBefore w:val="0"/>
              <w:widowControl w:val="0"/>
              <w:kinsoku/>
              <w:wordWrap/>
              <w:overflowPunct/>
              <w:topLinePunct w:val="0"/>
              <w:autoSpaceDE/>
              <w:autoSpaceDN/>
              <w:bidi w:val="0"/>
              <w:adjustRightInd/>
              <w:snapToGrid/>
              <w:spacing w:before="2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诊断数据</w:t>
            </w:r>
          </w:p>
        </w:tc>
      </w:tr>
      <w:tr w14:paraId="28D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219E01ED">
            <w:pPr>
              <w:pStyle w:val="132"/>
              <w:keepNext w:val="0"/>
              <w:keepLines w:val="0"/>
              <w:pageBreakBefore w:val="0"/>
              <w:widowControl w:val="0"/>
              <w:kinsoku/>
              <w:wordWrap/>
              <w:overflowPunct/>
              <w:topLinePunct w:val="0"/>
              <w:autoSpaceDE/>
              <w:autoSpaceDN/>
              <w:bidi w:val="0"/>
              <w:adjustRightInd/>
              <w:snapToGrid/>
              <w:spacing w:before="83"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89" w:type="dxa"/>
            <w:gridSpan w:val="2"/>
            <w:vMerge w:val="continue"/>
            <w:tcBorders>
              <w:top w:val="nil"/>
              <w:bottom w:val="nil"/>
            </w:tcBorders>
            <w:vAlign w:val="top"/>
          </w:tcPr>
          <w:p w14:paraId="0D2275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E4BC7CB">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手术数据</w:t>
            </w:r>
          </w:p>
        </w:tc>
      </w:tr>
      <w:tr w14:paraId="3064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9E31938">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9" w:type="dxa"/>
            <w:gridSpan w:val="2"/>
            <w:vMerge w:val="continue"/>
            <w:tcBorders>
              <w:top w:val="nil"/>
              <w:bottom w:val="nil"/>
            </w:tcBorders>
            <w:vAlign w:val="top"/>
          </w:tcPr>
          <w:p w14:paraId="4B36D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5FC268E">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检验数据</w:t>
            </w:r>
          </w:p>
        </w:tc>
      </w:tr>
      <w:tr w14:paraId="350D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AA0BBFA">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89" w:type="dxa"/>
            <w:gridSpan w:val="2"/>
            <w:vMerge w:val="continue"/>
            <w:tcBorders>
              <w:top w:val="nil"/>
              <w:bottom w:val="nil"/>
            </w:tcBorders>
            <w:vAlign w:val="top"/>
          </w:tcPr>
          <w:p w14:paraId="705D18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E53A14F">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检查数据</w:t>
            </w:r>
          </w:p>
        </w:tc>
      </w:tr>
      <w:tr w14:paraId="390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E1B6F45">
            <w:pPr>
              <w:pStyle w:val="132"/>
              <w:keepNext w:val="0"/>
              <w:keepLines w:val="0"/>
              <w:pageBreakBefore w:val="0"/>
              <w:widowControl w:val="0"/>
              <w:kinsoku/>
              <w:wordWrap/>
              <w:overflowPunct/>
              <w:topLinePunct w:val="0"/>
              <w:autoSpaceDE/>
              <w:autoSpaceDN/>
              <w:bidi w:val="0"/>
              <w:adjustRightInd/>
              <w:snapToGrid/>
              <w:spacing w:before="7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89" w:type="dxa"/>
            <w:gridSpan w:val="2"/>
            <w:vMerge w:val="continue"/>
            <w:tcBorders>
              <w:top w:val="nil"/>
            </w:tcBorders>
            <w:vAlign w:val="top"/>
          </w:tcPr>
          <w:p w14:paraId="179AE6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3CBBC96">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电子病历数据</w:t>
            </w:r>
          </w:p>
        </w:tc>
      </w:tr>
      <w:tr w14:paraId="59AD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559B1BFE">
            <w:pPr>
              <w:pStyle w:val="132"/>
              <w:keepNext w:val="0"/>
              <w:keepLines w:val="0"/>
              <w:pageBreakBefore w:val="0"/>
              <w:widowControl w:val="0"/>
              <w:kinsoku/>
              <w:wordWrap/>
              <w:overflowPunct/>
              <w:topLinePunct w:val="0"/>
              <w:autoSpaceDE/>
              <w:autoSpaceDN/>
              <w:bidi w:val="0"/>
              <w:adjustRightInd/>
              <w:snapToGrid/>
              <w:spacing w:before="8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89" w:type="dxa"/>
            <w:gridSpan w:val="2"/>
            <w:vAlign w:val="top"/>
          </w:tcPr>
          <w:p w14:paraId="5C2025A8">
            <w:pPr>
              <w:pStyle w:val="132"/>
              <w:keepNext w:val="0"/>
              <w:keepLines w:val="0"/>
              <w:pageBreakBefore w:val="0"/>
              <w:widowControl w:val="0"/>
              <w:kinsoku/>
              <w:wordWrap/>
              <w:overflowPunct/>
              <w:topLinePunct w:val="0"/>
              <w:autoSpaceDE/>
              <w:autoSpaceDN/>
              <w:bidi w:val="0"/>
              <w:adjustRightInd/>
              <w:snapToGrid/>
              <w:spacing w:before="40"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▲数据智能处理</w:t>
            </w:r>
          </w:p>
        </w:tc>
        <w:tc>
          <w:tcPr>
            <w:tcW w:w="5748" w:type="dxa"/>
            <w:gridSpan w:val="2"/>
            <w:vAlign w:val="top"/>
          </w:tcPr>
          <w:p w14:paraId="213F9F8F">
            <w:pPr>
              <w:pStyle w:val="132"/>
              <w:keepNext w:val="0"/>
              <w:keepLines w:val="0"/>
              <w:pageBreakBefore w:val="0"/>
              <w:widowControl w:val="0"/>
              <w:kinsoku/>
              <w:wordWrap/>
              <w:overflowPunct/>
              <w:topLinePunct w:val="0"/>
              <w:autoSpaceDE/>
              <w:autoSpaceDN/>
              <w:bidi w:val="0"/>
              <w:adjustRightInd/>
              <w:snapToGrid/>
              <w:spacing w:before="6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诊疗数据自然语言处理</w:t>
            </w:r>
          </w:p>
        </w:tc>
      </w:tr>
      <w:tr w14:paraId="784F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68F64C1F">
            <w:pPr>
              <w:pStyle w:val="132"/>
              <w:keepNext w:val="0"/>
              <w:keepLines w:val="0"/>
              <w:pageBreakBefore w:val="0"/>
              <w:widowControl w:val="0"/>
              <w:kinsoku/>
              <w:wordWrap/>
              <w:overflowPunct/>
              <w:topLinePunct w:val="0"/>
              <w:autoSpaceDE/>
              <w:autoSpaceDN/>
              <w:bidi w:val="0"/>
              <w:adjustRightInd/>
              <w:snapToGrid/>
              <w:spacing w:before="92" w:line="400" w:lineRule="exact"/>
              <w:ind w:left="28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89" w:type="dxa"/>
            <w:gridSpan w:val="2"/>
            <w:vAlign w:val="top"/>
          </w:tcPr>
          <w:p w14:paraId="52FB0BC9">
            <w:pPr>
              <w:pStyle w:val="132"/>
              <w:keepNext w:val="0"/>
              <w:keepLines w:val="0"/>
              <w:pageBreakBefore w:val="0"/>
              <w:widowControl w:val="0"/>
              <w:kinsoku/>
              <w:wordWrap/>
              <w:overflowPunct/>
              <w:topLinePunct w:val="0"/>
              <w:autoSpaceDE/>
              <w:autoSpaceDN/>
              <w:bidi w:val="0"/>
              <w:adjustRightInd/>
              <w:snapToGrid/>
              <w:spacing w:before="28"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评估模型配置</w:t>
            </w:r>
          </w:p>
        </w:tc>
        <w:tc>
          <w:tcPr>
            <w:tcW w:w="5748" w:type="dxa"/>
            <w:gridSpan w:val="2"/>
            <w:vAlign w:val="top"/>
          </w:tcPr>
          <w:p w14:paraId="4FE12998">
            <w:pPr>
              <w:pStyle w:val="132"/>
              <w:keepNext w:val="0"/>
              <w:keepLines w:val="0"/>
              <w:pageBreakBefore w:val="0"/>
              <w:widowControl w:val="0"/>
              <w:kinsoku/>
              <w:wordWrap/>
              <w:overflowPunct/>
              <w:topLinePunct w:val="0"/>
              <w:autoSpaceDE/>
              <w:autoSpaceDN/>
              <w:bidi w:val="0"/>
              <w:adjustRightInd/>
              <w:snapToGrid/>
              <w:spacing w:before="2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评估模型规则配置</w:t>
            </w:r>
          </w:p>
        </w:tc>
      </w:tr>
      <w:tr w14:paraId="1D61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368B1FD6">
            <w:pPr>
              <w:pStyle w:val="132"/>
              <w:keepNext w:val="0"/>
              <w:keepLines w:val="0"/>
              <w:pageBreakBefore w:val="0"/>
              <w:widowControl w:val="0"/>
              <w:kinsoku/>
              <w:wordWrap/>
              <w:overflowPunct/>
              <w:topLinePunct w:val="0"/>
              <w:autoSpaceDE/>
              <w:autoSpaceDN/>
              <w:bidi w:val="0"/>
              <w:adjustRightInd/>
              <w:snapToGrid/>
              <w:spacing w:before="7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2189" w:type="dxa"/>
            <w:gridSpan w:val="2"/>
            <w:vMerge w:val="restart"/>
            <w:tcBorders>
              <w:bottom w:val="nil"/>
            </w:tcBorders>
            <w:vAlign w:val="center"/>
          </w:tcPr>
          <w:p w14:paraId="6523FF18">
            <w:pPr>
              <w:pStyle w:val="132"/>
              <w:keepNext w:val="0"/>
              <w:keepLines w:val="0"/>
              <w:pageBreakBefore w:val="0"/>
              <w:widowControl w:val="0"/>
              <w:kinsoku/>
              <w:wordWrap/>
              <w:overflowPunct/>
              <w:topLinePunct w:val="0"/>
              <w:autoSpaceDE/>
              <w:autoSpaceDN/>
              <w:bidi w:val="0"/>
              <w:adjustRightInd/>
              <w:snapToGrid/>
              <w:spacing w:before="75" w:line="400" w:lineRule="exact"/>
              <w:ind w:left="8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▲病例自动评估</w:t>
            </w:r>
          </w:p>
        </w:tc>
        <w:tc>
          <w:tcPr>
            <w:tcW w:w="5748" w:type="dxa"/>
            <w:gridSpan w:val="2"/>
            <w:vAlign w:val="top"/>
          </w:tcPr>
          <w:p w14:paraId="3687BE69">
            <w:pPr>
              <w:pStyle w:val="132"/>
              <w:keepNext w:val="0"/>
              <w:keepLines w:val="0"/>
              <w:pageBreakBefore w:val="0"/>
              <w:widowControl w:val="0"/>
              <w:kinsoku/>
              <w:wordWrap/>
              <w:overflowPunct/>
              <w:topLinePunct w:val="0"/>
              <w:autoSpaceDE/>
              <w:autoSpaceDN/>
              <w:bidi w:val="0"/>
              <w:adjustRightInd/>
              <w:snapToGrid/>
              <w:spacing w:before="2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风险评估</w:t>
            </w:r>
          </w:p>
        </w:tc>
      </w:tr>
      <w:tr w14:paraId="5BA7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159EE98">
            <w:pPr>
              <w:pStyle w:val="132"/>
              <w:keepNext w:val="0"/>
              <w:keepLines w:val="0"/>
              <w:pageBreakBefore w:val="0"/>
              <w:widowControl w:val="0"/>
              <w:kinsoku/>
              <w:wordWrap/>
              <w:overflowPunct/>
              <w:topLinePunct w:val="0"/>
              <w:autoSpaceDE/>
              <w:autoSpaceDN/>
              <w:bidi w:val="0"/>
              <w:adjustRightInd/>
              <w:snapToGrid/>
              <w:spacing w:before="9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p>
        </w:tc>
        <w:tc>
          <w:tcPr>
            <w:tcW w:w="2189" w:type="dxa"/>
            <w:gridSpan w:val="2"/>
            <w:vMerge w:val="continue"/>
            <w:tcBorders>
              <w:top w:val="nil"/>
              <w:bottom w:val="nil"/>
            </w:tcBorders>
            <w:vAlign w:val="top"/>
          </w:tcPr>
          <w:p w14:paraId="2BF25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6B31915">
            <w:pPr>
              <w:pStyle w:val="132"/>
              <w:keepNext w:val="0"/>
              <w:keepLines w:val="0"/>
              <w:pageBreakBefore w:val="0"/>
              <w:widowControl w:val="0"/>
              <w:kinsoku/>
              <w:wordWrap/>
              <w:overflowPunct/>
              <w:topLinePunct w:val="0"/>
              <w:autoSpaceDE/>
              <w:autoSpaceDN/>
              <w:bidi w:val="0"/>
              <w:adjustRightInd/>
              <w:snapToGrid/>
              <w:spacing w:before="3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出血评估</w:t>
            </w:r>
          </w:p>
        </w:tc>
      </w:tr>
      <w:tr w14:paraId="7AA7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6433337">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p>
        </w:tc>
        <w:tc>
          <w:tcPr>
            <w:tcW w:w="2189" w:type="dxa"/>
            <w:gridSpan w:val="2"/>
            <w:vMerge w:val="continue"/>
            <w:tcBorders>
              <w:top w:val="nil"/>
              <w:bottom w:val="nil"/>
            </w:tcBorders>
            <w:vAlign w:val="top"/>
          </w:tcPr>
          <w:p w14:paraId="0C774C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0B76424">
            <w:pPr>
              <w:pStyle w:val="132"/>
              <w:keepNext w:val="0"/>
              <w:keepLines w:val="0"/>
              <w:pageBreakBefore w:val="0"/>
              <w:widowControl w:val="0"/>
              <w:kinsoku/>
              <w:wordWrap/>
              <w:overflowPunct/>
              <w:topLinePunct w:val="0"/>
              <w:autoSpaceDE/>
              <w:autoSpaceDN/>
              <w:bidi w:val="0"/>
              <w:adjustRightInd/>
              <w:snapToGrid/>
              <w:spacing w:before="2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临床可能性评估</w:t>
            </w:r>
          </w:p>
        </w:tc>
      </w:tr>
      <w:tr w14:paraId="19FB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754E29FB">
            <w:pPr>
              <w:pStyle w:val="132"/>
              <w:keepNext w:val="0"/>
              <w:keepLines w:val="0"/>
              <w:pageBreakBefore w:val="0"/>
              <w:widowControl w:val="0"/>
              <w:kinsoku/>
              <w:wordWrap/>
              <w:overflowPunct/>
              <w:topLinePunct w:val="0"/>
              <w:autoSpaceDE/>
              <w:autoSpaceDN/>
              <w:bidi w:val="0"/>
              <w:adjustRightInd/>
              <w:snapToGrid/>
              <w:spacing w:before="7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13</w:t>
            </w:r>
          </w:p>
        </w:tc>
        <w:tc>
          <w:tcPr>
            <w:tcW w:w="2189" w:type="dxa"/>
            <w:gridSpan w:val="2"/>
            <w:vMerge w:val="continue"/>
            <w:tcBorders>
              <w:top w:val="nil"/>
              <w:bottom w:val="nil"/>
            </w:tcBorders>
            <w:vAlign w:val="top"/>
          </w:tcPr>
          <w:p w14:paraId="1C325D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53B2DC4">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病例特征评估</w:t>
            </w:r>
          </w:p>
        </w:tc>
      </w:tr>
      <w:tr w14:paraId="0800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056DD9A">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14</w:t>
            </w:r>
          </w:p>
        </w:tc>
        <w:tc>
          <w:tcPr>
            <w:tcW w:w="2189" w:type="dxa"/>
            <w:gridSpan w:val="2"/>
            <w:vMerge w:val="continue"/>
            <w:tcBorders>
              <w:top w:val="nil"/>
              <w:bottom w:val="nil"/>
            </w:tcBorders>
            <w:vAlign w:val="top"/>
          </w:tcPr>
          <w:p w14:paraId="20FA2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C1CAE5C">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禁忌评估</w:t>
            </w:r>
          </w:p>
        </w:tc>
      </w:tr>
      <w:tr w14:paraId="4C2A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0F1D1A72">
            <w:pPr>
              <w:pStyle w:val="132"/>
              <w:keepNext w:val="0"/>
              <w:keepLines w:val="0"/>
              <w:pageBreakBefore w:val="0"/>
              <w:widowControl w:val="0"/>
              <w:kinsoku/>
              <w:wordWrap/>
              <w:overflowPunct/>
              <w:topLinePunct w:val="0"/>
              <w:autoSpaceDE/>
              <w:autoSpaceDN/>
              <w:bidi w:val="0"/>
              <w:adjustRightInd/>
              <w:snapToGrid/>
              <w:spacing w:before="8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w:t>
            </w:r>
          </w:p>
        </w:tc>
        <w:tc>
          <w:tcPr>
            <w:tcW w:w="2189" w:type="dxa"/>
            <w:gridSpan w:val="2"/>
            <w:vMerge w:val="continue"/>
            <w:tcBorders>
              <w:top w:val="nil"/>
            </w:tcBorders>
            <w:vAlign w:val="top"/>
          </w:tcPr>
          <w:p w14:paraId="2F9BDE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28EEF9A">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肺栓塞危险分层</w:t>
            </w:r>
          </w:p>
        </w:tc>
      </w:tr>
      <w:tr w14:paraId="3A55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769AF49A">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w:t>
            </w:r>
          </w:p>
        </w:tc>
        <w:tc>
          <w:tcPr>
            <w:tcW w:w="2189" w:type="dxa"/>
            <w:gridSpan w:val="2"/>
            <w:vMerge w:val="restart"/>
            <w:vAlign w:val="top"/>
          </w:tcPr>
          <w:p w14:paraId="02617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72E41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FD360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E873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4CEDD29">
            <w:pPr>
              <w:pStyle w:val="132"/>
              <w:keepNext w:val="0"/>
              <w:keepLines w:val="0"/>
              <w:pageBreakBefore w:val="0"/>
              <w:widowControl w:val="0"/>
              <w:kinsoku/>
              <w:wordWrap/>
              <w:overflowPunct/>
              <w:topLinePunct w:val="0"/>
              <w:autoSpaceDE/>
              <w:autoSpaceDN/>
              <w:bidi w:val="0"/>
              <w:adjustRightInd/>
              <w:snapToGrid/>
              <w:spacing w:before="75" w:line="400" w:lineRule="exact"/>
              <w:ind w:left="8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▲护士站智慧护理</w:t>
            </w:r>
          </w:p>
        </w:tc>
        <w:tc>
          <w:tcPr>
            <w:tcW w:w="5748" w:type="dxa"/>
            <w:gridSpan w:val="2"/>
            <w:vAlign w:val="top"/>
          </w:tcPr>
          <w:p w14:paraId="5FD247CF">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床位图标提醒</w:t>
            </w:r>
          </w:p>
        </w:tc>
      </w:tr>
      <w:tr w14:paraId="7F7A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4F93B964">
            <w:pPr>
              <w:pStyle w:val="132"/>
              <w:keepNext w:val="0"/>
              <w:keepLines w:val="0"/>
              <w:pageBreakBefore w:val="0"/>
              <w:widowControl w:val="0"/>
              <w:kinsoku/>
              <w:wordWrap/>
              <w:overflowPunct/>
              <w:topLinePunct w:val="0"/>
              <w:autoSpaceDE/>
              <w:autoSpaceDN/>
              <w:bidi w:val="0"/>
              <w:adjustRightInd/>
              <w:snapToGrid/>
              <w:spacing w:before="77"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w:t>
            </w:r>
          </w:p>
        </w:tc>
        <w:tc>
          <w:tcPr>
            <w:tcW w:w="2189" w:type="dxa"/>
            <w:gridSpan w:val="2"/>
            <w:vMerge w:val="continue"/>
            <w:vAlign w:val="top"/>
          </w:tcPr>
          <w:p w14:paraId="355F69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98BA1B3">
            <w:pPr>
              <w:pStyle w:val="132"/>
              <w:keepNext w:val="0"/>
              <w:keepLines w:val="0"/>
              <w:pageBreakBefore w:val="0"/>
              <w:widowControl w:val="0"/>
              <w:kinsoku/>
              <w:wordWrap/>
              <w:overflowPunct/>
              <w:topLinePunct w:val="0"/>
              <w:autoSpaceDE/>
              <w:autoSpaceDN/>
              <w:bidi w:val="0"/>
              <w:adjustRightInd/>
              <w:snapToGrid/>
              <w:spacing w:before="2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节点自动创建</w:t>
            </w:r>
          </w:p>
        </w:tc>
      </w:tr>
      <w:tr w14:paraId="643F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585F43D2">
            <w:pPr>
              <w:pStyle w:val="132"/>
              <w:keepNext w:val="0"/>
              <w:keepLines w:val="0"/>
              <w:pageBreakBefore w:val="0"/>
              <w:widowControl w:val="0"/>
              <w:kinsoku/>
              <w:wordWrap/>
              <w:overflowPunct/>
              <w:topLinePunct w:val="0"/>
              <w:autoSpaceDE/>
              <w:autoSpaceDN/>
              <w:bidi w:val="0"/>
              <w:adjustRightInd/>
              <w:snapToGrid/>
              <w:spacing w:before="8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p>
        </w:tc>
        <w:tc>
          <w:tcPr>
            <w:tcW w:w="2189" w:type="dxa"/>
            <w:gridSpan w:val="2"/>
            <w:vMerge w:val="continue"/>
            <w:vAlign w:val="top"/>
          </w:tcPr>
          <w:p w14:paraId="6B051E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6CFD944">
            <w:pPr>
              <w:pStyle w:val="132"/>
              <w:keepNext w:val="0"/>
              <w:keepLines w:val="0"/>
              <w:pageBreakBefore w:val="0"/>
              <w:widowControl w:val="0"/>
              <w:kinsoku/>
              <w:wordWrap/>
              <w:overflowPunct/>
              <w:topLinePunct w:val="0"/>
              <w:autoSpaceDE/>
              <w:autoSpaceDN/>
              <w:bidi w:val="0"/>
              <w:adjustRightInd/>
              <w:snapToGrid/>
              <w:spacing w:before="4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节点审核评估</w:t>
            </w:r>
          </w:p>
        </w:tc>
      </w:tr>
      <w:tr w14:paraId="791B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3D893F3A">
            <w:pPr>
              <w:pStyle w:val="132"/>
              <w:keepNext w:val="0"/>
              <w:keepLines w:val="0"/>
              <w:pageBreakBefore w:val="0"/>
              <w:widowControl w:val="0"/>
              <w:kinsoku/>
              <w:wordWrap/>
              <w:overflowPunct/>
              <w:topLinePunct w:val="0"/>
              <w:autoSpaceDE/>
              <w:autoSpaceDN/>
              <w:bidi w:val="0"/>
              <w:adjustRightInd/>
              <w:snapToGrid/>
              <w:spacing w:before="8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w:t>
            </w:r>
          </w:p>
        </w:tc>
        <w:tc>
          <w:tcPr>
            <w:tcW w:w="2189" w:type="dxa"/>
            <w:gridSpan w:val="2"/>
            <w:vMerge w:val="continue"/>
            <w:vAlign w:val="top"/>
          </w:tcPr>
          <w:p w14:paraId="50012E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CC14C07">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节点趋势图</w:t>
            </w:r>
          </w:p>
        </w:tc>
      </w:tr>
      <w:tr w14:paraId="5A5D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1915CAF6">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c>
          <w:tcPr>
            <w:tcW w:w="2189" w:type="dxa"/>
            <w:gridSpan w:val="2"/>
            <w:vMerge w:val="continue"/>
            <w:vAlign w:val="top"/>
          </w:tcPr>
          <w:p w14:paraId="56926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1FDF4D4">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单节点打印表单</w:t>
            </w:r>
          </w:p>
        </w:tc>
      </w:tr>
      <w:tr w14:paraId="2704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202DEA9A">
            <w:pPr>
              <w:pStyle w:val="132"/>
              <w:keepNext w:val="0"/>
              <w:keepLines w:val="0"/>
              <w:pageBreakBefore w:val="0"/>
              <w:widowControl w:val="0"/>
              <w:kinsoku/>
              <w:wordWrap/>
              <w:overflowPunct/>
              <w:topLinePunct w:val="0"/>
              <w:autoSpaceDE/>
              <w:autoSpaceDN/>
              <w:bidi w:val="0"/>
              <w:adjustRightInd/>
              <w:snapToGrid/>
              <w:spacing w:before="7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w:t>
            </w:r>
          </w:p>
        </w:tc>
        <w:tc>
          <w:tcPr>
            <w:tcW w:w="2189" w:type="dxa"/>
            <w:gridSpan w:val="2"/>
            <w:vMerge w:val="continue"/>
            <w:vAlign w:val="top"/>
          </w:tcPr>
          <w:p w14:paraId="0AF5D3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FB624B7">
            <w:pPr>
              <w:pStyle w:val="132"/>
              <w:keepNext w:val="0"/>
              <w:keepLines w:val="0"/>
              <w:pageBreakBefore w:val="0"/>
              <w:widowControl w:val="0"/>
              <w:kinsoku/>
              <w:wordWrap/>
              <w:overflowPunct/>
              <w:topLinePunct w:val="0"/>
              <w:autoSpaceDE/>
              <w:autoSpaceDN/>
              <w:bidi w:val="0"/>
              <w:adjustRightInd/>
              <w:snapToGrid/>
              <w:spacing w:before="2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多节点一页纸打印</w:t>
            </w:r>
          </w:p>
        </w:tc>
      </w:tr>
      <w:tr w14:paraId="7F13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90" w:type="dxa"/>
            <w:vAlign w:val="top"/>
          </w:tcPr>
          <w:p w14:paraId="0EFF1C4F">
            <w:pPr>
              <w:pStyle w:val="132"/>
              <w:keepNext w:val="0"/>
              <w:keepLines w:val="0"/>
              <w:pageBreakBefore w:val="0"/>
              <w:widowControl w:val="0"/>
              <w:kinsoku/>
              <w:wordWrap/>
              <w:overflowPunct/>
              <w:topLinePunct w:val="0"/>
              <w:autoSpaceDE/>
              <w:autoSpaceDN/>
              <w:bidi w:val="0"/>
              <w:adjustRightInd/>
              <w:snapToGrid/>
              <w:spacing w:before="91"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p>
        </w:tc>
        <w:tc>
          <w:tcPr>
            <w:tcW w:w="2189" w:type="dxa"/>
            <w:gridSpan w:val="2"/>
            <w:vMerge w:val="continue"/>
            <w:vAlign w:val="top"/>
          </w:tcPr>
          <w:p w14:paraId="57C545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FB32E62">
            <w:pPr>
              <w:pStyle w:val="132"/>
              <w:keepNext w:val="0"/>
              <w:keepLines w:val="0"/>
              <w:pageBreakBefore w:val="0"/>
              <w:widowControl w:val="0"/>
              <w:kinsoku/>
              <w:wordWrap/>
              <w:overflowPunct/>
              <w:topLinePunct w:val="0"/>
              <w:autoSpaceDE/>
              <w:autoSpaceDN/>
              <w:bidi w:val="0"/>
              <w:adjustRightInd/>
              <w:snapToGrid/>
              <w:spacing w:before="5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表单</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签名</w:t>
            </w:r>
          </w:p>
        </w:tc>
      </w:tr>
      <w:tr w14:paraId="09898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C326551">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w:t>
            </w:r>
          </w:p>
        </w:tc>
        <w:tc>
          <w:tcPr>
            <w:tcW w:w="2188" w:type="dxa"/>
            <w:vMerge w:val="continue"/>
            <w:vAlign w:val="top"/>
          </w:tcPr>
          <w:p w14:paraId="1C2534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39F8726">
            <w:pPr>
              <w:pStyle w:val="132"/>
              <w:keepNext w:val="0"/>
              <w:keepLines w:val="0"/>
              <w:pageBreakBefore w:val="0"/>
              <w:widowControl w:val="0"/>
              <w:kinsoku/>
              <w:wordWrap/>
              <w:overflowPunct/>
              <w:topLinePunct w:val="0"/>
              <w:autoSpaceDE/>
              <w:autoSpaceDN/>
              <w:bidi w:val="0"/>
              <w:adjustRightInd/>
              <w:snapToGrid/>
              <w:spacing w:before="4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查询操作日志</w:t>
            </w:r>
          </w:p>
        </w:tc>
      </w:tr>
      <w:tr w14:paraId="7D9B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2C15C8A">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24</w:t>
            </w:r>
          </w:p>
        </w:tc>
        <w:tc>
          <w:tcPr>
            <w:tcW w:w="2188" w:type="dxa"/>
            <w:vMerge w:val="continue"/>
            <w:vAlign w:val="top"/>
          </w:tcPr>
          <w:p w14:paraId="3DC34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06E378D">
            <w:pPr>
              <w:pStyle w:val="132"/>
              <w:keepNext w:val="0"/>
              <w:keepLines w:val="0"/>
              <w:pageBreakBefore w:val="0"/>
              <w:widowControl w:val="0"/>
              <w:kinsoku/>
              <w:wordWrap/>
              <w:overflowPunct/>
              <w:topLinePunct w:val="0"/>
              <w:autoSpaceDE/>
              <w:autoSpaceDN/>
              <w:bidi w:val="0"/>
              <w:adjustRightInd/>
              <w:snapToGrid/>
              <w:spacing w:before="6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病区VTE指标统计</w:t>
            </w:r>
          </w:p>
        </w:tc>
      </w:tr>
      <w:tr w14:paraId="7F3D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64B7A2C">
            <w:pPr>
              <w:pStyle w:val="132"/>
              <w:keepNext w:val="0"/>
              <w:keepLines w:val="0"/>
              <w:pageBreakBefore w:val="0"/>
              <w:widowControl w:val="0"/>
              <w:kinsoku/>
              <w:wordWrap/>
              <w:overflowPunct/>
              <w:topLinePunct w:val="0"/>
              <w:autoSpaceDE/>
              <w:autoSpaceDN/>
              <w:bidi w:val="0"/>
              <w:adjustRightInd/>
              <w:snapToGrid/>
              <w:spacing w:before="94"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25</w:t>
            </w:r>
          </w:p>
        </w:tc>
        <w:tc>
          <w:tcPr>
            <w:tcW w:w="2188" w:type="dxa"/>
            <w:vMerge w:val="restart"/>
            <w:vAlign w:val="center"/>
          </w:tcPr>
          <w:p w14:paraId="271258FF">
            <w:pPr>
              <w:pStyle w:val="132"/>
              <w:keepNext w:val="0"/>
              <w:keepLines w:val="0"/>
              <w:pageBreakBefore w:val="0"/>
              <w:widowControl w:val="0"/>
              <w:kinsoku/>
              <w:wordWrap/>
              <w:overflowPunct/>
              <w:topLinePunct w:val="0"/>
              <w:autoSpaceDE/>
              <w:autoSpaceDN/>
              <w:bidi w:val="0"/>
              <w:adjustRightInd/>
              <w:snapToGrid/>
              <w:spacing w:before="78" w:line="400" w:lineRule="exact"/>
              <w:ind w:left="11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▲医生站智能辅助</w:t>
            </w:r>
          </w:p>
        </w:tc>
        <w:tc>
          <w:tcPr>
            <w:tcW w:w="5748" w:type="dxa"/>
            <w:gridSpan w:val="2"/>
            <w:vAlign w:val="top"/>
          </w:tcPr>
          <w:p w14:paraId="3B7A14FA">
            <w:pPr>
              <w:pStyle w:val="132"/>
              <w:keepNext w:val="0"/>
              <w:keepLines w:val="0"/>
              <w:pageBreakBefore w:val="0"/>
              <w:widowControl w:val="0"/>
              <w:kinsoku/>
              <w:wordWrap/>
              <w:overflowPunct/>
              <w:topLinePunct w:val="0"/>
              <w:autoSpaceDE/>
              <w:autoSpaceDN/>
              <w:bidi w:val="0"/>
              <w:adjustRightInd/>
              <w:snapToGrid/>
              <w:spacing w:before="7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患者列表图标提醒</w:t>
            </w:r>
          </w:p>
        </w:tc>
      </w:tr>
      <w:tr w14:paraId="26351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923363F">
            <w:pPr>
              <w:pStyle w:val="132"/>
              <w:keepNext w:val="0"/>
              <w:keepLines w:val="0"/>
              <w:pageBreakBefore w:val="0"/>
              <w:widowControl w:val="0"/>
              <w:kinsoku/>
              <w:wordWrap/>
              <w:overflowPunct/>
              <w:topLinePunct w:val="0"/>
              <w:autoSpaceDE/>
              <w:autoSpaceDN/>
              <w:bidi w:val="0"/>
              <w:adjustRightInd/>
              <w:snapToGrid/>
              <w:spacing w:before="7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26</w:t>
            </w:r>
          </w:p>
        </w:tc>
        <w:tc>
          <w:tcPr>
            <w:tcW w:w="2188" w:type="dxa"/>
            <w:vMerge w:val="continue"/>
            <w:vAlign w:val="top"/>
          </w:tcPr>
          <w:p w14:paraId="73F55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E420546">
            <w:pPr>
              <w:pStyle w:val="132"/>
              <w:keepNext w:val="0"/>
              <w:keepLines w:val="0"/>
              <w:pageBreakBefore w:val="0"/>
              <w:widowControl w:val="0"/>
              <w:kinsoku/>
              <w:wordWrap/>
              <w:overflowPunct/>
              <w:topLinePunct w:val="0"/>
              <w:autoSpaceDE/>
              <w:autoSpaceDN/>
              <w:bidi w:val="0"/>
              <w:adjustRightInd/>
              <w:snapToGrid/>
              <w:spacing w:before="2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节点审核评估</w:t>
            </w:r>
          </w:p>
        </w:tc>
      </w:tr>
      <w:tr w14:paraId="6FC1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197AC5B">
            <w:pPr>
              <w:pStyle w:val="132"/>
              <w:keepNext w:val="0"/>
              <w:keepLines w:val="0"/>
              <w:pageBreakBefore w:val="0"/>
              <w:widowControl w:val="0"/>
              <w:kinsoku/>
              <w:wordWrap/>
              <w:overflowPunct/>
              <w:topLinePunct w:val="0"/>
              <w:autoSpaceDE/>
              <w:autoSpaceDN/>
              <w:bidi w:val="0"/>
              <w:adjustRightInd/>
              <w:snapToGrid/>
              <w:spacing w:before="95"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27</w:t>
            </w:r>
          </w:p>
        </w:tc>
        <w:tc>
          <w:tcPr>
            <w:tcW w:w="2188" w:type="dxa"/>
            <w:vMerge w:val="continue"/>
            <w:vAlign w:val="top"/>
          </w:tcPr>
          <w:p w14:paraId="4BB246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05660F6">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方案推荐</w:t>
            </w:r>
          </w:p>
        </w:tc>
      </w:tr>
      <w:tr w14:paraId="51EA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F0D4ADE">
            <w:pPr>
              <w:pStyle w:val="132"/>
              <w:keepNext w:val="0"/>
              <w:keepLines w:val="0"/>
              <w:pageBreakBefore w:val="0"/>
              <w:widowControl w:val="0"/>
              <w:kinsoku/>
              <w:wordWrap/>
              <w:overflowPunct/>
              <w:topLinePunct w:val="0"/>
              <w:autoSpaceDE/>
              <w:autoSpaceDN/>
              <w:bidi w:val="0"/>
              <w:adjustRightInd/>
              <w:snapToGrid/>
              <w:spacing w:before="8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28</w:t>
            </w:r>
          </w:p>
        </w:tc>
        <w:tc>
          <w:tcPr>
            <w:tcW w:w="2188" w:type="dxa"/>
            <w:vMerge w:val="continue"/>
            <w:vAlign w:val="top"/>
          </w:tcPr>
          <w:p w14:paraId="2AAF88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847829F">
            <w:pPr>
              <w:pStyle w:val="132"/>
              <w:keepNext w:val="0"/>
              <w:keepLines w:val="0"/>
              <w:pageBreakBefore w:val="0"/>
              <w:widowControl w:val="0"/>
              <w:kinsoku/>
              <w:wordWrap/>
              <w:overflowPunct/>
              <w:topLinePunct w:val="0"/>
              <w:autoSpaceDE/>
              <w:autoSpaceDN/>
              <w:bidi w:val="0"/>
              <w:adjustRightInd/>
              <w:snapToGrid/>
              <w:spacing w:before="43"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医嘱录入</w:t>
            </w:r>
          </w:p>
        </w:tc>
      </w:tr>
      <w:tr w14:paraId="5CF0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C5FA35C">
            <w:pPr>
              <w:pStyle w:val="132"/>
              <w:keepNext w:val="0"/>
              <w:keepLines w:val="0"/>
              <w:pageBreakBefore w:val="0"/>
              <w:widowControl w:val="0"/>
              <w:kinsoku/>
              <w:wordWrap/>
              <w:overflowPunct/>
              <w:topLinePunct w:val="0"/>
              <w:autoSpaceDE/>
              <w:autoSpaceDN/>
              <w:bidi w:val="0"/>
              <w:adjustRightInd/>
              <w:snapToGrid/>
              <w:spacing w:before="76"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w:t>
            </w:r>
          </w:p>
        </w:tc>
        <w:tc>
          <w:tcPr>
            <w:tcW w:w="2188" w:type="dxa"/>
            <w:vMerge w:val="continue"/>
            <w:vAlign w:val="top"/>
          </w:tcPr>
          <w:p w14:paraId="09E2BF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E20EF64">
            <w:pPr>
              <w:pStyle w:val="132"/>
              <w:keepNext w:val="0"/>
              <w:keepLines w:val="0"/>
              <w:pageBreakBefore w:val="0"/>
              <w:widowControl w:val="0"/>
              <w:kinsoku/>
              <w:wordWrap/>
              <w:overflowPunct/>
              <w:topLinePunct w:val="0"/>
              <w:autoSpaceDE/>
              <w:autoSpaceDN/>
              <w:bidi w:val="0"/>
              <w:adjustRightInd/>
              <w:snapToGrid/>
              <w:spacing w:before="31"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打印知情同意书</w:t>
            </w:r>
          </w:p>
        </w:tc>
      </w:tr>
      <w:tr w14:paraId="7BCB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EBE940A">
            <w:pPr>
              <w:pStyle w:val="132"/>
              <w:keepNext w:val="0"/>
              <w:keepLines w:val="0"/>
              <w:pageBreakBefore w:val="0"/>
              <w:widowControl w:val="0"/>
              <w:kinsoku/>
              <w:wordWrap/>
              <w:overflowPunct/>
              <w:topLinePunct w:val="0"/>
              <w:autoSpaceDE/>
              <w:autoSpaceDN/>
              <w:bidi w:val="0"/>
              <w:adjustRightInd/>
              <w:snapToGrid/>
              <w:spacing w:before="107"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30</w:t>
            </w:r>
          </w:p>
        </w:tc>
        <w:tc>
          <w:tcPr>
            <w:tcW w:w="2188" w:type="dxa"/>
            <w:vMerge w:val="continue"/>
            <w:vAlign w:val="top"/>
          </w:tcPr>
          <w:p w14:paraId="56CF9D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5452064">
            <w:pPr>
              <w:pStyle w:val="132"/>
              <w:keepNext w:val="0"/>
              <w:keepLines w:val="0"/>
              <w:pageBreakBefore w:val="0"/>
              <w:widowControl w:val="0"/>
              <w:kinsoku/>
              <w:wordWrap/>
              <w:overflowPunct/>
              <w:topLinePunct w:val="0"/>
              <w:autoSpaceDE/>
              <w:autoSpaceDN/>
              <w:bidi w:val="0"/>
              <w:adjustRightInd/>
              <w:snapToGrid/>
              <w:spacing w:before="5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修改确诊信息</w:t>
            </w:r>
          </w:p>
        </w:tc>
      </w:tr>
      <w:tr w14:paraId="6909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FFA6B45">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31</w:t>
            </w:r>
          </w:p>
        </w:tc>
        <w:tc>
          <w:tcPr>
            <w:tcW w:w="2188" w:type="dxa"/>
            <w:vMerge w:val="continue"/>
            <w:vAlign w:val="top"/>
          </w:tcPr>
          <w:p w14:paraId="755D7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98B5392">
            <w:pPr>
              <w:pStyle w:val="132"/>
              <w:keepNext w:val="0"/>
              <w:keepLines w:val="0"/>
              <w:pageBreakBefore w:val="0"/>
              <w:widowControl w:val="0"/>
              <w:kinsoku/>
              <w:wordWrap/>
              <w:overflowPunct/>
              <w:topLinePunct w:val="0"/>
              <w:autoSpaceDE/>
              <w:autoSpaceDN/>
              <w:bidi w:val="0"/>
              <w:adjustRightInd/>
              <w:snapToGrid/>
              <w:spacing w:before="3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临床智能卡控</w:t>
            </w:r>
          </w:p>
        </w:tc>
      </w:tr>
      <w:tr w14:paraId="0DDB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98834E8">
            <w:pPr>
              <w:pStyle w:val="132"/>
              <w:keepNext w:val="0"/>
              <w:keepLines w:val="0"/>
              <w:pageBreakBefore w:val="0"/>
              <w:widowControl w:val="0"/>
              <w:kinsoku/>
              <w:wordWrap/>
              <w:overflowPunct/>
              <w:topLinePunct w:val="0"/>
              <w:autoSpaceDE/>
              <w:autoSpaceDN/>
              <w:bidi w:val="0"/>
              <w:adjustRightInd/>
              <w:snapToGrid/>
              <w:spacing w:before="7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w:t>
            </w:r>
          </w:p>
        </w:tc>
        <w:tc>
          <w:tcPr>
            <w:tcW w:w="2188" w:type="dxa"/>
            <w:vMerge w:val="continue"/>
            <w:vAlign w:val="top"/>
          </w:tcPr>
          <w:p w14:paraId="770D7F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A6B0576">
            <w:pPr>
              <w:pStyle w:val="132"/>
              <w:keepNext w:val="0"/>
              <w:keepLines w:val="0"/>
              <w:pageBreakBefore w:val="0"/>
              <w:widowControl w:val="0"/>
              <w:kinsoku/>
              <w:wordWrap/>
              <w:overflowPunct/>
              <w:topLinePunct w:val="0"/>
              <w:autoSpaceDE/>
              <w:autoSpaceDN/>
              <w:bidi w:val="0"/>
              <w:adjustRightInd/>
              <w:snapToGrid/>
              <w:spacing w:before="5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节点趋势图</w:t>
            </w:r>
          </w:p>
        </w:tc>
      </w:tr>
      <w:tr w14:paraId="7D3D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08405E3">
            <w:pPr>
              <w:pStyle w:val="132"/>
              <w:keepNext w:val="0"/>
              <w:keepLines w:val="0"/>
              <w:pageBreakBefore w:val="0"/>
              <w:widowControl w:val="0"/>
              <w:kinsoku/>
              <w:wordWrap/>
              <w:overflowPunct/>
              <w:topLinePunct w:val="0"/>
              <w:autoSpaceDE/>
              <w:autoSpaceDN/>
              <w:bidi w:val="0"/>
              <w:adjustRightInd/>
              <w:snapToGrid/>
              <w:spacing w:before="68"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33</w:t>
            </w:r>
          </w:p>
        </w:tc>
        <w:tc>
          <w:tcPr>
            <w:tcW w:w="2188" w:type="dxa"/>
            <w:vMerge w:val="continue"/>
            <w:vAlign w:val="top"/>
          </w:tcPr>
          <w:p w14:paraId="70C8DD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BCDB1F3">
            <w:pPr>
              <w:pStyle w:val="132"/>
              <w:keepNext w:val="0"/>
              <w:keepLines w:val="0"/>
              <w:pageBreakBefore w:val="0"/>
              <w:widowControl w:val="0"/>
              <w:kinsoku/>
              <w:wordWrap/>
              <w:overflowPunct/>
              <w:topLinePunct w:val="0"/>
              <w:autoSpaceDE/>
              <w:autoSpaceDN/>
              <w:bidi w:val="0"/>
              <w:adjustRightInd/>
              <w:snapToGrid/>
              <w:spacing w:before="45"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单节点打印表单</w:t>
            </w:r>
          </w:p>
        </w:tc>
      </w:tr>
      <w:tr w14:paraId="0F0F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65DE39E">
            <w:pPr>
              <w:pStyle w:val="132"/>
              <w:keepNext w:val="0"/>
              <w:keepLines w:val="0"/>
              <w:pageBreakBefore w:val="0"/>
              <w:widowControl w:val="0"/>
              <w:kinsoku/>
              <w:wordWrap/>
              <w:overflowPunct/>
              <w:topLinePunct w:val="0"/>
              <w:autoSpaceDE/>
              <w:autoSpaceDN/>
              <w:bidi w:val="0"/>
              <w:adjustRightInd/>
              <w:snapToGrid/>
              <w:spacing w:before="8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p>
        </w:tc>
        <w:tc>
          <w:tcPr>
            <w:tcW w:w="2188" w:type="dxa"/>
            <w:vMerge w:val="continue"/>
            <w:vAlign w:val="top"/>
          </w:tcPr>
          <w:p w14:paraId="738131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2E17312">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多节点一页纸打印</w:t>
            </w:r>
          </w:p>
        </w:tc>
      </w:tr>
      <w:tr w14:paraId="6EE63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24DFA6F">
            <w:pPr>
              <w:pStyle w:val="132"/>
              <w:keepNext w:val="0"/>
              <w:keepLines w:val="0"/>
              <w:pageBreakBefore w:val="0"/>
              <w:widowControl w:val="0"/>
              <w:kinsoku/>
              <w:wordWrap/>
              <w:overflowPunct/>
              <w:topLinePunct w:val="0"/>
              <w:autoSpaceDE/>
              <w:autoSpaceDN/>
              <w:bidi w:val="0"/>
              <w:adjustRightInd/>
              <w:snapToGrid/>
              <w:spacing w:before="8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p>
        </w:tc>
        <w:tc>
          <w:tcPr>
            <w:tcW w:w="2188" w:type="dxa"/>
            <w:vMerge w:val="continue"/>
            <w:vAlign w:val="top"/>
          </w:tcPr>
          <w:p w14:paraId="3A5BFB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054C606">
            <w:pPr>
              <w:pStyle w:val="132"/>
              <w:keepNext w:val="0"/>
              <w:keepLines w:val="0"/>
              <w:pageBreakBefore w:val="0"/>
              <w:widowControl w:val="0"/>
              <w:kinsoku/>
              <w:wordWrap/>
              <w:overflowPunct/>
              <w:topLinePunct w:val="0"/>
              <w:autoSpaceDE/>
              <w:autoSpaceDN/>
              <w:bidi w:val="0"/>
              <w:adjustRightInd/>
              <w:snapToGrid/>
              <w:spacing w:before="5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表单</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签名</w:t>
            </w:r>
          </w:p>
        </w:tc>
      </w:tr>
      <w:tr w14:paraId="034D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1309C85">
            <w:pPr>
              <w:pStyle w:val="132"/>
              <w:keepNext w:val="0"/>
              <w:keepLines w:val="0"/>
              <w:pageBreakBefore w:val="0"/>
              <w:widowControl w:val="0"/>
              <w:kinsoku/>
              <w:wordWrap/>
              <w:overflowPunct/>
              <w:topLinePunct w:val="0"/>
              <w:autoSpaceDE/>
              <w:autoSpaceDN/>
              <w:bidi w:val="0"/>
              <w:adjustRightInd/>
              <w:snapToGrid/>
              <w:spacing w:before="10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36</w:t>
            </w:r>
          </w:p>
        </w:tc>
        <w:tc>
          <w:tcPr>
            <w:tcW w:w="2188" w:type="dxa"/>
            <w:vMerge w:val="continue"/>
            <w:vAlign w:val="top"/>
          </w:tcPr>
          <w:p w14:paraId="6F3DB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1F332F7">
            <w:pPr>
              <w:pStyle w:val="132"/>
              <w:keepNext w:val="0"/>
              <w:keepLines w:val="0"/>
              <w:pageBreakBefore w:val="0"/>
              <w:widowControl w:val="0"/>
              <w:kinsoku/>
              <w:wordWrap/>
              <w:overflowPunct/>
              <w:topLinePunct w:val="0"/>
              <w:autoSpaceDE/>
              <w:autoSpaceDN/>
              <w:bidi w:val="0"/>
              <w:adjustRightInd/>
              <w:snapToGrid/>
              <w:spacing w:before="4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查询操作日志</w:t>
            </w:r>
          </w:p>
        </w:tc>
      </w:tr>
      <w:tr w14:paraId="4F61A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41EB478">
            <w:pPr>
              <w:pStyle w:val="132"/>
              <w:keepNext w:val="0"/>
              <w:keepLines w:val="0"/>
              <w:pageBreakBefore w:val="0"/>
              <w:widowControl w:val="0"/>
              <w:kinsoku/>
              <w:wordWrap/>
              <w:overflowPunct/>
              <w:topLinePunct w:val="0"/>
              <w:autoSpaceDE/>
              <w:autoSpaceDN/>
              <w:bidi w:val="0"/>
              <w:adjustRightInd/>
              <w:snapToGrid/>
              <w:spacing w:before="109"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37</w:t>
            </w:r>
          </w:p>
        </w:tc>
        <w:tc>
          <w:tcPr>
            <w:tcW w:w="2188" w:type="dxa"/>
            <w:vMerge w:val="continue"/>
            <w:vAlign w:val="top"/>
          </w:tcPr>
          <w:p w14:paraId="64E2C7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DFF6B96">
            <w:pPr>
              <w:pStyle w:val="132"/>
              <w:keepNext w:val="0"/>
              <w:keepLines w:val="0"/>
              <w:pageBreakBefore w:val="0"/>
              <w:widowControl w:val="0"/>
              <w:kinsoku/>
              <w:wordWrap/>
              <w:overflowPunct/>
              <w:topLinePunct w:val="0"/>
              <w:autoSpaceDE/>
              <w:autoSpaceDN/>
              <w:bidi w:val="0"/>
              <w:adjustRightInd/>
              <w:snapToGrid/>
              <w:spacing w:before="54"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科室VTE指标统计</w:t>
            </w:r>
          </w:p>
        </w:tc>
      </w:tr>
      <w:tr w14:paraId="74FE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88D72DE">
            <w:pPr>
              <w:pStyle w:val="132"/>
              <w:keepNext w:val="0"/>
              <w:keepLines w:val="0"/>
              <w:pageBreakBefore w:val="0"/>
              <w:widowControl w:val="0"/>
              <w:kinsoku/>
              <w:wordWrap/>
              <w:overflowPunct/>
              <w:topLinePunct w:val="0"/>
              <w:autoSpaceDE/>
              <w:autoSpaceDN/>
              <w:bidi w:val="0"/>
              <w:adjustRightInd/>
              <w:snapToGrid/>
              <w:spacing w:before="9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38</w:t>
            </w:r>
          </w:p>
        </w:tc>
        <w:tc>
          <w:tcPr>
            <w:tcW w:w="2188" w:type="dxa"/>
            <w:vMerge w:val="restart"/>
            <w:tcBorders>
              <w:bottom w:val="nil"/>
            </w:tcBorders>
            <w:vAlign w:val="center"/>
          </w:tcPr>
          <w:p w14:paraId="6AE4433E">
            <w:pPr>
              <w:pStyle w:val="132"/>
              <w:keepNext w:val="0"/>
              <w:keepLines w:val="0"/>
              <w:pageBreakBefore w:val="0"/>
              <w:widowControl w:val="0"/>
              <w:kinsoku/>
              <w:wordWrap/>
              <w:overflowPunct/>
              <w:topLinePunct w:val="0"/>
              <w:autoSpaceDE/>
              <w:autoSpaceDN/>
              <w:bidi w:val="0"/>
              <w:adjustRightInd/>
              <w:snapToGrid/>
              <w:spacing w:before="78" w:line="400" w:lineRule="exact"/>
              <w:ind w:left="9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1"/>
                <w:sz w:val="21"/>
                <w:szCs w:val="21"/>
                <w:highlight w:val="none"/>
              </w:rPr>
              <w:t>随访管理</w:t>
            </w:r>
          </w:p>
        </w:tc>
        <w:tc>
          <w:tcPr>
            <w:tcW w:w="5748" w:type="dxa"/>
            <w:gridSpan w:val="2"/>
            <w:vAlign w:val="top"/>
          </w:tcPr>
          <w:p w14:paraId="2FE3CCC9">
            <w:pPr>
              <w:pStyle w:val="132"/>
              <w:keepNext w:val="0"/>
              <w:keepLines w:val="0"/>
              <w:pageBreakBefore w:val="0"/>
              <w:widowControl w:val="0"/>
              <w:kinsoku/>
              <w:wordWrap/>
              <w:overflowPunct/>
              <w:topLinePunct w:val="0"/>
              <w:autoSpaceDE/>
              <w:autoSpaceDN/>
              <w:bidi w:val="0"/>
              <w:adjustRightInd/>
              <w:snapToGrid/>
              <w:spacing w:before="3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随访日历</w:t>
            </w:r>
          </w:p>
        </w:tc>
      </w:tr>
      <w:tr w14:paraId="4F96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F056D00">
            <w:pPr>
              <w:pStyle w:val="132"/>
              <w:keepNext w:val="0"/>
              <w:keepLines w:val="0"/>
              <w:pageBreakBefore w:val="0"/>
              <w:widowControl w:val="0"/>
              <w:kinsoku/>
              <w:wordWrap/>
              <w:overflowPunct/>
              <w:topLinePunct w:val="0"/>
              <w:autoSpaceDE/>
              <w:autoSpaceDN/>
              <w:bidi w:val="0"/>
              <w:adjustRightInd/>
              <w:snapToGrid/>
              <w:spacing w:before="7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39</w:t>
            </w:r>
          </w:p>
        </w:tc>
        <w:tc>
          <w:tcPr>
            <w:tcW w:w="2188" w:type="dxa"/>
            <w:vMerge w:val="continue"/>
            <w:tcBorders>
              <w:top w:val="nil"/>
              <w:bottom w:val="nil"/>
            </w:tcBorders>
            <w:vAlign w:val="top"/>
          </w:tcPr>
          <w:p w14:paraId="55CD4F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F2F8AE2">
            <w:pPr>
              <w:pStyle w:val="132"/>
              <w:keepNext w:val="0"/>
              <w:keepLines w:val="0"/>
              <w:pageBreakBefore w:val="0"/>
              <w:widowControl w:val="0"/>
              <w:kinsoku/>
              <w:wordWrap/>
              <w:overflowPunct/>
              <w:topLinePunct w:val="0"/>
              <w:autoSpaceDE/>
              <w:autoSpaceDN/>
              <w:bidi w:val="0"/>
              <w:adjustRightInd/>
              <w:snapToGrid/>
              <w:spacing w:before="4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随访列表</w:t>
            </w:r>
          </w:p>
        </w:tc>
      </w:tr>
      <w:tr w14:paraId="33D4E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8683CB6">
            <w:pPr>
              <w:pStyle w:val="132"/>
              <w:keepNext w:val="0"/>
              <w:keepLines w:val="0"/>
              <w:pageBreakBefore w:val="0"/>
              <w:widowControl w:val="0"/>
              <w:kinsoku/>
              <w:wordWrap/>
              <w:overflowPunct/>
              <w:topLinePunct w:val="0"/>
              <w:autoSpaceDE/>
              <w:autoSpaceDN/>
              <w:bidi w:val="0"/>
              <w:adjustRightInd/>
              <w:snapToGrid/>
              <w:spacing w:before="90"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40</w:t>
            </w:r>
          </w:p>
        </w:tc>
        <w:tc>
          <w:tcPr>
            <w:tcW w:w="2188" w:type="dxa"/>
            <w:vMerge w:val="continue"/>
            <w:tcBorders>
              <w:top w:val="nil"/>
            </w:tcBorders>
            <w:vAlign w:val="top"/>
          </w:tcPr>
          <w:p w14:paraId="360522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A610B4A">
            <w:pPr>
              <w:pStyle w:val="132"/>
              <w:keepNext w:val="0"/>
              <w:keepLines w:val="0"/>
              <w:pageBreakBefore w:val="0"/>
              <w:widowControl w:val="0"/>
              <w:kinsoku/>
              <w:wordWrap/>
              <w:overflowPunct/>
              <w:topLinePunct w:val="0"/>
              <w:autoSpaceDE/>
              <w:autoSpaceDN/>
              <w:bidi w:val="0"/>
              <w:adjustRightInd/>
              <w:snapToGrid/>
              <w:spacing w:before="3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随访表单</w:t>
            </w:r>
          </w:p>
        </w:tc>
      </w:tr>
      <w:tr w14:paraId="05D5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557A75D">
            <w:pPr>
              <w:pStyle w:val="132"/>
              <w:keepNext w:val="0"/>
              <w:keepLines w:val="0"/>
              <w:pageBreakBefore w:val="0"/>
              <w:widowControl w:val="0"/>
              <w:kinsoku/>
              <w:wordWrap/>
              <w:overflowPunct/>
              <w:topLinePunct w:val="0"/>
              <w:autoSpaceDE/>
              <w:autoSpaceDN/>
              <w:bidi w:val="0"/>
              <w:adjustRightInd/>
              <w:snapToGrid/>
              <w:spacing w:before="91"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41</w:t>
            </w:r>
          </w:p>
        </w:tc>
        <w:tc>
          <w:tcPr>
            <w:tcW w:w="2188" w:type="dxa"/>
            <w:vMerge w:val="restart"/>
            <w:tcBorders>
              <w:bottom w:val="nil"/>
            </w:tcBorders>
            <w:vAlign w:val="top"/>
          </w:tcPr>
          <w:p w14:paraId="41E520FC">
            <w:pPr>
              <w:pStyle w:val="132"/>
              <w:keepNext w:val="0"/>
              <w:keepLines w:val="0"/>
              <w:pageBreakBefore w:val="0"/>
              <w:widowControl w:val="0"/>
              <w:kinsoku/>
              <w:wordWrap/>
              <w:overflowPunct/>
              <w:topLinePunct w:val="0"/>
              <w:autoSpaceDE/>
              <w:autoSpaceDN/>
              <w:bidi w:val="0"/>
              <w:adjustRightInd/>
              <w:snapToGrid/>
              <w:spacing w:before="298" w:line="400" w:lineRule="exact"/>
              <w:ind w:left="11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在院病例预警提醒</w:t>
            </w:r>
          </w:p>
        </w:tc>
        <w:tc>
          <w:tcPr>
            <w:tcW w:w="5748" w:type="dxa"/>
            <w:gridSpan w:val="2"/>
            <w:vAlign w:val="top"/>
          </w:tcPr>
          <w:p w14:paraId="7D91CD75">
            <w:pPr>
              <w:pStyle w:val="132"/>
              <w:keepNext w:val="0"/>
              <w:keepLines w:val="0"/>
              <w:pageBreakBefore w:val="0"/>
              <w:widowControl w:val="0"/>
              <w:kinsoku/>
              <w:wordWrap/>
              <w:overflowPunct/>
              <w:topLinePunct w:val="0"/>
              <w:autoSpaceDE/>
              <w:autoSpaceDN/>
              <w:bidi w:val="0"/>
              <w:adjustRightInd/>
              <w:snapToGrid/>
              <w:spacing w:before="28"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全院指标统计</w:t>
            </w:r>
          </w:p>
        </w:tc>
      </w:tr>
      <w:tr w14:paraId="0053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AAB6D3D">
            <w:pPr>
              <w:pStyle w:val="132"/>
              <w:keepNext w:val="0"/>
              <w:keepLines w:val="0"/>
              <w:pageBreakBefore w:val="0"/>
              <w:widowControl w:val="0"/>
              <w:kinsoku/>
              <w:wordWrap/>
              <w:overflowPunct/>
              <w:topLinePunct w:val="0"/>
              <w:autoSpaceDE/>
              <w:autoSpaceDN/>
              <w:bidi w:val="0"/>
              <w:adjustRightInd/>
              <w:snapToGrid/>
              <w:spacing w:before="8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42</w:t>
            </w:r>
          </w:p>
        </w:tc>
        <w:tc>
          <w:tcPr>
            <w:tcW w:w="2188" w:type="dxa"/>
            <w:vMerge w:val="continue"/>
            <w:tcBorders>
              <w:top w:val="nil"/>
            </w:tcBorders>
            <w:vAlign w:val="top"/>
          </w:tcPr>
          <w:p w14:paraId="7E2494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175784C9">
            <w:pPr>
              <w:pStyle w:val="132"/>
              <w:keepNext w:val="0"/>
              <w:keepLines w:val="0"/>
              <w:pageBreakBefore w:val="0"/>
              <w:widowControl w:val="0"/>
              <w:kinsoku/>
              <w:wordWrap/>
              <w:overflowPunct/>
              <w:topLinePunct w:val="0"/>
              <w:autoSpaceDE/>
              <w:autoSpaceDN/>
              <w:bidi w:val="0"/>
              <w:adjustRightInd/>
              <w:snapToGrid/>
              <w:spacing w:before="47"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科室指标统计</w:t>
            </w:r>
          </w:p>
        </w:tc>
      </w:tr>
      <w:tr w14:paraId="7428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F4EFAF4">
            <w:pPr>
              <w:pStyle w:val="132"/>
              <w:keepNext w:val="0"/>
              <w:keepLines w:val="0"/>
              <w:pageBreakBefore w:val="0"/>
              <w:widowControl w:val="0"/>
              <w:kinsoku/>
              <w:wordWrap/>
              <w:overflowPunct/>
              <w:topLinePunct w:val="0"/>
              <w:autoSpaceDE/>
              <w:autoSpaceDN/>
              <w:bidi w:val="0"/>
              <w:adjustRightInd/>
              <w:snapToGrid/>
              <w:spacing w:before="10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w:t>
            </w:r>
          </w:p>
        </w:tc>
        <w:tc>
          <w:tcPr>
            <w:tcW w:w="2188" w:type="dxa"/>
            <w:vMerge w:val="restart"/>
            <w:tcBorders>
              <w:bottom w:val="nil"/>
            </w:tcBorders>
            <w:vAlign w:val="center"/>
          </w:tcPr>
          <w:p w14:paraId="41628F29">
            <w:pPr>
              <w:pStyle w:val="132"/>
              <w:keepNext w:val="0"/>
              <w:keepLines w:val="0"/>
              <w:pageBreakBefore w:val="0"/>
              <w:widowControl w:val="0"/>
              <w:kinsoku/>
              <w:wordWrap/>
              <w:overflowPunct/>
              <w:topLinePunct w:val="0"/>
              <w:autoSpaceDE/>
              <w:autoSpaceDN/>
              <w:bidi w:val="0"/>
              <w:adjustRightInd/>
              <w:snapToGrid/>
              <w:spacing w:before="78" w:line="400" w:lineRule="exact"/>
              <w:ind w:left="17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VTE指标监评统计</w:t>
            </w:r>
          </w:p>
        </w:tc>
        <w:tc>
          <w:tcPr>
            <w:tcW w:w="5748" w:type="dxa"/>
            <w:gridSpan w:val="2"/>
            <w:vAlign w:val="top"/>
          </w:tcPr>
          <w:p w14:paraId="1096B73E">
            <w:pPr>
              <w:pStyle w:val="132"/>
              <w:keepNext w:val="0"/>
              <w:keepLines w:val="0"/>
              <w:pageBreakBefore w:val="0"/>
              <w:widowControl w:val="0"/>
              <w:kinsoku/>
              <w:wordWrap/>
              <w:overflowPunct/>
              <w:topLinePunct w:val="0"/>
              <w:autoSpaceDE/>
              <w:autoSpaceDN/>
              <w:bidi w:val="0"/>
              <w:adjustRightInd/>
              <w:snapToGrid/>
              <w:spacing w:before="49"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VTE综合统计</w:t>
            </w:r>
          </w:p>
        </w:tc>
      </w:tr>
      <w:tr w14:paraId="7BE1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1AA9D6F">
            <w:pPr>
              <w:pStyle w:val="132"/>
              <w:keepNext w:val="0"/>
              <w:keepLines w:val="0"/>
              <w:pageBreakBefore w:val="0"/>
              <w:widowControl w:val="0"/>
              <w:kinsoku/>
              <w:wordWrap/>
              <w:overflowPunct/>
              <w:topLinePunct w:val="0"/>
              <w:autoSpaceDE/>
              <w:autoSpaceDN/>
              <w:bidi w:val="0"/>
              <w:adjustRightInd/>
              <w:snapToGrid/>
              <w:spacing w:before="102"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44</w:t>
            </w:r>
          </w:p>
        </w:tc>
        <w:tc>
          <w:tcPr>
            <w:tcW w:w="2188" w:type="dxa"/>
            <w:vMerge w:val="continue"/>
            <w:tcBorders>
              <w:top w:val="nil"/>
              <w:bottom w:val="nil"/>
            </w:tcBorders>
            <w:vAlign w:val="top"/>
          </w:tcPr>
          <w:p w14:paraId="52272B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B6FBAAE">
            <w:pPr>
              <w:pStyle w:val="132"/>
              <w:keepNext w:val="0"/>
              <w:keepLines w:val="0"/>
              <w:pageBreakBefore w:val="0"/>
              <w:widowControl w:val="0"/>
              <w:kinsoku/>
              <w:wordWrap/>
              <w:overflowPunct/>
              <w:topLinePunct w:val="0"/>
              <w:autoSpaceDE/>
              <w:autoSpaceDN/>
              <w:bidi w:val="0"/>
              <w:adjustRightInd/>
              <w:snapToGrid/>
              <w:spacing w:before="56"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VTE评估质量</w:t>
            </w:r>
          </w:p>
        </w:tc>
      </w:tr>
      <w:tr w14:paraId="5180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276DC39">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45</w:t>
            </w:r>
          </w:p>
        </w:tc>
        <w:tc>
          <w:tcPr>
            <w:tcW w:w="2188" w:type="dxa"/>
            <w:vMerge w:val="continue"/>
            <w:tcBorders>
              <w:top w:val="nil"/>
              <w:bottom w:val="nil"/>
            </w:tcBorders>
            <w:vAlign w:val="top"/>
          </w:tcPr>
          <w:p w14:paraId="0B7A25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A4067A2">
            <w:pPr>
              <w:pStyle w:val="132"/>
              <w:keepNext w:val="0"/>
              <w:keepLines w:val="0"/>
              <w:pageBreakBefore w:val="0"/>
              <w:widowControl w:val="0"/>
              <w:kinsoku/>
              <w:wordWrap/>
              <w:overflowPunct/>
              <w:topLinePunct w:val="0"/>
              <w:autoSpaceDE/>
              <w:autoSpaceDN/>
              <w:bidi w:val="0"/>
              <w:adjustRightInd/>
              <w:snapToGrid/>
              <w:spacing w:before="4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VTE预防质量</w:t>
            </w:r>
          </w:p>
        </w:tc>
      </w:tr>
      <w:tr w14:paraId="0ED2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24C5A74">
            <w:pPr>
              <w:pStyle w:val="132"/>
              <w:keepNext w:val="0"/>
              <w:keepLines w:val="0"/>
              <w:pageBreakBefore w:val="0"/>
              <w:widowControl w:val="0"/>
              <w:kinsoku/>
              <w:wordWrap/>
              <w:overflowPunct/>
              <w:topLinePunct w:val="0"/>
              <w:autoSpaceDE/>
              <w:autoSpaceDN/>
              <w:bidi w:val="0"/>
              <w:adjustRightInd/>
              <w:snapToGrid/>
              <w:spacing w:before="9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46</w:t>
            </w:r>
          </w:p>
        </w:tc>
        <w:tc>
          <w:tcPr>
            <w:tcW w:w="2188" w:type="dxa"/>
            <w:vMerge w:val="continue"/>
            <w:tcBorders>
              <w:top w:val="nil"/>
              <w:bottom w:val="nil"/>
            </w:tcBorders>
            <w:vAlign w:val="top"/>
          </w:tcPr>
          <w:p w14:paraId="760E29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3B290B7">
            <w:pPr>
              <w:pStyle w:val="132"/>
              <w:keepNext w:val="0"/>
              <w:keepLines w:val="0"/>
              <w:pageBreakBefore w:val="0"/>
              <w:widowControl w:val="0"/>
              <w:kinsoku/>
              <w:wordWrap/>
              <w:overflowPunct/>
              <w:topLinePunct w:val="0"/>
              <w:autoSpaceDE/>
              <w:autoSpaceDN/>
              <w:bidi w:val="0"/>
              <w:adjustRightInd/>
              <w:snapToGrid/>
              <w:spacing w:before="5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VTE治疗质量</w:t>
            </w:r>
          </w:p>
        </w:tc>
      </w:tr>
      <w:tr w14:paraId="2BB7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DC49D88">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47</w:t>
            </w:r>
          </w:p>
        </w:tc>
        <w:tc>
          <w:tcPr>
            <w:tcW w:w="2188" w:type="dxa"/>
            <w:vMerge w:val="continue"/>
            <w:tcBorders>
              <w:top w:val="nil"/>
            </w:tcBorders>
            <w:vAlign w:val="top"/>
          </w:tcPr>
          <w:p w14:paraId="17CFF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E0A961D">
            <w:pPr>
              <w:pStyle w:val="132"/>
              <w:keepNext w:val="0"/>
              <w:keepLines w:val="0"/>
              <w:pageBreakBefore w:val="0"/>
              <w:widowControl w:val="0"/>
              <w:kinsoku/>
              <w:wordWrap/>
              <w:overflowPunct/>
              <w:topLinePunct w:val="0"/>
              <w:autoSpaceDE/>
              <w:autoSpaceDN/>
              <w:bidi w:val="0"/>
              <w:adjustRightInd/>
              <w:snapToGrid/>
              <w:spacing w:before="40"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VTE检验检查</w:t>
            </w:r>
          </w:p>
        </w:tc>
      </w:tr>
      <w:tr w14:paraId="19E9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0C5A7E9">
            <w:pPr>
              <w:pStyle w:val="132"/>
              <w:keepNext w:val="0"/>
              <w:keepLines w:val="0"/>
              <w:pageBreakBefore w:val="0"/>
              <w:widowControl w:val="0"/>
              <w:kinsoku/>
              <w:wordWrap/>
              <w:overflowPunct/>
              <w:topLinePunct w:val="0"/>
              <w:autoSpaceDE/>
              <w:autoSpaceDN/>
              <w:bidi w:val="0"/>
              <w:adjustRightInd/>
              <w:snapToGrid/>
              <w:spacing w:before="83" w:line="400" w:lineRule="exact"/>
              <w:ind w:left="22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48</w:t>
            </w:r>
          </w:p>
        </w:tc>
        <w:tc>
          <w:tcPr>
            <w:tcW w:w="2188" w:type="dxa"/>
            <w:vAlign w:val="top"/>
          </w:tcPr>
          <w:p w14:paraId="7B6A1449">
            <w:pPr>
              <w:pStyle w:val="132"/>
              <w:keepNext w:val="0"/>
              <w:keepLines w:val="0"/>
              <w:pageBreakBefore w:val="0"/>
              <w:widowControl w:val="0"/>
              <w:kinsoku/>
              <w:wordWrap/>
              <w:overflowPunct/>
              <w:topLinePunct w:val="0"/>
              <w:autoSpaceDE/>
              <w:autoSpaceDN/>
              <w:bidi w:val="0"/>
              <w:adjustRightInd/>
              <w:snapToGrid/>
              <w:spacing w:before="57" w:line="400" w:lineRule="exact"/>
              <w:ind w:left="9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3"/>
                <w:sz w:val="21"/>
                <w:szCs w:val="21"/>
                <w:highlight w:val="none"/>
              </w:rPr>
              <w:t>专题报告</w:t>
            </w:r>
          </w:p>
        </w:tc>
        <w:tc>
          <w:tcPr>
            <w:tcW w:w="5748" w:type="dxa"/>
            <w:gridSpan w:val="2"/>
            <w:vAlign w:val="top"/>
          </w:tcPr>
          <w:p w14:paraId="04084024">
            <w:pPr>
              <w:pStyle w:val="132"/>
              <w:keepNext w:val="0"/>
              <w:keepLines w:val="0"/>
              <w:pageBreakBefore w:val="0"/>
              <w:widowControl w:val="0"/>
              <w:kinsoku/>
              <w:wordWrap/>
              <w:overflowPunct/>
              <w:topLinePunct w:val="0"/>
              <w:autoSpaceDE/>
              <w:autoSpaceDN/>
              <w:bidi w:val="0"/>
              <w:adjustRightInd/>
              <w:snapToGrid/>
              <w:spacing w:before="43" w:line="400" w:lineRule="exact"/>
              <w:ind w:left="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VTE</w:t>
            </w:r>
            <w:r>
              <w:rPr>
                <w:rFonts w:hint="eastAsia" w:ascii="宋体" w:hAnsi="宋体" w:eastAsia="宋体" w:cs="宋体"/>
                <w:color w:val="auto"/>
                <w:spacing w:val="7"/>
                <w:sz w:val="21"/>
                <w:szCs w:val="21"/>
                <w:highlight w:val="none"/>
              </w:rPr>
              <w:t>分析报告</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z w:val="21"/>
                <w:szCs w:val="21"/>
                <w:highlight w:val="none"/>
              </w:rPr>
              <w:t>word</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pdf</w:t>
            </w:r>
            <w:r>
              <w:rPr>
                <w:rFonts w:hint="eastAsia" w:ascii="宋体" w:hAnsi="宋体" w:eastAsia="宋体" w:cs="宋体"/>
                <w:color w:val="auto"/>
                <w:sz w:val="21"/>
                <w:szCs w:val="21"/>
                <w:highlight w:val="none"/>
                <w:lang w:eastAsia="zh-CN"/>
              </w:rPr>
              <w:t>）</w:t>
            </w:r>
          </w:p>
        </w:tc>
      </w:tr>
      <w:tr w14:paraId="6779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1371875">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49</w:t>
            </w:r>
          </w:p>
        </w:tc>
        <w:tc>
          <w:tcPr>
            <w:tcW w:w="2188" w:type="dxa"/>
            <w:vMerge w:val="restart"/>
            <w:tcBorders>
              <w:bottom w:val="nil"/>
            </w:tcBorders>
            <w:vAlign w:val="center"/>
          </w:tcPr>
          <w:p w14:paraId="60727E55">
            <w:pPr>
              <w:pStyle w:val="132"/>
              <w:keepNext w:val="0"/>
              <w:keepLines w:val="0"/>
              <w:pageBreakBefore w:val="0"/>
              <w:widowControl w:val="0"/>
              <w:kinsoku/>
              <w:wordWrap/>
              <w:overflowPunct/>
              <w:topLinePunct w:val="0"/>
              <w:autoSpaceDE/>
              <w:autoSpaceDN/>
              <w:bidi w:val="0"/>
              <w:adjustRightInd/>
              <w:snapToGrid/>
              <w:spacing w:before="74" w:line="400" w:lineRule="exact"/>
              <w:ind w:left="121" w:right="29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VTE</w:t>
            </w:r>
            <w:r>
              <w:rPr>
                <w:rFonts w:hint="eastAsia" w:ascii="宋体" w:hAnsi="宋体" w:eastAsia="宋体" w:cs="宋体"/>
                <w:color w:val="auto"/>
                <w:spacing w:val="2"/>
                <w:sz w:val="21"/>
                <w:szCs w:val="21"/>
                <w:highlight w:val="none"/>
              </w:rPr>
              <w:t>防治质量控</w:t>
            </w:r>
            <w:r>
              <w:rPr>
                <w:rFonts w:hint="eastAsia" w:ascii="宋体" w:hAnsi="宋体" w:eastAsia="宋体" w:cs="宋体"/>
                <w:color w:val="auto"/>
                <w:spacing w:val="-2"/>
                <w:sz w:val="21"/>
                <w:szCs w:val="21"/>
                <w:highlight w:val="none"/>
              </w:rPr>
              <w:t>制核心指标</w:t>
            </w:r>
          </w:p>
        </w:tc>
        <w:tc>
          <w:tcPr>
            <w:tcW w:w="5748" w:type="dxa"/>
            <w:gridSpan w:val="2"/>
            <w:vAlign w:val="top"/>
          </w:tcPr>
          <w:p w14:paraId="31072C4A">
            <w:pPr>
              <w:pStyle w:val="132"/>
              <w:keepNext w:val="0"/>
              <w:keepLines w:val="0"/>
              <w:pageBreakBefore w:val="0"/>
              <w:widowControl w:val="0"/>
              <w:kinsoku/>
              <w:wordWrap/>
              <w:overflowPunct/>
              <w:topLinePunct w:val="0"/>
              <w:autoSpaceDE/>
              <w:autoSpaceDN/>
              <w:bidi w:val="0"/>
              <w:adjustRightInd/>
              <w:snapToGrid/>
              <w:spacing w:before="52"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VTE风险评估质量指标</w:t>
            </w:r>
          </w:p>
        </w:tc>
      </w:tr>
      <w:tr w14:paraId="6413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62D149E">
            <w:pPr>
              <w:pStyle w:val="132"/>
              <w:keepNext w:val="0"/>
              <w:keepLines w:val="0"/>
              <w:pageBreakBefore w:val="0"/>
              <w:widowControl w:val="0"/>
              <w:kinsoku/>
              <w:wordWrap/>
              <w:overflowPunct/>
              <w:topLinePunct w:val="0"/>
              <w:autoSpaceDE/>
              <w:autoSpaceDN/>
              <w:bidi w:val="0"/>
              <w:adjustRightInd/>
              <w:snapToGrid/>
              <w:spacing w:before="81"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50</w:t>
            </w:r>
          </w:p>
        </w:tc>
        <w:tc>
          <w:tcPr>
            <w:tcW w:w="2188" w:type="dxa"/>
            <w:vMerge w:val="continue"/>
            <w:tcBorders>
              <w:top w:val="nil"/>
              <w:bottom w:val="nil"/>
            </w:tcBorders>
            <w:vAlign w:val="top"/>
          </w:tcPr>
          <w:p w14:paraId="405FD6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4E375A8">
            <w:pPr>
              <w:pStyle w:val="132"/>
              <w:keepNext w:val="0"/>
              <w:keepLines w:val="0"/>
              <w:pageBreakBefore w:val="0"/>
              <w:widowControl w:val="0"/>
              <w:kinsoku/>
              <w:wordWrap/>
              <w:overflowPunct/>
              <w:topLinePunct w:val="0"/>
              <w:autoSpaceDE/>
              <w:autoSpaceDN/>
              <w:bidi w:val="0"/>
              <w:adjustRightInd/>
              <w:snapToGrid/>
              <w:spacing w:before="47"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出血风险评估质量指标</w:t>
            </w:r>
          </w:p>
        </w:tc>
      </w:tr>
      <w:tr w14:paraId="375C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076A044">
            <w:pPr>
              <w:pStyle w:val="132"/>
              <w:keepNext w:val="0"/>
              <w:keepLines w:val="0"/>
              <w:pageBreakBefore w:val="0"/>
              <w:widowControl w:val="0"/>
              <w:kinsoku/>
              <w:wordWrap/>
              <w:overflowPunct/>
              <w:topLinePunct w:val="0"/>
              <w:autoSpaceDE/>
              <w:autoSpaceDN/>
              <w:bidi w:val="0"/>
              <w:adjustRightInd/>
              <w:snapToGrid/>
              <w:spacing w:before="92"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51</w:t>
            </w:r>
          </w:p>
        </w:tc>
        <w:tc>
          <w:tcPr>
            <w:tcW w:w="2188" w:type="dxa"/>
            <w:vMerge w:val="continue"/>
            <w:tcBorders>
              <w:top w:val="nil"/>
              <w:bottom w:val="nil"/>
            </w:tcBorders>
            <w:vAlign w:val="top"/>
          </w:tcPr>
          <w:p w14:paraId="5DB3DF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1B177DA">
            <w:pPr>
              <w:pStyle w:val="132"/>
              <w:keepNext w:val="0"/>
              <w:keepLines w:val="0"/>
              <w:pageBreakBefore w:val="0"/>
              <w:widowControl w:val="0"/>
              <w:kinsoku/>
              <w:wordWrap/>
              <w:overflowPunct/>
              <w:topLinePunct w:val="0"/>
              <w:autoSpaceDE/>
              <w:autoSpaceDN/>
              <w:bidi w:val="0"/>
              <w:adjustRightInd/>
              <w:snapToGrid/>
              <w:spacing w:before="41"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药物预防质量指标</w:t>
            </w:r>
          </w:p>
        </w:tc>
      </w:tr>
      <w:tr w14:paraId="45C14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105F04CC">
            <w:pPr>
              <w:pStyle w:val="132"/>
              <w:keepNext w:val="0"/>
              <w:keepLines w:val="0"/>
              <w:pageBreakBefore w:val="0"/>
              <w:widowControl w:val="0"/>
              <w:kinsoku/>
              <w:wordWrap/>
              <w:overflowPunct/>
              <w:topLinePunct w:val="0"/>
              <w:autoSpaceDE/>
              <w:autoSpaceDN/>
              <w:bidi w:val="0"/>
              <w:adjustRightInd/>
              <w:snapToGrid/>
              <w:spacing w:before="83"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52</w:t>
            </w:r>
          </w:p>
        </w:tc>
        <w:tc>
          <w:tcPr>
            <w:tcW w:w="2188" w:type="dxa"/>
            <w:vMerge w:val="continue"/>
            <w:tcBorders>
              <w:top w:val="nil"/>
              <w:bottom w:val="nil"/>
            </w:tcBorders>
            <w:vAlign w:val="top"/>
          </w:tcPr>
          <w:p w14:paraId="266481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ECD5226">
            <w:pPr>
              <w:pStyle w:val="132"/>
              <w:keepNext w:val="0"/>
              <w:keepLines w:val="0"/>
              <w:pageBreakBefore w:val="0"/>
              <w:widowControl w:val="0"/>
              <w:kinsoku/>
              <w:wordWrap/>
              <w:overflowPunct/>
              <w:topLinePunct w:val="0"/>
              <w:autoSpaceDE/>
              <w:autoSpaceDN/>
              <w:bidi w:val="0"/>
              <w:adjustRightInd/>
              <w:snapToGrid/>
              <w:spacing w:before="50"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机械预防质量指标</w:t>
            </w:r>
          </w:p>
        </w:tc>
      </w:tr>
      <w:tr w14:paraId="2DE5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B67684D">
            <w:pPr>
              <w:pStyle w:val="132"/>
              <w:keepNext w:val="0"/>
              <w:keepLines w:val="0"/>
              <w:pageBreakBefore w:val="0"/>
              <w:widowControl w:val="0"/>
              <w:kinsoku/>
              <w:wordWrap/>
              <w:overflowPunct/>
              <w:topLinePunct w:val="0"/>
              <w:autoSpaceDE/>
              <w:autoSpaceDN/>
              <w:bidi w:val="0"/>
              <w:adjustRightInd/>
              <w:snapToGrid/>
              <w:spacing w:before="74"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53</w:t>
            </w:r>
          </w:p>
        </w:tc>
        <w:tc>
          <w:tcPr>
            <w:tcW w:w="2188" w:type="dxa"/>
            <w:vMerge w:val="continue"/>
            <w:tcBorders>
              <w:top w:val="nil"/>
              <w:bottom w:val="nil"/>
            </w:tcBorders>
            <w:vAlign w:val="top"/>
          </w:tcPr>
          <w:p w14:paraId="6D1D3E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5DBE87B">
            <w:pPr>
              <w:pStyle w:val="132"/>
              <w:keepNext w:val="0"/>
              <w:keepLines w:val="0"/>
              <w:pageBreakBefore w:val="0"/>
              <w:widowControl w:val="0"/>
              <w:kinsoku/>
              <w:wordWrap/>
              <w:overflowPunct/>
              <w:topLinePunct w:val="0"/>
              <w:autoSpaceDE/>
              <w:autoSpaceDN/>
              <w:bidi w:val="0"/>
              <w:adjustRightInd/>
              <w:snapToGrid/>
              <w:spacing w:before="53"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联合预防质量指标</w:t>
            </w:r>
          </w:p>
        </w:tc>
      </w:tr>
      <w:tr w14:paraId="21F4D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CD8EA50">
            <w:pPr>
              <w:pStyle w:val="132"/>
              <w:keepNext w:val="0"/>
              <w:keepLines w:val="0"/>
              <w:pageBreakBefore w:val="0"/>
              <w:widowControl w:val="0"/>
              <w:kinsoku/>
              <w:wordWrap/>
              <w:overflowPunct/>
              <w:topLinePunct w:val="0"/>
              <w:autoSpaceDE/>
              <w:autoSpaceDN/>
              <w:bidi w:val="0"/>
              <w:adjustRightInd/>
              <w:snapToGrid/>
              <w:spacing w:before="85"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54</w:t>
            </w:r>
          </w:p>
        </w:tc>
        <w:tc>
          <w:tcPr>
            <w:tcW w:w="2188" w:type="dxa"/>
            <w:vMerge w:val="continue"/>
            <w:tcBorders>
              <w:top w:val="nil"/>
              <w:bottom w:val="nil"/>
            </w:tcBorders>
            <w:vAlign w:val="top"/>
          </w:tcPr>
          <w:p w14:paraId="7A3DF5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05E56CA1">
            <w:pPr>
              <w:pStyle w:val="132"/>
              <w:keepNext w:val="0"/>
              <w:keepLines w:val="0"/>
              <w:pageBreakBefore w:val="0"/>
              <w:widowControl w:val="0"/>
              <w:kinsoku/>
              <w:wordWrap/>
              <w:overflowPunct/>
              <w:topLinePunct w:val="0"/>
              <w:autoSpaceDE/>
              <w:autoSpaceDN/>
              <w:bidi w:val="0"/>
              <w:adjustRightInd/>
              <w:snapToGrid/>
              <w:spacing w:before="63"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医院相关性VTE检出率、死亡率指标</w:t>
            </w:r>
          </w:p>
        </w:tc>
      </w:tr>
      <w:tr w14:paraId="3723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4D47297">
            <w:pPr>
              <w:pStyle w:val="132"/>
              <w:keepNext w:val="0"/>
              <w:keepLines w:val="0"/>
              <w:pageBreakBefore w:val="0"/>
              <w:widowControl w:val="0"/>
              <w:kinsoku/>
              <w:wordWrap/>
              <w:overflowPunct/>
              <w:topLinePunct w:val="0"/>
              <w:autoSpaceDE/>
              <w:autoSpaceDN/>
              <w:bidi w:val="0"/>
              <w:adjustRightInd/>
              <w:snapToGrid/>
              <w:spacing w:before="6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55</w:t>
            </w:r>
          </w:p>
        </w:tc>
        <w:tc>
          <w:tcPr>
            <w:tcW w:w="2188" w:type="dxa"/>
            <w:vMerge w:val="continue"/>
            <w:tcBorders>
              <w:top w:val="nil"/>
              <w:bottom w:val="nil"/>
            </w:tcBorders>
            <w:vAlign w:val="top"/>
          </w:tcPr>
          <w:p w14:paraId="52053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F290FDF">
            <w:pPr>
              <w:pStyle w:val="132"/>
              <w:keepNext w:val="0"/>
              <w:keepLines w:val="0"/>
              <w:pageBreakBefore w:val="0"/>
              <w:widowControl w:val="0"/>
              <w:kinsoku/>
              <w:wordWrap/>
              <w:overflowPunct/>
              <w:topLinePunct w:val="0"/>
              <w:autoSpaceDE/>
              <w:autoSpaceDN/>
              <w:bidi w:val="0"/>
              <w:adjustRightInd/>
              <w:snapToGrid/>
              <w:spacing w:before="25"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医院相关性</w:t>
            </w:r>
            <w:r>
              <w:rPr>
                <w:rFonts w:hint="eastAsia" w:ascii="宋体" w:hAnsi="宋体" w:eastAsia="宋体" w:cs="宋体"/>
                <w:color w:val="auto"/>
                <w:sz w:val="21"/>
                <w:szCs w:val="21"/>
                <w:highlight w:val="none"/>
              </w:rPr>
              <w:t>VTE</w:t>
            </w:r>
            <w:r>
              <w:rPr>
                <w:rFonts w:hint="eastAsia" w:ascii="宋体" w:hAnsi="宋体" w:eastAsia="宋体" w:cs="宋体"/>
                <w:color w:val="auto"/>
                <w:spacing w:val="1"/>
                <w:sz w:val="21"/>
                <w:szCs w:val="21"/>
                <w:highlight w:val="none"/>
              </w:rPr>
              <w:t>质量指标</w:t>
            </w:r>
          </w:p>
        </w:tc>
      </w:tr>
      <w:tr w14:paraId="234B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06461C50">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56</w:t>
            </w:r>
          </w:p>
        </w:tc>
        <w:tc>
          <w:tcPr>
            <w:tcW w:w="2188" w:type="dxa"/>
            <w:vMerge w:val="continue"/>
            <w:tcBorders>
              <w:top w:val="nil"/>
              <w:bottom w:val="nil"/>
            </w:tcBorders>
            <w:vAlign w:val="top"/>
          </w:tcPr>
          <w:p w14:paraId="611C30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906C0B1">
            <w:pPr>
              <w:pStyle w:val="132"/>
              <w:keepNext w:val="0"/>
              <w:keepLines w:val="0"/>
              <w:pageBreakBefore w:val="0"/>
              <w:widowControl w:val="0"/>
              <w:kinsoku/>
              <w:wordWrap/>
              <w:overflowPunct/>
              <w:topLinePunct w:val="0"/>
              <w:autoSpaceDE/>
              <w:autoSpaceDN/>
              <w:bidi w:val="0"/>
              <w:adjustRightInd/>
              <w:snapToGrid/>
              <w:spacing w:before="54"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VTE出血事件质量指标</w:t>
            </w:r>
          </w:p>
        </w:tc>
      </w:tr>
      <w:tr w14:paraId="1292A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697D300F">
            <w:pPr>
              <w:pStyle w:val="132"/>
              <w:keepNext w:val="0"/>
              <w:keepLines w:val="0"/>
              <w:pageBreakBefore w:val="0"/>
              <w:widowControl w:val="0"/>
              <w:kinsoku/>
              <w:wordWrap/>
              <w:overflowPunct/>
              <w:topLinePunct w:val="0"/>
              <w:autoSpaceDE/>
              <w:autoSpaceDN/>
              <w:bidi w:val="0"/>
              <w:adjustRightInd/>
              <w:snapToGrid/>
              <w:spacing w:before="76"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57</w:t>
            </w:r>
          </w:p>
        </w:tc>
        <w:tc>
          <w:tcPr>
            <w:tcW w:w="2188" w:type="dxa"/>
            <w:vMerge w:val="continue"/>
            <w:tcBorders>
              <w:top w:val="nil"/>
              <w:bottom w:val="nil"/>
            </w:tcBorders>
            <w:vAlign w:val="top"/>
          </w:tcPr>
          <w:p w14:paraId="6FFC9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3332F98">
            <w:pPr>
              <w:pStyle w:val="132"/>
              <w:keepNext w:val="0"/>
              <w:keepLines w:val="0"/>
              <w:pageBreakBefore w:val="0"/>
              <w:widowControl w:val="0"/>
              <w:kinsoku/>
              <w:wordWrap/>
              <w:overflowPunct/>
              <w:topLinePunct w:val="0"/>
              <w:autoSpaceDE/>
              <w:autoSpaceDN/>
              <w:bidi w:val="0"/>
              <w:adjustRightInd/>
              <w:snapToGrid/>
              <w:spacing w:before="42"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临床可能性评估质量指标</w:t>
            </w:r>
          </w:p>
        </w:tc>
      </w:tr>
      <w:tr w14:paraId="5C95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E84DE59">
            <w:pPr>
              <w:pStyle w:val="132"/>
              <w:keepNext w:val="0"/>
              <w:keepLines w:val="0"/>
              <w:pageBreakBefore w:val="0"/>
              <w:widowControl w:val="0"/>
              <w:kinsoku/>
              <w:wordWrap/>
              <w:overflowPunct/>
              <w:topLinePunct w:val="0"/>
              <w:autoSpaceDE/>
              <w:autoSpaceDN/>
              <w:bidi w:val="0"/>
              <w:adjustRightInd/>
              <w:snapToGrid/>
              <w:spacing w:before="67"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58</w:t>
            </w:r>
          </w:p>
        </w:tc>
        <w:tc>
          <w:tcPr>
            <w:tcW w:w="2188" w:type="dxa"/>
            <w:vMerge w:val="continue"/>
            <w:tcBorders>
              <w:top w:val="nil"/>
            </w:tcBorders>
            <w:vAlign w:val="top"/>
          </w:tcPr>
          <w:p w14:paraId="063868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59897788">
            <w:pPr>
              <w:pStyle w:val="132"/>
              <w:keepNext w:val="0"/>
              <w:keepLines w:val="0"/>
              <w:pageBreakBefore w:val="0"/>
              <w:widowControl w:val="0"/>
              <w:kinsoku/>
              <w:wordWrap/>
              <w:overflowPunct/>
              <w:topLinePunct w:val="0"/>
              <w:autoSpaceDE/>
              <w:autoSpaceDN/>
              <w:bidi w:val="0"/>
              <w:adjustRightInd/>
              <w:snapToGrid/>
              <w:spacing w:before="3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规范预防质量指标</w:t>
            </w:r>
          </w:p>
        </w:tc>
      </w:tr>
      <w:tr w14:paraId="2CDA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7E425CD8">
            <w:pPr>
              <w:pStyle w:val="132"/>
              <w:keepNext w:val="0"/>
              <w:keepLines w:val="0"/>
              <w:pageBreakBefore w:val="0"/>
              <w:widowControl w:val="0"/>
              <w:kinsoku/>
              <w:wordWrap/>
              <w:overflowPunct/>
              <w:topLinePunct w:val="0"/>
              <w:autoSpaceDE/>
              <w:autoSpaceDN/>
              <w:bidi w:val="0"/>
              <w:adjustRightInd/>
              <w:snapToGrid/>
              <w:spacing w:before="77"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59</w:t>
            </w:r>
          </w:p>
        </w:tc>
        <w:tc>
          <w:tcPr>
            <w:tcW w:w="2188" w:type="dxa"/>
            <w:vMerge w:val="restart"/>
            <w:tcBorders>
              <w:bottom w:val="nil"/>
            </w:tcBorders>
            <w:vAlign w:val="center"/>
          </w:tcPr>
          <w:p w14:paraId="3FF42F6F">
            <w:pPr>
              <w:pStyle w:val="132"/>
              <w:keepNext w:val="0"/>
              <w:keepLines w:val="0"/>
              <w:pageBreakBefore w:val="0"/>
              <w:widowControl w:val="0"/>
              <w:kinsoku/>
              <w:wordWrap/>
              <w:overflowPunct/>
              <w:topLinePunct w:val="0"/>
              <w:autoSpaceDE/>
              <w:autoSpaceDN/>
              <w:bidi w:val="0"/>
              <w:adjustRightInd/>
              <w:snapToGrid/>
              <w:spacing w:before="75" w:line="400" w:lineRule="exact"/>
              <w:ind w:left="1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报表统计</w:t>
            </w:r>
          </w:p>
        </w:tc>
        <w:tc>
          <w:tcPr>
            <w:tcW w:w="5748" w:type="dxa"/>
            <w:gridSpan w:val="2"/>
            <w:vAlign w:val="top"/>
          </w:tcPr>
          <w:p w14:paraId="174FD1F6">
            <w:pPr>
              <w:pStyle w:val="132"/>
              <w:keepNext w:val="0"/>
              <w:keepLines w:val="0"/>
              <w:pageBreakBefore w:val="0"/>
              <w:widowControl w:val="0"/>
              <w:kinsoku/>
              <w:wordWrap/>
              <w:overflowPunct/>
              <w:topLinePunct w:val="0"/>
              <w:autoSpaceDE/>
              <w:autoSpaceDN/>
              <w:bidi w:val="0"/>
              <w:adjustRightInd/>
              <w:snapToGrid/>
              <w:spacing w:before="5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出院患者节点分析统计</w:t>
            </w:r>
          </w:p>
        </w:tc>
      </w:tr>
      <w:tr w14:paraId="2A175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805CA15">
            <w:pPr>
              <w:pStyle w:val="132"/>
              <w:keepNext w:val="0"/>
              <w:keepLines w:val="0"/>
              <w:pageBreakBefore w:val="0"/>
              <w:widowControl w:val="0"/>
              <w:kinsoku/>
              <w:wordWrap/>
              <w:overflowPunct/>
              <w:topLinePunct w:val="0"/>
              <w:autoSpaceDE/>
              <w:autoSpaceDN/>
              <w:bidi w:val="0"/>
              <w:adjustRightInd/>
              <w:snapToGrid/>
              <w:spacing w:before="98"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60</w:t>
            </w:r>
          </w:p>
        </w:tc>
        <w:tc>
          <w:tcPr>
            <w:tcW w:w="2188" w:type="dxa"/>
            <w:vMerge w:val="continue"/>
            <w:tcBorders>
              <w:top w:val="nil"/>
              <w:bottom w:val="nil"/>
            </w:tcBorders>
            <w:vAlign w:val="top"/>
          </w:tcPr>
          <w:p w14:paraId="0C374C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3C4EB937">
            <w:pPr>
              <w:pStyle w:val="132"/>
              <w:keepNext w:val="0"/>
              <w:keepLines w:val="0"/>
              <w:pageBreakBefore w:val="0"/>
              <w:widowControl w:val="0"/>
              <w:kinsoku/>
              <w:wordWrap/>
              <w:overflowPunct/>
              <w:topLinePunct w:val="0"/>
              <w:autoSpaceDE/>
              <w:autoSpaceDN/>
              <w:bidi w:val="0"/>
              <w:adjustRightInd/>
              <w:snapToGrid/>
              <w:spacing w:before="3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出院患者随访数据统计</w:t>
            </w:r>
          </w:p>
        </w:tc>
      </w:tr>
      <w:tr w14:paraId="2A99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2E395E5B">
            <w:pPr>
              <w:pStyle w:val="132"/>
              <w:keepNext w:val="0"/>
              <w:keepLines w:val="0"/>
              <w:pageBreakBefore w:val="0"/>
              <w:widowControl w:val="0"/>
              <w:kinsoku/>
              <w:wordWrap/>
              <w:overflowPunct/>
              <w:topLinePunct w:val="0"/>
              <w:autoSpaceDE/>
              <w:autoSpaceDN/>
              <w:bidi w:val="0"/>
              <w:adjustRightInd/>
              <w:snapToGrid/>
              <w:spacing w:before="78"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61</w:t>
            </w:r>
          </w:p>
        </w:tc>
        <w:tc>
          <w:tcPr>
            <w:tcW w:w="2188" w:type="dxa"/>
            <w:vMerge w:val="continue"/>
            <w:tcBorders>
              <w:top w:val="nil"/>
              <w:bottom w:val="nil"/>
            </w:tcBorders>
            <w:vAlign w:val="top"/>
          </w:tcPr>
          <w:p w14:paraId="47B77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42291B91">
            <w:pPr>
              <w:pStyle w:val="132"/>
              <w:keepNext w:val="0"/>
              <w:keepLines w:val="0"/>
              <w:pageBreakBefore w:val="0"/>
              <w:widowControl w:val="0"/>
              <w:kinsoku/>
              <w:wordWrap/>
              <w:overflowPunct/>
              <w:topLinePunct w:val="0"/>
              <w:autoSpaceDE/>
              <w:autoSpaceDN/>
              <w:bidi w:val="0"/>
              <w:adjustRightInd/>
              <w:snapToGrid/>
              <w:spacing w:before="56"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医生护士审核数据统计</w:t>
            </w:r>
          </w:p>
        </w:tc>
      </w:tr>
      <w:tr w14:paraId="1641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45FD1AEB">
            <w:pPr>
              <w:pStyle w:val="132"/>
              <w:keepNext w:val="0"/>
              <w:keepLines w:val="0"/>
              <w:pageBreakBefore w:val="0"/>
              <w:widowControl w:val="0"/>
              <w:kinsoku/>
              <w:wordWrap/>
              <w:overflowPunct/>
              <w:topLinePunct w:val="0"/>
              <w:autoSpaceDE/>
              <w:autoSpaceDN/>
              <w:bidi w:val="0"/>
              <w:adjustRightInd/>
              <w:snapToGrid/>
              <w:spacing w:before="79"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62</w:t>
            </w:r>
          </w:p>
        </w:tc>
        <w:tc>
          <w:tcPr>
            <w:tcW w:w="2188" w:type="dxa"/>
            <w:vMerge w:val="continue"/>
            <w:tcBorders>
              <w:top w:val="nil"/>
              <w:bottom w:val="nil"/>
            </w:tcBorders>
            <w:vAlign w:val="top"/>
          </w:tcPr>
          <w:p w14:paraId="0AEDE8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23F7E8FD">
            <w:pPr>
              <w:pStyle w:val="132"/>
              <w:keepNext w:val="0"/>
              <w:keepLines w:val="0"/>
              <w:pageBreakBefore w:val="0"/>
              <w:widowControl w:val="0"/>
              <w:kinsoku/>
              <w:wordWrap/>
              <w:overflowPunct/>
              <w:topLinePunct w:val="0"/>
              <w:autoSpaceDE/>
              <w:autoSpaceDN/>
              <w:bidi w:val="0"/>
              <w:adjustRightInd/>
              <w:snapToGrid/>
              <w:spacing w:before="57"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VTE项目办公室平台上报数据统计</w:t>
            </w:r>
          </w:p>
        </w:tc>
      </w:tr>
      <w:tr w14:paraId="0B964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3F871F25">
            <w:pPr>
              <w:pStyle w:val="132"/>
              <w:keepNext w:val="0"/>
              <w:keepLines w:val="0"/>
              <w:pageBreakBefore w:val="0"/>
              <w:widowControl w:val="0"/>
              <w:kinsoku/>
              <w:wordWrap/>
              <w:overflowPunct/>
              <w:topLinePunct w:val="0"/>
              <w:autoSpaceDE/>
              <w:autoSpaceDN/>
              <w:bidi w:val="0"/>
              <w:adjustRightInd/>
              <w:snapToGrid/>
              <w:spacing w:before="100"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63</w:t>
            </w:r>
          </w:p>
        </w:tc>
        <w:tc>
          <w:tcPr>
            <w:tcW w:w="2188" w:type="dxa"/>
            <w:vMerge w:val="continue"/>
            <w:tcBorders>
              <w:top w:val="nil"/>
              <w:bottom w:val="nil"/>
            </w:tcBorders>
            <w:vAlign w:val="top"/>
          </w:tcPr>
          <w:p w14:paraId="02001F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62C4188F">
            <w:pPr>
              <w:pStyle w:val="132"/>
              <w:keepNext w:val="0"/>
              <w:keepLines w:val="0"/>
              <w:pageBreakBefore w:val="0"/>
              <w:widowControl w:val="0"/>
              <w:kinsoku/>
              <w:wordWrap/>
              <w:overflowPunct/>
              <w:topLinePunct w:val="0"/>
              <w:autoSpaceDE/>
              <w:autoSpaceDN/>
              <w:bidi w:val="0"/>
              <w:adjustRightInd/>
              <w:snapToGrid/>
              <w:spacing w:before="58"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全国医疗质量控制调查表数据统计</w:t>
            </w:r>
          </w:p>
        </w:tc>
      </w:tr>
      <w:tr w14:paraId="6C3C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jc w:val="center"/>
        </w:trPr>
        <w:tc>
          <w:tcPr>
            <w:tcW w:w="990" w:type="dxa"/>
            <w:vAlign w:val="top"/>
          </w:tcPr>
          <w:p w14:paraId="5A849AF4">
            <w:pPr>
              <w:pStyle w:val="132"/>
              <w:keepNext w:val="0"/>
              <w:keepLines w:val="0"/>
              <w:pageBreakBefore w:val="0"/>
              <w:widowControl w:val="0"/>
              <w:kinsoku/>
              <w:wordWrap/>
              <w:overflowPunct/>
              <w:topLinePunct w:val="0"/>
              <w:autoSpaceDE/>
              <w:autoSpaceDN/>
              <w:bidi w:val="0"/>
              <w:adjustRightInd/>
              <w:snapToGrid/>
              <w:spacing w:before="81" w:line="400" w:lineRule="exact"/>
              <w:ind w:left="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64</w:t>
            </w:r>
          </w:p>
        </w:tc>
        <w:tc>
          <w:tcPr>
            <w:tcW w:w="2188" w:type="dxa"/>
            <w:vMerge w:val="continue"/>
            <w:tcBorders>
              <w:top w:val="nil"/>
            </w:tcBorders>
            <w:vAlign w:val="top"/>
          </w:tcPr>
          <w:p w14:paraId="5F4F8C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5748" w:type="dxa"/>
            <w:gridSpan w:val="2"/>
            <w:vAlign w:val="top"/>
          </w:tcPr>
          <w:p w14:paraId="7651EE07">
            <w:pPr>
              <w:pStyle w:val="132"/>
              <w:keepNext w:val="0"/>
              <w:keepLines w:val="0"/>
              <w:pageBreakBefore w:val="0"/>
              <w:widowControl w:val="0"/>
              <w:kinsoku/>
              <w:wordWrap/>
              <w:overflowPunct/>
              <w:topLinePunct w:val="0"/>
              <w:autoSpaceDE/>
              <w:autoSpaceDN/>
              <w:bidi w:val="0"/>
              <w:adjustRightInd/>
              <w:snapToGrid/>
              <w:spacing w:before="49" w:line="400" w:lineRule="exact"/>
              <w:ind w:left="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ICU</w:t>
            </w:r>
            <w:r>
              <w:rPr>
                <w:rFonts w:hint="eastAsia" w:ascii="宋体" w:hAnsi="宋体" w:eastAsia="宋体" w:cs="宋体"/>
                <w:color w:val="auto"/>
                <w:spacing w:val="1"/>
                <w:sz w:val="21"/>
                <w:szCs w:val="21"/>
                <w:highlight w:val="none"/>
              </w:rPr>
              <w:t>医疗质量控制调查表数据统计</w:t>
            </w:r>
          </w:p>
        </w:tc>
      </w:tr>
    </w:tbl>
    <w:p w14:paraId="24ACF0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系统模块要求</w:t>
      </w:r>
    </w:p>
    <w:p w14:paraId="365085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数据采集</w:t>
      </w:r>
    </w:p>
    <w:p w14:paraId="7CFEA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系统通过整个HIS系统、LIS 系统、PACS 系统、手麻系统、电子病历系统、护理病 历系统等临床业务系统，持续增量获取病例在院期间的全部有效诊疗数据，包括病例基 本数据、医嘱数据、诊断数据、手术数据、检验数据、检查数据、电子病历数据、护理 记录数据，用于VTE 系统的筛查评估。</w:t>
      </w:r>
    </w:p>
    <w:p w14:paraId="338B30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数据智能处理</w:t>
      </w:r>
    </w:p>
    <w:p w14:paraId="4A0A22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患者在住院期间产生大量的临床业务数据，在繁杂的业务数据中包含结构化数据以 及分结构化数据，大部分数据不能直接应用于系统模型的评估筛查，需要进行数据的加 工、标化、归一，从而提升评估的精度和准确度。</w:t>
      </w:r>
    </w:p>
    <w:p w14:paraId="1905A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（3）评估模型配置</w:t>
      </w:r>
    </w:p>
    <w:p w14:paraId="478102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系统要根据国家指南内置各种模型，包括Caprini 评估模型、Padua 评估模型、肿  瘤科评估、外科出血风险评估模型、内科出血风险评估模型、禁忌评估模型、临床可能 性评估模型等，并支持新增、修改评估模型。</w:t>
      </w:r>
    </w:p>
    <w:p w14:paraId="066893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系统自动评估</w:t>
      </w:r>
    </w:p>
    <w:p w14:paraId="3A15D2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系统能够实现风险评估、出血评估、临床可能性评估以及病例特征评估，为指标统计、疾病防治提供数据基础。</w:t>
      </w:r>
    </w:p>
    <w:p w14:paraId="3129A1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风险评估</w:t>
      </w:r>
    </w:p>
    <w:p w14:paraId="12A2FF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能够使用Caprini 、Padua等指南推荐的风险评估量表对病例进行自动风险评估。</w:t>
      </w:r>
    </w:p>
    <w:p w14:paraId="7D3736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出血评估</w:t>
      </w:r>
    </w:p>
    <w:p w14:paraId="2DD555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能够使用外科出血量表、内科出血量表等指南推荐的风险评估量表对病例进行自动 出血评估。</w:t>
      </w:r>
    </w:p>
    <w:p w14:paraId="1A8C67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临床可能性评估</w:t>
      </w:r>
    </w:p>
    <w:p w14:paraId="333152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能够自动</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扫描病例数据集中的VTE 相关症状或者体征关键词，并自动触发VTE 的临床可能性评估。</w:t>
      </w:r>
    </w:p>
    <w:p w14:paraId="285AB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禁忌评估</w:t>
      </w:r>
    </w:p>
    <w:p w14:paraId="6A96EF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能够自动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对病例的特征进行评估分析，分析病例在预防、治疗过程中的禁忌特征，为精准</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推荐防治方案提供数据支撑。</w:t>
      </w:r>
    </w:p>
    <w:p w14:paraId="0FEB0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肺栓塞危险分层</w:t>
      </w:r>
    </w:p>
    <w:p w14:paraId="4DD0A0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针对确诊肺栓塞患者，自动实现肺栓塞危险分层评估，并提供简版评估表单和原版评估表单。</w:t>
      </w:r>
    </w:p>
    <w:p w14:paraId="1AE0F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护士站智慧护理</w:t>
      </w:r>
    </w:p>
    <w:p w14:paraId="17D9F0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床位图标提醒</w:t>
      </w:r>
    </w:p>
    <w:p w14:paraId="0D417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能够在HIS 护士工作站的床位图上展示VTE 低危、中危、高危、确诊图标以及提 醒评估的图标。</w:t>
      </w:r>
    </w:p>
    <w:p w14:paraId="2F682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节点自动创建</w:t>
      </w:r>
    </w:p>
    <w:p w14:paraId="227BAA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能够根据患者诊疗数据，自动创建入院、转科、术前、术后、病情变化、定期审核、出院等节点，并提醒临床护士审核。</w:t>
      </w:r>
    </w:p>
    <w:p w14:paraId="0F4D2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节点审核评估</w:t>
      </w:r>
    </w:p>
    <w:p w14:paraId="6B7414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临床护士可以修改、审核系统自动评估结果，并可以查询条目系统自动触发来源以及条目的新增、删除历史。</w:t>
      </w:r>
    </w:p>
    <w:p w14:paraId="2F0251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节点趋势图</w:t>
      </w:r>
    </w:p>
    <w:p w14:paraId="7AC0E5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临床护士可以查询患者住院期间风险评估趋势图、出血评估趋势图、临床可能性评估趋势图。</w:t>
      </w:r>
    </w:p>
    <w:p w14:paraId="1253E6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单节点打印表单</w:t>
      </w:r>
    </w:p>
    <w:p w14:paraId="3C852B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临床护士可以单独打印某个节点的风险、出血、临床可能性评估表单。</w:t>
      </w:r>
    </w:p>
    <w:p w14:paraId="33C529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多节点一页纸打印</w:t>
      </w:r>
    </w:p>
    <w:p w14:paraId="15EB27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临床护士可以在一张纸上汇总打印多个节点的风险评估信息。</w:t>
      </w:r>
    </w:p>
    <w:p w14:paraId="56018D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表单CA 签名</w:t>
      </w:r>
    </w:p>
    <w:p w14:paraId="0EBF8D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可以对接院内 CA 签名，并可以在打印表单时，审核人姓名显示CA手写体签名。</w:t>
      </w:r>
    </w:p>
    <w:p w14:paraId="79AF08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查询操作日志</w:t>
      </w:r>
    </w:p>
    <w:p w14:paraId="5525DF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能够查询临床对患者的临床操作日志，包括风险评估日志、出血评估日志、临床可能性评估日志、禁忌评估日志、打印表单日志、删除节点日志等。</w:t>
      </w:r>
    </w:p>
    <w:p w14:paraId="78B321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病区VTE 指标统计</w:t>
      </w:r>
    </w:p>
    <w:p w14:paraId="489A68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能够在HIS页面挂载病区VTE指标统计页面，无需登录，包含综合类指标、评估类指标、预防类指标、治疗类指标、检验检查指标、确诊指标等，并可以查询某指标的患者列表。</w:t>
      </w:r>
    </w:p>
    <w:p w14:paraId="7E6FBC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 xml:space="preserve">  医生站智能辅助</w:t>
      </w:r>
    </w:p>
    <w:p w14:paraId="1E364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患者列表图标提醒</w:t>
      </w:r>
    </w:p>
    <w:p w14:paraId="7CE653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 HIS医生工作站患者列表显示VTE 低危、中危、高危、确诊图标以及提醒审核图标。</w:t>
      </w:r>
    </w:p>
    <w:p w14:paraId="32B5F0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节点审核评估</w:t>
      </w:r>
    </w:p>
    <w:p w14:paraId="01090D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临床医生可以修改、审核系统自动评估结果，并可以查询条目系统自动触发来源以及条目的新增、删除历史。</w:t>
      </w:r>
    </w:p>
    <w:p w14:paraId="52AF43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方案推荐</w:t>
      </w:r>
    </w:p>
    <w:p w14:paraId="161D1A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系统能够根据临床审核结果，推荐预防方案。</w:t>
      </w:r>
    </w:p>
    <w:p w14:paraId="761868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医嘱录入</w:t>
      </w:r>
    </w:p>
    <w:p w14:paraId="2E22A9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系统支持快速把VTE 相关预防医嘱插入医嘱系统</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p>
    <w:p w14:paraId="3E0037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打印知情同意书</w:t>
      </w:r>
    </w:p>
    <w:p w14:paraId="0D0EDB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系统支持打印预防知情同意书、抗凝/溶栓知情同意书。</w:t>
      </w:r>
    </w:p>
    <w:p w14:paraId="3359A3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修改确诊信息</w:t>
      </w:r>
    </w:p>
    <w:p w14:paraId="4DB2BB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系统支持临床医生修改患者确诊信息。</w:t>
      </w:r>
    </w:p>
    <w:p w14:paraId="5F64A3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临床智能卡控</w:t>
      </w:r>
    </w:p>
    <w:p w14:paraId="1E1681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系统支持对未评估、未预防的患者进行医嘱卡控或病历卡控。</w:t>
      </w:r>
    </w:p>
    <w:p w14:paraId="598481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节点趋势图</w:t>
      </w:r>
    </w:p>
    <w:p w14:paraId="5AD1D9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临床医生可以查询患者住院期间风险评估趋势图、出血评估趋势图、临床可能性评估趋势图。</w:t>
      </w:r>
    </w:p>
    <w:p w14:paraId="4F25BC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单节点打印表单</w:t>
      </w:r>
    </w:p>
    <w:p w14:paraId="234FA4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临床医生可以单独打印某个节点的风险、出血、临床可能性评估表单。</w:t>
      </w:r>
    </w:p>
    <w:p w14:paraId="494EC2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多节点一页纸打印</w:t>
      </w:r>
    </w:p>
    <w:p w14:paraId="350A95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临床医生可以在一张纸上汇总打印多个节点的风险评估信息。</w:t>
      </w:r>
    </w:p>
    <w:p w14:paraId="1701BF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表单CA 签名</w:t>
      </w:r>
    </w:p>
    <w:p w14:paraId="2447A6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可以对接院内 CA 签名，并可以在打印表单时，审核人姓名显示 CA手写体签名。</w:t>
      </w:r>
    </w:p>
    <w:p w14:paraId="5B087E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查询操作日志</w:t>
      </w:r>
    </w:p>
    <w:p w14:paraId="5E575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能够查询临床对患者的临床操作日志，包括风险评估日志、出血评估日志、临床可能性评估日志、禁忌评估日志、打印表单日志、删除节点日志等。</w:t>
      </w:r>
    </w:p>
    <w:p w14:paraId="11CE7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科室VTE 指标统计</w:t>
      </w:r>
    </w:p>
    <w:p w14:paraId="75934E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能够在 HIS页面挂载科室VTE指标统计页面，无需登录，包含综合类指标、评估类指标、预防类指标、治疗类指标、检验检查指标、确诊指标等，并可以查询某指标的患者列表。</w:t>
      </w:r>
    </w:p>
    <w:p w14:paraId="735AC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VTE 随访管理</w:t>
      </w:r>
    </w:p>
    <w:p w14:paraId="07AAB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患者出院后系统可以自动把中高危以及确诊患者自动带入随访计划，并提醒医生或者护士进行电话随访</w:t>
      </w:r>
      <w:r>
        <w:rPr>
          <w:rFonts w:hint="eastAsia" w:ascii="宋体" w:hAnsi="宋体" w:eastAsia="宋体" w:cs="宋体"/>
          <w:color w:val="auto"/>
          <w:sz w:val="21"/>
          <w:szCs w:val="21"/>
          <w:highlight w:val="none"/>
          <w:lang w:eastAsia="zh-CN"/>
        </w:rPr>
        <w:t>。</w:t>
      </w:r>
    </w:p>
    <w:p w14:paraId="49BB80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随访日历</w:t>
      </w:r>
    </w:p>
    <w:p w14:paraId="714F78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随访日历页面，可以清楚</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显示某一天应随访多少人、未随访多少人、已随访多少人。</w:t>
      </w:r>
    </w:p>
    <w:p w14:paraId="1A49A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随访列表</w:t>
      </w:r>
    </w:p>
    <w:p w14:paraId="57E363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可以根据患者姓名、住院号等，查询未随访患者列表和已随访患者列表，方便临床医护快速找到需随访患者和查询已随访患者的信息。</w:t>
      </w:r>
    </w:p>
    <w:p w14:paraId="6A8AA0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随访表单</w:t>
      </w:r>
    </w:p>
    <w:p w14:paraId="5DC57B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临床医护可以在线填写随访表单，并可以修改历史随访表单以及打印随访表单。</w:t>
      </w:r>
    </w:p>
    <w:p w14:paraId="009D5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在院病例预警提醒</w:t>
      </w:r>
    </w:p>
    <w:p w14:paraId="5B44C7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针对全院病例的评估情况、预防情况、发病情况、治疗情况等相关指标进行实时、动态</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汇总呈现。按照科室粒度、医师粒度对诊疗过程中的VTE指标进行精细化的统计与管理。</w:t>
      </w:r>
    </w:p>
    <w:p w14:paraId="016AE0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全院指标统计</w:t>
      </w:r>
    </w:p>
    <w:p w14:paraId="674140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在院病例进行全员病例的全面筛查，分评估、预警、疑诊、确诊四个维度进行统计；评估包括：入院24H审核率、风险审核人次、出血审核人次，预警包括：未预防患者、中危患者、高危患者，疑诊包括：肺栓塞疑诊、下肢静脉血栓疑诊、其他血栓疑诊，确诊包括：肺栓塞、下肢静脉血栓、其他血栓；另外还统计预防和治疗措施的比率。</w:t>
      </w:r>
    </w:p>
    <w:p w14:paraId="34633B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科室指标统计</w:t>
      </w:r>
    </w:p>
    <w:p w14:paraId="7B0240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根据科室统计指标方便医务管理者进行科室管理，科室指标包括：在院患者、入院审核、动态审核、中高危患者、未预防患者、预防患者、疑似患者、确诊患者、院内确诊、未治疗患者、治疗患者。</w:t>
      </w:r>
    </w:p>
    <w:p w14:paraId="12B6C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VTE 指标监评统计</w:t>
      </w:r>
    </w:p>
    <w:p w14:paraId="120BC3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综合统计</w:t>
      </w:r>
    </w:p>
    <w:p w14:paraId="483322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包括VTE 疑诊指标、确诊指标、院内发生指标、单纯 PTE 指标、单纯 DVT 指标、DVT 合并PTE 指标、确诊死亡指标、健康宣教、确诊平均住院日、随访率等。</w:t>
      </w:r>
    </w:p>
    <w:p w14:paraId="1DCB4A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评估质量</w:t>
      </w:r>
    </w:p>
    <w:p w14:paraId="2C1706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风险评估率、入院评估率、术前评估率、术后评估率、转科评估率、出院评估率、入院未评估率、术前未评估率、术后未评估率、转科未评估率、出院未评估率、出血评估率、出血高危、高危患者、中危患者、低危患者等。</w:t>
      </w:r>
    </w:p>
    <w:p w14:paraId="5C1AB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预防质量</w:t>
      </w:r>
    </w:p>
    <w:p w14:paraId="6F6A84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包括需预防患者、预防指标、机械/药物预防指标、含基础预防指标、含机械预防指标、含药物预防指标、未预防指标等。</w:t>
      </w:r>
    </w:p>
    <w:p w14:paraId="15D92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治疗质量</w:t>
      </w:r>
    </w:p>
    <w:p w14:paraId="569D37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包括需治疗指标、治疗指标、含抗凝治疗指标、含溶栓治疗指标、含手术介入治疗 指标、未治疗指标等。</w:t>
      </w:r>
    </w:p>
    <w:p w14:paraId="25028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检验检查</w:t>
      </w:r>
    </w:p>
    <w:p w14:paraId="31FDAC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包括D-二聚体指标、中高危 D-二聚体指标、DVT 检查指标、中高危 DVT 检查指标、PTE 检查指标、中高危PTE 检查指标等。</w:t>
      </w:r>
    </w:p>
    <w:p w14:paraId="0661F9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 xml:space="preserve"> VTE 专项报告</w:t>
      </w:r>
    </w:p>
    <w:p w14:paraId="1EE8AB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系统能够根据院内提供的特定模板按照出院日期范围生成对应的VTE专题报告。</w:t>
      </w:r>
    </w:p>
    <w:p w14:paraId="519EC6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rPr>
        <w:t xml:space="preserve"> VTE 防治质量控制核心指标</w:t>
      </w:r>
    </w:p>
    <w:p w14:paraId="12C046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可根据VTE 项目办公室发布的《VTE 防治质量评价与管理建议》第三章 VTE防治质量控制核心指标内容进行分析统计。</w:t>
      </w:r>
    </w:p>
    <w:p w14:paraId="024237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VTE风险评估质量指标</w:t>
      </w:r>
    </w:p>
    <w:p w14:paraId="01754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在所有采集范围内的出院患者中，分别采集五类重点人群住院期间于四个关键动态时点完成《VTE风险评估量表》、接受 VTE风险评估的出院患者总例数，通过公式计算得出本指标。</w:t>
      </w:r>
    </w:p>
    <w:p w14:paraId="089029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出血风险评估质量指标</w:t>
      </w:r>
    </w:p>
    <w:p w14:paraId="7952D3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VTE风险评估结果为中高危的出院患者，并采集这部分患者中，在相应动态时点内完成《出血风险评估表单》、接受出血风险评估的出院患者总例数，通过公式计算得出本指标。</w:t>
      </w:r>
    </w:p>
    <w:p w14:paraId="665EA6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药物预防质量指标</w:t>
      </w:r>
    </w:p>
    <w:p w14:paraId="3B686C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VTE风险评估结果为中高危，且相应动态时点无出血风险的出院患者，并采集这部分患者中，在相应动态时点内下达了药物预防相关医嘱的出院患者总例数，通过公式计算得出本指标。</w:t>
      </w:r>
    </w:p>
    <w:p w14:paraId="1E49D2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机械预防质量指标</w:t>
      </w:r>
    </w:p>
    <w:p w14:paraId="69CFC3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VTE风险评估结果为中高危的出院患者，并采集这部分患者中，在相应动态时点内下达了机械预防相关医嘱的出院患者总例数，通过公式计算得出本指标。</w:t>
      </w:r>
    </w:p>
    <w:p w14:paraId="1D2172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联合预防质量指标</w:t>
      </w:r>
    </w:p>
    <w:p w14:paraId="7E0530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五类重点人群中，分别采集四个关键动态时点的 VTE风险评估结果为中高危，且相应动态时点无出血风险的出院患者，并采集这部分患者中，在相应动态时点内下达了联合预防相关医嘱的出院患者总例数，通过公式计算得出本指标。</w:t>
      </w:r>
    </w:p>
    <w:p w14:paraId="1AF45D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 VTE发生情况</w:t>
      </w:r>
    </w:p>
    <w:p w14:paraId="3098D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在所有采集范围内的电子病历首页出院诊断包含VTE的病例中，由专业人员逐例筛查，判断其是否为医院相关性VTE</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通过公式计算得出医院相关性VTE发生率。</w:t>
      </w:r>
    </w:p>
    <w:p w14:paraId="5758EF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所有采集范围内的电子病历首页信息中疾病转归为“死亡”的患者中，筛选电子病历首页出院诊断包含VTE的病例，并由专业人员逐例筛查，确定因医院相关性VTE而死亡的患者总例数，通过公式计算得医院相关性VTE全因死亡率</w:t>
      </w:r>
      <w:r>
        <w:rPr>
          <w:rFonts w:hint="eastAsia" w:ascii="宋体" w:hAnsi="宋体" w:eastAsia="宋体" w:cs="宋体"/>
          <w:color w:val="auto"/>
          <w:sz w:val="21"/>
          <w:szCs w:val="21"/>
          <w:highlight w:val="none"/>
          <w:lang w:eastAsia="zh-CN"/>
        </w:rPr>
        <w:t>。</w:t>
      </w:r>
    </w:p>
    <w:p w14:paraId="38A067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医院相关性VTE治疗率</w:t>
      </w:r>
    </w:p>
    <w:p w14:paraId="33F51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本次住院期间首次明确为医院相关性 VTE的病例按照指南要求分别实施了规范的抗凝治疗、溶栓治疗、介入治疗或手术治疗的出院患者总例数与同期首次明确为医院 相关性 VTE的出院患者总例数的比值。</w:t>
      </w:r>
    </w:p>
    <w:p w14:paraId="219AC4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出血事件发生率</w:t>
      </w:r>
    </w:p>
    <w:p w14:paraId="606908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使用抗凝药物预防 VTE</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使用抗凝/溶栓药物治疗医院相关性 VTE的出院患者中，在住院期间发生大出血或临床相关非大出血的出院患者比例</w:t>
      </w:r>
      <w:r>
        <w:rPr>
          <w:rFonts w:hint="eastAsia" w:ascii="宋体" w:hAnsi="宋体" w:eastAsia="宋体" w:cs="宋体"/>
          <w:color w:val="auto"/>
          <w:sz w:val="21"/>
          <w:szCs w:val="21"/>
          <w:highlight w:val="none"/>
          <w:lang w:eastAsia="zh-CN"/>
        </w:rPr>
        <w:t>。</w:t>
      </w:r>
    </w:p>
    <w:p w14:paraId="27ECF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rPr>
        <w:t>报表统计</w:t>
      </w:r>
    </w:p>
    <w:p w14:paraId="50ECCA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出院患者节点分析统计</w:t>
      </w:r>
    </w:p>
    <w:p w14:paraId="61D8C0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系统支持根据出院日期，查询患者的每次评估节点信息，一个节点一条记录，可按照姓名、住院号、登记号等查询。</w:t>
      </w:r>
    </w:p>
    <w:p w14:paraId="5B45CC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出院患者随访数据查询</w:t>
      </w:r>
    </w:p>
    <w:p w14:paraId="56FA61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可根据出院日期、随访日期查询全院、科室的随访率、应随访率、未随访率、随访完成率、随访未完成率等，以及根据随访表单统计随访内容，如：随访方式、转归情况统计等。</w:t>
      </w:r>
    </w:p>
    <w:p w14:paraId="15617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医生护士审核数据统计</w:t>
      </w:r>
    </w:p>
    <w:p w14:paraId="19AE0F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系统支持统计医生、护士总的评估次数、每个节点的评估次数，方便院内进行绩效统计。</w:t>
      </w:r>
    </w:p>
    <w:p w14:paraId="509380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VTE 项目办公室数据上报</w:t>
      </w:r>
    </w:p>
    <w:p w14:paraId="052164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可按照《全国肺栓塞和深静脉血栓形成防治能力建设项目》要求，导出上报数据。</w:t>
      </w:r>
    </w:p>
    <w:p w14:paraId="081A5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NCIS全国医疗质量抽样调查VTE 相关指标上报</w:t>
      </w:r>
    </w:p>
    <w:p w14:paraId="3A1BF5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可按照NCIS 全国医疗质量抽样调查表导出和VTE 有关的数据，方便医院上报</w:t>
      </w:r>
      <w:r>
        <w:rPr>
          <w:rFonts w:hint="eastAsia" w:ascii="宋体" w:hAnsi="宋体" w:eastAsia="宋体" w:cs="宋体"/>
          <w:color w:val="auto"/>
          <w:sz w:val="21"/>
          <w:szCs w:val="21"/>
          <w:highlight w:val="none"/>
          <w:lang w:eastAsia="zh-CN"/>
        </w:rPr>
        <w:t>数据</w:t>
      </w:r>
      <w:r>
        <w:rPr>
          <w:rFonts w:hint="eastAsia" w:ascii="宋体" w:hAnsi="宋体" w:eastAsia="宋体" w:cs="宋体"/>
          <w:color w:val="auto"/>
          <w:sz w:val="21"/>
          <w:szCs w:val="21"/>
          <w:highlight w:val="none"/>
        </w:rPr>
        <w:t>。</w:t>
      </w:r>
    </w:p>
    <w:p w14:paraId="46FD4C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性能要求</w:t>
      </w:r>
    </w:p>
    <w:p w14:paraId="4A3D76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最大并发用户数：不少于100人；</w:t>
      </w:r>
    </w:p>
    <w:p w14:paraId="06EE78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服务器所需性能：8核、16G内存；</w:t>
      </w:r>
    </w:p>
    <w:p w14:paraId="6184D5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客户端</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rPr>
        <w:t>性能：无特殊要求；</w:t>
      </w:r>
    </w:p>
    <w:p w14:paraId="1DA59F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存储容量：500G 硬盘； 网络带宽：桌面千兆；</w:t>
      </w:r>
    </w:p>
    <w:p w14:paraId="634419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响应时间：一般业务小于1秒，复杂业务小于3秒；</w:t>
      </w:r>
    </w:p>
    <w:p w14:paraId="6D1271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性能：7×24运行； </w:t>
      </w:r>
    </w:p>
    <w:p w14:paraId="2C993E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技术规划说明</w:t>
      </w:r>
    </w:p>
    <w:p w14:paraId="3F6AF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VTE 信息系统支持虚拟化技术，可部署在医院现有虚拟化资源池下，便于医院更好</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管理存储计算资源。</w:t>
      </w:r>
    </w:p>
    <w:p w14:paraId="2A65C8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87B75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B7FACB3">
      <w:pP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附件3：</w:t>
      </w:r>
    </w:p>
    <w:p w14:paraId="43D25BE3">
      <w:pPr>
        <w:kinsoku w:val="0"/>
        <w:autoSpaceDE w:val="0"/>
        <w:autoSpaceDN w:val="0"/>
        <w:adjustRightInd w:val="0"/>
        <w:snapToGrid w:val="0"/>
        <w:spacing w:before="127" w:line="219" w:lineRule="auto"/>
        <w:ind w:left="2545"/>
        <w:jc w:val="left"/>
        <w:textAlignment w:val="baseline"/>
        <w:outlineLvl w:val="0"/>
        <w:rPr>
          <w:rFonts w:hint="eastAsia" w:ascii="宋体" w:hAnsi="宋体" w:eastAsia="宋体" w:cs="宋体"/>
          <w:snapToGrid w:val="0"/>
          <w:color w:val="auto"/>
          <w:kern w:val="0"/>
          <w:sz w:val="44"/>
          <w:szCs w:val="44"/>
          <w:highlight w:val="none"/>
          <w:lang w:val="en-US" w:eastAsia="en-US" w:bidi="ar-SA"/>
        </w:rPr>
      </w:pPr>
      <w:r>
        <w:rPr>
          <w:rFonts w:hint="eastAsia" w:ascii="宋体" w:hAnsi="宋体" w:eastAsia="宋体" w:cs="宋体"/>
          <w:snapToGrid w:val="0"/>
          <w:color w:val="auto"/>
          <w:spacing w:val="-23"/>
          <w:kern w:val="0"/>
          <w:sz w:val="44"/>
          <w:szCs w:val="44"/>
          <w:highlight w:val="none"/>
          <w:lang w:val="en-US" w:eastAsia="en-US" w:bidi="ar-SA"/>
        </w:rPr>
        <w:t>HIS</w:t>
      </w:r>
      <w:r>
        <w:rPr>
          <w:rFonts w:hint="eastAsia" w:ascii="宋体" w:hAnsi="宋体" w:eastAsia="宋体" w:cs="宋体"/>
          <w:snapToGrid w:val="0"/>
          <w:color w:val="auto"/>
          <w:spacing w:val="-16"/>
          <w:kern w:val="0"/>
          <w:sz w:val="44"/>
          <w:szCs w:val="44"/>
          <w:highlight w:val="none"/>
          <w:lang w:val="en-US" w:eastAsia="en-US" w:bidi="ar-SA"/>
        </w:rPr>
        <w:t xml:space="preserve"> </w:t>
      </w:r>
      <w:r>
        <w:rPr>
          <w:rFonts w:hint="eastAsia" w:ascii="宋体" w:hAnsi="宋体" w:eastAsia="宋体" w:cs="宋体"/>
          <w:b/>
          <w:bCs/>
          <w:snapToGrid w:val="0"/>
          <w:color w:val="auto"/>
          <w:spacing w:val="-23"/>
          <w:kern w:val="0"/>
          <w:sz w:val="44"/>
          <w:szCs w:val="44"/>
          <w:highlight w:val="none"/>
          <w:lang w:val="en-US" w:eastAsia="en-US" w:bidi="ar-SA"/>
        </w:rPr>
        <w:t>维保服务考核标准</w:t>
      </w:r>
    </w:p>
    <w:p w14:paraId="6F8D36B5">
      <w:pPr>
        <w:keepNext w:val="0"/>
        <w:keepLines w:val="0"/>
        <w:pageBreakBefore w:val="0"/>
        <w:widowControl w:val="0"/>
        <w:kinsoku/>
        <w:wordWrap/>
        <w:overflowPunct/>
        <w:topLinePunct w:val="0"/>
        <w:autoSpaceDE/>
        <w:autoSpaceDN/>
        <w:bidi w:val="0"/>
        <w:adjustRightInd/>
        <w:snapToGrid/>
        <w:spacing w:beforeLines="50" w:line="264"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指标分为开发指标、系统维护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人员与工作量</w:t>
      </w:r>
      <w:r>
        <w:rPr>
          <w:rFonts w:hint="eastAsia" w:ascii="宋体" w:hAnsi="宋体" w:eastAsia="宋体" w:cs="宋体"/>
          <w:color w:val="auto"/>
          <w:sz w:val="21"/>
          <w:szCs w:val="21"/>
          <w:highlight w:val="none"/>
        </w:rPr>
        <w:t>和安全保障</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大项，分数占比分别为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，满分100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得分达</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分及以上，足额支付当</w:t>
      </w:r>
      <w:r>
        <w:rPr>
          <w:rFonts w:hint="eastAsia" w:ascii="宋体" w:hAnsi="宋体" w:eastAsia="宋体" w:cs="宋体"/>
          <w:color w:val="auto"/>
          <w:sz w:val="21"/>
          <w:szCs w:val="21"/>
          <w:highlight w:val="none"/>
          <w:lang w:val="en-US" w:eastAsia="zh-CN"/>
        </w:rPr>
        <w:t>季维保</w:t>
      </w:r>
      <w:r>
        <w:rPr>
          <w:rFonts w:hint="eastAsia" w:ascii="宋体" w:hAnsi="宋体" w:eastAsia="宋体" w:cs="宋体"/>
          <w:color w:val="auto"/>
          <w:sz w:val="21"/>
          <w:szCs w:val="21"/>
          <w:highlight w:val="none"/>
        </w:rPr>
        <w:t>费，达到</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分，支付90%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费，达到</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分，支付80%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费，达到60-</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分，支付70%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费，50-</w:t>
      </w: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分，支付50%</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费，不足50分不予支付</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费。  </w:t>
      </w:r>
    </w:p>
    <w:p w14:paraId="65C1CF1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color w:val="auto"/>
          <w:szCs w:val="21"/>
          <w:highlight w:val="none"/>
        </w:rPr>
      </w:pPr>
    </w:p>
    <w:tbl>
      <w:tblPr>
        <w:tblStyle w:val="49"/>
        <w:tblW w:w="10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671"/>
        <w:gridCol w:w="4897"/>
        <w:gridCol w:w="617"/>
        <w:gridCol w:w="3276"/>
        <w:gridCol w:w="575"/>
      </w:tblGrid>
      <w:tr w14:paraId="1159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29E">
            <w:pPr>
              <w:pStyle w:val="132"/>
              <w:keepNext w:val="0"/>
              <w:keepLines w:val="0"/>
              <w:pageBreakBefore w:val="0"/>
              <w:widowControl/>
              <w:kinsoku w:val="0"/>
              <w:wordWrap/>
              <w:overflowPunct/>
              <w:topLinePunct w:val="0"/>
              <w:autoSpaceDE w:val="0"/>
              <w:autoSpaceDN w:val="0"/>
              <w:bidi w:val="0"/>
              <w:adjustRightInd w:val="0"/>
              <w:snapToGrid w:val="0"/>
              <w:spacing w:before="251" w:line="264" w:lineRule="auto"/>
              <w:ind w:left="65" w:leftChars="0"/>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评价项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0F6">
            <w:pPr>
              <w:pStyle w:val="132"/>
              <w:keepNext w:val="0"/>
              <w:keepLines w:val="0"/>
              <w:pageBreakBefore w:val="0"/>
              <w:widowControl/>
              <w:kinsoku w:val="0"/>
              <w:wordWrap/>
              <w:overflowPunct/>
              <w:topLinePunct w:val="0"/>
              <w:autoSpaceDE w:val="0"/>
              <w:autoSpaceDN w:val="0"/>
              <w:bidi w:val="0"/>
              <w:adjustRightInd w:val="0"/>
              <w:snapToGrid w:val="0"/>
              <w:spacing w:before="101" w:line="264" w:lineRule="auto"/>
              <w:ind w:left="120"/>
              <w:jc w:val="center"/>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评价</w:t>
            </w:r>
          </w:p>
          <w:p w14:paraId="37CA2DDF">
            <w:pPr>
              <w:pStyle w:val="132"/>
              <w:keepNext w:val="0"/>
              <w:keepLines w:val="0"/>
              <w:pageBreakBefore w:val="0"/>
              <w:widowControl/>
              <w:kinsoku w:val="0"/>
              <w:wordWrap/>
              <w:overflowPunct/>
              <w:topLinePunct w:val="0"/>
              <w:autoSpaceDE w:val="0"/>
              <w:autoSpaceDN w:val="0"/>
              <w:bidi w:val="0"/>
              <w:adjustRightInd w:val="0"/>
              <w:snapToGrid w:val="0"/>
              <w:spacing w:before="101" w:line="264" w:lineRule="auto"/>
              <w:ind w:left="120" w:leftChars="0"/>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3"/>
                <w:sz w:val="21"/>
                <w:szCs w:val="21"/>
                <w:highlight w:val="none"/>
              </w:rPr>
              <w:t>细项</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936A">
            <w:pPr>
              <w:pStyle w:val="132"/>
              <w:keepNext w:val="0"/>
              <w:keepLines w:val="0"/>
              <w:pageBreakBefore w:val="0"/>
              <w:widowControl/>
              <w:kinsoku w:val="0"/>
              <w:wordWrap/>
              <w:overflowPunct/>
              <w:topLinePunct w:val="0"/>
              <w:autoSpaceDE w:val="0"/>
              <w:autoSpaceDN w:val="0"/>
              <w:bidi w:val="0"/>
              <w:adjustRightInd w:val="0"/>
              <w:snapToGrid w:val="0"/>
              <w:spacing w:before="253"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评分标准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CCA">
            <w:pPr>
              <w:pStyle w:val="132"/>
              <w:keepNext w:val="0"/>
              <w:keepLines w:val="0"/>
              <w:pageBreakBefore w:val="0"/>
              <w:widowControl/>
              <w:kinsoku w:val="0"/>
              <w:wordWrap/>
              <w:overflowPunct/>
              <w:topLinePunct w:val="0"/>
              <w:autoSpaceDE w:val="0"/>
              <w:autoSpaceDN w:val="0"/>
              <w:bidi w:val="0"/>
              <w:adjustRightInd w:val="0"/>
              <w:snapToGrid w:val="0"/>
              <w:spacing w:before="92"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满分</w:t>
            </w:r>
            <w:r>
              <w:rPr>
                <w:rFonts w:hint="eastAsia" w:ascii="宋体" w:hAnsi="宋体" w:eastAsia="宋体" w:cs="宋体"/>
                <w:b/>
                <w:bCs/>
                <w:color w:val="auto"/>
                <w:spacing w:val="-3"/>
                <w:sz w:val="21"/>
                <w:szCs w:val="21"/>
                <w:highlight w:val="none"/>
              </w:rPr>
              <w:t>分值</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D5D">
            <w:pPr>
              <w:pStyle w:val="132"/>
              <w:keepNext w:val="0"/>
              <w:keepLines w:val="0"/>
              <w:pageBreakBefore w:val="0"/>
              <w:widowControl/>
              <w:kinsoku w:val="0"/>
              <w:wordWrap/>
              <w:overflowPunct/>
              <w:topLinePunct w:val="0"/>
              <w:autoSpaceDE w:val="0"/>
              <w:autoSpaceDN w:val="0"/>
              <w:bidi w:val="0"/>
              <w:adjustRightInd w:val="0"/>
              <w:snapToGrid w:val="0"/>
              <w:spacing w:before="252" w:line="264" w:lineRule="auto"/>
              <w:ind w:left="1276" w:leftChars="0"/>
              <w:jc w:val="both"/>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2"/>
                <w:sz w:val="21"/>
                <w:szCs w:val="21"/>
                <w:highlight w:val="none"/>
              </w:rPr>
              <w:t>分值标准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334">
            <w:pPr>
              <w:pStyle w:val="132"/>
              <w:keepNext w:val="0"/>
              <w:keepLines w:val="0"/>
              <w:pageBreakBefore w:val="0"/>
              <w:widowControl/>
              <w:kinsoku w:val="0"/>
              <w:wordWrap/>
              <w:overflowPunct/>
              <w:topLinePunct w:val="0"/>
              <w:autoSpaceDE w:val="0"/>
              <w:autoSpaceDN w:val="0"/>
              <w:bidi w:val="0"/>
              <w:adjustRightInd w:val="0"/>
              <w:snapToGrid w:val="0"/>
              <w:spacing w:before="252" w:line="264" w:lineRule="auto"/>
              <w:jc w:val="center"/>
              <w:textAlignment w:val="baseline"/>
              <w:rPr>
                <w:rFonts w:hint="eastAsia" w:ascii="宋体" w:hAnsi="宋体" w:eastAsia="宋体" w:cs="宋体"/>
                <w:b/>
                <w:bCs/>
                <w:color w:val="auto"/>
                <w:kern w:val="16"/>
                <w:sz w:val="21"/>
                <w:szCs w:val="21"/>
                <w:highlight w:val="none"/>
                <w:lang w:val="en-US" w:eastAsia="en-US" w:bidi="ar-SA"/>
              </w:rPr>
            </w:pPr>
            <w:r>
              <w:rPr>
                <w:rFonts w:hint="eastAsia" w:ascii="宋体" w:hAnsi="宋体" w:eastAsia="宋体" w:cs="宋体"/>
                <w:b/>
                <w:bCs/>
                <w:color w:val="auto"/>
                <w:spacing w:val="-3"/>
                <w:sz w:val="21"/>
                <w:szCs w:val="21"/>
                <w:highlight w:val="none"/>
              </w:rPr>
              <w:t>得分</w:t>
            </w:r>
          </w:p>
        </w:tc>
      </w:tr>
      <w:tr w14:paraId="70AF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D1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kern w:val="16"/>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开发指标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EF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需求完成达标率</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4E81">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1.需求数量的确定方式：由业务科室提出，经主管部门审核同意，由信息中心全局审核同意并最终提交的需求认定为有效需求；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2.HIS厂家收到需求应于5个工作日内反馈开发进度计划，每月按进度计划考核；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3.若因用户原因或其他第三方原因，导致开发计划推后，HIS厂家公司必须在计划时限前提交计划变更申请，并说明缘由，信息中心负责人审批后可变更进度计划；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4.按照进度计划提交《需求分析文档》、《用户手册》等文档；必要时安排培训或者现场驻场支持。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EF0">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D7C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16"/>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每月达标率，考核基准：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90%-100%，30分；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80%-89%，25分；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70%-79%，20分；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60%-69%，15分；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50%-59%，10分；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＜50% 0分。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0157">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0635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5D1A1">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系统维护</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E77">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系统故障处理</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4CC">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故障等级评定标准：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一级故障：由于HIS系统故障原因导致医院全院瘫痪，时间大于60分钟。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二级故障：由于HIS系统故障原因导致医院门诊或住院工作流程被迫中断，影响超过60分钟。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三级故障：由于HIS系统故障原因导致医院某个局部区域工作流程中断，影响超过60分钟。</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D529">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B1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系统故障均须在5分钟内响应，30分钟内给出故障解决方案并及时处理完毕。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1.出现一级故障扣5分，3天内提交故障报告，未按照要求提交报告扣3分；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2.出现二级故障扣3分，3天内提交故障报告，未按照要求提交报告扣2分；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3.出现三级故障扣2分，3天内提交故障报告，未按照要求提交报告扣1分。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8ED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1C23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4802">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87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例行业务巡查</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8778">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每季度走访不少于10个业务科室（门诊/病区），提交《调研报告》，报告应包括调研出现的问题，问题分析、解决方案及解决计划，形成需求。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58BA">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F3C">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1.完成调研得10分；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2.调研＞5＜10个科室（病区）扣8分；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3.＜5个科室扣5分。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B22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487F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3931">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2C7">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应用及数据库性能优化</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5A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1.提供每月一次的数据库基本维护服务，检查表空间使用情况、数据库备份、数据文件存储情况、数据库服务器的错误日志情况、系统任务执行情况、mirror运行情况等，维持数据库稳定性，提供巡检报告。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strike w:val="0"/>
                <w:dstrike w:val="0"/>
                <w:color w:val="auto"/>
                <w:kern w:val="0"/>
                <w:sz w:val="21"/>
                <w:szCs w:val="21"/>
                <w:highlight w:val="none"/>
                <w:u w:val="none"/>
                <w:lang w:val="en-US" w:eastAsia="zh-CN" w:bidi="ar"/>
              </w:rPr>
              <w:t>2.提供每季度一次数据库优化服务，清理垃圾数据，从应用系统角度来优化数据库，如建立并优化索引、优化存储过程、数据库表拆分等，对数据库运行参数进行优化，提高应用系统运行速度。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C3C7">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89A">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完成巡检得10分，未按要求完成扣10分。</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6E1D">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6198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F64">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人员与工作量</w:t>
            </w:r>
          </w:p>
        </w:tc>
        <w:tc>
          <w:tcPr>
            <w:tcW w:w="671" w:type="dxa"/>
            <w:tcBorders>
              <w:top w:val="single" w:color="000000" w:sz="4" w:space="0"/>
              <w:left w:val="single" w:color="000000" w:sz="4" w:space="0"/>
              <w:right w:val="single" w:color="000000" w:sz="4" w:space="0"/>
            </w:tcBorders>
            <w:shd w:val="clear" w:color="auto" w:fill="auto"/>
            <w:vAlign w:val="center"/>
          </w:tcPr>
          <w:p w14:paraId="77D34CC0">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驻场工程师人员保障</w:t>
            </w:r>
          </w:p>
        </w:tc>
        <w:tc>
          <w:tcPr>
            <w:tcW w:w="4897" w:type="dxa"/>
            <w:tcBorders>
              <w:top w:val="single" w:color="000000" w:sz="4" w:space="0"/>
              <w:left w:val="single" w:color="000000" w:sz="4" w:space="0"/>
              <w:right w:val="single" w:color="000000" w:sz="4" w:space="0"/>
            </w:tcBorders>
            <w:shd w:val="clear" w:color="auto" w:fill="auto"/>
            <w:vAlign w:val="center"/>
          </w:tcPr>
          <w:p w14:paraId="1A0F3A92">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1.现场驻场人数每个月不少于5人；</w:t>
            </w:r>
          </w:p>
          <w:p w14:paraId="5E9DC819">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2.安排人员7*24小时现场+线上值班，至少提前1周提供排班表；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3.更换人员至少提前2周报告信息中心，人员更换必须进行工作交接，交接工作不到位等，造成服务响应不及时扣罚1分/人次；</w:t>
            </w:r>
          </w:p>
          <w:p w14:paraId="22ECBE89">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4.远程维保纳入考核范围，包括通过音视频软件进行线上需求沟通，问题讨论、在线问卷调研等；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3.新模块上线前根据需要，增加远程+驻场人员的方式监控系统运行；</w:t>
            </w:r>
          </w:p>
          <w:p w14:paraId="3F68F7C8">
            <w:pPr>
              <w:keepNext w:val="0"/>
              <w:keepLines w:val="0"/>
              <w:pageBreakBefore w:val="0"/>
              <w:widowControl/>
              <w:numPr>
                <w:ilvl w:val="0"/>
                <w:numId w:val="0"/>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5.每季度服务时长不少于45人月（上班时长8小时/天，20工作日算1人月，如24小时值班算3人）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FAC">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76" w:type="dxa"/>
            <w:tcBorders>
              <w:top w:val="single" w:color="000000" w:sz="4" w:space="0"/>
              <w:left w:val="single" w:color="000000" w:sz="4" w:space="0"/>
              <w:right w:val="single" w:color="000000" w:sz="4" w:space="0"/>
            </w:tcBorders>
            <w:shd w:val="clear" w:color="auto" w:fill="auto"/>
            <w:vAlign w:val="center"/>
          </w:tcPr>
          <w:p w14:paraId="741652C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由信息中心进行考勤，按考勤情况酌情扣分。</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2573">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524A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B122">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安全保障</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D68">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数据与系统安全</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C2D">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1.HIS厂家系统必须严格执行相关法律法规，保障数据安全。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2.当发现系统安全漏洞，须即刻响应，并在3天内提交解决方案，并于约定时间内完成加固；</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F6018">
            <w:pPr>
              <w:keepNext w:val="0"/>
              <w:keepLines w:val="0"/>
              <w:pageBreakBefore w:val="0"/>
              <w:widowControl/>
              <w:suppressLineNumbers w:val="0"/>
              <w:wordWrap/>
              <w:overflowPunct/>
              <w:topLinePunct w:val="0"/>
              <w:bidi w:val="0"/>
              <w:spacing w:line="264"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D16">
            <w:pPr>
              <w:keepNext w:val="0"/>
              <w:keepLines w:val="0"/>
              <w:pageBreakBefore w:val="0"/>
              <w:widowControl/>
              <w:numPr>
                <w:ilvl w:val="0"/>
                <w:numId w:val="7"/>
              </w:numPr>
              <w:suppressLineNumbers w:val="0"/>
              <w:wordWrap/>
              <w:overflowPunct/>
              <w:topLinePunct w:val="0"/>
              <w:bidi w:val="0"/>
              <w:spacing w:line="264"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由于系统原因导致数据出现泄漏、丢失、破坏，但未造成严重后果的，扣5分/次；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2.若HIS厂家人员人为导致病人敏感信息等重要信息泄露，导致严重后果（如造成患者投诉索赔、舆情负面事件），一经核实扣20分/次，并另行追究公司责任。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3.若因应用软件系统漏洞导致出现用户非法入侵、恶意篡改代码、系统遭到恶意攻击，导致严重后果（如核心业务功能瘫痪等），扣20分/次，并另行追究公司责任。</w:t>
            </w:r>
          </w:p>
          <w:p w14:paraId="49A15BD5">
            <w:pPr>
              <w:keepNext w:val="0"/>
              <w:keepLines w:val="0"/>
              <w:pageBreakBefore w:val="0"/>
              <w:widowControl/>
              <w:numPr>
                <w:ilvl w:val="-1"/>
                <w:numId w:val="0"/>
              </w:numPr>
              <w:suppressLineNumbers w:val="0"/>
              <w:wordWrap/>
              <w:overflowPunct/>
              <w:topLinePunct w:val="0"/>
              <w:bidi w:val="0"/>
              <w:spacing w:line="264" w:lineRule="auto"/>
              <w:jc w:val="left"/>
              <w:textAlignment w:val="center"/>
              <w:rPr>
                <w:rFonts w:hint="default" w:ascii="宋体" w:hAnsi="宋体" w:eastAsia="宋体" w:cs="宋体"/>
                <w:i w:val="0"/>
                <w:iCs w:val="0"/>
                <w:color w:val="auto"/>
                <w:sz w:val="21"/>
                <w:szCs w:val="21"/>
                <w:highlight w:val="none"/>
                <w:u w:val="none"/>
                <w:lang w:val="en-US"/>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3B3">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06C1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A4EA">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EBB">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法律法规、管理制度</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E5C6">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公司人员应遵守相关法律法规，遵守我院信息系统安全管理规定。</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A4D5">
            <w:pPr>
              <w:keepNext w:val="0"/>
              <w:keepLines w:val="0"/>
              <w:pageBreakBefore w:val="0"/>
              <w:wordWrap/>
              <w:overflowPunct/>
              <w:topLinePunct w:val="0"/>
              <w:bidi w:val="0"/>
              <w:spacing w:line="264" w:lineRule="auto"/>
              <w:jc w:val="center"/>
              <w:rPr>
                <w:rFonts w:hint="eastAsia" w:ascii="宋体" w:hAnsi="宋体" w:eastAsia="宋体" w:cs="宋体"/>
                <w:i w:val="0"/>
                <w:iCs w:val="0"/>
                <w:color w:val="auto"/>
                <w:sz w:val="21"/>
                <w:szCs w:val="21"/>
                <w:highlight w:val="none"/>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8AE">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违反医院管理规定一次扣减3分，若公司人员在对我院进行维保服务过程中做出违法行为，一经核实扣10分/次，并另行追究公司责任。</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627">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r w14:paraId="55D9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29FB">
            <w:pPr>
              <w:keepNext w:val="0"/>
              <w:keepLines w:val="0"/>
              <w:pageBreakBefore w:val="0"/>
              <w:wordWrap/>
              <w:overflowPunct/>
              <w:topLinePunct w:val="0"/>
              <w:bidi w:val="0"/>
              <w:spacing w:line="264" w:lineRule="auto"/>
              <w:rPr>
                <w:rFonts w:hint="eastAsia" w:ascii="宋体" w:hAnsi="宋体" w:eastAsia="宋体" w:cs="宋体"/>
                <w:b/>
                <w:bCs/>
                <w:i w:val="0"/>
                <w:iCs w:val="0"/>
                <w:color w:val="auto"/>
                <w:sz w:val="21"/>
                <w:szCs w:val="21"/>
                <w:highlight w:val="none"/>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D0B">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有效投诉</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0642">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因服务态度导致医院或信息中心被投诉。</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3AEC">
            <w:pPr>
              <w:keepNext w:val="0"/>
              <w:keepLines w:val="0"/>
              <w:pageBreakBefore w:val="0"/>
              <w:wordWrap/>
              <w:overflowPunct/>
              <w:topLinePunct w:val="0"/>
              <w:bidi w:val="0"/>
              <w:spacing w:line="264" w:lineRule="auto"/>
              <w:jc w:val="center"/>
              <w:rPr>
                <w:rFonts w:hint="eastAsia" w:ascii="宋体" w:hAnsi="宋体" w:eastAsia="宋体" w:cs="宋体"/>
                <w:i w:val="0"/>
                <w:iCs w:val="0"/>
                <w:color w:val="auto"/>
                <w:sz w:val="21"/>
                <w:szCs w:val="21"/>
                <w:highlight w:val="none"/>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E7F">
            <w:pPr>
              <w:keepNext w:val="0"/>
              <w:keepLines w:val="0"/>
              <w:pageBreakBefore w:val="0"/>
              <w:widowControl/>
              <w:suppressLineNumbers w:val="0"/>
              <w:wordWrap/>
              <w:overflowPunct/>
              <w:topLinePunct w:val="0"/>
              <w:bidi w:val="0"/>
              <w:spacing w:line="264"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经医德医风办或信息中心核定是有效投诉的，投诉视问题严重程度扣1-3分/次。</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A2E">
            <w:pPr>
              <w:keepNext w:val="0"/>
              <w:keepLines w:val="0"/>
              <w:pageBreakBefore w:val="0"/>
              <w:wordWrap/>
              <w:overflowPunct/>
              <w:topLinePunct w:val="0"/>
              <w:bidi w:val="0"/>
              <w:spacing w:line="264" w:lineRule="auto"/>
              <w:rPr>
                <w:rFonts w:hint="eastAsia" w:ascii="宋体" w:hAnsi="宋体" w:eastAsia="宋体" w:cs="宋体"/>
                <w:i w:val="0"/>
                <w:iCs w:val="0"/>
                <w:color w:val="auto"/>
                <w:sz w:val="21"/>
                <w:szCs w:val="21"/>
                <w:highlight w:val="none"/>
                <w:u w:val="none"/>
              </w:rPr>
            </w:pPr>
          </w:p>
        </w:tc>
      </w:tr>
    </w:tbl>
    <w:p w14:paraId="6DF800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en-US"/>
        </w:rPr>
      </w:pPr>
    </w:p>
    <w:p w14:paraId="15EC7D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p>
    <w:p w14:paraId="0F71B1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sectPr>
          <w:footerReference r:id="rId8" w:type="default"/>
          <w:pgSz w:w="11906" w:h="16838"/>
          <w:pgMar w:top="1134" w:right="1134" w:bottom="2269" w:left="1134" w:header="851" w:footer="567" w:gutter="0"/>
          <w:pgNumType w:fmt="decimal" w:start="1"/>
          <w:cols w:space="720" w:num="1"/>
          <w:docGrid w:linePitch="312" w:charSpace="0"/>
        </w:sectPr>
      </w:pPr>
    </w:p>
    <w:p w14:paraId="53EAD25A">
      <w:pPr>
        <w:pStyle w:val="2"/>
        <w:jc w:val="center"/>
        <w:rPr>
          <w:rFonts w:hint="eastAsia"/>
          <w:color w:val="auto"/>
          <w:highlight w:val="none"/>
        </w:rPr>
      </w:pPr>
      <w:bookmarkStart w:id="41" w:name="_Toc10714"/>
      <w:r>
        <w:rPr>
          <w:rFonts w:hint="eastAsia"/>
          <w:color w:val="auto"/>
          <w:highlight w:val="none"/>
        </w:rPr>
        <w:t>第三章  投标人须知</w:t>
      </w:r>
      <w:bookmarkEnd w:id="41"/>
    </w:p>
    <w:p w14:paraId="77A0A5B6">
      <w:pPr>
        <w:jc w:val="center"/>
        <w:rPr>
          <w:rFonts w:hint="eastAsia"/>
          <w:color w:val="auto"/>
          <w:sz w:val="36"/>
          <w:szCs w:val="36"/>
          <w:highlight w:val="none"/>
        </w:rPr>
      </w:pPr>
      <w:bookmarkStart w:id="42" w:name="_Toc254970667"/>
      <w:bookmarkStart w:id="43" w:name="_Toc254970526"/>
      <w:r>
        <w:rPr>
          <w:rFonts w:hint="eastAsia"/>
          <w:color w:val="auto"/>
          <w:sz w:val="36"/>
          <w:szCs w:val="36"/>
          <w:highlight w:val="none"/>
        </w:rPr>
        <w:t>投标人须知前附表</w:t>
      </w:r>
      <w:bookmarkEnd w:id="42"/>
      <w:bookmarkEnd w:id="43"/>
    </w:p>
    <w:p w14:paraId="00184D8B">
      <w:pPr>
        <w:jc w:val="center"/>
        <w:rPr>
          <w:rFonts w:hint="eastAsia"/>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1B61D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4AF18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999FE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38C01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89DE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1C123D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5A215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1AF93DD">
            <w:pPr>
              <w:spacing w:line="400" w:lineRule="exact"/>
              <w:jc w:val="center"/>
              <w:rPr>
                <w:rFonts w:ascii="宋体" w:hAnsi="宋体"/>
                <w:color w:val="auto"/>
                <w:szCs w:val="21"/>
                <w:highlight w:val="none"/>
              </w:rPr>
            </w:pPr>
            <w:bookmarkStart w:id="44" w:name="_5"/>
            <w:bookmarkEnd w:id="44"/>
            <w:bookmarkStart w:id="45" w:name="_9.2"/>
            <w:bookmarkEnd w:id="45"/>
            <w:bookmarkStart w:id="46" w:name="_8.1"/>
            <w:bookmarkEnd w:id="46"/>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1E1E106">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A9A1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4368CCC">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1EA790A">
            <w:pPr>
              <w:autoSpaceDE w:val="0"/>
              <w:autoSpaceDN w:val="0"/>
              <w:snapToGrid w:val="0"/>
              <w:spacing w:line="400" w:lineRule="exact"/>
              <w:textAlignment w:val="bottom"/>
              <w:rPr>
                <w:rFonts w:hint="eastAsia" w:ascii="宋体" w:hAnsi="宋体"/>
                <w:color w:val="auto"/>
                <w:szCs w:val="21"/>
                <w:highlight w:val="none"/>
              </w:rPr>
            </w:pPr>
            <w:bookmarkStart w:id="47" w:name="_Hlk54105293"/>
            <w:r>
              <w:rPr>
                <w:rFonts w:hint="eastAsia" w:ascii="宋体" w:hAnsi="宋体"/>
                <w:color w:val="auto"/>
                <w:szCs w:val="21"/>
                <w:highlight w:val="none"/>
              </w:rPr>
              <w:t>如接受联合体投标，</w:t>
            </w:r>
            <w:bookmarkEnd w:id="47"/>
            <w:r>
              <w:rPr>
                <w:rFonts w:hint="eastAsia" w:ascii="宋体" w:hAnsi="宋体"/>
                <w:color w:val="auto"/>
                <w:szCs w:val="21"/>
                <w:highlight w:val="none"/>
              </w:rPr>
              <w:t>联合体投标要求如下：</w:t>
            </w:r>
          </w:p>
          <w:p w14:paraId="22E24C3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6836F69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5AF66B7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673D669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6359718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6774FA4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5874B21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7A1B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7BA6AE2">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72B5320">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33F12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8A7150D">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DB0833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1F684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07623206">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ADE11B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0443F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2B00730D">
            <w:pPr>
              <w:spacing w:line="400" w:lineRule="exact"/>
              <w:jc w:val="center"/>
              <w:rPr>
                <w:rFonts w:hint="eastAsia" w:ascii="宋体" w:hAnsi="宋体"/>
                <w:color w:val="auto"/>
                <w:szCs w:val="21"/>
                <w:highlight w:val="none"/>
              </w:rPr>
            </w:pPr>
            <w:bookmarkStart w:id="48" w:name="_13.1"/>
            <w:bookmarkEnd w:id="48"/>
            <w:r>
              <w:rPr>
                <w:rFonts w:hint="eastAsia" w:ascii="宋体" w:hAnsi="宋体"/>
                <w:color w:val="auto"/>
                <w:szCs w:val="21"/>
                <w:highlight w:val="none"/>
              </w:rPr>
              <w:t>13.</w:t>
            </w:r>
            <w:bookmarkStart w:id="49" w:name="_Hlt19632543"/>
            <w:r>
              <w:rPr>
                <w:rFonts w:hint="eastAsia" w:ascii="宋体" w:hAnsi="宋体"/>
                <w:color w:val="auto"/>
                <w:szCs w:val="21"/>
                <w:highlight w:val="none"/>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1E826BFF">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2D8485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5BD4984E">
            <w:pPr>
              <w:tabs>
                <w:tab w:val="left" w:pos="459"/>
              </w:tabs>
              <w:snapToGrid w:val="0"/>
              <w:spacing w:line="400" w:lineRule="exact"/>
              <w:jc w:val="left"/>
              <w:rPr>
                <w:rFonts w:hint="eastAsia" w:ascii="宋体" w:hAnsi="宋体"/>
                <w:color w:val="auto"/>
                <w:szCs w:val="21"/>
                <w:highlight w:val="none"/>
              </w:rPr>
            </w:pPr>
            <w:bookmarkStart w:id="50" w:name="_Hlk71299233"/>
            <w:r>
              <w:rPr>
                <w:rFonts w:hint="eastAsia" w:ascii="宋体" w:hAnsi="宋体"/>
                <w:color w:val="auto"/>
                <w:szCs w:val="21"/>
                <w:highlight w:val="none"/>
              </w:rPr>
              <w:t>2、开标一览表</w:t>
            </w:r>
            <w:bookmarkEnd w:id="50"/>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334E43C">
            <w:pPr>
              <w:pStyle w:val="85"/>
              <w:rPr>
                <w:rFonts w:hint="eastAsia" w:ascii="宋体" w:hAnsi="宋体"/>
                <w:color w:val="auto"/>
                <w:sz w:val="21"/>
                <w:szCs w:val="21"/>
                <w:highlight w:val="none"/>
              </w:rPr>
            </w:pPr>
            <w:r>
              <w:rPr>
                <w:rFonts w:hint="eastAsia" w:ascii="宋体" w:hAnsi="宋体"/>
                <w:color w:val="auto"/>
                <w:sz w:val="21"/>
                <w:szCs w:val="21"/>
                <w:highlight w:val="none"/>
              </w:rPr>
              <w:t>3、中小企业声明函（格式后附）；（如有请提供）</w:t>
            </w:r>
          </w:p>
          <w:p w14:paraId="5589AA67">
            <w:pPr>
              <w:pStyle w:val="85"/>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关于符合本国产品标准的声明函（格式后附）；（如有请提供）</w:t>
            </w:r>
          </w:p>
          <w:p w14:paraId="27C335F2">
            <w:pPr>
              <w:tabs>
                <w:tab w:val="left" w:pos="459"/>
              </w:tabs>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color w:val="auto"/>
                <w:szCs w:val="21"/>
                <w:highlight w:val="none"/>
              </w:rPr>
              <w:t>投标人针对报价需要说明的其他文件和说明（格式自拟）。</w:t>
            </w:r>
            <w:r>
              <w:rPr>
                <w:rFonts w:hint="eastAsia" w:ascii="宋体" w:hAnsi="宋体"/>
                <w:color w:val="auto"/>
                <w:sz w:val="21"/>
                <w:szCs w:val="21"/>
                <w:highlight w:val="none"/>
              </w:rPr>
              <w:t>（如有请提供）</w:t>
            </w:r>
          </w:p>
          <w:p w14:paraId="7FA3F1B7">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EDDE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61102154">
            <w:pPr>
              <w:spacing w:line="400" w:lineRule="exact"/>
              <w:rPr>
                <w:rFonts w:hint="eastAsia" w:ascii="宋体" w:hAnsi="宋体"/>
                <w:color w:val="auto"/>
                <w:szCs w:val="21"/>
                <w:highlight w:val="none"/>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39152152">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C53CD45">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6D67F3DE">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0F3FA740">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w:t>
            </w:r>
            <w:r>
              <w:rPr>
                <w:rFonts w:hint="eastAsia" w:ascii="宋体" w:hAnsi="宋体" w:cs="宋体"/>
                <w:color w:val="auto"/>
                <w:szCs w:val="21"/>
                <w:highlight w:val="none"/>
                <w:lang w:val="en-US" w:eastAsia="zh-CN"/>
              </w:rPr>
              <w:t>截止时间前半年内</w:t>
            </w:r>
            <w:r>
              <w:rPr>
                <w:rFonts w:hint="eastAsia" w:ascii="宋体" w:hAnsi="宋体" w:cs="宋体"/>
                <w:color w:val="auto"/>
                <w:szCs w:val="21"/>
                <w:highlight w:val="none"/>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7B02B4B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lang w:val="en-US" w:eastAsia="zh-CN"/>
              </w:rPr>
              <w:t>2025</w:t>
            </w:r>
            <w:r>
              <w:rPr>
                <w:rFonts w:hint="eastAsia"/>
                <w:color w:val="auto"/>
                <w:highlight w:val="none"/>
              </w:rPr>
              <w:t>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753CD2B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5DC5C6D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2A66982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（联合体投标时必须提供，否则按无效投标处理）</w:t>
            </w:r>
          </w:p>
          <w:p w14:paraId="778F8683">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p>
          <w:p w14:paraId="0EC7A1A2">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1E52FC14">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4B019CA">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2D494EEA">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38B994A5">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69C02D86">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76B40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3CAB72C4">
            <w:pPr>
              <w:spacing w:line="400" w:lineRule="exact"/>
              <w:rPr>
                <w:rFonts w:hint="eastAsia" w:ascii="宋体" w:hAnsi="宋体"/>
                <w:color w:val="auto"/>
                <w:szCs w:val="21"/>
                <w:highlight w:val="none"/>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74BC734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6F2FEC77">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0B260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D419129">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DB322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0DC440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318C719">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757DA0">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r>
              <w:rPr>
                <w:rFonts w:hint="eastAsia" w:ascii="宋体" w:hAnsi="宋体"/>
                <w:color w:val="auto"/>
                <w:sz w:val="21"/>
                <w:szCs w:val="21"/>
                <w:highlight w:val="none"/>
              </w:rPr>
              <w:t>（如有请提供）</w:t>
            </w:r>
          </w:p>
          <w:p w14:paraId="57E8981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 w:val="21"/>
                <w:szCs w:val="21"/>
                <w:highlight w:val="none"/>
              </w:rPr>
              <w:t>（如有请提供）</w:t>
            </w:r>
          </w:p>
          <w:p w14:paraId="1EA116C2">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0415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0E90EA2E">
            <w:pPr>
              <w:spacing w:line="400" w:lineRule="exact"/>
              <w:rPr>
                <w:rFonts w:hint="eastAsia" w:ascii="宋体" w:hAnsi="宋体"/>
                <w:color w:val="auto"/>
                <w:szCs w:val="21"/>
                <w:highlight w:val="none"/>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03E2088F">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00C1C4C9">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08958875">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60B0B7D6">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r>
              <w:rPr>
                <w:rFonts w:hint="eastAsia" w:ascii="宋体" w:hAnsi="宋体"/>
                <w:b/>
                <w:color w:val="auto"/>
                <w:szCs w:val="21"/>
                <w:highlight w:val="none"/>
              </w:rPr>
              <w:t>（必须提供，否则按无效投标处理）</w:t>
            </w:r>
          </w:p>
          <w:p w14:paraId="5105E6AB">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w:t>
            </w:r>
            <w:r>
              <w:rPr>
                <w:rFonts w:hint="eastAsia" w:ascii="宋体" w:hAnsi="宋体"/>
                <w:color w:val="auto"/>
                <w:sz w:val="21"/>
                <w:szCs w:val="21"/>
                <w:highlight w:val="none"/>
              </w:rPr>
              <w:t>（如有请提供）</w:t>
            </w:r>
          </w:p>
          <w:p w14:paraId="23D1642D">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C51D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AF8816B">
            <w:pPr>
              <w:spacing w:line="400" w:lineRule="exact"/>
              <w:jc w:val="center"/>
              <w:rPr>
                <w:rFonts w:hint="eastAsia" w:ascii="宋体" w:hAnsi="宋体"/>
                <w:color w:val="auto"/>
                <w:szCs w:val="21"/>
                <w:highlight w:val="none"/>
              </w:rPr>
            </w:pPr>
            <w:bookmarkStart w:id="54" w:name="_16.2"/>
            <w:bookmarkEnd w:id="54"/>
            <w:bookmarkStart w:id="55" w:name="_13.5"/>
            <w:bookmarkEnd w:id="55"/>
            <w:r>
              <w:rPr>
                <w:rFonts w:hint="eastAsia" w:ascii="宋体" w:hAnsi="宋体"/>
                <w:color w:val="auto"/>
                <w:szCs w:val="21"/>
                <w:highlight w:val="none"/>
              </w:rPr>
              <w:t>16</w:t>
            </w:r>
            <w:bookmarkStart w:id="56" w:name="_Hlt19194067"/>
            <w:bookmarkStart w:id="57" w:name="_Hlt19194066"/>
            <w:bookmarkStart w:id="58" w:name="_Hlt19693758"/>
            <w:bookmarkStart w:id="59" w:name="_Hlt19693759"/>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B62ECF">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本项目实行包干总价；投标报价包含完成本项目所有服务内容、所涉及的配件、备品备件、工具、材料、实施、调试、验收、培训等各种费用和售后服务、税金及其它所有成本费用的总和。</w:t>
            </w:r>
          </w:p>
        </w:tc>
      </w:tr>
      <w:tr w14:paraId="1C049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B9957CD">
            <w:pPr>
              <w:spacing w:line="400" w:lineRule="exact"/>
              <w:jc w:val="center"/>
              <w:rPr>
                <w:rFonts w:hint="eastAsia"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A258C3E">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7FDC2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AF3D80F">
            <w:pPr>
              <w:spacing w:line="400" w:lineRule="exact"/>
              <w:jc w:val="center"/>
              <w:rPr>
                <w:rFonts w:hint="eastAsia"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5EAC6A">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6D4338CA">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2万元</w:t>
            </w:r>
            <w:r>
              <w:rPr>
                <w:rFonts w:hint="eastAsia" w:ascii="宋体" w:hAnsi="宋体" w:cs="宋体"/>
                <w:color w:val="auto"/>
                <w:kern w:val="0"/>
                <w:szCs w:val="21"/>
                <w:highlight w:val="none"/>
                <w:u w:val="single"/>
                <w:lang w:eastAsia="zh-CN"/>
              </w:rPr>
              <w:t>。</w:t>
            </w:r>
          </w:p>
          <w:p w14:paraId="3DC9EDF7">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6669F60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0725D993">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C0CEB8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57F9863D">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5E96788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54920EC2">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3673076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4BF36A1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E79A48B">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58EB677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307A99A4">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016FA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977A300">
            <w:pPr>
              <w:spacing w:line="400" w:lineRule="exact"/>
              <w:jc w:val="center"/>
              <w:rPr>
                <w:rFonts w:hint="eastAsia" w:ascii="宋体" w:hAnsi="宋体"/>
                <w:color w:val="auto"/>
                <w:szCs w:val="21"/>
                <w:highlight w:val="none"/>
              </w:rPr>
            </w:pPr>
            <w:bookmarkStart w:id="62" w:name="_19.2"/>
            <w:bookmarkEnd w:id="62"/>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79225FB">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23928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15D15B4">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E1A20BF">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3E947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0A23701">
            <w:pPr>
              <w:spacing w:line="400" w:lineRule="exact"/>
              <w:jc w:val="center"/>
              <w:rPr>
                <w:rFonts w:hint="eastAsia" w:ascii="宋体" w:hAnsi="宋体"/>
                <w:color w:val="auto"/>
                <w:szCs w:val="21"/>
                <w:highlight w:val="none"/>
              </w:rPr>
            </w:pPr>
            <w:bookmarkStart w:id="63" w:name="_21.1"/>
            <w:bookmarkEnd w:id="63"/>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49D5228">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2ABB82F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406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F03493F">
            <w:pPr>
              <w:spacing w:line="400" w:lineRule="exact"/>
              <w:jc w:val="center"/>
              <w:rPr>
                <w:rFonts w:hint="eastAsia"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665B2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6AD1557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4C419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0758A9">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237E0A1">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6DB33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89ABEC">
            <w:pPr>
              <w:spacing w:line="400" w:lineRule="exact"/>
              <w:jc w:val="center"/>
              <w:rPr>
                <w:rFonts w:hint="eastAsia" w:ascii="宋体" w:hAnsi="宋体"/>
                <w:color w:val="auto"/>
                <w:szCs w:val="21"/>
                <w:highlight w:val="none"/>
              </w:rPr>
            </w:pPr>
            <w:bookmarkStart w:id="65" w:name="_25.3"/>
            <w:bookmarkEnd w:id="65"/>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9AD6FD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5E2180D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57"/>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71C71F7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99E6EB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82194C6">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416F7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32DF00">
            <w:pPr>
              <w:spacing w:line="400" w:lineRule="exact"/>
              <w:jc w:val="center"/>
              <w:rPr>
                <w:rFonts w:hint="eastAsia" w:ascii="宋体" w:hAnsi="宋体"/>
                <w:color w:val="auto"/>
                <w:szCs w:val="21"/>
                <w:highlight w:val="none"/>
              </w:rPr>
            </w:pPr>
            <w:bookmarkStart w:id="66" w:name="_26"/>
            <w:bookmarkEnd w:id="66"/>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18237A1">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评标委员会的人数：5人。</w:t>
            </w:r>
          </w:p>
        </w:tc>
      </w:tr>
      <w:tr w14:paraId="73163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5BCD5F5">
            <w:pPr>
              <w:spacing w:line="400" w:lineRule="exact"/>
              <w:jc w:val="center"/>
              <w:rPr>
                <w:rFonts w:hint="eastAsia" w:ascii="宋体" w:hAnsi="宋体"/>
                <w:color w:val="auto"/>
                <w:szCs w:val="21"/>
                <w:highlight w:val="none"/>
              </w:rPr>
            </w:pPr>
            <w:bookmarkStart w:id="67" w:name="_28.3"/>
            <w:bookmarkEnd w:id="67"/>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3506C1D">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22CFF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95" w:type="dxa"/>
            <w:tcBorders>
              <w:top w:val="single" w:color="auto" w:sz="4" w:space="0"/>
              <w:left w:val="single" w:color="auto" w:sz="4" w:space="0"/>
              <w:right w:val="single" w:color="auto" w:sz="4" w:space="0"/>
            </w:tcBorders>
            <w:noWrap w:val="0"/>
            <w:vAlign w:val="center"/>
          </w:tcPr>
          <w:p w14:paraId="4FA35E1A">
            <w:pPr>
              <w:spacing w:line="400" w:lineRule="exact"/>
              <w:jc w:val="center"/>
              <w:rPr>
                <w:rFonts w:hint="eastAsia"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26FD7DAD">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02876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82D8C1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61076E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w:t>
            </w:r>
            <w:r>
              <w:rPr>
                <w:rFonts w:hint="eastAsia" w:ascii="宋体" w:hAnsi="宋体"/>
                <w:color w:val="auto"/>
                <w:szCs w:val="21"/>
                <w:highlight w:val="none"/>
                <w:lang w:val="en-US" w:eastAsia="zh-CN"/>
              </w:rPr>
              <w:t>价格分、</w:t>
            </w:r>
            <w:r>
              <w:rPr>
                <w:rFonts w:hint="eastAsia" w:hAnsi="宋体" w:cs="宋体"/>
                <w:bCs/>
                <w:color w:val="auto"/>
                <w:sz w:val="21"/>
                <w:highlight w:val="none"/>
              </w:rPr>
              <w:t>技术</w:t>
            </w:r>
            <w:r>
              <w:rPr>
                <w:rFonts w:hint="eastAsia" w:hAnsi="宋体" w:cs="宋体"/>
                <w:bCs/>
                <w:color w:val="auto"/>
                <w:sz w:val="21"/>
                <w:highlight w:val="none"/>
                <w:lang w:val="en-US" w:eastAsia="zh-CN"/>
              </w:rPr>
              <w:t>分</w:t>
            </w:r>
            <w:r>
              <w:rPr>
                <w:rFonts w:hint="eastAsia" w:hAnsi="宋体" w:cs="宋体"/>
                <w:bCs/>
                <w:color w:val="auto"/>
                <w:sz w:val="21"/>
                <w:highlight w:val="none"/>
              </w:rPr>
              <w:t>、</w:t>
            </w:r>
            <w:r>
              <w:rPr>
                <w:rFonts w:hint="eastAsia" w:hAnsi="宋体" w:cs="宋体"/>
                <w:bCs/>
                <w:color w:val="auto"/>
                <w:sz w:val="21"/>
                <w:highlight w:val="none"/>
                <w:lang w:val="en-US" w:eastAsia="zh-CN"/>
              </w:rPr>
              <w:t>商务分</w:t>
            </w:r>
            <w:r>
              <w:rPr>
                <w:rFonts w:hint="eastAsia" w:ascii="宋体" w:hAnsi="宋体"/>
                <w:color w:val="auto"/>
                <w:szCs w:val="21"/>
                <w:highlight w:val="none"/>
              </w:rPr>
              <w:t>得分高低依次确定。</w:t>
            </w:r>
          </w:p>
          <w:p w14:paraId="58D3A4A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106F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7977AF3">
            <w:pPr>
              <w:spacing w:line="400" w:lineRule="exact"/>
              <w:jc w:val="center"/>
              <w:rPr>
                <w:rFonts w:hint="eastAsia"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906096A">
            <w:pPr>
              <w:autoSpaceDE w:val="0"/>
              <w:autoSpaceDN w:val="0"/>
              <w:snapToGrid w:val="0"/>
              <w:spacing w:line="360" w:lineRule="auto"/>
              <w:textAlignment w:val="bottom"/>
              <w:rPr>
                <w:rFonts w:ascii="宋体" w:hAnsi="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b/>
                <w:bCs/>
                <w:color w:val="auto"/>
                <w:szCs w:val="21"/>
                <w:highlight w:val="none"/>
              </w:rPr>
              <w:t>本项目不收取履约保证金。</w:t>
            </w:r>
          </w:p>
          <w:p w14:paraId="627A42A4">
            <w:pPr>
              <w:autoSpaceDE w:val="0"/>
              <w:autoSpaceDN w:val="0"/>
              <w:snapToGrid w:val="0"/>
              <w:spacing w:line="360" w:lineRule="auto"/>
              <w:textAlignment w:val="bottom"/>
              <w:rPr>
                <w:rFonts w:hint="eastAsia" w:ascii="宋体" w:hAnsi="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b w:val="0"/>
                <w:bCs w:val="0"/>
                <w:color w:val="auto"/>
                <w:szCs w:val="21"/>
                <w:highlight w:val="none"/>
              </w:rPr>
              <w:t>本项目收取履约保证金，具体规定如下：</w:t>
            </w:r>
          </w:p>
          <w:p w14:paraId="0DE5B47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年采购预算）的5%（如中标供应商为中小微企业，按2%）。</w:t>
            </w:r>
          </w:p>
          <w:p w14:paraId="0241FC1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286525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 。</w:t>
            </w:r>
          </w:p>
          <w:p w14:paraId="75433C9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E63DFE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eastAsia="zh-CN"/>
              </w:rPr>
              <w:t>广西医科大学第一附属医院</w:t>
            </w:r>
            <w:r>
              <w:rPr>
                <w:rFonts w:hint="eastAsia" w:ascii="宋体" w:hAnsi="宋体" w:cs="宋体"/>
                <w:color w:val="auto"/>
                <w:szCs w:val="21"/>
                <w:highlight w:val="none"/>
                <w:u w:val="single"/>
              </w:rPr>
              <w:t xml:space="preserve">                   </w:t>
            </w:r>
          </w:p>
          <w:p w14:paraId="783AD8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中国建设银行股份有限公司南宁医科大支行      </w:t>
            </w:r>
          </w:p>
          <w:p w14:paraId="27BCD31A">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45001604560050501061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EFF1D13">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176EA494">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5250FE3C">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76DB7270">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3149E442">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4523C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BAFAF3">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C0681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AB82FB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2939B6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942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B33C650">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A1426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04C749FE">
            <w:pPr>
              <w:pStyle w:val="26"/>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广西科文招标有限公司，质疑联系人：蒙颖、郑辉海  联系电话：</w:t>
            </w:r>
            <w:r>
              <w:rPr>
                <w:rFonts w:hint="eastAsia" w:hAnsi="宋体" w:cs="Arial"/>
                <w:color w:val="auto"/>
                <w:highlight w:val="none"/>
              </w:rPr>
              <w:t>0771-2023875</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56B868D9">
            <w:pPr>
              <w:pStyle w:val="26"/>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720DC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EC80A1E">
            <w:pPr>
              <w:spacing w:line="400" w:lineRule="exact"/>
              <w:jc w:val="center"/>
              <w:rPr>
                <w:rFonts w:hint="eastAsia" w:ascii="宋体" w:hAnsi="宋体"/>
                <w:color w:val="auto"/>
                <w:szCs w:val="21"/>
                <w:highlight w:val="none"/>
              </w:rPr>
            </w:pPr>
            <w:bookmarkStart w:id="72" w:name="_41"/>
            <w:bookmarkEnd w:id="72"/>
            <w:bookmarkStart w:id="73" w:name="_42"/>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EB0723">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1、采购代理服务费支付方式：本项目的招标代理服务费按以下收费标准向成交投标人收取，领取成交通知书前，成交投标人应向采购代理机构一次付清招标代理服务费，否则采购代理机构有权不予以办理。</w:t>
            </w:r>
          </w:p>
          <w:p w14:paraId="766FF213">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741F2C15">
            <w:pPr>
              <w:pStyle w:val="26"/>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w:t>
            </w:r>
            <w:r>
              <w:rPr>
                <w:rFonts w:hint="eastAsia" w:hAnsi="宋体" w:cs="宋体"/>
                <w:color w:val="auto"/>
                <w:sz w:val="21"/>
                <w:highlight w:val="none"/>
                <w:lang w:val="en-US" w:eastAsia="zh-CN"/>
              </w:rPr>
              <w:t>20</w:t>
            </w:r>
            <w:r>
              <w:rPr>
                <w:rFonts w:hint="eastAsia" w:hAnsi="宋体" w:cs="宋体"/>
                <w:color w:val="auto"/>
                <w:sz w:val="21"/>
                <w:highlight w:val="none"/>
              </w:rPr>
              <w:t>%收取。</w:t>
            </w:r>
          </w:p>
          <w:p w14:paraId="3DDE31CE">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3、开户名称：广西科文招标有限公司南宁三分公司</w:t>
            </w:r>
          </w:p>
          <w:p w14:paraId="302A02E1">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EDA0B91">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银行账号：805029874400001</w:t>
            </w:r>
          </w:p>
        </w:tc>
      </w:tr>
      <w:tr w14:paraId="1C7DC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E2298C">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26D205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6EB4D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C4749DD">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033399F">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639950DC">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7B09DFF">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3CFD8585">
            <w:pPr>
              <w:pStyle w:val="26"/>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2DEA2694">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2DE756D0">
      <w:pPr>
        <w:pStyle w:val="4"/>
        <w:keepNext w:val="0"/>
        <w:keepLines w:val="0"/>
        <w:jc w:val="center"/>
        <w:rPr>
          <w:rFonts w:hint="eastAsia"/>
          <w:color w:val="auto"/>
          <w:highlight w:val="none"/>
        </w:rPr>
      </w:pPr>
      <w:r>
        <w:rPr>
          <w:rFonts w:hint="eastAsia"/>
          <w:color w:val="auto"/>
          <w:highlight w:val="none"/>
        </w:rPr>
        <w:br w:type="page"/>
      </w:r>
      <w:r>
        <w:rPr>
          <w:rFonts w:hint="eastAsia"/>
          <w:color w:val="auto"/>
          <w:highlight w:val="none"/>
        </w:rPr>
        <w:t>投标人须知正文</w:t>
      </w:r>
    </w:p>
    <w:p w14:paraId="6B6BE934">
      <w:pPr>
        <w:pStyle w:val="4"/>
        <w:keepNext w:val="0"/>
        <w:keepLines w:val="0"/>
        <w:jc w:val="center"/>
        <w:rPr>
          <w:rFonts w:hint="eastAsia"/>
          <w:color w:val="auto"/>
          <w:highlight w:val="none"/>
        </w:rPr>
      </w:pPr>
      <w:r>
        <w:rPr>
          <w:rFonts w:hint="eastAsia"/>
          <w:color w:val="auto"/>
          <w:highlight w:val="none"/>
        </w:rPr>
        <w:t>一、总  则</w:t>
      </w:r>
    </w:p>
    <w:p w14:paraId="74054AE1">
      <w:pPr>
        <w:pStyle w:val="6"/>
        <w:keepNext w:val="0"/>
        <w:keepLines w:val="0"/>
        <w:spacing w:before="0" w:after="0" w:line="360" w:lineRule="auto"/>
        <w:ind w:left="420" w:leftChars="200"/>
        <w:rPr>
          <w:rFonts w:hint="eastAsia" w:ascii="黑体" w:hAnsi="黑体" w:eastAsia="黑体"/>
          <w:color w:val="auto"/>
          <w:sz w:val="24"/>
          <w:highlight w:val="none"/>
        </w:rPr>
      </w:pPr>
      <w:bookmarkStart w:id="75" w:name="_Toc254970668"/>
      <w:bookmarkStart w:id="76" w:name="_Toc254970527"/>
      <w:r>
        <w:rPr>
          <w:rFonts w:hint="eastAsia" w:ascii="黑体" w:hAnsi="黑体" w:eastAsia="黑体"/>
          <w:color w:val="auto"/>
          <w:sz w:val="24"/>
          <w:highlight w:val="none"/>
        </w:rPr>
        <w:t>1.适用范围</w:t>
      </w:r>
      <w:bookmarkEnd w:id="75"/>
      <w:bookmarkEnd w:id="76"/>
    </w:p>
    <w:p w14:paraId="17A3A1C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CFD160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7B006D6">
      <w:pPr>
        <w:pStyle w:val="6"/>
        <w:keepNext w:val="0"/>
        <w:keepLines w:val="0"/>
        <w:spacing w:before="0" w:after="0" w:line="360" w:lineRule="auto"/>
        <w:ind w:left="420" w:leftChars="200"/>
        <w:rPr>
          <w:rFonts w:hint="eastAsia" w:ascii="黑体" w:hAnsi="黑体" w:eastAsia="黑体"/>
          <w:color w:val="auto"/>
          <w:sz w:val="24"/>
          <w:highlight w:val="none"/>
        </w:rPr>
      </w:pPr>
      <w:bookmarkStart w:id="77" w:name="_Toc254970528"/>
      <w:bookmarkStart w:id="78" w:name="_Toc254970669"/>
      <w:r>
        <w:rPr>
          <w:rFonts w:hint="eastAsia" w:ascii="黑体" w:hAnsi="黑体" w:eastAsia="黑体"/>
          <w:color w:val="auto"/>
          <w:sz w:val="24"/>
          <w:highlight w:val="none"/>
        </w:rPr>
        <w:t>2.定义</w:t>
      </w:r>
      <w:bookmarkEnd w:id="77"/>
      <w:bookmarkEnd w:id="78"/>
    </w:p>
    <w:p w14:paraId="743B050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9FFC54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12B63A7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40875E36">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6FF06D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52389B9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4F0E778A">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7B0CFD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27070F89">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1647773">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4F84C328">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670"/>
      <w:bookmarkStart w:id="80" w:name="_Toc254970529"/>
    </w:p>
    <w:p w14:paraId="4109ACF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703729D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5223EFBB">
      <w:pPr>
        <w:pStyle w:val="6"/>
        <w:keepNext w:val="0"/>
        <w:keepLines w:val="0"/>
        <w:spacing w:before="0" w:after="0" w:line="360" w:lineRule="auto"/>
        <w:ind w:left="420" w:leftChars="200"/>
        <w:rPr>
          <w:rFonts w:hint="eastAsia"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15D27DD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8D1C45D">
      <w:pPr>
        <w:pStyle w:val="6"/>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672"/>
      <w:bookmarkStart w:id="85" w:name="_Toc254970531"/>
      <w:r>
        <w:rPr>
          <w:rFonts w:hint="eastAsia" w:ascii="黑体" w:hAnsi="黑体" w:eastAsia="黑体"/>
          <w:color w:val="auto"/>
          <w:sz w:val="24"/>
          <w:highlight w:val="none"/>
        </w:rPr>
        <w:t>5.投标费用</w:t>
      </w:r>
      <w:bookmarkEnd w:id="84"/>
      <w:bookmarkEnd w:id="85"/>
    </w:p>
    <w:p w14:paraId="35A5DD7C">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DCB1D1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073646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2E1B43D">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6AECCF8B">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332DA43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3C02400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3DD9EE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8049DB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817F033">
      <w:pPr>
        <w:pStyle w:val="6"/>
        <w:keepNext w:val="0"/>
        <w:keepLines w:val="0"/>
        <w:spacing w:before="0" w:after="0" w:line="360" w:lineRule="auto"/>
        <w:ind w:left="420" w:leftChars="200"/>
        <w:rPr>
          <w:rFonts w:hint="eastAsia" w:ascii="黑体" w:hAnsi="黑体" w:eastAsia="黑体"/>
          <w:color w:val="auto"/>
          <w:sz w:val="24"/>
          <w:highlight w:val="none"/>
        </w:rPr>
      </w:pPr>
      <w:bookmarkStart w:id="87" w:name="_Toc254970673"/>
      <w:bookmarkStart w:id="88" w:name="_Toc254970532"/>
      <w:r>
        <w:rPr>
          <w:rFonts w:hint="eastAsia" w:ascii="黑体" w:hAnsi="黑体" w:eastAsia="黑体"/>
          <w:color w:val="auto"/>
          <w:sz w:val="24"/>
          <w:highlight w:val="none"/>
        </w:rPr>
        <w:t>8.特别说明</w:t>
      </w:r>
      <w:bookmarkEnd w:id="87"/>
      <w:bookmarkEnd w:id="88"/>
    </w:p>
    <w:p w14:paraId="29CB8781">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66451E3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0946D1B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482AAF6E">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A319C68">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5C67071E">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45D173CC">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41795C5D">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34F98D54">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5B426762">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1316FE9C">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475335C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43A71F7">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1AED912E">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080E736">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F089D6E">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C427729">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A66BA18">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2031A3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1ADAFA71">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01731006">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623FE1B5">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6ED5D8AE">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50BC27B5">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47879473">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5B7EE1FD">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2279068A">
      <w:pPr>
        <w:pStyle w:val="26"/>
        <w:snapToGrid w:val="0"/>
        <w:spacing w:line="360" w:lineRule="auto"/>
        <w:ind w:left="2" w:leftChars="1" w:firstLine="422" w:firstLineChars="200"/>
        <w:rPr>
          <w:rFonts w:hint="eastAsia" w:hAnsi="宋体"/>
          <w:b/>
          <w:color w:val="auto"/>
          <w:kern w:val="2"/>
          <w:sz w:val="21"/>
          <w:highlight w:val="none"/>
        </w:rPr>
      </w:pPr>
    </w:p>
    <w:p w14:paraId="3B49F33D">
      <w:pPr>
        <w:pStyle w:val="4"/>
        <w:keepNext w:val="0"/>
        <w:keepLines w:val="0"/>
        <w:jc w:val="center"/>
        <w:rPr>
          <w:rFonts w:hint="eastAsia"/>
          <w:color w:val="auto"/>
          <w:highlight w:val="none"/>
        </w:rPr>
      </w:pPr>
      <w:bookmarkStart w:id="90" w:name="_Toc254970675"/>
      <w:bookmarkStart w:id="91" w:name="_Toc254970534"/>
      <w:r>
        <w:rPr>
          <w:rFonts w:hint="eastAsia"/>
          <w:color w:val="auto"/>
          <w:highlight w:val="none"/>
        </w:rPr>
        <w:t>二、招标文件</w:t>
      </w:r>
      <w:bookmarkEnd w:id="90"/>
      <w:bookmarkEnd w:id="91"/>
    </w:p>
    <w:p w14:paraId="1235A9C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EB1387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62F98FE5">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1523FC6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0AFDFD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5F98061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0BD7B13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503099E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466B053E">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CB75E5F">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1AE63151">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4CA164DD">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4283FD9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37F08124">
      <w:pPr>
        <w:pStyle w:val="26"/>
        <w:snapToGrid w:val="0"/>
        <w:spacing w:line="360" w:lineRule="auto"/>
        <w:ind w:firstLine="420" w:firstLineChars="200"/>
        <w:rPr>
          <w:rFonts w:hint="eastAsia" w:hAnsi="宋体"/>
          <w:color w:val="auto"/>
          <w:sz w:val="21"/>
          <w:highlight w:val="none"/>
        </w:rPr>
      </w:pPr>
    </w:p>
    <w:bookmarkEnd w:id="92"/>
    <w:p w14:paraId="7CA3BB11">
      <w:pPr>
        <w:pStyle w:val="4"/>
        <w:keepNext w:val="0"/>
        <w:keepLines w:val="0"/>
        <w:jc w:val="center"/>
        <w:rPr>
          <w:rFonts w:hint="eastAsia"/>
          <w:color w:val="auto"/>
          <w:highlight w:val="none"/>
        </w:rPr>
      </w:pPr>
      <w:bookmarkStart w:id="93" w:name="_Toc254970535"/>
      <w:bookmarkStart w:id="94" w:name="_Toc254970676"/>
      <w:r>
        <w:rPr>
          <w:rFonts w:hint="eastAsia"/>
          <w:color w:val="auto"/>
          <w:highlight w:val="none"/>
        </w:rPr>
        <w:t>三、投标文件的编制</w:t>
      </w:r>
      <w:bookmarkEnd w:id="93"/>
      <w:bookmarkEnd w:id="94"/>
    </w:p>
    <w:p w14:paraId="1453DA73">
      <w:pPr>
        <w:pStyle w:val="6"/>
        <w:keepNext w:val="0"/>
        <w:keepLines w:val="0"/>
        <w:spacing w:before="0" w:after="0" w:line="360" w:lineRule="auto"/>
        <w:ind w:left="420" w:leftChars="200"/>
        <w:rPr>
          <w:rFonts w:hint="eastAsia" w:ascii="黑体" w:hAnsi="黑体" w:eastAsia="黑体"/>
          <w:color w:val="auto"/>
          <w:sz w:val="24"/>
          <w:highlight w:val="none"/>
        </w:rPr>
      </w:pPr>
      <w:bookmarkStart w:id="95" w:name="_Toc254970536"/>
      <w:bookmarkStart w:id="96" w:name="_Toc254970677"/>
      <w:r>
        <w:rPr>
          <w:rFonts w:hint="eastAsia" w:ascii="黑体" w:hAnsi="黑体" w:eastAsia="黑体"/>
          <w:color w:val="auto"/>
          <w:sz w:val="24"/>
          <w:highlight w:val="none"/>
        </w:rPr>
        <w:t>12.投标文件的编制原则</w:t>
      </w:r>
    </w:p>
    <w:p w14:paraId="20362ECA">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209B500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36CFE4C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13B0AA4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1F6F1C9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DCEBC73">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5E1856C">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5B904752">
      <w:pPr>
        <w:pStyle w:val="6"/>
        <w:keepNext w:val="0"/>
        <w:keepLines w:val="0"/>
        <w:spacing w:before="0" w:after="0" w:line="360" w:lineRule="auto"/>
        <w:ind w:left="420" w:leftChars="200"/>
        <w:rPr>
          <w:rFonts w:hint="eastAsia" w:ascii="黑体" w:hAnsi="黑体" w:eastAsia="黑体"/>
          <w:color w:val="auto"/>
          <w:sz w:val="24"/>
          <w:highlight w:val="none"/>
        </w:rPr>
      </w:pPr>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4777133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27149F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850956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7BB4875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F79612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3D394557">
      <w:pPr>
        <w:pStyle w:val="26"/>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D2C9712">
      <w:pPr>
        <w:pStyle w:val="6"/>
        <w:keepNext w:val="0"/>
        <w:keepLines w:val="0"/>
        <w:spacing w:before="0" w:after="0" w:line="360" w:lineRule="auto"/>
        <w:ind w:left="420" w:leftChars="200"/>
        <w:rPr>
          <w:rFonts w:hint="eastAsia" w:ascii="黑体" w:hAnsi="黑体" w:eastAsia="黑体"/>
          <w:color w:val="auto"/>
          <w:sz w:val="24"/>
          <w:highlight w:val="none"/>
        </w:rPr>
      </w:pPr>
      <w:bookmarkStart w:id="104" w:name="_Toc254970679"/>
      <w:bookmarkStart w:id="105" w:name="_Toc254970538"/>
      <w:r>
        <w:rPr>
          <w:rFonts w:hint="eastAsia" w:ascii="黑体" w:hAnsi="黑体" w:eastAsia="黑体"/>
          <w:color w:val="auto"/>
          <w:sz w:val="24"/>
          <w:highlight w:val="none"/>
        </w:rPr>
        <w:t>16.投标报价</w:t>
      </w:r>
      <w:bookmarkEnd w:id="104"/>
      <w:bookmarkEnd w:id="105"/>
    </w:p>
    <w:p w14:paraId="1D1C42B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650AF9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1269C439">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FF0C71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8CE0497">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DBDB3A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672B672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20212ED2">
      <w:pPr>
        <w:pStyle w:val="6"/>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682"/>
      <w:bookmarkStart w:id="112" w:name="_Toc254970541"/>
      <w:r>
        <w:rPr>
          <w:rFonts w:hint="eastAsia" w:ascii="黑体" w:hAnsi="黑体" w:eastAsia="黑体"/>
          <w:color w:val="auto"/>
          <w:sz w:val="24"/>
          <w:highlight w:val="none"/>
        </w:rPr>
        <w:t>18.投标保证金</w:t>
      </w:r>
      <w:bookmarkEnd w:id="111"/>
      <w:bookmarkEnd w:id="112"/>
    </w:p>
    <w:p w14:paraId="33196F55">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18F29B4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BA97CB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2F32436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9F177B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416D4D2">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1522104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3061AF4">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7CFAC20D">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6F595F3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2EA018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F0CBE87">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42"/>
      <w:bookmarkStart w:id="114" w:name="_Toc254970683"/>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417D346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4FE4236">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5A646B83">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rPr>
        <w:t>3投标文件须由投标人在规定位置盖公章并签字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1D01FA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63BC6FC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EADA66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549A4B0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7F96C66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280F87F">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3A0D98C4">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40CA5792">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3A41EA13">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7A67ACEA">
      <w:pPr>
        <w:pStyle w:val="8"/>
        <w:rPr>
          <w:rFonts w:hint="eastAsia"/>
          <w:color w:val="auto"/>
          <w:highlight w:val="none"/>
        </w:rPr>
      </w:pPr>
    </w:p>
    <w:p w14:paraId="291CC0B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D407095">
      <w:pPr>
        <w:snapToGrid w:val="0"/>
        <w:spacing w:line="360" w:lineRule="auto"/>
        <w:ind w:firstLine="420"/>
        <w:jc w:val="left"/>
        <w:rPr>
          <w:rFonts w:hint="eastAsia" w:ascii="宋体" w:hAnsi="宋体"/>
          <w:color w:val="auto"/>
          <w:szCs w:val="21"/>
          <w:highlight w:val="none"/>
        </w:rPr>
      </w:pPr>
      <w:bookmarkStart w:id="119" w:name="_Toc254970684"/>
      <w:bookmarkStart w:id="120"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510EEEF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6286A9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538630DC">
      <w:pPr>
        <w:pStyle w:val="21"/>
        <w:snapToGrid w:val="0"/>
        <w:spacing w:line="360" w:lineRule="auto"/>
        <w:ind w:firstLine="739"/>
        <w:rPr>
          <w:rFonts w:hint="eastAsia" w:ascii="宋体" w:hAnsi="宋体" w:eastAsia="宋体"/>
          <w:snapToGrid w:val="0"/>
          <w:color w:val="auto"/>
          <w:sz w:val="21"/>
          <w:szCs w:val="21"/>
          <w:highlight w:val="none"/>
        </w:rPr>
      </w:pPr>
    </w:p>
    <w:p w14:paraId="4A097787">
      <w:pPr>
        <w:pStyle w:val="4"/>
        <w:keepNext w:val="0"/>
        <w:keepLines w:val="0"/>
        <w:jc w:val="center"/>
        <w:rPr>
          <w:rFonts w:hint="eastAsia"/>
          <w:color w:val="auto"/>
          <w:highlight w:val="none"/>
        </w:rPr>
      </w:pPr>
      <w:bookmarkStart w:id="121" w:name="_Toc254970685"/>
      <w:bookmarkStart w:id="122" w:name="_Toc254970544"/>
      <w:r>
        <w:rPr>
          <w:rFonts w:hint="eastAsia"/>
          <w:color w:val="auto"/>
          <w:highlight w:val="none"/>
        </w:rPr>
        <w:t>四、开    标</w:t>
      </w:r>
      <w:bookmarkEnd w:id="121"/>
      <w:bookmarkEnd w:id="122"/>
    </w:p>
    <w:p w14:paraId="527CD8F3">
      <w:pPr>
        <w:pStyle w:val="6"/>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453FE0E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1D402C3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5B59D15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E750657">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768E7EF">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EE5BE15">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3EAA62DB">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7BB55815">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7545BC7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7F6EEFC9">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B70EC8D">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B1632AC">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7DA93856">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24E01416">
      <w:pPr>
        <w:pStyle w:val="26"/>
        <w:snapToGrid w:val="0"/>
        <w:spacing w:line="360" w:lineRule="auto"/>
        <w:ind w:left="689" w:leftChars="228" w:hanging="210" w:hangingChars="100"/>
        <w:rPr>
          <w:rFonts w:hint="eastAsia" w:hAnsi="宋体"/>
          <w:color w:val="auto"/>
          <w:sz w:val="21"/>
          <w:highlight w:val="none"/>
        </w:rPr>
      </w:pPr>
    </w:p>
    <w:p w14:paraId="4ED91798">
      <w:pPr>
        <w:pStyle w:val="4"/>
        <w:keepNext w:val="0"/>
        <w:keepLines w:val="0"/>
        <w:jc w:val="center"/>
        <w:rPr>
          <w:rFonts w:hint="eastAsia"/>
          <w:color w:val="auto"/>
          <w:highlight w:val="none"/>
        </w:rPr>
      </w:pPr>
      <w:r>
        <w:rPr>
          <w:rFonts w:hint="eastAsia"/>
          <w:color w:val="auto"/>
          <w:highlight w:val="none"/>
        </w:rPr>
        <w:t>五、资格审查</w:t>
      </w:r>
    </w:p>
    <w:p w14:paraId="0070D90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3D2B52E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69D1306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E08F1FB">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302CFCF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6D3793FA">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7365F40E">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A3B8647">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3A5560D">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2F609A64">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09532BB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722B3C99">
      <w:pPr>
        <w:pStyle w:val="26"/>
        <w:snapToGrid w:val="0"/>
        <w:spacing w:line="360" w:lineRule="auto"/>
        <w:ind w:left="689" w:leftChars="228" w:hanging="210" w:hangingChars="100"/>
        <w:rPr>
          <w:rFonts w:hint="eastAsia" w:hAnsi="宋体"/>
          <w:color w:val="auto"/>
          <w:sz w:val="21"/>
          <w:highlight w:val="none"/>
        </w:rPr>
      </w:pPr>
    </w:p>
    <w:p w14:paraId="0C441BD4">
      <w:pPr>
        <w:pStyle w:val="4"/>
        <w:keepNext w:val="0"/>
        <w:keepLines w:val="0"/>
        <w:jc w:val="center"/>
        <w:rPr>
          <w:rFonts w:hint="eastAsia"/>
          <w:color w:val="auto"/>
          <w:highlight w:val="none"/>
        </w:rPr>
      </w:pPr>
      <w:r>
        <w:rPr>
          <w:rFonts w:hint="eastAsia"/>
          <w:color w:val="auto"/>
          <w:highlight w:val="none"/>
        </w:rPr>
        <w:t>六、评   标</w:t>
      </w:r>
    </w:p>
    <w:p w14:paraId="4F09756B">
      <w:pPr>
        <w:pStyle w:val="6"/>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6046F281">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974753C">
      <w:pPr>
        <w:pStyle w:val="26"/>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371AE82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01449BB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657D130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5D2F64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C7BAA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38DE3A08">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ADBC1E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603A7E0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6109DDD7">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0B99FD8B">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DC299B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703DB8A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4A01361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0F4625E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3B58415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39697AC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6C9053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37E9515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4F32D608">
      <w:pPr>
        <w:pStyle w:val="26"/>
        <w:snapToGrid w:val="0"/>
        <w:spacing w:line="360" w:lineRule="auto"/>
        <w:rPr>
          <w:rFonts w:hint="eastAsia" w:hAnsi="宋体"/>
          <w:color w:val="auto"/>
          <w:sz w:val="21"/>
          <w:highlight w:val="none"/>
        </w:rPr>
      </w:pPr>
    </w:p>
    <w:p w14:paraId="0EBD2CAF">
      <w:pPr>
        <w:pStyle w:val="4"/>
        <w:keepNext w:val="0"/>
        <w:keepLines w:val="0"/>
        <w:jc w:val="center"/>
        <w:rPr>
          <w:rFonts w:hint="eastAsia"/>
          <w:color w:val="auto"/>
          <w:highlight w:val="none"/>
        </w:rPr>
      </w:pPr>
      <w:bookmarkStart w:id="127" w:name="_Toc254970546"/>
      <w:bookmarkStart w:id="128" w:name="_Toc254970687"/>
      <w:r>
        <w:rPr>
          <w:rFonts w:hint="eastAsia"/>
          <w:color w:val="auto"/>
          <w:highlight w:val="none"/>
        </w:rPr>
        <w:t>七、</w:t>
      </w:r>
      <w:bookmarkEnd w:id="127"/>
      <w:bookmarkEnd w:id="128"/>
      <w:r>
        <w:rPr>
          <w:rFonts w:hint="eastAsia"/>
          <w:color w:val="auto"/>
          <w:highlight w:val="none"/>
        </w:rPr>
        <w:t>中标和合同</w:t>
      </w:r>
    </w:p>
    <w:p w14:paraId="6C66136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665CB2E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4F80C3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295DF3D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7B78B4D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7D2625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71E22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D55B9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7414F6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7BA2ED5">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3B09DE7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2F5A90C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7152968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7CAFA1C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44700F6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1FD61E2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2E2E0984">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30AC56F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50A0638C">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3A7FEFC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9E8B4E2">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4CAB62C9">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75781C2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564BFAD">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0C0D651B">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10015DF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32DBD673">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33FA5F2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4E67E5E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8ED5D1E">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49570B2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34FD477">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4E070C4C">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256DEC2">
      <w:pPr>
        <w:pStyle w:val="26"/>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7A7BC10">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28942E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135AB8D9">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353B68D">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760B2047">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ECBAC4F">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5BA9066">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E2C7712">
      <w:pPr>
        <w:pStyle w:val="26"/>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7A555314">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782961C4">
      <w:pPr>
        <w:pStyle w:val="26"/>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5DF33D94">
      <w:pPr>
        <w:pStyle w:val="26"/>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42AD84D0">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2E72C5E">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32BED810">
      <w:pPr>
        <w:pStyle w:val="26"/>
        <w:snapToGrid w:val="0"/>
        <w:spacing w:line="360" w:lineRule="auto"/>
        <w:ind w:firstLine="400" w:firstLineChars="200"/>
        <w:rPr>
          <w:rFonts w:hint="eastAsia"/>
          <w:color w:val="auto"/>
          <w:highlight w:val="none"/>
        </w:rPr>
      </w:pPr>
      <w:r>
        <w:rPr>
          <w:rFonts w:hint="eastAsia"/>
          <w:color w:val="auto"/>
          <w:highlight w:val="none"/>
        </w:rPr>
        <w:t xml:space="preserve"> </w:t>
      </w:r>
    </w:p>
    <w:p w14:paraId="528EAAA1">
      <w:pPr>
        <w:pStyle w:val="4"/>
        <w:keepNext w:val="0"/>
        <w:keepLines w:val="0"/>
        <w:jc w:val="center"/>
        <w:rPr>
          <w:rFonts w:hint="eastAsia"/>
          <w:color w:val="auto"/>
          <w:highlight w:val="none"/>
        </w:rPr>
      </w:pPr>
      <w:r>
        <w:rPr>
          <w:rFonts w:hint="eastAsia"/>
          <w:color w:val="auto"/>
          <w:highlight w:val="none"/>
        </w:rPr>
        <w:t>八、其他事项</w:t>
      </w:r>
    </w:p>
    <w:p w14:paraId="4650DC25">
      <w:pPr>
        <w:pStyle w:val="6"/>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46DB630">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4CFF4ADE">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7C0736F3">
      <w:pPr>
        <w:pStyle w:val="26"/>
        <w:snapToGrid w:val="0"/>
        <w:spacing w:line="360" w:lineRule="auto"/>
        <w:ind w:firstLine="420" w:firstLineChars="200"/>
        <w:rPr>
          <w:rFonts w:hint="eastAsia"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6DF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51F50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4DE9F34F">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2B58561F">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35CF82EB">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3D4B3885">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8DC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440A97">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5BCDE18A">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315C491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19BFA560">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5D0B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7FC088">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39A6E31">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7AFAAF4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7470DE8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6E1C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F5781E">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04182C3D">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26EEBFB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5E9453B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CA1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FABB9D">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744CD3A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4E0DE34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2B7A4FFC">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6348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071466">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71E9F4BE">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524E187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242F8BA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7EA4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517862">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4D38F63E">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3E57097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1025078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0AED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0965DA">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5F8528F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6FFC1DF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4AF7DE6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34F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511369">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4C69A67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15ADADE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2447FCE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05F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2DDE86">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708DB0B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3BA3E6F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781BEBE1">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2B8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08294B">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64E50D6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3F76010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6929B5D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C528DB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F1C32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A601F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324D6D1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24D85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3F5B39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6BA8C65C">
      <w:pPr>
        <w:pStyle w:val="26"/>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33195FE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620DA586">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开户名称：广西科文招标有限公司南宁三分公司</w:t>
      </w:r>
    </w:p>
    <w:p w14:paraId="6E9FDDE2">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79A3B3CC">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银行账号：805029874400001</w:t>
      </w:r>
    </w:p>
    <w:p w14:paraId="2DAA35B3">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3C30FAD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35B192D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676BA07A">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1778F61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05996E8">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FF17AA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DCCB71">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3B46396">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198829E1">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eastAsia="zh-CN"/>
        </w:rPr>
        <w:t>40.4</w:t>
      </w:r>
      <w:r>
        <w:rPr>
          <w:rFonts w:hint="eastAsia" w:hAnsi="宋体" w:cs="宋体"/>
          <w:color w:val="auto"/>
          <w:sz w:val="21"/>
          <w:highlight w:val="none"/>
        </w:rPr>
        <w:t>本国产品标准</w:t>
      </w:r>
    </w:p>
    <w:p w14:paraId="1BBD1C52">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本国产品应当符合以下条件：</w:t>
      </w:r>
    </w:p>
    <w:p w14:paraId="2F58D19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（一）在中国境内生产</w:t>
      </w:r>
    </w:p>
    <w:p w14:paraId="37D8D02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产品应当在中国境内生产，即在中华人民共和国关境内实现从原材料、组件到产品的属性改变。</w:t>
      </w:r>
    </w:p>
    <w:p w14:paraId="09681E4E">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属性改变是指经过制造、加工或者组装等工序，产生完全不同于原材料、组件的新产品，并具有新的名称和特征（用途）。属性改变不包括以下细微操作：</w:t>
      </w:r>
    </w:p>
    <w:p w14:paraId="5B2BF89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1.为确保产品在运输或者储存期间保持某种状态而进行的操作；</w:t>
      </w:r>
    </w:p>
    <w:p w14:paraId="2E60FA9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2.为产品运输或者销售进行的包装或者展示；</w:t>
      </w:r>
    </w:p>
    <w:p w14:paraId="4C93874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3.在产品或者其包装上粘贴或者印刷品牌、标志、标识以及其他用于区别的标记；</w:t>
      </w:r>
    </w:p>
    <w:p w14:paraId="6717DBB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4.简单的上漆、磨光和分装；</w:t>
      </w:r>
    </w:p>
    <w:p w14:paraId="50C1D45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5.其他不属于属性改变的情形。</w:t>
      </w:r>
    </w:p>
    <w:p w14:paraId="625831A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（二）在中国境内生产的组件成本占比达到规定比例</w:t>
      </w:r>
    </w:p>
    <w:p w14:paraId="4C234E7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产品在中国境内生产的组件成本占比应当达到规定比例，计算公式为：</w:t>
      </w:r>
    </w:p>
    <w:p w14:paraId="3CA95C43">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33A5C3C4">
      <w:pPr>
        <w:pStyle w:val="26"/>
        <w:spacing w:before="120" w:after="120" w:line="360" w:lineRule="auto"/>
        <w:ind w:firstLine="420" w:firstLineChars="200"/>
        <w:contextualSpacing/>
        <w:rPr>
          <w:rFonts w:hint="eastAsia" w:hAnsi="宋体" w:cs="宋体"/>
          <w:color w:val="auto"/>
          <w:sz w:val="21"/>
          <w:highlight w:val="none"/>
        </w:rPr>
      </w:pPr>
    </w:p>
    <w:p w14:paraId="351F47B4">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D0D656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（三）特定产品的关键组件、关键工序符合相关要求</w:t>
      </w:r>
    </w:p>
    <w:p w14:paraId="709B69E5">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对特定产品，在符合本通知第一条第（一）项和第（二）项条件的基础上，应当符合财政部会同有关行业主管部门确定的其关键组件、关键工序在中国境内生产、完成等要求。</w:t>
      </w:r>
    </w:p>
    <w:p w14:paraId="573C15DD">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6DE9BB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40.5本国产品标准的适用范围</w:t>
      </w:r>
    </w:p>
    <w:p w14:paraId="68A7135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43598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40.6对本国产品的支持政策</w:t>
      </w:r>
    </w:p>
    <w:p w14:paraId="0E7ABA12">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6C04194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DA6EB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40.7政府采购异常低价审查</w:t>
      </w:r>
    </w:p>
    <w:p w14:paraId="7C9AA702">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11653D10">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586DA7B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2BE7242F">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2B13C16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7D5BBA5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11DD5BE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29A76DE">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04F2C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2EC6AE2">
      <w:pPr>
        <w:pStyle w:val="26"/>
        <w:spacing w:before="120" w:after="120" w:line="360" w:lineRule="auto"/>
        <w:ind w:firstLine="420" w:firstLineChars="200"/>
        <w:contextualSpacing/>
        <w:rPr>
          <w:rFonts w:hint="default" w:hAnsi="宋体" w:cs="宋体"/>
          <w:color w:val="auto"/>
          <w:sz w:val="21"/>
          <w:highlight w:val="none"/>
          <w:lang w:val="en-US" w:eastAsia="zh-CN"/>
        </w:rPr>
      </w:pPr>
      <w:r>
        <w:rPr>
          <w:rFonts w:hint="eastAsia" w:hAnsi="宋体" w:cs="宋体"/>
          <w:color w:val="auto"/>
          <w:sz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2A54CA4">
      <w:pPr>
        <w:pStyle w:val="26"/>
        <w:spacing w:before="120" w:after="120" w:line="360" w:lineRule="auto"/>
        <w:ind w:firstLine="420" w:firstLineChars="200"/>
        <w:contextualSpacing/>
        <w:rPr>
          <w:rFonts w:hint="default" w:hAnsi="宋体" w:cs="宋体"/>
          <w:color w:val="auto"/>
          <w:sz w:val="21"/>
          <w:highlight w:val="none"/>
          <w:lang w:val="en-US" w:eastAsia="zh-CN"/>
        </w:rPr>
      </w:pPr>
    </w:p>
    <w:p w14:paraId="7F7F733C">
      <w:pPr>
        <w:pStyle w:val="26"/>
        <w:spacing w:before="120" w:after="120" w:line="360" w:lineRule="auto"/>
        <w:ind w:firstLine="420" w:firstLineChars="200"/>
        <w:contextualSpacing/>
        <w:rPr>
          <w:rFonts w:hint="default" w:hAnsi="宋体" w:eastAsia="宋体" w:cs="宋体"/>
          <w:color w:val="auto"/>
          <w:sz w:val="21"/>
          <w:highlight w:val="none"/>
          <w:lang w:val="en-US" w:eastAsia="zh-CN"/>
        </w:rPr>
      </w:pPr>
    </w:p>
    <w:p w14:paraId="7B6D70DE">
      <w:pPr>
        <w:pStyle w:val="20"/>
        <w:ind w:left="479" w:leftChars="114" w:hanging="240" w:hangingChars="100"/>
        <w:rPr>
          <w:rFonts w:hAnsi="宋体"/>
          <w:color w:val="auto"/>
          <w:highlight w:val="none"/>
        </w:rPr>
      </w:pPr>
    </w:p>
    <w:p w14:paraId="773DD5D1">
      <w:pPr>
        <w:pStyle w:val="20"/>
        <w:ind w:left="479" w:leftChars="114" w:hanging="240" w:hangingChars="100"/>
        <w:rPr>
          <w:rFonts w:hAnsi="宋体"/>
          <w:color w:val="auto"/>
          <w:highlight w:val="none"/>
        </w:rPr>
      </w:pPr>
    </w:p>
    <w:p w14:paraId="6BBEE6FC">
      <w:pPr>
        <w:pStyle w:val="20"/>
        <w:ind w:left="479" w:leftChars="114" w:hanging="240" w:hangingChars="100"/>
        <w:rPr>
          <w:rFonts w:hAnsi="宋体"/>
          <w:color w:val="auto"/>
          <w:highlight w:val="none"/>
        </w:rPr>
      </w:pPr>
    </w:p>
    <w:p w14:paraId="5F6DE1AA">
      <w:pPr>
        <w:pStyle w:val="20"/>
        <w:ind w:left="479" w:leftChars="114" w:hanging="240" w:hangingChars="100"/>
        <w:rPr>
          <w:rFonts w:hint="eastAsia" w:hAnsi="宋体"/>
          <w:color w:val="auto"/>
          <w:highlight w:val="none"/>
        </w:rPr>
      </w:pPr>
    </w:p>
    <w:p w14:paraId="16FB7BCB">
      <w:pPr>
        <w:pStyle w:val="26"/>
        <w:snapToGrid w:val="0"/>
        <w:spacing w:before="120" w:after="120"/>
        <w:rPr>
          <w:rFonts w:hint="eastAsia" w:hAnsi="宋体"/>
          <w:color w:val="auto"/>
          <w:highlight w:val="none"/>
        </w:rPr>
      </w:pPr>
    </w:p>
    <w:p w14:paraId="46174001">
      <w:pPr>
        <w:pStyle w:val="26"/>
        <w:snapToGrid w:val="0"/>
        <w:spacing w:before="120" w:after="120"/>
        <w:rPr>
          <w:rFonts w:hint="eastAsia" w:hAnsi="宋体"/>
          <w:color w:val="auto"/>
          <w:highlight w:val="none"/>
        </w:rPr>
      </w:pPr>
    </w:p>
    <w:p w14:paraId="6C81D836">
      <w:pPr>
        <w:pStyle w:val="26"/>
        <w:snapToGrid w:val="0"/>
        <w:spacing w:before="120" w:after="120"/>
        <w:rPr>
          <w:rFonts w:hint="eastAsia" w:hAnsi="宋体"/>
          <w:color w:val="auto"/>
          <w:highlight w:val="none"/>
        </w:rPr>
      </w:pPr>
    </w:p>
    <w:p w14:paraId="492C911A">
      <w:pPr>
        <w:pStyle w:val="26"/>
        <w:snapToGrid w:val="0"/>
        <w:spacing w:before="120" w:after="120"/>
        <w:rPr>
          <w:rFonts w:hint="eastAsia" w:hAnsi="宋体"/>
          <w:color w:val="auto"/>
          <w:highlight w:val="none"/>
        </w:rPr>
      </w:pPr>
    </w:p>
    <w:p w14:paraId="29A791DB">
      <w:pPr>
        <w:pStyle w:val="26"/>
        <w:snapToGrid w:val="0"/>
        <w:spacing w:before="120" w:after="120"/>
        <w:rPr>
          <w:rFonts w:hint="eastAsia" w:hAnsi="宋体"/>
          <w:color w:val="auto"/>
          <w:highlight w:val="none"/>
        </w:rPr>
      </w:pPr>
    </w:p>
    <w:p w14:paraId="39BE35D5">
      <w:pPr>
        <w:pStyle w:val="26"/>
        <w:snapToGrid w:val="0"/>
        <w:spacing w:before="120" w:after="120"/>
        <w:rPr>
          <w:rFonts w:hint="eastAsia" w:hAnsi="宋体"/>
          <w:color w:val="auto"/>
          <w:highlight w:val="none"/>
        </w:rPr>
      </w:pPr>
    </w:p>
    <w:p w14:paraId="1126E849">
      <w:pPr>
        <w:pStyle w:val="2"/>
        <w:jc w:val="center"/>
        <w:rPr>
          <w:rFonts w:hint="eastAsia"/>
          <w:color w:val="auto"/>
          <w:highlight w:val="none"/>
        </w:rPr>
      </w:pPr>
      <w:bookmarkStart w:id="135" w:name="_Toc254970689"/>
      <w:bookmarkStart w:id="136" w:name="_Toc22041"/>
      <w:bookmarkStart w:id="137" w:name="_Toc254970548"/>
      <w:bookmarkStart w:id="138" w:name="_Toc330456896"/>
      <w:r>
        <w:rPr>
          <w:rFonts w:hint="eastAsia"/>
          <w:color w:val="auto"/>
          <w:highlight w:val="none"/>
        </w:rPr>
        <w:t>第四章  评标方法及评标标准</w:t>
      </w:r>
      <w:bookmarkEnd w:id="135"/>
      <w:bookmarkEnd w:id="136"/>
      <w:bookmarkEnd w:id="137"/>
      <w:bookmarkEnd w:id="138"/>
    </w:p>
    <w:p w14:paraId="63542D06">
      <w:pPr>
        <w:pStyle w:val="26"/>
        <w:spacing w:before="120" w:after="120"/>
        <w:outlineLvl w:val="0"/>
        <w:rPr>
          <w:rFonts w:hint="eastAsia" w:hAnsi="宋体"/>
          <w:b/>
          <w:color w:val="auto"/>
          <w:highlight w:val="none"/>
        </w:rPr>
      </w:pPr>
      <w:bookmarkStart w:id="139" w:name="_Toc254970690"/>
      <w:bookmarkStart w:id="140" w:name="_Toc254970549"/>
    </w:p>
    <w:bookmarkEnd w:id="139"/>
    <w:bookmarkEnd w:id="140"/>
    <w:p w14:paraId="56062313">
      <w:pPr>
        <w:pStyle w:val="26"/>
        <w:spacing w:before="120" w:after="120"/>
        <w:outlineLvl w:val="0"/>
        <w:rPr>
          <w:rFonts w:hint="eastAsia" w:hAnsi="宋体"/>
          <w:bCs/>
          <w:color w:val="auto"/>
          <w:sz w:val="32"/>
          <w:szCs w:val="32"/>
          <w:highlight w:val="none"/>
        </w:rPr>
      </w:pPr>
    </w:p>
    <w:p w14:paraId="5937ADC9">
      <w:pPr>
        <w:pStyle w:val="26"/>
        <w:spacing w:before="120" w:after="120"/>
        <w:outlineLvl w:val="0"/>
        <w:rPr>
          <w:rFonts w:hint="eastAsia" w:hAnsi="宋体"/>
          <w:bCs/>
          <w:color w:val="auto"/>
          <w:sz w:val="32"/>
          <w:szCs w:val="32"/>
          <w:highlight w:val="none"/>
        </w:rPr>
      </w:pPr>
    </w:p>
    <w:p w14:paraId="2937DC36">
      <w:pPr>
        <w:pStyle w:val="26"/>
        <w:spacing w:before="120" w:after="120"/>
        <w:outlineLvl w:val="0"/>
        <w:rPr>
          <w:rFonts w:hint="eastAsia" w:hAnsi="宋体"/>
          <w:bCs/>
          <w:color w:val="auto"/>
          <w:sz w:val="32"/>
          <w:szCs w:val="32"/>
          <w:highlight w:val="none"/>
        </w:rPr>
      </w:pPr>
    </w:p>
    <w:p w14:paraId="7541DD08">
      <w:pPr>
        <w:spacing w:before="120" w:beforeLines="50" w:after="120" w:afterLines="50" w:line="400" w:lineRule="exact"/>
        <w:rPr>
          <w:rFonts w:hint="eastAsia" w:ascii="宋体" w:hAnsi="宋体"/>
          <w:b/>
          <w:color w:val="auto"/>
          <w:sz w:val="24"/>
          <w:highlight w:val="none"/>
        </w:rPr>
      </w:pPr>
    </w:p>
    <w:p w14:paraId="1F412162">
      <w:pPr>
        <w:spacing w:before="120" w:beforeLines="50" w:after="120" w:afterLines="50" w:line="400" w:lineRule="exact"/>
        <w:rPr>
          <w:rFonts w:hint="eastAsia" w:ascii="宋体" w:hAnsi="宋体"/>
          <w:b/>
          <w:color w:val="auto"/>
          <w:sz w:val="24"/>
          <w:highlight w:val="none"/>
        </w:rPr>
      </w:pPr>
    </w:p>
    <w:p w14:paraId="2B892785">
      <w:pPr>
        <w:spacing w:before="120" w:beforeLines="50" w:after="120" w:afterLines="50" w:line="400" w:lineRule="exact"/>
        <w:rPr>
          <w:rFonts w:hint="eastAsia" w:ascii="宋体" w:hAnsi="宋体"/>
          <w:b/>
          <w:color w:val="auto"/>
          <w:sz w:val="24"/>
          <w:highlight w:val="none"/>
        </w:rPr>
      </w:pPr>
    </w:p>
    <w:p w14:paraId="021D3C9D">
      <w:pPr>
        <w:spacing w:before="120" w:beforeLines="50" w:after="120" w:afterLines="50" w:line="400" w:lineRule="exact"/>
        <w:rPr>
          <w:rFonts w:hint="eastAsia" w:ascii="宋体" w:hAnsi="宋体"/>
          <w:b/>
          <w:color w:val="auto"/>
          <w:sz w:val="24"/>
          <w:highlight w:val="none"/>
        </w:rPr>
      </w:pPr>
    </w:p>
    <w:p w14:paraId="3B6013F5">
      <w:pPr>
        <w:spacing w:before="120" w:beforeLines="50" w:after="120" w:afterLines="50" w:line="400" w:lineRule="exact"/>
        <w:rPr>
          <w:rFonts w:hint="eastAsia" w:ascii="宋体" w:hAnsi="宋体"/>
          <w:b/>
          <w:color w:val="auto"/>
          <w:sz w:val="24"/>
          <w:highlight w:val="none"/>
        </w:rPr>
      </w:pPr>
    </w:p>
    <w:p w14:paraId="011CFAFD">
      <w:pPr>
        <w:spacing w:before="120" w:beforeLines="50" w:after="120" w:afterLines="50" w:line="400" w:lineRule="exact"/>
        <w:rPr>
          <w:rFonts w:hint="eastAsia" w:ascii="宋体" w:hAnsi="宋体"/>
          <w:b/>
          <w:color w:val="auto"/>
          <w:sz w:val="24"/>
          <w:highlight w:val="none"/>
        </w:rPr>
      </w:pPr>
    </w:p>
    <w:p w14:paraId="4E0CEE4F">
      <w:pPr>
        <w:spacing w:before="120" w:beforeLines="50" w:after="120" w:afterLines="50" w:line="400" w:lineRule="exact"/>
        <w:rPr>
          <w:rFonts w:hint="eastAsia" w:ascii="宋体" w:hAnsi="宋体"/>
          <w:b/>
          <w:color w:val="auto"/>
          <w:sz w:val="24"/>
          <w:highlight w:val="none"/>
        </w:rPr>
      </w:pPr>
    </w:p>
    <w:p w14:paraId="5AED94F0">
      <w:pPr>
        <w:pStyle w:val="26"/>
        <w:spacing w:line="360" w:lineRule="exact"/>
        <w:rPr>
          <w:rFonts w:hint="eastAsia" w:hAnsi="宋体"/>
          <w:b/>
          <w:color w:val="auto"/>
          <w:sz w:val="24"/>
          <w:highlight w:val="none"/>
        </w:rPr>
      </w:pPr>
    </w:p>
    <w:p w14:paraId="47283005">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04B24F53">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E1CD3B3">
      <w:pPr>
        <w:pStyle w:val="26"/>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0F23C27A">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05AFA1C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01686F4">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61ABADA">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3736B25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51EF0ABD">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04A414C">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38B5A4B">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B47F6A2">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8950F7D">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D1B54A1">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D806ECC">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1DF1FD8">
      <w:pPr>
        <w:pStyle w:val="8"/>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8874C19">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516612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4C570BE">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CB7325B">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A5CE632">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F4CC7AC">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50A2102D">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4F8B9DFB">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1202809">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BC35BFF">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E53E533">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2FCF68C7">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02727AA">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1520D4C">
      <w:pPr>
        <w:numPr>
          <w:ilvl w:val="0"/>
          <w:numId w:val="9"/>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3D99A0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715F3E13">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28A9CCF">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6C1A6FC6">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314586EF">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4672DEA0">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3B243710">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341E88D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16CE12D">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7DBC00A9">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F2CD26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57743A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6CEE6DD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264437AC">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8FAC56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61107E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5B2E9D0D">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7894018">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122200A">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C8732E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712ED1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99B1F4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E577C9A">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政府采购异常低价审查</w:t>
      </w:r>
    </w:p>
    <w:p w14:paraId="01AED15D">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081E462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1B60CB21">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12706477">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3FCE7518">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25439509">
      <w:pPr>
        <w:pStyle w:val="26"/>
        <w:spacing w:before="120" w:after="120" w:line="360" w:lineRule="auto"/>
        <w:ind w:firstLine="420" w:firstLineChars="200"/>
        <w:contextualSpacing/>
        <w:rPr>
          <w:rFonts w:hint="eastAsia" w:ascii="宋体" w:hAnsi="宋体"/>
          <w:color w:val="auto"/>
          <w:szCs w:val="21"/>
          <w:highlight w:val="none"/>
        </w:rPr>
      </w:pPr>
      <w:r>
        <w:rPr>
          <w:rFonts w:hint="eastAsia" w:hAnsi="宋体" w:cs="宋体"/>
          <w:color w:val="auto"/>
          <w:sz w:val="21"/>
          <w:highlight w:val="none"/>
          <w:lang w:val="en-US" w:eastAsia="zh-CN"/>
        </w:rPr>
        <w:t>相关法律法规对供应商报价有规定的，从其规定。</w:t>
      </w:r>
    </w:p>
    <w:p w14:paraId="54490B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AA1FAB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E71A66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E562CF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9BD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701CEDFE">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D1A0AD4">
      <w:pPr>
        <w:pStyle w:val="26"/>
        <w:spacing w:before="120" w:after="120" w:line="360" w:lineRule="auto"/>
        <w:ind w:firstLine="376" w:firstLineChars="200"/>
        <w:contextualSpacing/>
        <w:rPr>
          <w:rFonts w:hint="eastAsia" w:hAnsi="宋体" w:cs="宋体"/>
          <w:color w:val="auto"/>
          <w:sz w:val="21"/>
          <w:highlight w:val="none"/>
          <w:lang w:val="en-US" w:eastAsia="zh-CN"/>
        </w:rPr>
      </w:pPr>
      <w:r>
        <w:rPr>
          <w:rFonts w:hint="eastAsia" w:ascii="宋体" w:hAnsi="宋体"/>
          <w:color w:val="auto"/>
          <w:spacing w:val="-6"/>
          <w:szCs w:val="21"/>
          <w:highlight w:val="none"/>
        </w:rPr>
        <w:t>（2）</w:t>
      </w:r>
      <w:r>
        <w:rPr>
          <w:rFonts w:hint="eastAsia" w:hAnsi="宋体" w:cs="宋体"/>
          <w:color w:val="auto"/>
          <w:sz w:val="21"/>
          <w:highlight w:val="none"/>
          <w:lang w:val="en-US" w:eastAsia="zh-CN"/>
        </w:rPr>
        <w:t>政府采购异常低价审查</w:t>
      </w:r>
    </w:p>
    <w:p w14:paraId="2DE15136">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（一）政府采购评审中出现下列情形之一的，评审委员会应当启动异常低价投标（响应）审查程序：</w:t>
      </w:r>
    </w:p>
    <w:p w14:paraId="7F9ABD4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1.投标（响应）报价低于全部通过符合性审查供应商投标（响应）报价平均值50%的，即投标（响应）报价&lt;全部通过符合性审查供应商投标（响应）报价平均值×50%；</w:t>
      </w:r>
    </w:p>
    <w:p w14:paraId="2DA6CDF3">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2.投标（响应）报价低于通过符合性审查的次低报价供应商投标（响应）报价50%的，即投标（响应）报价&lt;通过符合性审查的次低报价供应商投标（响应）报价×50%；</w:t>
      </w:r>
    </w:p>
    <w:p w14:paraId="3E9DA7EC">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3.投标（响应）报价低于采购项目最高限价45%的，即投标（响应）报价&lt;采购项目最高限价×45%；</w:t>
      </w:r>
    </w:p>
    <w:p w14:paraId="1D918EE9">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4.评审委员会基于专业判断，认为供应商报价过低，有可能影响产品质量或者不能诚信履约的其他情形。</w:t>
      </w:r>
    </w:p>
    <w:p w14:paraId="37EE7524">
      <w:pPr>
        <w:pStyle w:val="26"/>
        <w:spacing w:before="120" w:after="120" w:line="360" w:lineRule="auto"/>
        <w:ind w:firstLine="420" w:firstLineChars="200"/>
        <w:contextualSpacing/>
        <w:rPr>
          <w:rFonts w:hint="eastAsia" w:hAnsi="宋体" w:cs="宋体"/>
          <w:color w:val="auto"/>
          <w:sz w:val="21"/>
          <w:highlight w:val="none"/>
          <w:lang w:val="en-US" w:eastAsia="zh-CN"/>
        </w:rPr>
      </w:pPr>
      <w:r>
        <w:rPr>
          <w:rFonts w:hint="eastAsia" w:hAnsi="宋体" w:cs="宋体"/>
          <w:color w:val="auto"/>
          <w:sz w:val="21"/>
          <w:highlight w:val="none"/>
          <w:lang w:val="en-US" w:eastAsia="zh-CN"/>
        </w:rPr>
        <w:t>相关法律法规对供应商报价有规定的，从其规定。</w:t>
      </w:r>
    </w:p>
    <w:p w14:paraId="71D2365F">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03C5BAA9">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0D508F7">
      <w:pPr>
        <w:snapToGrid w:val="0"/>
        <w:spacing w:line="360" w:lineRule="auto"/>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1E648ED">
      <w:pPr>
        <w:pStyle w:val="26"/>
        <w:spacing w:line="400" w:lineRule="exact"/>
        <w:ind w:firstLine="48" w:firstLineChars="20"/>
        <w:rPr>
          <w:rFonts w:hint="eastAsia" w:hAnsi="宋体" w:cs="宋体"/>
          <w:bCs/>
          <w:color w:val="auto"/>
          <w:sz w:val="24"/>
          <w:szCs w:val="24"/>
          <w:highlight w:val="none"/>
        </w:rPr>
      </w:pPr>
    </w:p>
    <w:p w14:paraId="17C84EBF">
      <w:pPr>
        <w:pStyle w:val="26"/>
        <w:spacing w:line="400" w:lineRule="exact"/>
        <w:ind w:firstLine="48" w:firstLineChars="20"/>
        <w:rPr>
          <w:rFonts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473CA6E0">
      <w:pPr>
        <w:pStyle w:val="26"/>
        <w:spacing w:line="360" w:lineRule="auto"/>
        <w:rPr>
          <w:rFonts w:hint="eastAsia" w:hAnsi="宋体" w:cs="Courier New"/>
          <w:b/>
          <w:bCs/>
          <w:color w:val="auto"/>
          <w:kern w:val="2"/>
          <w:sz w:val="21"/>
          <w:highlight w:val="none"/>
        </w:rPr>
      </w:pPr>
    </w:p>
    <w:p w14:paraId="05FEE4B7">
      <w:pPr>
        <w:pStyle w:val="26"/>
        <w:spacing w:line="400" w:lineRule="exact"/>
        <w:ind w:firstLine="42" w:firstLineChars="20"/>
        <w:rPr>
          <w:rFonts w:hAnsi="宋体" w:cs="宋体"/>
          <w:bCs/>
          <w:color w:val="auto"/>
          <w:sz w:val="21"/>
          <w:highlight w:val="none"/>
        </w:rPr>
      </w:pPr>
      <w:r>
        <w:rPr>
          <w:rFonts w:hint="eastAsia" w:hAnsi="宋体" w:cs="宋体"/>
          <w:bCs/>
          <w:color w:val="auto"/>
          <w:sz w:val="21"/>
          <w:highlight w:val="none"/>
        </w:rPr>
        <w:t>一、评标原则</w:t>
      </w:r>
    </w:p>
    <w:p w14:paraId="612154CB">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45FA663">
      <w:pPr>
        <w:pStyle w:val="26"/>
        <w:spacing w:line="400" w:lineRule="exact"/>
        <w:ind w:firstLine="420"/>
        <w:rPr>
          <w:rFonts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w:t>
      </w:r>
      <w:r>
        <w:rPr>
          <w:rFonts w:hint="eastAsia" w:hAnsi="宋体" w:cs="宋体"/>
          <w:bCs/>
          <w:color w:val="auto"/>
          <w:sz w:val="21"/>
          <w:highlight w:val="none"/>
          <w:lang w:val="en-US" w:eastAsia="zh-CN"/>
        </w:rPr>
        <w:t>商务</w:t>
      </w:r>
      <w:r>
        <w:rPr>
          <w:rFonts w:hint="eastAsia" w:hAnsi="宋体" w:cs="宋体"/>
          <w:bCs/>
          <w:color w:val="auto"/>
          <w:sz w:val="21"/>
          <w:highlight w:val="none"/>
        </w:rPr>
        <w:t>等方面内容打分。</w:t>
      </w:r>
    </w:p>
    <w:p w14:paraId="0294934A">
      <w:pPr>
        <w:pStyle w:val="26"/>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2E3FC107">
      <w:pPr>
        <w:pStyle w:val="26"/>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020ADB17">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162384FE">
      <w:pPr>
        <w:pStyle w:val="26"/>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7A0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5B1FF978">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序号</w:t>
            </w:r>
          </w:p>
        </w:tc>
        <w:tc>
          <w:tcPr>
            <w:tcW w:w="1701" w:type="dxa"/>
            <w:shd w:val="clear" w:color="auto" w:fill="auto"/>
            <w:noWrap w:val="0"/>
            <w:vAlign w:val="center"/>
          </w:tcPr>
          <w:p w14:paraId="13BB1B0B">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评分因素</w:t>
            </w:r>
          </w:p>
        </w:tc>
        <w:tc>
          <w:tcPr>
            <w:tcW w:w="5660" w:type="dxa"/>
            <w:shd w:val="clear" w:color="auto" w:fill="auto"/>
            <w:noWrap w:val="0"/>
            <w:vAlign w:val="center"/>
          </w:tcPr>
          <w:p w14:paraId="125E1D4E">
            <w:pPr>
              <w:overflowPunct w:val="0"/>
              <w:adjustRightInd w:val="0"/>
              <w:spacing w:line="410" w:lineRule="exact"/>
              <w:jc w:val="center"/>
              <w:textAlignment w:val="baseline"/>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b/>
                <w:color w:val="auto"/>
                <w:sz w:val="32"/>
                <w:szCs w:val="32"/>
                <w:highlight w:val="none"/>
              </w:rPr>
              <w:t>评分标准</w:t>
            </w:r>
          </w:p>
        </w:tc>
      </w:tr>
      <w:tr w14:paraId="11A0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1D2C4F69">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1585" w:type="dxa"/>
            <w:noWrap w:val="0"/>
            <w:vAlign w:val="center"/>
          </w:tcPr>
          <w:p w14:paraId="680D908B">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价格分</w:t>
            </w:r>
          </w:p>
          <w:p w14:paraId="3A13A12F">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45309E26">
            <w:pPr>
              <w:overflowPunct w:val="0"/>
              <w:adjustRightInd w:val="0"/>
              <w:spacing w:line="360" w:lineRule="exact"/>
              <w:jc w:val="left"/>
              <w:textAlignment w:val="baseline"/>
              <w:rPr>
                <w:rFonts w:ascii="宋体" w:hAnsi="宋体"/>
                <w:color w:val="auto"/>
                <w:szCs w:val="21"/>
                <w:highlight w:val="none"/>
              </w:rPr>
            </w:pPr>
          </w:p>
        </w:tc>
        <w:tc>
          <w:tcPr>
            <w:tcW w:w="1701" w:type="dxa"/>
            <w:noWrap w:val="0"/>
            <w:vAlign w:val="center"/>
          </w:tcPr>
          <w:p w14:paraId="6E078960">
            <w:pPr>
              <w:overflowPunct w:val="0"/>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投标报价</w:t>
            </w:r>
          </w:p>
        </w:tc>
        <w:tc>
          <w:tcPr>
            <w:tcW w:w="5660" w:type="dxa"/>
            <w:noWrap w:val="0"/>
            <w:vAlign w:val="top"/>
          </w:tcPr>
          <w:p w14:paraId="0428C44F">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EDEC40C">
            <w:pPr>
              <w:overflowPunct w:val="0"/>
              <w:snapToGrid w:val="0"/>
              <w:spacing w:line="360" w:lineRule="auto"/>
              <w:ind w:firstLine="233" w:firstLineChars="111"/>
              <w:rPr>
                <w:rFonts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5F47781A">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45CF0013">
            <w:pPr>
              <w:overflowPunct w:val="0"/>
              <w:snapToGrid w:val="0"/>
              <w:spacing w:line="360" w:lineRule="auto"/>
              <w:ind w:firstLine="233" w:firstLineChars="111"/>
              <w:rPr>
                <w:rFonts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1072A60F">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（5）政策性扣除计算方法。</w:t>
            </w:r>
          </w:p>
          <w:p w14:paraId="0EDF16D6">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none"/>
              </w:rPr>
              <w:t>4%</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489BDE9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52EFD6B6">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C99D8E">
            <w:pPr>
              <w:overflowPunct w:val="0"/>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2D6EB2CA">
            <w:pPr>
              <w:overflowPunct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 xml:space="preserve">（7）价格分计算公式：        </w:t>
            </w:r>
          </w:p>
          <w:p w14:paraId="2F30076E">
            <w:pPr>
              <w:widowControl/>
              <w:overflowPunct w:val="0"/>
              <w:spacing w:line="360" w:lineRule="auto"/>
              <w:jc w:val="left"/>
              <w:rPr>
                <w:rFonts w:ascii="宋体" w:hAnsi="宋体" w:cs="Courier New"/>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lang w:val="en-US" w:eastAsia="zh-CN"/>
              </w:rPr>
              <w:t>20</w:t>
            </w:r>
            <w:r>
              <w:rPr>
                <w:rFonts w:hint="eastAsia" w:ascii="宋体" w:hAnsi="宋体" w:cs="Courier New"/>
                <w:bCs/>
                <w:color w:val="auto"/>
                <w:szCs w:val="21"/>
                <w:highlight w:val="none"/>
              </w:rPr>
              <w:t>分</w:t>
            </w:r>
          </w:p>
        </w:tc>
      </w:tr>
      <w:tr w14:paraId="2FCF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10BAD765">
            <w:pPr>
              <w:overflowPunct w:val="0"/>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1585" w:type="dxa"/>
            <w:vMerge w:val="restart"/>
            <w:noWrap w:val="0"/>
            <w:vAlign w:val="center"/>
          </w:tcPr>
          <w:p w14:paraId="001C9B29">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技术分</w:t>
            </w:r>
          </w:p>
          <w:p w14:paraId="62E7FB9D">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57</w:t>
            </w:r>
            <w:r>
              <w:rPr>
                <w:rFonts w:hint="eastAsia" w:ascii="宋体" w:hAnsi="宋体"/>
                <w:bCs/>
                <w:color w:val="auto"/>
                <w:szCs w:val="21"/>
                <w:highlight w:val="none"/>
              </w:rPr>
              <w:t>分）</w:t>
            </w:r>
          </w:p>
        </w:tc>
        <w:tc>
          <w:tcPr>
            <w:tcW w:w="1701" w:type="dxa"/>
            <w:noWrap w:val="0"/>
            <w:vAlign w:val="center"/>
          </w:tcPr>
          <w:p w14:paraId="04B27F5A">
            <w:pPr>
              <w:overflowPunct w:val="0"/>
              <w:snapToGrid w:val="0"/>
              <w:spacing w:line="360" w:lineRule="auto"/>
              <w:rPr>
                <w:rFonts w:ascii="宋体" w:hAnsi="宋体"/>
                <w:bCs/>
                <w:color w:val="auto"/>
                <w:szCs w:val="21"/>
                <w:highlight w:val="none"/>
              </w:rPr>
            </w:pPr>
            <w:r>
              <w:rPr>
                <w:rFonts w:hint="eastAsia" w:ascii="宋体" w:hAnsi="宋体"/>
                <w:bCs/>
                <w:color w:val="auto"/>
                <w:szCs w:val="21"/>
                <w:highlight w:val="none"/>
              </w:rPr>
              <w:t>技术性能分（满分</w:t>
            </w:r>
            <w:r>
              <w:rPr>
                <w:rFonts w:hint="eastAsia" w:ascii="宋体" w:hAnsi="宋体"/>
                <w:bCs/>
                <w:color w:val="auto"/>
                <w:szCs w:val="21"/>
                <w:highlight w:val="none"/>
                <w:lang w:val="en-US" w:eastAsia="zh-CN"/>
              </w:rPr>
              <w:t>15</w:t>
            </w:r>
            <w:r>
              <w:rPr>
                <w:rFonts w:hint="eastAsia" w:ascii="宋体" w:hAnsi="宋体"/>
                <w:bCs/>
                <w:color w:val="auto"/>
                <w:szCs w:val="21"/>
                <w:highlight w:val="none"/>
              </w:rPr>
              <w:t>分）</w:t>
            </w:r>
          </w:p>
        </w:tc>
        <w:tc>
          <w:tcPr>
            <w:tcW w:w="5660" w:type="dxa"/>
            <w:noWrap w:val="0"/>
            <w:vAlign w:val="center"/>
          </w:tcPr>
          <w:p w14:paraId="0AE4840B">
            <w:pPr>
              <w:pStyle w:val="26"/>
              <w:spacing w:line="360" w:lineRule="auto"/>
              <w:rPr>
                <w:rFonts w:hint="eastAsia" w:ascii="宋体" w:hAnsi="宋体" w:eastAsia="宋体" w:cs="Times New Roman"/>
                <w:bCs/>
                <w:color w:val="auto"/>
                <w:kern w:val="0"/>
                <w:sz w:val="21"/>
                <w:szCs w:val="21"/>
                <w:highlight w:val="none"/>
                <w:lang w:val="en-US" w:eastAsia="zh-CN" w:bidi="ar-SA"/>
              </w:rPr>
            </w:pPr>
            <w:r>
              <w:rPr>
                <w:rFonts w:hint="eastAsia" w:ascii="宋体" w:hAnsi="宋体" w:eastAsia="宋体" w:cs="Times New Roman"/>
                <w:bCs/>
                <w:color w:val="auto"/>
                <w:kern w:val="0"/>
                <w:sz w:val="21"/>
                <w:szCs w:val="21"/>
                <w:highlight w:val="none"/>
                <w:lang w:val="en-US" w:eastAsia="zh-CN" w:bidi="ar-SA"/>
              </w:rPr>
              <w:t>1.投标文件的技术需求中无负偏离的得</w:t>
            </w:r>
            <w:r>
              <w:rPr>
                <w:rFonts w:hint="eastAsia" w:hAnsi="宋体" w:cs="Times New Roman"/>
                <w:bCs/>
                <w:color w:val="auto"/>
                <w:kern w:val="0"/>
                <w:sz w:val="21"/>
                <w:szCs w:val="21"/>
                <w:highlight w:val="none"/>
                <w:lang w:val="en-US" w:eastAsia="zh-CN" w:bidi="ar-SA"/>
              </w:rPr>
              <w:t>15</w:t>
            </w:r>
            <w:r>
              <w:rPr>
                <w:rFonts w:hint="eastAsia" w:ascii="宋体" w:hAnsi="宋体" w:eastAsia="宋体" w:cs="Times New Roman"/>
                <w:bCs/>
                <w:color w:val="auto"/>
                <w:kern w:val="0"/>
                <w:sz w:val="21"/>
                <w:szCs w:val="21"/>
                <w:highlight w:val="none"/>
                <w:lang w:val="en-US" w:eastAsia="zh-CN" w:bidi="ar-SA"/>
              </w:rPr>
              <w:t>分，满分</w:t>
            </w:r>
            <w:r>
              <w:rPr>
                <w:rFonts w:hint="eastAsia" w:hAnsi="宋体" w:cs="Times New Roman"/>
                <w:bCs/>
                <w:color w:val="auto"/>
                <w:kern w:val="0"/>
                <w:sz w:val="21"/>
                <w:szCs w:val="21"/>
                <w:highlight w:val="none"/>
                <w:lang w:val="en-US" w:eastAsia="zh-CN" w:bidi="ar-SA"/>
              </w:rPr>
              <w:t>15</w:t>
            </w:r>
            <w:r>
              <w:rPr>
                <w:rFonts w:hint="eastAsia" w:ascii="宋体" w:hAnsi="宋体" w:eastAsia="宋体" w:cs="Times New Roman"/>
                <w:bCs/>
                <w:color w:val="auto"/>
                <w:kern w:val="0"/>
                <w:sz w:val="21"/>
                <w:szCs w:val="21"/>
                <w:highlight w:val="none"/>
                <w:lang w:val="en-US" w:eastAsia="zh-CN" w:bidi="ar-SA"/>
              </w:rPr>
              <w:t>分。</w:t>
            </w:r>
          </w:p>
          <w:p w14:paraId="16872650">
            <w:pPr>
              <w:pStyle w:val="26"/>
              <w:spacing w:line="360" w:lineRule="auto"/>
              <w:ind w:firstLine="210" w:firstLineChars="100"/>
              <w:rPr>
                <w:rFonts w:hAnsi="宋体" w:cs="Times New Roman"/>
                <w:bCs/>
                <w:color w:val="auto"/>
                <w:highlight w:val="none"/>
              </w:rPr>
            </w:pPr>
            <w:r>
              <w:rPr>
                <w:rFonts w:hint="eastAsia" w:ascii="宋体" w:hAnsi="宋体" w:eastAsia="宋体" w:cs="Times New Roman"/>
                <w:bCs/>
                <w:color w:val="auto"/>
                <w:kern w:val="0"/>
                <w:sz w:val="21"/>
                <w:szCs w:val="21"/>
                <w:highlight w:val="none"/>
                <w:lang w:val="en-US" w:eastAsia="zh-CN" w:bidi="ar-SA"/>
              </w:rPr>
              <w:t>非实质性要求的技术需求有负偏离的，得分=该项满分分值-累计扣分分值（有一项非实质性要求的技术需求负偏离的扣</w:t>
            </w:r>
            <w:r>
              <w:rPr>
                <w:rFonts w:hint="eastAsia" w:hAnsi="宋体" w:cs="Times New Roman"/>
                <w:bCs/>
                <w:color w:val="auto"/>
                <w:kern w:val="0"/>
                <w:sz w:val="21"/>
                <w:szCs w:val="21"/>
                <w:highlight w:val="none"/>
                <w:lang w:val="en-US" w:eastAsia="zh-CN" w:bidi="ar-SA"/>
              </w:rPr>
              <w:t>1</w:t>
            </w:r>
            <w:r>
              <w:rPr>
                <w:rFonts w:hint="eastAsia" w:ascii="宋体" w:hAnsi="宋体" w:eastAsia="宋体" w:cs="Times New Roman"/>
                <w:bCs/>
                <w:color w:val="auto"/>
                <w:kern w:val="0"/>
                <w:sz w:val="21"/>
                <w:szCs w:val="21"/>
                <w:highlight w:val="none"/>
                <w:lang w:val="en-US" w:eastAsia="zh-CN" w:bidi="ar-SA"/>
              </w:rPr>
              <w:t>分，扣分不能超过满分分值）。</w:t>
            </w:r>
          </w:p>
        </w:tc>
      </w:tr>
      <w:tr w14:paraId="6753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11D48662">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0C47BB59">
            <w:pPr>
              <w:overflowPunct w:val="0"/>
              <w:snapToGrid w:val="0"/>
              <w:spacing w:line="360" w:lineRule="auto"/>
              <w:ind w:firstLine="443" w:firstLineChars="211"/>
              <w:rPr>
                <w:rFonts w:ascii="宋体" w:hAnsi="宋体"/>
                <w:bCs/>
                <w:color w:val="auto"/>
                <w:szCs w:val="21"/>
                <w:highlight w:val="none"/>
              </w:rPr>
            </w:pPr>
          </w:p>
        </w:tc>
        <w:tc>
          <w:tcPr>
            <w:tcW w:w="1701" w:type="dxa"/>
            <w:noWrap w:val="0"/>
            <w:tcMar>
              <w:left w:w="57" w:type="dxa"/>
              <w:right w:w="57" w:type="dxa"/>
            </w:tcMar>
            <w:vAlign w:val="top"/>
          </w:tcPr>
          <w:p w14:paraId="174DDCE4">
            <w:pPr>
              <w:overflowPunct w:val="0"/>
              <w:spacing w:line="360" w:lineRule="auto"/>
              <w:rPr>
                <w:rFonts w:ascii="宋体" w:hAnsi="宋体" w:cs="宋体"/>
                <w:color w:val="auto"/>
                <w:szCs w:val="21"/>
                <w:highlight w:val="none"/>
              </w:rPr>
            </w:pPr>
          </w:p>
          <w:p w14:paraId="0AD4C0F2">
            <w:pPr>
              <w:overflowPunct w:val="0"/>
              <w:spacing w:line="360" w:lineRule="auto"/>
              <w:rPr>
                <w:rFonts w:ascii="宋体" w:hAnsi="宋体" w:cs="宋体"/>
                <w:color w:val="auto"/>
                <w:szCs w:val="21"/>
                <w:highlight w:val="none"/>
              </w:rPr>
            </w:pPr>
          </w:p>
          <w:p w14:paraId="545E0CF0">
            <w:pPr>
              <w:overflowPunct w:val="0"/>
              <w:spacing w:line="360" w:lineRule="auto"/>
              <w:rPr>
                <w:rFonts w:ascii="宋体" w:hAnsi="宋体" w:cs="宋体"/>
                <w:color w:val="auto"/>
                <w:szCs w:val="21"/>
                <w:highlight w:val="none"/>
              </w:rPr>
            </w:pPr>
          </w:p>
          <w:p w14:paraId="18582929">
            <w:pPr>
              <w:overflowPunct w:val="0"/>
              <w:spacing w:line="360" w:lineRule="auto"/>
              <w:rPr>
                <w:rFonts w:ascii="宋体" w:hAnsi="宋体" w:cs="宋体"/>
                <w:color w:val="auto"/>
                <w:szCs w:val="21"/>
                <w:highlight w:val="none"/>
              </w:rPr>
            </w:pPr>
          </w:p>
          <w:p w14:paraId="06238105">
            <w:pPr>
              <w:overflowPunct w:val="0"/>
              <w:spacing w:line="360" w:lineRule="auto"/>
              <w:rPr>
                <w:rFonts w:ascii="宋体" w:hAnsi="宋体" w:cs="宋体"/>
                <w:color w:val="auto"/>
                <w:szCs w:val="21"/>
                <w:highlight w:val="none"/>
              </w:rPr>
            </w:pPr>
          </w:p>
          <w:p w14:paraId="29216EA5">
            <w:pPr>
              <w:overflowPunct w:val="0"/>
              <w:spacing w:line="360" w:lineRule="auto"/>
              <w:rPr>
                <w:rFonts w:ascii="宋体" w:hAnsi="宋体" w:cs="宋体"/>
                <w:color w:val="auto"/>
                <w:szCs w:val="21"/>
                <w:highlight w:val="none"/>
              </w:rPr>
            </w:pPr>
          </w:p>
          <w:p w14:paraId="082C0E84">
            <w:pPr>
              <w:overflowPunct w:val="0"/>
              <w:spacing w:line="360" w:lineRule="auto"/>
              <w:rPr>
                <w:rFonts w:ascii="宋体" w:hAnsi="宋体" w:cs="宋体"/>
                <w:color w:val="auto"/>
                <w:szCs w:val="21"/>
                <w:highlight w:val="none"/>
              </w:rPr>
            </w:pPr>
          </w:p>
          <w:p w14:paraId="1A7173DB">
            <w:pPr>
              <w:overflowPunct w:val="0"/>
              <w:spacing w:line="360" w:lineRule="auto"/>
              <w:rPr>
                <w:rFonts w:ascii="宋体" w:hAnsi="宋体"/>
                <w:bCs/>
                <w:color w:val="auto"/>
                <w:szCs w:val="21"/>
                <w:highlight w:val="none"/>
              </w:rPr>
            </w:pPr>
            <w:r>
              <w:rPr>
                <w:rFonts w:hint="eastAsia" w:ascii="宋体" w:hAnsi="宋体"/>
                <w:bCs/>
                <w:color w:val="auto"/>
                <w:szCs w:val="21"/>
                <w:highlight w:val="none"/>
              </w:rPr>
              <w:t>技术方案</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w:t>
            </w:r>
          </w:p>
        </w:tc>
        <w:tc>
          <w:tcPr>
            <w:tcW w:w="5660" w:type="dxa"/>
            <w:noWrap w:val="0"/>
            <w:vAlign w:val="center"/>
          </w:tcPr>
          <w:p w14:paraId="0FABE66C">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由投标人根据项目需求的实际情况，编制对本次项目</w:t>
            </w:r>
            <w:r>
              <w:rPr>
                <w:rFonts w:hint="eastAsia" w:ascii="宋体" w:hAnsi="宋体"/>
                <w:bCs/>
                <w:color w:val="auto"/>
                <w:szCs w:val="21"/>
                <w:highlight w:val="none"/>
                <w:lang w:val="en-US" w:eastAsia="zh-CN"/>
              </w:rPr>
              <w:t>的</w:t>
            </w:r>
            <w:r>
              <w:rPr>
                <w:rFonts w:hint="eastAsia" w:ascii="宋体" w:hAnsi="宋体"/>
                <w:bCs/>
                <w:color w:val="auto"/>
                <w:szCs w:val="21"/>
                <w:highlight w:val="none"/>
              </w:rPr>
              <w:t>技术方案，包括但不限于：①对本项目的认识和理解、②整体运维策略‌、③故障处理流程‌、④数据安全与保密、⑤应急响应与服务承诺</w:t>
            </w:r>
            <w:r>
              <w:rPr>
                <w:rFonts w:hint="eastAsia" w:ascii="宋体" w:hAnsi="宋体"/>
                <w:bCs/>
                <w:color w:val="auto"/>
                <w:szCs w:val="21"/>
                <w:highlight w:val="none"/>
                <w:lang w:eastAsia="zh-CN"/>
              </w:rPr>
              <w:t>、</w:t>
            </w:r>
            <w:r>
              <w:rPr>
                <w:rFonts w:hint="eastAsia" w:ascii="微软雅黑" w:hAnsi="微软雅黑" w:eastAsia="微软雅黑" w:cs="微软雅黑"/>
                <w:bCs/>
                <w:color w:val="auto"/>
                <w:szCs w:val="21"/>
                <w:highlight w:val="none"/>
                <w:lang w:eastAsia="zh-CN"/>
              </w:rPr>
              <w:t>⑥</w:t>
            </w:r>
            <w:r>
              <w:rPr>
                <w:rFonts w:hint="eastAsia" w:ascii="宋体" w:hAnsi="宋体"/>
                <w:bCs/>
                <w:color w:val="auto"/>
                <w:szCs w:val="21"/>
                <w:highlight w:val="none"/>
              </w:rPr>
              <w:t xml:space="preserve">实施方案（包括工作计划及安排、实施人员安排、进度控制措施、技术方案措施、工作重点、难点及其解决措施、交付与验收方案等）。评委按照各投标人项目技术方案与需求的吻合程度、科学、合理、针对性及文件制作水平进行独立打分。  </w:t>
            </w:r>
          </w:p>
          <w:p w14:paraId="18A4FD5F">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分）：技术方案内容提供上述其中3项，有对项目总体的认识与理解的阐述，提供的技术方案对</w:t>
            </w:r>
            <w:r>
              <w:rPr>
                <w:rFonts w:hint="eastAsia" w:ascii="宋体" w:hAnsi="宋体"/>
                <w:bCs/>
                <w:color w:val="auto"/>
                <w:szCs w:val="21"/>
                <w:highlight w:val="none"/>
                <w:lang w:val="en-US" w:eastAsia="zh-CN"/>
              </w:rPr>
              <w:t>项目</w:t>
            </w:r>
            <w:r>
              <w:rPr>
                <w:rFonts w:hint="eastAsia" w:ascii="宋体" w:hAnsi="宋体"/>
                <w:bCs/>
                <w:color w:val="auto"/>
                <w:szCs w:val="21"/>
                <w:highlight w:val="none"/>
              </w:rPr>
              <w:t>整体需求分析、系统整体运维</w:t>
            </w:r>
            <w:r>
              <w:rPr>
                <w:rFonts w:hint="eastAsia" w:ascii="宋体" w:hAnsi="宋体"/>
                <w:bCs/>
                <w:color w:val="auto"/>
                <w:szCs w:val="21"/>
                <w:highlight w:val="none"/>
                <w:lang w:val="en-US" w:eastAsia="zh-CN"/>
              </w:rPr>
              <w:t>策略</w:t>
            </w:r>
            <w:r>
              <w:rPr>
                <w:rFonts w:hint="eastAsia" w:ascii="宋体" w:hAnsi="宋体"/>
                <w:bCs/>
                <w:color w:val="auto"/>
                <w:szCs w:val="21"/>
                <w:highlight w:val="none"/>
              </w:rPr>
              <w:t xml:space="preserve">、工作计划及安排、进度控制措施、技术方案措施、工作重点、难点及其解决措施、交付与验收方案等基本满足项目需求，技术方案总体内容大部分或多数内容阐述简单，仅少数1-2个内容阐述具体； </w:t>
            </w:r>
          </w:p>
          <w:p w14:paraId="6A313D92">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分）：技术方案内容提供上述</w:t>
            </w:r>
            <w:r>
              <w:rPr>
                <w:rFonts w:hint="eastAsia" w:ascii="宋体" w:hAnsi="宋体"/>
                <w:bCs/>
                <w:color w:val="auto"/>
                <w:szCs w:val="21"/>
                <w:highlight w:val="none"/>
                <w:lang w:val="en-US" w:eastAsia="zh-CN"/>
              </w:rPr>
              <w:t>6</w:t>
            </w:r>
            <w:r>
              <w:rPr>
                <w:rFonts w:hint="eastAsia" w:ascii="宋体" w:hAnsi="宋体"/>
                <w:bCs/>
                <w:color w:val="auto"/>
                <w:szCs w:val="21"/>
                <w:highlight w:val="none"/>
              </w:rPr>
              <w:t>项，技术方案与服务需求的内容吻合，对项目总体的认识与理解具有关于项目核心技术的阐述，提供的技术方案对</w:t>
            </w:r>
            <w:r>
              <w:rPr>
                <w:rFonts w:hint="eastAsia" w:ascii="宋体" w:hAnsi="宋体"/>
                <w:bCs/>
                <w:color w:val="auto"/>
                <w:szCs w:val="21"/>
                <w:highlight w:val="none"/>
                <w:lang w:val="en-US" w:eastAsia="zh-CN"/>
              </w:rPr>
              <w:t>项目</w:t>
            </w:r>
            <w:r>
              <w:rPr>
                <w:rFonts w:hint="eastAsia" w:ascii="宋体" w:hAnsi="宋体"/>
                <w:bCs/>
                <w:color w:val="auto"/>
                <w:szCs w:val="21"/>
                <w:highlight w:val="none"/>
              </w:rPr>
              <w:t>整体需求分析、系统整体运维</w:t>
            </w:r>
            <w:r>
              <w:rPr>
                <w:rFonts w:hint="eastAsia" w:ascii="宋体" w:hAnsi="宋体"/>
                <w:bCs/>
                <w:color w:val="auto"/>
                <w:szCs w:val="21"/>
                <w:highlight w:val="none"/>
                <w:lang w:val="en-US" w:eastAsia="zh-CN"/>
              </w:rPr>
              <w:t>策略</w:t>
            </w:r>
            <w:r>
              <w:rPr>
                <w:rFonts w:hint="eastAsia" w:ascii="宋体" w:hAnsi="宋体"/>
                <w:bCs/>
                <w:color w:val="auto"/>
                <w:szCs w:val="21"/>
                <w:highlight w:val="none"/>
              </w:rPr>
              <w:t xml:space="preserve">、工作计划及安排、进度控制措施、技术方案措施、工作重点、难点及其解决措施、交付与验收方案等满足项目需求且具有一定针对性，技术方案总体内容大部分或多数内容阐述具体，仅少数1-2个内容阐述简单，满足项目需求； </w:t>
            </w:r>
          </w:p>
          <w:p w14:paraId="6FA55F7C">
            <w:pPr>
              <w:overflowPunct w:val="0"/>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分）：技术方案内容包含且不限于上述</w:t>
            </w:r>
            <w:r>
              <w:rPr>
                <w:rFonts w:hint="eastAsia" w:ascii="宋体" w:hAnsi="宋体"/>
                <w:bCs/>
                <w:color w:val="auto"/>
                <w:szCs w:val="21"/>
                <w:highlight w:val="none"/>
                <w:lang w:val="en-US" w:eastAsia="zh-CN"/>
              </w:rPr>
              <w:t>6</w:t>
            </w:r>
            <w:r>
              <w:rPr>
                <w:rFonts w:hint="eastAsia" w:ascii="宋体" w:hAnsi="宋体"/>
                <w:bCs/>
                <w:color w:val="auto"/>
                <w:szCs w:val="21"/>
                <w:highlight w:val="none"/>
              </w:rPr>
              <w:t>项，技术方案与采购需求的内容完全吻合，对项目总体服务需求的认识与理解有深入阐述理解与把握，还对项目难点有针对性地提出应</w:t>
            </w:r>
            <w:r>
              <w:rPr>
                <w:rFonts w:hint="eastAsia" w:ascii="宋体" w:hAnsi="宋体" w:eastAsia="宋体" w:cs="Times New Roman"/>
                <w:bCs/>
                <w:color w:val="auto"/>
                <w:szCs w:val="21"/>
                <w:highlight w:val="none"/>
              </w:rPr>
              <w:t>对措施的建议，对项目整体实施有合理化建议和解决措施，提供的技术方案对</w:t>
            </w:r>
            <w:r>
              <w:rPr>
                <w:rFonts w:hint="eastAsia" w:ascii="宋体" w:hAnsi="宋体" w:eastAsia="宋体" w:cs="Times New Roman"/>
                <w:bCs/>
                <w:color w:val="auto"/>
                <w:szCs w:val="21"/>
                <w:highlight w:val="none"/>
                <w:lang w:val="en-US" w:eastAsia="zh-CN"/>
              </w:rPr>
              <w:t>项目</w:t>
            </w:r>
            <w:r>
              <w:rPr>
                <w:rFonts w:hint="eastAsia" w:ascii="宋体" w:hAnsi="宋体" w:eastAsia="宋体" w:cs="Times New Roman"/>
                <w:bCs/>
                <w:color w:val="auto"/>
                <w:szCs w:val="21"/>
                <w:highlight w:val="none"/>
              </w:rPr>
              <w:t>整体需求分析、系统整体运维</w:t>
            </w:r>
            <w:r>
              <w:rPr>
                <w:rFonts w:hint="eastAsia" w:ascii="宋体" w:hAnsi="宋体" w:eastAsia="宋体" w:cs="Times New Roman"/>
                <w:bCs/>
                <w:color w:val="auto"/>
                <w:szCs w:val="21"/>
                <w:highlight w:val="none"/>
                <w:lang w:val="en-US" w:eastAsia="zh-CN"/>
              </w:rPr>
              <w:t>策略</w:t>
            </w:r>
            <w:r>
              <w:rPr>
                <w:rFonts w:hint="eastAsia" w:ascii="宋体" w:hAnsi="宋体" w:eastAsia="宋体" w:cs="Times New Roman"/>
                <w:bCs/>
                <w:color w:val="auto"/>
                <w:szCs w:val="21"/>
                <w:highlight w:val="none"/>
              </w:rPr>
              <w:t>、工作计划及安排、进度控制措施、技术方案措施、工作重点、难点及其解决措施、交付与验收方案等内容具备可行性，方案能够清楚描述系统的日常巡检、预防性维护、性能优化、数据备份与恢复等具体实施方案，故障处理流程‌明确故障分级标准（如紧急、重要、一般）、处理流程、闭环管理机制</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提供患者隐私保护、数据防泄露、数据库安全加固等技术措施</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可行性强、有针对性，整体方案完全符合或优于本项目采购需求。</w:t>
            </w:r>
          </w:p>
          <w:p w14:paraId="7CBE8057">
            <w:pPr>
              <w:overflowPunct w:val="0"/>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rPr>
              <w:t>注：未提供该项内容或不符合一档要求的不得分。</w:t>
            </w:r>
          </w:p>
        </w:tc>
      </w:tr>
      <w:tr w14:paraId="0B5A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5C4F3C00">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03332CB5">
            <w:pPr>
              <w:overflowPunct w:val="0"/>
              <w:snapToGrid w:val="0"/>
              <w:spacing w:line="360" w:lineRule="auto"/>
              <w:ind w:firstLine="443" w:firstLineChars="211"/>
              <w:rPr>
                <w:rFonts w:ascii="宋体" w:hAnsi="宋体"/>
                <w:bCs/>
                <w:color w:val="auto"/>
                <w:szCs w:val="21"/>
                <w:highlight w:val="none"/>
              </w:rPr>
            </w:pPr>
          </w:p>
        </w:tc>
        <w:tc>
          <w:tcPr>
            <w:tcW w:w="1701" w:type="dxa"/>
            <w:noWrap w:val="0"/>
            <w:tcMar>
              <w:left w:w="57" w:type="dxa"/>
              <w:right w:w="57" w:type="dxa"/>
            </w:tcMar>
            <w:vAlign w:val="top"/>
          </w:tcPr>
          <w:p w14:paraId="420D8AD3">
            <w:pPr>
              <w:overflowPunct w:val="0"/>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维保服务管理方案（满分10分）</w:t>
            </w:r>
          </w:p>
        </w:tc>
        <w:tc>
          <w:tcPr>
            <w:tcW w:w="5660" w:type="dxa"/>
            <w:noWrap w:val="0"/>
            <w:vAlign w:val="center"/>
          </w:tcPr>
          <w:p w14:paraId="299DCEDE">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分）：有提供简单的维保服务管理方案，但未明确提出维保服务保障措施。</w:t>
            </w:r>
          </w:p>
          <w:p w14:paraId="1D5D4E97">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二档（7分）：公司规章制度有相应的组织机构，岗位设置合理，人员管理方案描述详细；有提供项目维保进度计划，规划编制维保工作的时间安排合理、质量管理目标明确，进度保障措施完善。</w:t>
            </w:r>
          </w:p>
          <w:p w14:paraId="4FDA14B0">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三档（10分）：公司规章制度完善，人员管理方案描述科学、措施详实、切实可行、有效，并有针对性，制度、管理方案满足</w:t>
            </w:r>
            <w:r>
              <w:rPr>
                <w:rFonts w:hint="eastAsia" w:ascii="宋体" w:hAnsi="宋体"/>
                <w:bCs/>
                <w:color w:val="auto"/>
                <w:szCs w:val="21"/>
                <w:highlight w:val="none"/>
                <w:lang w:val="en-US" w:eastAsia="zh-CN"/>
              </w:rPr>
              <w:t>或</w:t>
            </w:r>
            <w:r>
              <w:rPr>
                <w:rFonts w:hint="eastAsia" w:ascii="宋体" w:hAnsi="宋体"/>
                <w:bCs/>
                <w:color w:val="auto"/>
                <w:szCs w:val="21"/>
                <w:highlight w:val="none"/>
              </w:rPr>
              <w:t>优于采购需求；项目维保进度计划能详细说明各个阶段维保工作安排及各个阶段的维保工作任务、时间节点，人员安排等，项目维保工作计划编排科学合理，质量管理目标、质量管理制度明确，提出本项目维保进度保障的措施且具体措施切实可行。</w:t>
            </w:r>
          </w:p>
          <w:p w14:paraId="66EC3262">
            <w:pPr>
              <w:overflowPunct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注：未提供该项内容或不符合一档要求的不得分。</w:t>
            </w:r>
          </w:p>
        </w:tc>
      </w:tr>
      <w:tr w14:paraId="1E34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61737D20">
            <w:pPr>
              <w:overflowPunct w:val="0"/>
              <w:adjustRightInd w:val="0"/>
              <w:snapToGrid w:val="0"/>
              <w:spacing w:line="360" w:lineRule="atLeast"/>
              <w:jc w:val="center"/>
              <w:textAlignment w:val="baseline"/>
              <w:rPr>
                <w:rFonts w:ascii="宋体" w:hAnsi="宋体"/>
                <w:color w:val="auto"/>
                <w:szCs w:val="21"/>
                <w:highlight w:val="none"/>
              </w:rPr>
            </w:pPr>
          </w:p>
        </w:tc>
        <w:tc>
          <w:tcPr>
            <w:tcW w:w="1585" w:type="dxa"/>
            <w:vMerge w:val="continue"/>
            <w:noWrap w:val="0"/>
            <w:vAlign w:val="top"/>
          </w:tcPr>
          <w:p w14:paraId="62CC3F45">
            <w:pPr>
              <w:overflowPunct w:val="0"/>
              <w:snapToGrid w:val="0"/>
              <w:spacing w:line="360" w:lineRule="auto"/>
              <w:ind w:firstLine="443" w:firstLineChars="211"/>
              <w:rPr>
                <w:rFonts w:ascii="宋体" w:hAnsi="宋体"/>
                <w:bCs/>
                <w:color w:val="auto"/>
                <w:szCs w:val="21"/>
                <w:highlight w:val="none"/>
              </w:rPr>
            </w:pPr>
          </w:p>
        </w:tc>
        <w:tc>
          <w:tcPr>
            <w:tcW w:w="1701" w:type="dxa"/>
            <w:shd w:val="clear" w:color="auto" w:fill="auto"/>
            <w:noWrap w:val="0"/>
            <w:tcMar>
              <w:left w:w="57" w:type="dxa"/>
              <w:right w:w="57" w:type="dxa"/>
            </w:tcMar>
            <w:vAlign w:val="center"/>
          </w:tcPr>
          <w:p w14:paraId="4FCEC208">
            <w:pPr>
              <w:widowControl/>
              <w:overflowPunct w:val="0"/>
              <w:spacing w:line="36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s="Courier New"/>
                <w:bCs/>
                <w:color w:val="auto"/>
                <w:szCs w:val="21"/>
                <w:highlight w:val="none"/>
              </w:rPr>
              <w:t>售后服务方案（满分</w:t>
            </w:r>
            <w:r>
              <w:rPr>
                <w:rFonts w:hint="eastAsia" w:ascii="宋体" w:hAnsi="宋体" w:cs="Courier New"/>
                <w:bCs/>
                <w:color w:val="auto"/>
                <w:szCs w:val="21"/>
                <w:highlight w:val="none"/>
                <w:lang w:val="en-US" w:eastAsia="zh-CN"/>
              </w:rPr>
              <w:t>14</w:t>
            </w:r>
            <w:r>
              <w:rPr>
                <w:rFonts w:hint="eastAsia" w:ascii="宋体" w:hAnsi="宋体" w:cs="Courier New"/>
                <w:bCs/>
                <w:color w:val="auto"/>
                <w:szCs w:val="21"/>
                <w:highlight w:val="none"/>
              </w:rPr>
              <w:t>分）</w:t>
            </w:r>
          </w:p>
        </w:tc>
        <w:tc>
          <w:tcPr>
            <w:tcW w:w="5660" w:type="dxa"/>
            <w:shd w:val="clear" w:color="auto" w:fill="auto"/>
            <w:noWrap w:val="0"/>
            <w:vAlign w:val="top"/>
          </w:tcPr>
          <w:p w14:paraId="1CC43003">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Ansi="宋体" w:cs="Courier New"/>
                <w:bCs/>
                <w:color w:val="auto"/>
                <w:highlight w:val="none"/>
              </w:rPr>
            </w:pPr>
            <w:r>
              <w:rPr>
                <w:rFonts w:hint="eastAsia" w:hAnsi="宋体" w:cs="Courier New"/>
                <w:bCs/>
                <w:color w:val="auto"/>
                <w:highlight w:val="none"/>
              </w:rPr>
              <w:t>由评委根据各投标人投标文件中售后服务方案与需求的吻合程度，从维保期、</w:t>
            </w:r>
            <w:r>
              <w:rPr>
                <w:rFonts w:hint="eastAsia" w:ascii="宋体" w:hAnsi="宋体"/>
                <w:bCs/>
                <w:color w:val="auto"/>
                <w:kern w:val="0"/>
                <w:szCs w:val="21"/>
                <w:highlight w:val="none"/>
              </w:rPr>
              <w:t>质保期内技术服务及保障措施、</w:t>
            </w:r>
            <w:r>
              <w:rPr>
                <w:rFonts w:hint="eastAsia" w:hAnsi="宋体" w:cs="Courier New"/>
                <w:bCs/>
                <w:color w:val="auto"/>
                <w:highlight w:val="none"/>
              </w:rPr>
              <w:t>应急响应上门服务时间及处理措施、</w:t>
            </w:r>
            <w:r>
              <w:rPr>
                <w:rFonts w:hint="eastAsia" w:ascii="宋体" w:hAnsi="宋体"/>
                <w:bCs/>
                <w:color w:val="auto"/>
                <w:kern w:val="0"/>
                <w:szCs w:val="21"/>
                <w:highlight w:val="none"/>
              </w:rPr>
              <w:t>售后服务计划、售后服务技术人员配置、培训方案、软件运行测试、交付、系统应急方案等</w:t>
            </w:r>
            <w:r>
              <w:rPr>
                <w:rFonts w:hint="eastAsia" w:hAnsi="宋体" w:cs="Courier New"/>
                <w:bCs/>
                <w:color w:val="auto"/>
                <w:highlight w:val="none"/>
              </w:rPr>
              <w:t>的服务承诺进行综合评定。</w:t>
            </w:r>
          </w:p>
          <w:p w14:paraId="62BB4FE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hAnsi="宋体" w:cs="Courier New"/>
                <w:bCs/>
                <w:color w:val="auto"/>
                <w:highlight w:val="none"/>
              </w:rPr>
            </w:pPr>
            <w:r>
              <w:rPr>
                <w:rFonts w:hint="eastAsia" w:hAnsi="宋体" w:cs="Courier New"/>
                <w:bCs/>
                <w:color w:val="auto"/>
                <w:highlight w:val="none"/>
              </w:rPr>
              <w:t>一档（</w:t>
            </w:r>
            <w:r>
              <w:rPr>
                <w:rFonts w:hint="eastAsia" w:hAnsi="宋体" w:cs="Courier New"/>
                <w:bCs/>
                <w:color w:val="auto"/>
                <w:highlight w:val="none"/>
                <w:lang w:val="en-US" w:eastAsia="zh-CN"/>
              </w:rPr>
              <w:t>4</w:t>
            </w:r>
            <w:r>
              <w:rPr>
                <w:rFonts w:hint="eastAsia" w:hAnsi="宋体" w:cs="Courier New"/>
                <w:bCs/>
                <w:color w:val="auto"/>
                <w:highlight w:val="none"/>
              </w:rPr>
              <w:t>分）：在满足采购文件基本售后服务需求基础上，整个售后服务方案没有提供其他额外增加服务，拟投入售后服务人员达3人</w:t>
            </w:r>
            <w:r>
              <w:rPr>
                <w:rFonts w:hint="eastAsia" w:hAnsi="宋体" w:cs="Courier New"/>
                <w:bCs/>
                <w:color w:val="auto"/>
                <w:highlight w:val="none"/>
                <w:lang w:eastAsia="zh-CN"/>
              </w:rPr>
              <w:t>（</w:t>
            </w:r>
            <w:r>
              <w:rPr>
                <w:rFonts w:hint="eastAsia" w:hAnsi="宋体" w:cs="Courier New"/>
                <w:bCs/>
                <w:color w:val="auto"/>
                <w:highlight w:val="none"/>
                <w:lang w:val="en-US" w:eastAsia="zh-CN"/>
              </w:rPr>
              <w:t>含3人</w:t>
            </w:r>
            <w:r>
              <w:rPr>
                <w:rFonts w:hint="eastAsia" w:hAnsi="宋体" w:cs="Courier New"/>
                <w:bCs/>
                <w:color w:val="auto"/>
                <w:highlight w:val="none"/>
                <w:lang w:eastAsia="zh-CN"/>
              </w:rPr>
              <w:t>）</w:t>
            </w:r>
            <w:r>
              <w:rPr>
                <w:rFonts w:hint="eastAsia" w:hAnsi="宋体" w:cs="Courier New"/>
                <w:bCs/>
                <w:color w:val="auto"/>
                <w:highlight w:val="none"/>
              </w:rPr>
              <w:t>以上。</w:t>
            </w:r>
          </w:p>
          <w:p w14:paraId="2976AC3A">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hAnsi="宋体" w:cs="Courier New"/>
                <w:bCs/>
                <w:color w:val="auto"/>
                <w:highlight w:val="none"/>
              </w:rPr>
            </w:pPr>
            <w:r>
              <w:rPr>
                <w:rFonts w:hint="eastAsia" w:hAnsi="宋体" w:cs="Courier New"/>
                <w:bCs/>
                <w:color w:val="auto"/>
                <w:highlight w:val="none"/>
              </w:rPr>
              <w:t>二档（</w:t>
            </w:r>
            <w:r>
              <w:rPr>
                <w:rFonts w:hint="eastAsia" w:hAnsi="宋体" w:cs="Courier New"/>
                <w:bCs/>
                <w:color w:val="auto"/>
                <w:highlight w:val="none"/>
                <w:lang w:val="en-US" w:eastAsia="zh-CN"/>
              </w:rPr>
              <w:t>9</w:t>
            </w:r>
            <w:r>
              <w:rPr>
                <w:rFonts w:hint="eastAsia" w:hAnsi="宋体" w:cs="Courier New"/>
                <w:bCs/>
                <w:color w:val="auto"/>
                <w:highlight w:val="none"/>
              </w:rPr>
              <w:t>分）：供应商提供的售后方案，满足项目采购需求的售后服务要求，在满足采购需求基础上，提出来服务承诺事项总体内容有部分增加服务内容，大部分或多数内容具体，但仍有少数内容不够具体，拟投入售后服务人员达5人</w:t>
            </w:r>
            <w:r>
              <w:rPr>
                <w:rFonts w:hint="eastAsia" w:hAnsi="宋体" w:cs="Courier New"/>
                <w:bCs/>
                <w:color w:val="auto"/>
                <w:highlight w:val="none"/>
                <w:lang w:eastAsia="zh-CN"/>
              </w:rPr>
              <w:t>（</w:t>
            </w:r>
            <w:r>
              <w:rPr>
                <w:rFonts w:hint="eastAsia" w:hAnsi="宋体" w:cs="Courier New"/>
                <w:bCs/>
                <w:color w:val="auto"/>
                <w:highlight w:val="none"/>
                <w:lang w:val="en-US" w:eastAsia="zh-CN"/>
              </w:rPr>
              <w:t>含5人</w:t>
            </w:r>
            <w:r>
              <w:rPr>
                <w:rFonts w:hint="eastAsia" w:hAnsi="宋体" w:cs="Courier New"/>
                <w:bCs/>
                <w:color w:val="auto"/>
                <w:highlight w:val="none"/>
                <w:lang w:eastAsia="zh-CN"/>
              </w:rPr>
              <w:t>）</w:t>
            </w:r>
            <w:r>
              <w:rPr>
                <w:rFonts w:hint="eastAsia" w:hAnsi="宋体" w:cs="Courier New"/>
                <w:bCs/>
                <w:color w:val="auto"/>
                <w:highlight w:val="none"/>
              </w:rPr>
              <w:t>以上。</w:t>
            </w:r>
          </w:p>
          <w:p w14:paraId="72558120">
            <w:pPr>
              <w:overflowPunct w:val="0"/>
              <w:spacing w:line="360" w:lineRule="auto"/>
              <w:ind w:firstLine="210" w:firstLineChars="100"/>
              <w:rPr>
                <w:rFonts w:hint="eastAsia" w:ascii="宋体" w:hAnsi="宋体"/>
                <w:bCs/>
                <w:color w:val="auto"/>
                <w:highlight w:val="none"/>
              </w:rPr>
            </w:pPr>
            <w:r>
              <w:rPr>
                <w:rFonts w:hint="eastAsia" w:hAnsi="宋体" w:cs="Courier New"/>
                <w:bCs/>
                <w:color w:val="auto"/>
                <w:highlight w:val="none"/>
              </w:rPr>
              <w:t xml:space="preserve">  三档（</w:t>
            </w:r>
            <w:r>
              <w:rPr>
                <w:rFonts w:hint="eastAsia" w:hAnsi="宋体" w:cs="Courier New"/>
                <w:bCs/>
                <w:color w:val="auto"/>
                <w:highlight w:val="none"/>
                <w:lang w:val="en-US" w:eastAsia="zh-CN"/>
              </w:rPr>
              <w:t>14</w:t>
            </w:r>
            <w:r>
              <w:rPr>
                <w:rFonts w:hint="eastAsia" w:hAnsi="宋体" w:cs="Courier New"/>
                <w:bCs/>
                <w:color w:val="auto"/>
                <w:highlight w:val="none"/>
              </w:rPr>
              <w:t>分）：供应商提供的售后方案，</w:t>
            </w:r>
            <w:r>
              <w:rPr>
                <w:rFonts w:hint="eastAsia" w:hAnsi="宋体" w:cs="Courier New"/>
                <w:bCs/>
                <w:color w:val="auto"/>
                <w:highlight w:val="none"/>
                <w:lang w:val="en-US" w:eastAsia="zh-CN"/>
              </w:rPr>
              <w:t>完全</w:t>
            </w:r>
            <w:r>
              <w:rPr>
                <w:rFonts w:hint="eastAsia" w:hAnsi="宋体" w:cs="Courier New"/>
                <w:bCs/>
                <w:color w:val="auto"/>
                <w:highlight w:val="none"/>
              </w:rPr>
              <w:t>满足项目采购需求的售后服务要求，且提出的售后服务优于基本售后服务要求，在满足采购需求基础上，提供的增加服务内容相对较多且整体全部服务承诺针对质保期、人员后续服务、响应措施、技术支持、</w:t>
            </w:r>
            <w:r>
              <w:rPr>
                <w:rFonts w:hint="eastAsia" w:ascii="宋体" w:hAnsi="宋体"/>
                <w:bCs/>
                <w:color w:val="auto"/>
                <w:kern w:val="0"/>
                <w:szCs w:val="21"/>
                <w:highlight w:val="none"/>
              </w:rPr>
              <w:t>系统应急方案有平台监控方案、数据灾备方案和系统迁移及多节点部署方案</w:t>
            </w:r>
            <w:r>
              <w:rPr>
                <w:rFonts w:hint="eastAsia" w:hAnsi="宋体" w:cs="Courier New"/>
                <w:bCs/>
                <w:color w:val="auto"/>
                <w:highlight w:val="none"/>
              </w:rPr>
              <w:t>等方面的服务承诺阐述内容</w:t>
            </w:r>
            <w:r>
              <w:rPr>
                <w:rFonts w:hint="eastAsia" w:hAnsi="宋体" w:cs="Courier New"/>
                <w:bCs/>
                <w:color w:val="auto"/>
                <w:highlight w:val="none"/>
                <w:lang w:val="en-US" w:eastAsia="zh-CN"/>
              </w:rPr>
              <w:t>清晰</w:t>
            </w:r>
            <w:r>
              <w:rPr>
                <w:rFonts w:hint="eastAsia" w:hAnsi="宋体" w:cs="Courier New"/>
                <w:bCs/>
                <w:color w:val="auto"/>
                <w:highlight w:val="none"/>
              </w:rPr>
              <w:t>、贴切且完善，其售后技术力量投入综合素质高，拟投入售后服务人员达10人</w:t>
            </w:r>
            <w:r>
              <w:rPr>
                <w:rFonts w:hint="eastAsia" w:hAnsi="宋体" w:cs="Courier New"/>
                <w:bCs/>
                <w:color w:val="auto"/>
                <w:highlight w:val="none"/>
                <w:lang w:eastAsia="zh-CN"/>
              </w:rPr>
              <w:t>（</w:t>
            </w:r>
            <w:r>
              <w:rPr>
                <w:rFonts w:hint="eastAsia" w:hAnsi="宋体" w:cs="Courier New"/>
                <w:bCs/>
                <w:color w:val="auto"/>
                <w:highlight w:val="none"/>
                <w:lang w:val="en-US" w:eastAsia="zh-CN"/>
              </w:rPr>
              <w:t>含10人</w:t>
            </w:r>
            <w:r>
              <w:rPr>
                <w:rFonts w:hint="eastAsia" w:hAnsi="宋体" w:cs="Courier New"/>
                <w:bCs/>
                <w:color w:val="auto"/>
                <w:highlight w:val="none"/>
                <w:lang w:eastAsia="zh-CN"/>
              </w:rPr>
              <w:t>）</w:t>
            </w:r>
            <w:r>
              <w:rPr>
                <w:rFonts w:hint="eastAsia" w:hAnsi="宋体" w:cs="Courier New"/>
                <w:bCs/>
                <w:color w:val="auto"/>
                <w:highlight w:val="none"/>
              </w:rPr>
              <w:t>以上</w:t>
            </w:r>
            <w:r>
              <w:rPr>
                <w:rFonts w:hint="eastAsia" w:ascii="宋体" w:hAnsi="宋体"/>
                <w:bCs/>
                <w:color w:val="auto"/>
                <w:highlight w:val="none"/>
              </w:rPr>
              <w:t>。</w:t>
            </w:r>
          </w:p>
          <w:p w14:paraId="0C2019F6">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宋体" w:hAnsi="宋体"/>
                <w:bCs/>
                <w:color w:val="auto"/>
                <w:highlight w:val="none"/>
                <w:lang w:val="en-US" w:eastAsia="zh-CN"/>
              </w:rPr>
            </w:pPr>
            <w:r>
              <w:rPr>
                <w:rFonts w:hint="eastAsia" w:ascii="宋体" w:hAnsi="宋体"/>
                <w:bCs/>
                <w:color w:val="auto"/>
                <w:szCs w:val="21"/>
                <w:highlight w:val="none"/>
              </w:rPr>
              <w:t>注：未提供该项内容或不符合一档要求的不得分。</w:t>
            </w:r>
          </w:p>
        </w:tc>
      </w:tr>
      <w:tr w14:paraId="2145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55B92375">
            <w:pPr>
              <w:overflowPunct w:val="0"/>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3</w:t>
            </w:r>
          </w:p>
          <w:p w14:paraId="37C28AA2">
            <w:pPr>
              <w:overflowPunct w:val="0"/>
              <w:snapToGrid w:val="0"/>
              <w:spacing w:line="360" w:lineRule="atLeast"/>
              <w:jc w:val="center"/>
              <w:rPr>
                <w:rFonts w:ascii="宋体" w:hAnsi="宋体"/>
                <w:color w:val="auto"/>
                <w:szCs w:val="21"/>
                <w:highlight w:val="none"/>
              </w:rPr>
            </w:pPr>
          </w:p>
        </w:tc>
        <w:tc>
          <w:tcPr>
            <w:tcW w:w="1585" w:type="dxa"/>
            <w:vMerge w:val="restart"/>
            <w:noWrap w:val="0"/>
            <w:vAlign w:val="center"/>
          </w:tcPr>
          <w:p w14:paraId="414D7577">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商务分</w:t>
            </w:r>
          </w:p>
          <w:p w14:paraId="771E4616">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23</w:t>
            </w:r>
            <w:r>
              <w:rPr>
                <w:rFonts w:hint="eastAsia" w:ascii="宋体" w:hAnsi="宋体"/>
                <w:bCs/>
                <w:color w:val="auto"/>
                <w:szCs w:val="21"/>
                <w:highlight w:val="none"/>
              </w:rPr>
              <w:t>分）</w:t>
            </w:r>
          </w:p>
          <w:p w14:paraId="3DDA0FD2">
            <w:pPr>
              <w:overflowPunct w:val="0"/>
              <w:snapToGrid w:val="0"/>
              <w:spacing w:line="360" w:lineRule="auto"/>
              <w:ind w:firstLine="443" w:firstLineChars="211"/>
              <w:jc w:val="center"/>
              <w:rPr>
                <w:rFonts w:ascii="宋体" w:hAnsi="宋体"/>
                <w:bCs/>
                <w:color w:val="auto"/>
                <w:szCs w:val="21"/>
                <w:highlight w:val="none"/>
              </w:rPr>
            </w:pPr>
          </w:p>
        </w:tc>
        <w:tc>
          <w:tcPr>
            <w:tcW w:w="1701" w:type="dxa"/>
            <w:shd w:val="clear" w:color="auto" w:fill="auto"/>
            <w:noWrap w:val="0"/>
            <w:vAlign w:val="center"/>
          </w:tcPr>
          <w:p w14:paraId="7DFD9FA4">
            <w:pPr>
              <w:widowControl/>
              <w:overflowPunct w:val="0"/>
              <w:spacing w:line="360" w:lineRule="exact"/>
              <w:jc w:val="center"/>
              <w:rPr>
                <w:rFonts w:ascii="宋体" w:hAnsi="宋体" w:eastAsia="宋体" w:cs="Courier New"/>
                <w:bCs/>
                <w:color w:val="auto"/>
                <w:kern w:val="2"/>
                <w:sz w:val="21"/>
                <w:szCs w:val="21"/>
                <w:highlight w:val="none"/>
                <w:lang w:val="en-US" w:eastAsia="zh-CN" w:bidi="ar-SA"/>
              </w:rPr>
            </w:pPr>
            <w:r>
              <w:rPr>
                <w:rFonts w:hint="eastAsia" w:ascii="宋体" w:hAnsi="宋体"/>
                <w:bCs/>
                <w:color w:val="auto"/>
                <w:kern w:val="0"/>
                <w:szCs w:val="21"/>
                <w:highlight w:val="none"/>
              </w:rPr>
              <w:t>实施团队人员配置（满分</w:t>
            </w:r>
            <w:r>
              <w:rPr>
                <w:rFonts w:hint="eastAsia" w:ascii="宋体" w:hAnsi="宋体"/>
                <w:bCs/>
                <w:color w:val="auto"/>
                <w:kern w:val="0"/>
                <w:szCs w:val="21"/>
                <w:highlight w:val="none"/>
                <w:lang w:val="en-US" w:eastAsia="zh-CN"/>
              </w:rPr>
              <w:t>9</w:t>
            </w:r>
            <w:r>
              <w:rPr>
                <w:rFonts w:hint="eastAsia" w:ascii="宋体" w:hAnsi="宋体"/>
                <w:bCs/>
                <w:color w:val="auto"/>
                <w:kern w:val="0"/>
                <w:szCs w:val="21"/>
                <w:highlight w:val="none"/>
              </w:rPr>
              <w:t>分）</w:t>
            </w:r>
          </w:p>
        </w:tc>
        <w:tc>
          <w:tcPr>
            <w:tcW w:w="5660" w:type="dxa"/>
            <w:shd w:val="clear" w:color="auto" w:fill="auto"/>
            <w:noWrap w:val="0"/>
            <w:vAlign w:val="top"/>
          </w:tcPr>
          <w:p w14:paraId="6CB3D60B">
            <w:pPr>
              <w:overflowPunct w:val="0"/>
              <w:spacing w:line="360" w:lineRule="auto"/>
              <w:rPr>
                <w:rFonts w:ascii="Times New Roman Regular" w:hAnsi="Times New Roman Regular" w:cs="Times New Roman Regular"/>
                <w:color w:val="auto"/>
                <w:kern w:val="0"/>
                <w:szCs w:val="21"/>
                <w:highlight w:val="none"/>
              </w:rPr>
            </w:pPr>
            <w:r>
              <w:rPr>
                <w:rFonts w:hint="eastAsia" w:ascii="宋体" w:hAnsi="宋体"/>
                <w:bCs/>
                <w:color w:val="auto"/>
                <w:kern w:val="0"/>
                <w:szCs w:val="21"/>
                <w:highlight w:val="none"/>
              </w:rPr>
              <w:t>1、拟投入项目经理（满分</w:t>
            </w:r>
            <w:r>
              <w:rPr>
                <w:rFonts w:hint="eastAsia" w:ascii="宋体" w:hAnsi="宋体"/>
                <w:bCs/>
                <w:color w:val="auto"/>
                <w:kern w:val="0"/>
                <w:szCs w:val="21"/>
                <w:highlight w:val="none"/>
                <w:lang w:val="en-US" w:eastAsia="zh-CN"/>
              </w:rPr>
              <w:t>4</w:t>
            </w:r>
            <w:r>
              <w:rPr>
                <w:rFonts w:hint="eastAsia" w:ascii="宋体" w:hAnsi="宋体"/>
                <w:bCs/>
                <w:color w:val="auto"/>
                <w:kern w:val="0"/>
                <w:szCs w:val="21"/>
                <w:highlight w:val="none"/>
              </w:rPr>
              <w:t>分）</w:t>
            </w:r>
          </w:p>
          <w:p w14:paraId="78C348B8">
            <w:pPr>
              <w:widowControl/>
              <w:spacing w:line="360" w:lineRule="auto"/>
              <w:textAlignment w:val="center"/>
              <w:rPr>
                <w:rFonts w:hint="eastAsia" w:ascii="Times New Roman Regular" w:hAnsi="Times New Roman Regular" w:cs="Times New Roman Regular"/>
                <w:color w:val="auto"/>
                <w:kern w:val="0"/>
                <w:szCs w:val="21"/>
                <w:highlight w:val="none"/>
              </w:rPr>
            </w:pPr>
            <w:r>
              <w:rPr>
                <w:rFonts w:hint="eastAsia" w:ascii="Times New Roman Regular" w:hAnsi="Times New Roman Regular" w:cs="Times New Roman Regular"/>
                <w:color w:val="auto"/>
                <w:kern w:val="0"/>
                <w:szCs w:val="21"/>
                <w:highlight w:val="none"/>
              </w:rPr>
              <w:t>（1）</w:t>
            </w:r>
            <w:r>
              <w:rPr>
                <w:rFonts w:ascii="Times New Roman Regular" w:hAnsi="Times New Roman Regular" w:cs="Times New Roman Regular"/>
                <w:color w:val="auto"/>
                <w:kern w:val="0"/>
                <w:szCs w:val="21"/>
                <w:highlight w:val="none"/>
              </w:rPr>
              <w:t>具有</w:t>
            </w:r>
            <w:r>
              <w:rPr>
                <w:rStyle w:val="134"/>
                <w:rFonts w:hint="default"/>
                <w:color w:val="auto"/>
                <w:highlight w:val="none"/>
                <w:lang w:bidi="ar"/>
              </w:rPr>
              <w:t>计算机或信息管理</w:t>
            </w:r>
            <w:r>
              <w:rPr>
                <w:rStyle w:val="134"/>
                <w:color w:val="auto"/>
                <w:highlight w:val="none"/>
                <w:lang w:bidi="ar"/>
              </w:rPr>
              <w:t>或生物医学工程</w:t>
            </w:r>
            <w:r>
              <w:rPr>
                <w:rStyle w:val="134"/>
                <w:rFonts w:hint="default"/>
                <w:color w:val="auto"/>
                <w:highlight w:val="none"/>
                <w:lang w:bidi="ar"/>
              </w:rPr>
              <w:t>相关专业</w:t>
            </w:r>
            <w:r>
              <w:rPr>
                <w:rFonts w:ascii="Times New Roman Regular" w:hAnsi="Times New Roman Regular" w:cs="Times New Roman Regular"/>
                <w:color w:val="auto"/>
                <w:kern w:val="0"/>
                <w:szCs w:val="21"/>
                <w:highlight w:val="none"/>
              </w:rPr>
              <w:t>的本科或以上学历</w:t>
            </w:r>
            <w:r>
              <w:rPr>
                <w:rFonts w:hint="eastAsia" w:ascii="Times New Roman Regular" w:hAnsi="Times New Roman Regular" w:cs="Times New Roman Regular"/>
                <w:color w:val="auto"/>
                <w:kern w:val="0"/>
                <w:szCs w:val="21"/>
                <w:highlight w:val="none"/>
              </w:rPr>
              <w:t>，得1分，具有硕士或以上学历的，得2分，此项满分2分；（提供相关学历证明扫描件）</w:t>
            </w:r>
          </w:p>
          <w:p w14:paraId="25A39DC7">
            <w:pPr>
              <w:widowControl/>
              <w:spacing w:line="360" w:lineRule="auto"/>
              <w:textAlignment w:val="center"/>
              <w:rPr>
                <w:rFonts w:hint="eastAsia"/>
                <w:color w:val="auto"/>
                <w:highlight w:val="none"/>
              </w:rPr>
            </w:pPr>
            <w:r>
              <w:rPr>
                <w:rStyle w:val="134"/>
                <w:rFonts w:hint="default"/>
                <w:color w:val="auto"/>
                <w:highlight w:val="none"/>
                <w:lang w:bidi="ar"/>
              </w:rPr>
              <w:t>（2）具有计算机技术与软件专业技术资格</w:t>
            </w:r>
            <w:r>
              <w:rPr>
                <w:rStyle w:val="134"/>
                <w:color w:val="auto"/>
                <w:highlight w:val="none"/>
                <w:lang w:bidi="ar"/>
              </w:rPr>
              <w:t>证书，有</w:t>
            </w:r>
            <w:r>
              <w:rPr>
                <w:rStyle w:val="134"/>
                <w:rFonts w:hint="default"/>
                <w:color w:val="auto"/>
                <w:highlight w:val="none"/>
                <w:lang w:bidi="ar"/>
              </w:rPr>
              <w:t>系统集成项目管理工程师</w:t>
            </w:r>
            <w:r>
              <w:rPr>
                <w:rStyle w:val="134"/>
                <w:color w:val="auto"/>
                <w:highlight w:val="none"/>
                <w:lang w:bidi="ar"/>
              </w:rPr>
              <w:t>（中级）的，得</w:t>
            </w:r>
            <w:r>
              <w:rPr>
                <w:rStyle w:val="134"/>
                <w:rFonts w:hint="eastAsia"/>
                <w:color w:val="auto"/>
                <w:highlight w:val="none"/>
                <w:lang w:val="en-US" w:eastAsia="zh-CN" w:bidi="ar"/>
              </w:rPr>
              <w:t>1</w:t>
            </w:r>
            <w:r>
              <w:rPr>
                <w:rStyle w:val="134"/>
                <w:color w:val="auto"/>
                <w:highlight w:val="none"/>
                <w:lang w:bidi="ar"/>
              </w:rPr>
              <w:t>分，具有</w:t>
            </w:r>
            <w:r>
              <w:rPr>
                <w:rFonts w:ascii="宋体" w:hAnsi="宋体" w:cs="仿宋"/>
                <w:snapToGrid w:val="0"/>
                <w:color w:val="auto"/>
                <w:kern w:val="0"/>
                <w:szCs w:val="21"/>
                <w:highlight w:val="none"/>
              </w:rPr>
              <w:t>信息系统项目管理师</w:t>
            </w:r>
            <w:r>
              <w:rPr>
                <w:rFonts w:hint="eastAsia" w:ascii="宋体" w:hAnsi="宋体" w:cs="仿宋"/>
                <w:snapToGrid w:val="0"/>
                <w:color w:val="auto"/>
                <w:kern w:val="0"/>
                <w:szCs w:val="21"/>
                <w:highlight w:val="none"/>
              </w:rPr>
              <w:t>（高级）</w:t>
            </w:r>
            <w:r>
              <w:rPr>
                <w:rStyle w:val="134"/>
                <w:rFonts w:hint="default"/>
                <w:color w:val="auto"/>
                <w:highlight w:val="none"/>
                <w:lang w:bidi="ar"/>
              </w:rPr>
              <w:t>，得</w:t>
            </w:r>
            <w:r>
              <w:rPr>
                <w:rStyle w:val="134"/>
                <w:rFonts w:hint="eastAsia"/>
                <w:color w:val="auto"/>
                <w:highlight w:val="none"/>
                <w:lang w:val="en-US" w:eastAsia="zh-CN" w:bidi="ar"/>
              </w:rPr>
              <w:t>2</w:t>
            </w:r>
            <w:r>
              <w:rPr>
                <w:rStyle w:val="134"/>
                <w:rFonts w:hint="default"/>
                <w:color w:val="auto"/>
                <w:highlight w:val="none"/>
                <w:lang w:bidi="ar"/>
              </w:rPr>
              <w:t>分</w:t>
            </w:r>
            <w:r>
              <w:rPr>
                <w:rStyle w:val="134"/>
                <w:rFonts w:hint="eastAsia"/>
                <w:color w:val="auto"/>
                <w:highlight w:val="none"/>
                <w:lang w:eastAsia="zh-CN" w:bidi="ar"/>
              </w:rPr>
              <w:t>，</w:t>
            </w:r>
            <w:r>
              <w:rPr>
                <w:rFonts w:hint="eastAsia" w:ascii="Times New Roman Regular" w:hAnsi="Times New Roman Regular" w:cs="Times New Roman Regular"/>
                <w:color w:val="auto"/>
                <w:kern w:val="0"/>
                <w:szCs w:val="21"/>
                <w:highlight w:val="none"/>
              </w:rPr>
              <w:t>此项满分</w:t>
            </w:r>
            <w:r>
              <w:rPr>
                <w:rFonts w:hint="eastAsia" w:ascii="Times New Roman Regular" w:hAnsi="Times New Roman Regular" w:cs="Times New Roman Regular"/>
                <w:color w:val="auto"/>
                <w:kern w:val="0"/>
                <w:szCs w:val="21"/>
                <w:highlight w:val="none"/>
                <w:lang w:val="en-US" w:eastAsia="zh-CN"/>
              </w:rPr>
              <w:t>2</w:t>
            </w:r>
            <w:r>
              <w:rPr>
                <w:rFonts w:hint="eastAsia" w:ascii="Times New Roman Regular" w:hAnsi="Times New Roman Regular" w:cs="Times New Roman Regular"/>
                <w:color w:val="auto"/>
                <w:kern w:val="0"/>
                <w:szCs w:val="21"/>
                <w:highlight w:val="none"/>
              </w:rPr>
              <w:t>分</w:t>
            </w:r>
            <w:r>
              <w:rPr>
                <w:rStyle w:val="134"/>
                <w:rFonts w:hint="default"/>
                <w:color w:val="auto"/>
                <w:highlight w:val="none"/>
                <w:lang w:bidi="ar"/>
              </w:rPr>
              <w:t>；（</w:t>
            </w:r>
            <w:r>
              <w:rPr>
                <w:rFonts w:hint="eastAsia" w:ascii="Times New Roman Regular" w:hAnsi="Times New Roman Regular" w:cs="Times New Roman Regular"/>
                <w:color w:val="auto"/>
                <w:kern w:val="0"/>
                <w:szCs w:val="21"/>
                <w:highlight w:val="none"/>
              </w:rPr>
              <w:t>提供相关证书证明扫描件）</w:t>
            </w:r>
          </w:p>
          <w:p w14:paraId="01BD749C">
            <w:pPr>
              <w:overflowPunct w:val="0"/>
              <w:spacing w:line="360" w:lineRule="auto"/>
              <w:rPr>
                <w:rFonts w:ascii="宋体" w:hAnsi="宋体"/>
                <w:bCs/>
                <w:color w:val="auto"/>
                <w:kern w:val="0"/>
                <w:szCs w:val="21"/>
                <w:highlight w:val="none"/>
              </w:rPr>
            </w:pPr>
            <w:r>
              <w:rPr>
                <w:rFonts w:hint="eastAsia" w:ascii="宋体" w:hAnsi="宋体"/>
                <w:bCs/>
                <w:color w:val="auto"/>
                <w:kern w:val="0"/>
                <w:szCs w:val="21"/>
                <w:highlight w:val="none"/>
              </w:rPr>
              <w:t>2、拟投入实施团队成员 （满分</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分）</w:t>
            </w:r>
          </w:p>
          <w:p w14:paraId="619373EA">
            <w:pPr>
              <w:overflowPunct w:val="0"/>
              <w:spacing w:line="360" w:lineRule="auto"/>
              <w:rPr>
                <w:rStyle w:val="134"/>
                <w:rFonts w:hint="default"/>
                <w:color w:val="auto"/>
                <w:highlight w:val="none"/>
                <w:lang w:bidi="ar"/>
              </w:rPr>
            </w:pPr>
            <w:r>
              <w:rPr>
                <w:rStyle w:val="134"/>
                <w:rFonts w:hint="default"/>
                <w:color w:val="auto"/>
                <w:highlight w:val="none"/>
                <w:lang w:bidi="ar"/>
              </w:rPr>
              <w:t>（1）项目</w:t>
            </w:r>
            <w:r>
              <w:rPr>
                <w:rFonts w:hint="eastAsia" w:ascii="宋体" w:hAnsi="宋体"/>
                <w:bCs/>
                <w:color w:val="auto"/>
                <w:kern w:val="0"/>
                <w:szCs w:val="21"/>
                <w:highlight w:val="none"/>
              </w:rPr>
              <w:t>实施</w:t>
            </w:r>
            <w:r>
              <w:rPr>
                <w:rStyle w:val="134"/>
                <w:rFonts w:hint="default"/>
                <w:color w:val="auto"/>
                <w:highlight w:val="none"/>
                <w:lang w:bidi="ar"/>
              </w:rPr>
              <w:t>团队成员中（项目经理除外），具有临床医学</w:t>
            </w:r>
            <w:r>
              <w:rPr>
                <w:rStyle w:val="134"/>
                <w:rFonts w:hint="eastAsia"/>
                <w:color w:val="auto"/>
                <w:highlight w:val="none"/>
                <w:lang w:val="en-US" w:eastAsia="zh-CN" w:bidi="ar"/>
              </w:rPr>
              <w:t>或</w:t>
            </w:r>
            <w:r>
              <w:rPr>
                <w:rStyle w:val="134"/>
                <w:rFonts w:hint="default"/>
                <w:color w:val="auto"/>
                <w:highlight w:val="none"/>
                <w:lang w:bidi="ar"/>
              </w:rPr>
              <w:t>医学信息学</w:t>
            </w:r>
            <w:r>
              <w:rPr>
                <w:rStyle w:val="134"/>
                <w:rFonts w:hint="eastAsia"/>
                <w:color w:val="auto"/>
                <w:highlight w:val="none"/>
                <w:lang w:val="en-US" w:eastAsia="zh-CN" w:bidi="ar"/>
              </w:rPr>
              <w:t>或</w:t>
            </w:r>
            <w:r>
              <w:rPr>
                <w:rStyle w:val="134"/>
                <w:rFonts w:hint="default"/>
                <w:color w:val="auto"/>
                <w:highlight w:val="none"/>
                <w:lang w:bidi="ar"/>
              </w:rPr>
              <w:t>生物医学工程相关专业的本科以上学历的，提供任意</w:t>
            </w:r>
            <w:r>
              <w:rPr>
                <w:rStyle w:val="135"/>
                <w:rFonts w:eastAsia="等线"/>
                <w:color w:val="auto"/>
                <w:highlight w:val="none"/>
                <w:lang w:bidi="ar"/>
              </w:rPr>
              <w:t>1</w:t>
            </w:r>
            <w:r>
              <w:rPr>
                <w:rStyle w:val="134"/>
                <w:rFonts w:hint="default"/>
                <w:color w:val="auto"/>
                <w:highlight w:val="none"/>
                <w:lang w:bidi="ar"/>
              </w:rPr>
              <w:t>项，得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hint="eastAsia" w:eastAsia="等线"/>
                <w:color w:val="auto"/>
                <w:highlight w:val="none"/>
                <w:lang w:bidi="ar"/>
              </w:rPr>
              <w:t>2</w:t>
            </w:r>
            <w:r>
              <w:rPr>
                <w:rStyle w:val="134"/>
                <w:rFonts w:hint="default"/>
                <w:color w:val="auto"/>
                <w:highlight w:val="none"/>
                <w:lang w:bidi="ar"/>
              </w:rPr>
              <w:t>分；</w:t>
            </w:r>
            <w:r>
              <w:rPr>
                <w:rStyle w:val="134"/>
                <w:color w:val="auto"/>
                <w:highlight w:val="none"/>
                <w:lang w:bidi="ar"/>
              </w:rPr>
              <w:t>（提供相关学历证明扫描件）</w:t>
            </w:r>
          </w:p>
          <w:p w14:paraId="310E2457">
            <w:pPr>
              <w:overflowPunct w:val="0"/>
              <w:spacing w:line="360" w:lineRule="auto"/>
              <w:rPr>
                <w:rStyle w:val="134"/>
                <w:rFonts w:hint="default"/>
                <w:color w:val="auto"/>
                <w:highlight w:val="none"/>
                <w:lang w:bidi="ar"/>
              </w:rPr>
            </w:pPr>
            <w:r>
              <w:rPr>
                <w:rStyle w:val="134"/>
                <w:rFonts w:hint="default"/>
                <w:color w:val="auto"/>
                <w:highlight w:val="none"/>
                <w:lang w:bidi="ar"/>
              </w:rPr>
              <w:t>（2）项目</w:t>
            </w:r>
            <w:r>
              <w:rPr>
                <w:rFonts w:hint="eastAsia" w:ascii="宋体" w:hAnsi="宋体"/>
                <w:bCs/>
                <w:color w:val="auto"/>
                <w:kern w:val="0"/>
                <w:szCs w:val="21"/>
                <w:highlight w:val="none"/>
              </w:rPr>
              <w:t>实施</w:t>
            </w:r>
            <w:r>
              <w:rPr>
                <w:rStyle w:val="134"/>
                <w:rFonts w:hint="default"/>
                <w:color w:val="auto"/>
                <w:highlight w:val="none"/>
                <w:lang w:bidi="ar"/>
              </w:rPr>
              <w:t>团队成员中具有计算机技术与软件专业技术资格（专业：系统集成项目管理工程师</w:t>
            </w:r>
            <w:r>
              <w:rPr>
                <w:rStyle w:val="134"/>
                <w:color w:val="auto"/>
                <w:highlight w:val="none"/>
                <w:lang w:bidi="ar"/>
              </w:rPr>
              <w:t>或</w:t>
            </w:r>
            <w:r>
              <w:rPr>
                <w:rStyle w:val="134"/>
                <w:rFonts w:hint="default"/>
                <w:color w:val="auto"/>
                <w:highlight w:val="none"/>
                <w:lang w:bidi="ar"/>
              </w:rPr>
              <w:t>网络工程师</w:t>
            </w:r>
            <w:r>
              <w:rPr>
                <w:rStyle w:val="134"/>
                <w:color w:val="auto"/>
                <w:highlight w:val="none"/>
                <w:lang w:bidi="ar"/>
              </w:rPr>
              <w:t>或</w:t>
            </w:r>
            <w:r>
              <w:rPr>
                <w:rStyle w:val="134"/>
                <w:rFonts w:hint="default"/>
                <w:color w:val="auto"/>
                <w:highlight w:val="none"/>
                <w:lang w:bidi="ar"/>
              </w:rPr>
              <w:t>软件设计师</w:t>
            </w:r>
            <w:r>
              <w:rPr>
                <w:rStyle w:val="134"/>
                <w:color w:val="auto"/>
                <w:highlight w:val="none"/>
                <w:lang w:bidi="ar"/>
              </w:rPr>
              <w:t>，</w:t>
            </w:r>
            <w:r>
              <w:rPr>
                <w:rStyle w:val="134"/>
                <w:rFonts w:hint="default"/>
                <w:color w:val="auto"/>
                <w:highlight w:val="none"/>
                <w:lang w:bidi="ar"/>
              </w:rPr>
              <w:t>级别：中级或以上）证书的，提供</w:t>
            </w:r>
            <w:r>
              <w:rPr>
                <w:rStyle w:val="135"/>
                <w:rFonts w:eastAsia="等线"/>
                <w:color w:val="auto"/>
                <w:highlight w:val="none"/>
                <w:lang w:bidi="ar"/>
              </w:rPr>
              <w:t>1</w:t>
            </w:r>
            <w:r>
              <w:rPr>
                <w:rStyle w:val="134"/>
                <w:rFonts w:hint="default"/>
                <w:color w:val="auto"/>
                <w:highlight w:val="none"/>
                <w:lang w:bidi="ar"/>
              </w:rPr>
              <w:t>个有效认证证书得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eastAsia="等线"/>
                <w:color w:val="auto"/>
                <w:highlight w:val="none"/>
                <w:lang w:bidi="ar"/>
              </w:rPr>
              <w:t>2</w:t>
            </w:r>
            <w:r>
              <w:rPr>
                <w:rStyle w:val="134"/>
                <w:rFonts w:hint="default"/>
                <w:color w:val="auto"/>
                <w:highlight w:val="none"/>
                <w:lang w:bidi="ar"/>
              </w:rPr>
              <w:t>分；</w:t>
            </w:r>
            <w:r>
              <w:rPr>
                <w:rStyle w:val="134"/>
                <w:color w:val="auto"/>
                <w:highlight w:val="none"/>
                <w:lang w:bidi="ar"/>
              </w:rPr>
              <w:t>（提供相关资格证书扫描件）</w:t>
            </w:r>
          </w:p>
          <w:p w14:paraId="3A30C818">
            <w:pPr>
              <w:overflowPunct w:val="0"/>
              <w:spacing w:line="360" w:lineRule="auto"/>
              <w:rPr>
                <w:rStyle w:val="134"/>
                <w:color w:val="auto"/>
                <w:highlight w:val="none"/>
                <w:lang w:bidi="ar"/>
              </w:rPr>
            </w:pPr>
            <w:r>
              <w:rPr>
                <w:rStyle w:val="134"/>
                <w:rFonts w:hint="default"/>
                <w:color w:val="auto"/>
                <w:highlight w:val="none"/>
                <w:lang w:bidi="ar"/>
              </w:rPr>
              <w:t>（3）项目</w:t>
            </w:r>
            <w:r>
              <w:rPr>
                <w:rFonts w:hint="eastAsia" w:ascii="宋体" w:hAnsi="宋体"/>
                <w:bCs/>
                <w:color w:val="auto"/>
                <w:kern w:val="0"/>
                <w:szCs w:val="21"/>
                <w:highlight w:val="none"/>
              </w:rPr>
              <w:t>实施</w:t>
            </w:r>
            <w:r>
              <w:rPr>
                <w:rStyle w:val="134"/>
                <w:rFonts w:hint="default"/>
                <w:color w:val="auto"/>
                <w:highlight w:val="none"/>
                <w:lang w:bidi="ar"/>
              </w:rPr>
              <w:t>团队成员中具有注册信息安全工程师证书的（</w:t>
            </w:r>
            <w:r>
              <w:rPr>
                <w:rStyle w:val="135"/>
                <w:rFonts w:eastAsia="等线"/>
                <w:color w:val="auto"/>
                <w:highlight w:val="none"/>
                <w:lang w:bidi="ar"/>
              </w:rPr>
              <w:t>CISP</w:t>
            </w:r>
            <w:r>
              <w:rPr>
                <w:rStyle w:val="134"/>
                <w:rFonts w:hint="default"/>
                <w:color w:val="auto"/>
                <w:highlight w:val="none"/>
                <w:lang w:bidi="ar"/>
              </w:rPr>
              <w:t>），提供</w:t>
            </w:r>
            <w:r>
              <w:rPr>
                <w:rStyle w:val="135"/>
                <w:rFonts w:eastAsia="等线"/>
                <w:color w:val="auto"/>
                <w:highlight w:val="none"/>
                <w:lang w:bidi="ar"/>
              </w:rPr>
              <w:t>1</w:t>
            </w:r>
            <w:r>
              <w:rPr>
                <w:rStyle w:val="134"/>
                <w:rFonts w:hint="default"/>
                <w:color w:val="auto"/>
                <w:highlight w:val="none"/>
                <w:lang w:bidi="ar"/>
              </w:rPr>
              <w:t>个有效认证证书得</w:t>
            </w:r>
            <w:r>
              <w:rPr>
                <w:rStyle w:val="135"/>
                <w:rFonts w:hint="eastAsia" w:eastAsia="等线"/>
                <w:color w:val="auto"/>
                <w:highlight w:val="none"/>
                <w:lang w:bidi="ar"/>
              </w:rPr>
              <w:t>1</w:t>
            </w:r>
            <w:r>
              <w:rPr>
                <w:rStyle w:val="134"/>
                <w:rFonts w:hint="default"/>
                <w:color w:val="auto"/>
                <w:highlight w:val="none"/>
                <w:lang w:bidi="ar"/>
              </w:rPr>
              <w:t>分，最高得</w:t>
            </w:r>
            <w:r>
              <w:rPr>
                <w:rStyle w:val="135"/>
                <w:rFonts w:hint="eastAsia" w:eastAsia="等线"/>
                <w:color w:val="auto"/>
                <w:highlight w:val="none"/>
                <w:lang w:bidi="ar"/>
              </w:rPr>
              <w:t>1</w:t>
            </w:r>
            <w:r>
              <w:rPr>
                <w:rStyle w:val="134"/>
                <w:rFonts w:hint="default"/>
                <w:color w:val="auto"/>
                <w:highlight w:val="none"/>
                <w:lang w:bidi="ar"/>
              </w:rPr>
              <w:t>分。</w:t>
            </w:r>
            <w:r>
              <w:rPr>
                <w:rStyle w:val="134"/>
                <w:color w:val="auto"/>
                <w:highlight w:val="none"/>
                <w:lang w:bidi="ar"/>
              </w:rPr>
              <w:t>（提供相关资格证书扫描件）</w:t>
            </w:r>
          </w:p>
          <w:p w14:paraId="19B19884">
            <w:pPr>
              <w:overflowPunct w:val="0"/>
              <w:spacing w:line="360" w:lineRule="auto"/>
              <w:ind w:firstLine="420" w:firstLineChars="0"/>
              <w:rPr>
                <w:rFonts w:ascii="宋体" w:hAnsi="宋体" w:eastAsia="宋体" w:cs="Times New Roman"/>
                <w:b/>
                <w:bCs/>
                <w:color w:val="auto"/>
                <w:kern w:val="0"/>
                <w:sz w:val="21"/>
                <w:szCs w:val="21"/>
                <w:highlight w:val="none"/>
                <w:lang w:val="en-US" w:eastAsia="zh-CN" w:bidi="ar-SA"/>
              </w:rPr>
            </w:pPr>
            <w:r>
              <w:rPr>
                <w:rFonts w:hint="eastAsia" w:ascii="宋体" w:hAnsi="宋体"/>
                <w:b/>
                <w:bCs/>
                <w:color w:val="auto"/>
                <w:kern w:val="0"/>
                <w:szCs w:val="21"/>
                <w:highlight w:val="none"/>
              </w:rPr>
              <w:t>注：投标文件中须提供人员证书复印件并加盖公章。不提供不得分。同一人多个证书不重复计分。</w:t>
            </w:r>
          </w:p>
        </w:tc>
      </w:tr>
      <w:tr w14:paraId="6AEC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4E1B8D80">
            <w:pPr>
              <w:overflowPunct w:val="0"/>
              <w:snapToGrid w:val="0"/>
              <w:spacing w:line="360" w:lineRule="atLeast"/>
              <w:jc w:val="center"/>
              <w:rPr>
                <w:rFonts w:ascii="宋体" w:hAnsi="宋体"/>
                <w:color w:val="auto"/>
                <w:szCs w:val="21"/>
                <w:highlight w:val="none"/>
              </w:rPr>
            </w:pPr>
          </w:p>
        </w:tc>
        <w:tc>
          <w:tcPr>
            <w:tcW w:w="1585" w:type="dxa"/>
            <w:vMerge w:val="continue"/>
            <w:noWrap w:val="0"/>
            <w:vAlign w:val="center"/>
          </w:tcPr>
          <w:p w14:paraId="1E460F42">
            <w:pPr>
              <w:overflowPunct w:val="0"/>
              <w:snapToGrid w:val="0"/>
              <w:spacing w:line="360" w:lineRule="auto"/>
              <w:ind w:firstLine="443" w:firstLineChars="211"/>
              <w:rPr>
                <w:rFonts w:ascii="宋体" w:hAnsi="宋体"/>
                <w:bCs/>
                <w:color w:val="auto"/>
                <w:szCs w:val="21"/>
                <w:highlight w:val="none"/>
              </w:rPr>
            </w:pPr>
          </w:p>
        </w:tc>
        <w:tc>
          <w:tcPr>
            <w:tcW w:w="1701" w:type="dxa"/>
            <w:noWrap w:val="0"/>
            <w:vAlign w:val="center"/>
          </w:tcPr>
          <w:p w14:paraId="2BAB29CA">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信誉分</w:t>
            </w:r>
          </w:p>
          <w:p w14:paraId="12369349">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p>
        </w:tc>
        <w:tc>
          <w:tcPr>
            <w:tcW w:w="5660" w:type="dxa"/>
            <w:noWrap w:val="0"/>
            <w:vAlign w:val="top"/>
          </w:tcPr>
          <w:p w14:paraId="1D62C12D">
            <w:pPr>
              <w:overflowPunct w:val="0"/>
              <w:snapToGrid w:val="0"/>
              <w:spacing w:line="360" w:lineRule="auto"/>
              <w:rPr>
                <w:rFonts w:ascii="宋体" w:hAnsi="宋体"/>
                <w:bCs/>
                <w:color w:val="auto"/>
                <w:kern w:val="0"/>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）投标人提供ISO27001信息安全管理体系认证证书</w:t>
            </w:r>
            <w:r>
              <w:rPr>
                <w:rFonts w:hint="eastAsia" w:ascii="宋体" w:hAnsi="宋体"/>
                <w:bCs/>
                <w:color w:val="auto"/>
                <w:kern w:val="0"/>
                <w:szCs w:val="21"/>
                <w:highlight w:val="none"/>
              </w:rPr>
              <w:t>（须在有效期内）得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19F4D06E">
            <w:pPr>
              <w:pStyle w:val="8"/>
              <w:spacing w:line="360" w:lineRule="auto"/>
              <w:ind w:firstLine="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）投标人提供</w:t>
            </w:r>
            <w:r>
              <w:rPr>
                <w:rStyle w:val="135"/>
                <w:rFonts w:eastAsia="等线"/>
                <w:color w:val="auto"/>
                <w:highlight w:val="none"/>
                <w:lang w:bidi="ar"/>
              </w:rPr>
              <w:t>ISO38505</w:t>
            </w:r>
            <w:r>
              <w:rPr>
                <w:rStyle w:val="134"/>
                <w:rFonts w:hint="default"/>
                <w:color w:val="auto"/>
                <w:highlight w:val="none"/>
                <w:lang w:bidi="ar"/>
              </w:rPr>
              <w:t>数据治理</w:t>
            </w:r>
            <w:r>
              <w:rPr>
                <w:rStyle w:val="134"/>
                <w:color w:val="auto"/>
                <w:highlight w:val="none"/>
                <w:lang w:bidi="ar"/>
              </w:rPr>
              <w:t>安全</w:t>
            </w:r>
            <w:r>
              <w:rPr>
                <w:rStyle w:val="134"/>
                <w:rFonts w:hint="default"/>
                <w:color w:val="auto"/>
                <w:highlight w:val="none"/>
                <w:lang w:bidi="ar"/>
              </w:rPr>
              <w:t>认证证书</w:t>
            </w:r>
            <w:r>
              <w:rPr>
                <w:rFonts w:hint="eastAsia" w:ascii="宋体" w:hAnsi="宋体"/>
                <w:bCs/>
                <w:color w:val="auto"/>
                <w:kern w:val="0"/>
                <w:szCs w:val="21"/>
                <w:highlight w:val="none"/>
              </w:rPr>
              <w:t>（须在有效期内）得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6FEC298D">
            <w:pPr>
              <w:pStyle w:val="8"/>
              <w:spacing w:line="360" w:lineRule="auto"/>
              <w:ind w:firstLine="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w:t>
            </w:r>
            <w:r>
              <w:rPr>
                <w:rStyle w:val="136"/>
                <w:rFonts w:eastAsia="等线"/>
                <w:color w:val="auto"/>
                <w:highlight w:val="none"/>
                <w:lang w:bidi="ar"/>
              </w:rPr>
              <w:t xml:space="preserve"> </w:t>
            </w:r>
            <w:r>
              <w:rPr>
                <w:rFonts w:hint="eastAsia" w:ascii="宋体" w:hAnsi="宋体"/>
                <w:bCs/>
                <w:color w:val="auto"/>
                <w:kern w:val="0"/>
                <w:szCs w:val="21"/>
                <w:highlight w:val="none"/>
              </w:rPr>
              <w:t>投标人提供</w:t>
            </w:r>
            <w:r>
              <w:rPr>
                <w:rFonts w:hint="eastAsia" w:ascii="宋体" w:hAnsi="宋体"/>
                <w:bCs/>
                <w:color w:val="auto"/>
                <w:szCs w:val="21"/>
                <w:highlight w:val="none"/>
              </w:rPr>
              <w:t>ISO</w:t>
            </w:r>
            <w:r>
              <w:rPr>
                <w:rFonts w:hint="eastAsia" w:ascii="宋体" w:hAnsi="宋体"/>
                <w:bCs/>
                <w:color w:val="auto"/>
                <w:kern w:val="0"/>
                <w:szCs w:val="21"/>
                <w:highlight w:val="none"/>
              </w:rPr>
              <w:t>20000信息技术服务管理体系认证证书（须在有效期内）得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分，本项满分</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p>
          <w:p w14:paraId="7192CE89">
            <w:pPr>
              <w:pStyle w:val="20"/>
              <w:spacing w:line="360" w:lineRule="auto"/>
              <w:rPr>
                <w:rFonts w:hint="eastAsia" w:eastAsia="宋体"/>
                <w:color w:val="auto"/>
                <w:highlight w:val="none"/>
                <w:lang w:eastAsia="zh-CN"/>
              </w:rPr>
            </w:pPr>
            <w:r>
              <w:rPr>
                <w:rStyle w:val="134"/>
                <w:rFonts w:hint="default"/>
                <w:color w:val="auto"/>
                <w:highlight w:val="none"/>
                <w:lang w:bidi="ar"/>
              </w:rPr>
              <w:t>备注：提供有效认证证书（如认证证书注明年审要求的，必须按规定年审且证书在有效期内的方为有效；如未注明年审要求的，证书必须在有效期内的方为有效）</w:t>
            </w:r>
            <w:r>
              <w:rPr>
                <w:rStyle w:val="134"/>
                <w:rFonts w:hint="eastAsia"/>
                <w:color w:val="auto"/>
                <w:highlight w:val="none"/>
                <w:lang w:eastAsia="zh-CN" w:bidi="ar"/>
              </w:rPr>
              <w:t>。</w:t>
            </w:r>
          </w:p>
        </w:tc>
      </w:tr>
      <w:tr w14:paraId="1F7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5747B4B9">
            <w:pPr>
              <w:overflowPunct w:val="0"/>
              <w:snapToGrid w:val="0"/>
              <w:spacing w:line="360" w:lineRule="atLeast"/>
              <w:jc w:val="center"/>
              <w:rPr>
                <w:rFonts w:ascii="宋体" w:hAnsi="宋体"/>
                <w:color w:val="auto"/>
                <w:szCs w:val="21"/>
                <w:highlight w:val="none"/>
              </w:rPr>
            </w:pPr>
          </w:p>
        </w:tc>
        <w:tc>
          <w:tcPr>
            <w:tcW w:w="1585" w:type="dxa"/>
            <w:vMerge w:val="continue"/>
            <w:noWrap w:val="0"/>
            <w:vAlign w:val="center"/>
          </w:tcPr>
          <w:p w14:paraId="29F3338C">
            <w:pPr>
              <w:overflowPunct w:val="0"/>
              <w:snapToGrid w:val="0"/>
              <w:spacing w:line="360" w:lineRule="auto"/>
              <w:ind w:firstLine="443" w:firstLineChars="211"/>
              <w:rPr>
                <w:rFonts w:ascii="宋体" w:hAnsi="宋体"/>
                <w:bCs/>
                <w:color w:val="auto"/>
                <w:szCs w:val="21"/>
                <w:highlight w:val="none"/>
              </w:rPr>
            </w:pPr>
          </w:p>
        </w:tc>
        <w:tc>
          <w:tcPr>
            <w:tcW w:w="1701" w:type="dxa"/>
            <w:noWrap w:val="0"/>
            <w:vAlign w:val="center"/>
          </w:tcPr>
          <w:p w14:paraId="3D1FA1DB">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业绩分</w:t>
            </w:r>
          </w:p>
          <w:p w14:paraId="2EC5C4C2">
            <w:pPr>
              <w:overflowPunct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（满分</w:t>
            </w:r>
            <w:r>
              <w:rPr>
                <w:rFonts w:hint="eastAsia" w:ascii="宋体" w:hAnsi="宋体"/>
                <w:bCs/>
                <w:color w:val="auto"/>
                <w:szCs w:val="21"/>
                <w:highlight w:val="none"/>
                <w:lang w:val="en-US" w:eastAsia="zh-CN"/>
              </w:rPr>
              <w:t>8</w:t>
            </w:r>
            <w:r>
              <w:rPr>
                <w:rFonts w:hint="eastAsia" w:ascii="宋体" w:hAnsi="宋体"/>
                <w:bCs/>
                <w:color w:val="auto"/>
                <w:szCs w:val="21"/>
                <w:highlight w:val="none"/>
              </w:rPr>
              <w:t>分）</w:t>
            </w:r>
          </w:p>
        </w:tc>
        <w:tc>
          <w:tcPr>
            <w:tcW w:w="5660" w:type="dxa"/>
            <w:noWrap w:val="0"/>
            <w:vAlign w:val="top"/>
          </w:tcPr>
          <w:p w14:paraId="70C5B48E">
            <w:pPr>
              <w:overflowPunct w:val="0"/>
              <w:snapToGrid w:val="0"/>
              <w:spacing w:line="360" w:lineRule="auto"/>
              <w:rPr>
                <w:rFonts w:ascii="宋体" w:hAnsi="宋体"/>
                <w:bCs/>
                <w:color w:val="auto"/>
                <w:szCs w:val="21"/>
                <w:highlight w:val="none"/>
              </w:rPr>
            </w:pPr>
            <w:r>
              <w:rPr>
                <w:rFonts w:hint="eastAsia" w:ascii="宋体" w:hAnsi="宋体"/>
                <w:bCs/>
                <w:color w:val="auto"/>
                <w:szCs w:val="21"/>
                <w:highlight w:val="none"/>
              </w:rPr>
              <w:t>提供投标人自2021年1月1日以来具有</w:t>
            </w:r>
            <w:r>
              <w:rPr>
                <w:rFonts w:hint="eastAsia" w:ascii="宋体" w:hAnsi="宋体"/>
                <w:bCs/>
                <w:color w:val="auto"/>
                <w:szCs w:val="21"/>
                <w:highlight w:val="none"/>
                <w:lang w:val="en-US" w:eastAsia="zh-CN"/>
              </w:rPr>
              <w:t>同类系统维保服务项目</w:t>
            </w:r>
            <w:r>
              <w:rPr>
                <w:rFonts w:ascii="宋体" w:hAnsi="宋体"/>
                <w:bCs/>
                <w:color w:val="auto"/>
                <w:szCs w:val="21"/>
                <w:highlight w:val="none"/>
              </w:rPr>
              <w:t>的</w:t>
            </w:r>
            <w:r>
              <w:rPr>
                <w:rFonts w:hint="eastAsia" w:ascii="宋体" w:hAnsi="宋体"/>
                <w:bCs/>
                <w:color w:val="auto"/>
                <w:szCs w:val="21"/>
                <w:highlight w:val="none"/>
              </w:rPr>
              <w:t>业绩，每项业绩得2分，满分</w:t>
            </w:r>
            <w:r>
              <w:rPr>
                <w:rFonts w:hint="eastAsia" w:ascii="宋体" w:hAnsi="宋体"/>
                <w:bCs/>
                <w:color w:val="auto"/>
                <w:szCs w:val="21"/>
                <w:highlight w:val="none"/>
                <w:lang w:val="en-US" w:eastAsia="zh-CN"/>
              </w:rPr>
              <w:t>8</w:t>
            </w:r>
            <w:r>
              <w:rPr>
                <w:rFonts w:hint="eastAsia" w:ascii="宋体" w:hAnsi="宋体"/>
                <w:bCs/>
                <w:color w:val="auto"/>
                <w:szCs w:val="21"/>
                <w:highlight w:val="none"/>
              </w:rPr>
              <w:t>分。要求提供中标通知书或项目合同复印件，并能清晰反映项目的服务名称、服务内容、金额页、双方盖章页，如</w:t>
            </w:r>
            <w:r>
              <w:rPr>
                <w:rStyle w:val="134"/>
                <w:rFonts w:hint="default"/>
                <w:color w:val="auto"/>
                <w:highlight w:val="none"/>
                <w:lang w:bidi="ar"/>
              </w:rPr>
              <w:t>通过合同关键信息无法判断是否得分的，还须同时提供能证明得分的其他证明资料，如项目报告或合同甲方出具的证明文件等。</w:t>
            </w:r>
            <w:r>
              <w:rPr>
                <w:rFonts w:hint="eastAsia" w:ascii="宋体" w:hAnsi="宋体"/>
                <w:bCs/>
                <w:color w:val="auto"/>
                <w:szCs w:val="21"/>
                <w:highlight w:val="none"/>
              </w:rPr>
              <w:t>所提供的业绩证明材料须加盖投标人公章，证明材料不全的不得分。</w:t>
            </w:r>
          </w:p>
        </w:tc>
      </w:tr>
      <w:tr w14:paraId="6A4E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77D245F6">
            <w:pPr>
              <w:pStyle w:val="26"/>
              <w:overflowPunct w:val="0"/>
              <w:snapToGrid w:val="0"/>
              <w:spacing w:line="360" w:lineRule="atLeast"/>
              <w:rPr>
                <w:rFonts w:hAnsi="宋体"/>
                <w:b/>
                <w:bCs/>
                <w:color w:val="auto"/>
                <w:highlight w:val="none"/>
              </w:rPr>
            </w:pPr>
            <w:r>
              <w:rPr>
                <w:rFonts w:hint="eastAsia" w:hAnsi="宋体"/>
                <w:b/>
                <w:bCs/>
                <w:color w:val="auto"/>
                <w:highlight w:val="none"/>
              </w:rPr>
              <w:t>总得分=1+2+3</w:t>
            </w:r>
          </w:p>
        </w:tc>
      </w:tr>
    </w:tbl>
    <w:p w14:paraId="34B72EBE">
      <w:pPr>
        <w:pStyle w:val="26"/>
        <w:spacing w:line="460" w:lineRule="exact"/>
        <w:ind w:firstLine="420"/>
        <w:rPr>
          <w:rFonts w:hint="eastAsia" w:hAnsi="宋体" w:cs="宋体"/>
          <w:bCs/>
          <w:color w:val="auto"/>
          <w:sz w:val="21"/>
          <w:highlight w:val="none"/>
        </w:rPr>
      </w:pPr>
    </w:p>
    <w:p w14:paraId="4356B25A">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79749E1D">
      <w:pPr>
        <w:pStyle w:val="26"/>
        <w:spacing w:line="360" w:lineRule="auto"/>
        <w:ind w:firstLine="420" w:firstLineChars="200"/>
        <w:contextualSpacing/>
        <w:rPr>
          <w:rFonts w:hint="eastAsia" w:ascii="宋体" w:hAnsi="宋体" w:eastAsia="宋体" w:cs="Times New Roman"/>
          <w:b/>
          <w:bCs/>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6A9D42AC">
      <w:pPr>
        <w:pStyle w:val="2"/>
        <w:jc w:val="center"/>
        <w:rPr>
          <w:rFonts w:hint="eastAsia"/>
          <w:color w:val="auto"/>
          <w:highlight w:val="none"/>
        </w:rPr>
      </w:pPr>
      <w:bookmarkStart w:id="142" w:name="_Toc12053"/>
      <w:r>
        <w:rPr>
          <w:rFonts w:hint="eastAsia"/>
          <w:color w:val="auto"/>
          <w:highlight w:val="none"/>
        </w:rPr>
        <w:br w:type="page"/>
      </w:r>
    </w:p>
    <w:p w14:paraId="088D298D">
      <w:pPr>
        <w:pStyle w:val="2"/>
        <w:jc w:val="center"/>
        <w:rPr>
          <w:rFonts w:hint="eastAsia"/>
          <w:color w:val="auto"/>
          <w:highlight w:val="none"/>
        </w:rPr>
      </w:pPr>
    </w:p>
    <w:p w14:paraId="0042908A">
      <w:pPr>
        <w:pStyle w:val="2"/>
        <w:jc w:val="center"/>
        <w:rPr>
          <w:rFonts w:hint="eastAsia"/>
          <w:color w:val="auto"/>
          <w:highlight w:val="none"/>
        </w:rPr>
      </w:pPr>
    </w:p>
    <w:p w14:paraId="51312BC0">
      <w:pPr>
        <w:pStyle w:val="2"/>
        <w:jc w:val="center"/>
        <w:rPr>
          <w:rFonts w:hint="eastAsia"/>
          <w:color w:val="auto"/>
          <w:highlight w:val="none"/>
        </w:rPr>
      </w:pPr>
      <w:r>
        <w:rPr>
          <w:rFonts w:hint="eastAsia"/>
          <w:color w:val="auto"/>
          <w:highlight w:val="none"/>
        </w:rPr>
        <w:t>第五章  拟签订的合同文本</w:t>
      </w:r>
      <w:bookmarkEnd w:id="142"/>
    </w:p>
    <w:p w14:paraId="56C1F95B">
      <w:pPr>
        <w:snapToGrid w:val="0"/>
        <w:jc w:val="center"/>
        <w:rPr>
          <w:rFonts w:hint="eastAsia" w:ascii="宋体" w:hAnsi="宋体"/>
          <w:bCs/>
          <w:color w:val="auto"/>
          <w:sz w:val="32"/>
          <w:szCs w:val="32"/>
          <w:highlight w:val="none"/>
        </w:rPr>
      </w:pPr>
    </w:p>
    <w:p w14:paraId="77B436A2">
      <w:pPr>
        <w:snapToGrid w:val="0"/>
        <w:jc w:val="center"/>
        <w:rPr>
          <w:rFonts w:hint="eastAsia" w:ascii="宋体" w:hAnsi="宋体"/>
          <w:bCs/>
          <w:color w:val="auto"/>
          <w:sz w:val="32"/>
          <w:szCs w:val="32"/>
          <w:highlight w:val="none"/>
        </w:rPr>
      </w:pPr>
    </w:p>
    <w:p w14:paraId="01798656">
      <w:pPr>
        <w:snapToGrid w:val="0"/>
        <w:jc w:val="center"/>
        <w:rPr>
          <w:rFonts w:hint="eastAsia" w:ascii="宋体" w:hAnsi="宋体"/>
          <w:bCs/>
          <w:color w:val="auto"/>
          <w:sz w:val="32"/>
          <w:szCs w:val="32"/>
          <w:highlight w:val="none"/>
        </w:rPr>
      </w:pPr>
    </w:p>
    <w:p w14:paraId="60003B64">
      <w:pPr>
        <w:snapToGrid w:val="0"/>
        <w:jc w:val="center"/>
        <w:rPr>
          <w:rFonts w:hint="eastAsia" w:ascii="宋体" w:hAnsi="宋体"/>
          <w:bCs/>
          <w:color w:val="auto"/>
          <w:sz w:val="32"/>
          <w:szCs w:val="32"/>
          <w:highlight w:val="none"/>
        </w:rPr>
      </w:pPr>
    </w:p>
    <w:p w14:paraId="694887EB">
      <w:pPr>
        <w:snapToGrid w:val="0"/>
        <w:jc w:val="center"/>
        <w:rPr>
          <w:rFonts w:hint="eastAsia" w:ascii="宋体" w:hAnsi="宋体"/>
          <w:bCs/>
          <w:color w:val="auto"/>
          <w:sz w:val="32"/>
          <w:szCs w:val="32"/>
          <w:highlight w:val="none"/>
        </w:rPr>
      </w:pPr>
    </w:p>
    <w:p w14:paraId="65A9082F">
      <w:pPr>
        <w:snapToGrid w:val="0"/>
        <w:jc w:val="center"/>
        <w:rPr>
          <w:rFonts w:hint="eastAsia" w:ascii="宋体" w:hAnsi="宋体"/>
          <w:bCs/>
          <w:color w:val="auto"/>
          <w:sz w:val="32"/>
          <w:szCs w:val="32"/>
          <w:highlight w:val="none"/>
        </w:rPr>
      </w:pPr>
    </w:p>
    <w:p w14:paraId="312D9A69">
      <w:pPr>
        <w:snapToGrid w:val="0"/>
        <w:jc w:val="center"/>
        <w:rPr>
          <w:rFonts w:hint="eastAsia" w:ascii="宋体" w:hAnsi="宋体"/>
          <w:bCs/>
          <w:color w:val="auto"/>
          <w:sz w:val="32"/>
          <w:szCs w:val="32"/>
          <w:highlight w:val="none"/>
        </w:rPr>
      </w:pPr>
    </w:p>
    <w:p w14:paraId="1916F2AE">
      <w:pPr>
        <w:snapToGrid w:val="0"/>
        <w:jc w:val="center"/>
        <w:rPr>
          <w:rFonts w:hint="eastAsia" w:ascii="宋体" w:hAnsi="宋体"/>
          <w:bCs/>
          <w:color w:val="auto"/>
          <w:sz w:val="32"/>
          <w:szCs w:val="32"/>
          <w:highlight w:val="none"/>
        </w:rPr>
      </w:pPr>
    </w:p>
    <w:p w14:paraId="582E43BA">
      <w:pPr>
        <w:snapToGrid w:val="0"/>
        <w:jc w:val="center"/>
        <w:rPr>
          <w:rFonts w:hint="eastAsia" w:ascii="宋体" w:hAnsi="宋体"/>
          <w:bCs/>
          <w:color w:val="auto"/>
          <w:sz w:val="32"/>
          <w:szCs w:val="32"/>
          <w:highlight w:val="none"/>
        </w:rPr>
      </w:pPr>
    </w:p>
    <w:p w14:paraId="0E346524">
      <w:pPr>
        <w:snapToGrid w:val="0"/>
        <w:jc w:val="center"/>
        <w:rPr>
          <w:rFonts w:hint="eastAsia" w:ascii="宋体" w:hAnsi="宋体"/>
          <w:bCs/>
          <w:color w:val="auto"/>
          <w:sz w:val="32"/>
          <w:szCs w:val="32"/>
          <w:highlight w:val="none"/>
        </w:rPr>
      </w:pPr>
    </w:p>
    <w:p w14:paraId="33A097C4">
      <w:pPr>
        <w:snapToGrid w:val="0"/>
        <w:jc w:val="center"/>
        <w:rPr>
          <w:rFonts w:hint="eastAsia" w:ascii="宋体" w:hAnsi="宋体"/>
          <w:bCs/>
          <w:color w:val="auto"/>
          <w:sz w:val="32"/>
          <w:szCs w:val="32"/>
          <w:highlight w:val="none"/>
        </w:rPr>
      </w:pPr>
    </w:p>
    <w:p w14:paraId="4A3AE363">
      <w:pPr>
        <w:snapToGrid w:val="0"/>
        <w:jc w:val="left"/>
        <w:rPr>
          <w:rFonts w:hint="eastAsia" w:ascii="仿宋_GB2312" w:hAnsi="华文中宋" w:eastAsia="仿宋_GB2312"/>
          <w:b/>
          <w:bCs/>
          <w:color w:val="auto"/>
          <w:sz w:val="32"/>
          <w:szCs w:val="32"/>
          <w:highlight w:val="none"/>
        </w:rPr>
      </w:pPr>
      <w:bookmarkStart w:id="143" w:name="_Hlk55381736"/>
      <w:r>
        <w:rPr>
          <w:rFonts w:hint="eastAsia" w:ascii="宋体" w:hAnsi="宋体"/>
          <w:color w:val="auto"/>
          <w:szCs w:val="21"/>
          <w:highlight w:val="none"/>
        </w:rPr>
        <w:br w:type="page"/>
      </w:r>
    </w:p>
    <w:bookmarkEnd w:id="143"/>
    <w:p w14:paraId="3447F702">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bCs/>
          <w:color w:val="auto"/>
          <w:sz w:val="32"/>
          <w:szCs w:val="32"/>
          <w:highlight w:val="none"/>
        </w:rPr>
        <w:t>《广西壮族自治区政府采购合同》</w:t>
      </w:r>
    </w:p>
    <w:p w14:paraId="62881465">
      <w:pPr>
        <w:snapToGrid w:val="0"/>
        <w:spacing w:line="400" w:lineRule="exact"/>
        <w:jc w:val="center"/>
        <w:rPr>
          <w:rFonts w:hint="eastAsia" w:ascii="仿宋" w:eastAsia="仿宋" w:cs="仿宋"/>
          <w:b/>
          <w:bCs/>
          <w:color w:val="auto"/>
          <w:sz w:val="32"/>
          <w:szCs w:val="32"/>
          <w:highlight w:val="none"/>
        </w:rPr>
      </w:pPr>
      <w:r>
        <w:rPr>
          <w:rFonts w:hint="eastAsia" w:ascii="仿宋" w:eastAsia="仿宋" w:cs="仿宋"/>
          <w:b/>
          <w:color w:val="auto"/>
          <w:sz w:val="32"/>
          <w:szCs w:val="32"/>
          <w:highlight w:val="none"/>
        </w:rPr>
        <w:t>文本</w:t>
      </w:r>
    </w:p>
    <w:p w14:paraId="1E2F82FF">
      <w:pPr>
        <w:overflowPunct w:val="0"/>
        <w:jc w:val="center"/>
        <w:rPr>
          <w:rFonts w:hint="eastAsia" w:ascii="黑体" w:hAnsi="黑体" w:eastAsia="黑体" w:cs="Times New Roman"/>
          <w:b/>
          <w:color w:val="auto"/>
          <w:sz w:val="44"/>
          <w:szCs w:val="44"/>
          <w:highlight w:val="none"/>
        </w:rPr>
      </w:pPr>
      <w:r>
        <w:rPr>
          <w:rFonts w:hint="eastAsia" w:ascii="黑体" w:hAnsi="黑体" w:eastAsia="黑体" w:cs="Times New Roman"/>
          <w:b/>
          <w:color w:val="auto"/>
          <w:sz w:val="44"/>
          <w:szCs w:val="44"/>
          <w:highlight w:val="none"/>
          <w:lang w:eastAsia="zh-Hans"/>
        </w:rPr>
        <w:t>信息</w:t>
      </w:r>
      <w:r>
        <w:rPr>
          <w:rFonts w:hint="eastAsia" w:ascii="黑体" w:hAnsi="黑体" w:eastAsia="黑体" w:cs="Times New Roman"/>
          <w:b/>
          <w:color w:val="auto"/>
          <w:sz w:val="44"/>
          <w:szCs w:val="44"/>
          <w:highlight w:val="none"/>
        </w:rPr>
        <w:t>服务</w:t>
      </w:r>
      <w:r>
        <w:rPr>
          <w:rFonts w:hint="eastAsia" w:ascii="黑体" w:hAnsi="黑体" w:eastAsia="黑体" w:cs="Times New Roman"/>
          <w:b/>
          <w:color w:val="auto"/>
          <w:sz w:val="44"/>
          <w:szCs w:val="44"/>
          <w:highlight w:val="none"/>
          <w:lang w:eastAsia="zh-Hans"/>
        </w:rPr>
        <w:t>类</w:t>
      </w:r>
      <w:r>
        <w:rPr>
          <w:rFonts w:hint="eastAsia" w:ascii="黑体" w:hAnsi="黑体" w:eastAsia="黑体" w:cs="Times New Roman"/>
          <w:b/>
          <w:color w:val="auto"/>
          <w:sz w:val="44"/>
          <w:szCs w:val="44"/>
          <w:highlight w:val="none"/>
        </w:rPr>
        <w:t>采购合同</w:t>
      </w:r>
    </w:p>
    <w:p w14:paraId="058FF928">
      <w:pPr>
        <w:overflowPunct w:val="0"/>
        <w:jc w:val="center"/>
        <w:rPr>
          <w:rFonts w:ascii="黑体" w:hAnsi="黑体" w:eastAsia="黑体" w:cs="Times New Roman"/>
          <w:b/>
          <w:color w:val="auto"/>
          <w:sz w:val="44"/>
          <w:szCs w:val="44"/>
          <w:highlight w:val="none"/>
        </w:rPr>
      </w:pPr>
      <w:r>
        <w:rPr>
          <w:rFonts w:hint="eastAsia" w:ascii="黑体" w:hAnsi="黑体" w:eastAsia="黑体" w:cs="Times New Roman"/>
          <w:b/>
          <w:color w:val="auto"/>
          <w:sz w:val="44"/>
          <w:szCs w:val="44"/>
          <w:highlight w:val="none"/>
        </w:rPr>
        <w:t xml:space="preserve"> </w:t>
      </w:r>
    </w:p>
    <w:p w14:paraId="5571E8C3">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合同名称：</w:t>
      </w:r>
      <w:r>
        <w:rPr>
          <w:rFonts w:hint="eastAsia" w:ascii="宋体" w:hAnsi="宋体" w:cs="宋体"/>
          <w:b/>
          <w:color w:val="auto"/>
          <w:sz w:val="24"/>
          <w:szCs w:val="24"/>
          <w:highlight w:val="none"/>
          <w:lang w:eastAsia="zh-CN"/>
        </w:rPr>
        <w:t>医院HIS系统维保服务</w:t>
      </w:r>
      <w:r>
        <w:rPr>
          <w:rFonts w:hint="eastAsia" w:ascii="宋体" w:hAnsi="宋体" w:cs="宋体"/>
          <w:b/>
          <w:color w:val="auto"/>
          <w:sz w:val="24"/>
          <w:szCs w:val="24"/>
          <w:highlight w:val="none"/>
          <w:lang w:val="en-US" w:eastAsia="zh-CN"/>
        </w:rPr>
        <w:t>合同</w:t>
      </w:r>
      <w:r>
        <w:rPr>
          <w:rFonts w:hint="eastAsia" w:ascii="宋体" w:hAnsi="宋体" w:eastAsia="宋体" w:cs="宋体"/>
          <w:b/>
          <w:color w:val="auto"/>
          <w:sz w:val="24"/>
          <w:szCs w:val="24"/>
          <w:highlight w:val="none"/>
        </w:rPr>
        <w:t xml:space="preserve"> </w:t>
      </w:r>
    </w:p>
    <w:p w14:paraId="12A2E629">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合同编号：</w:t>
      </w:r>
    </w:p>
    <w:p w14:paraId="06237081">
      <w:pPr>
        <w:tabs>
          <w:tab w:val="left" w:pos="720"/>
        </w:tabs>
        <w:overflowPunct w:val="0"/>
        <w:spacing w:line="360" w:lineRule="auto"/>
        <w:jc w:val="lef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政采云合同编号：</w:t>
      </w:r>
      <w:r>
        <w:rPr>
          <w:rFonts w:hint="eastAsia" w:ascii="宋体" w:hAnsi="宋体" w:eastAsia="宋体" w:cs="宋体"/>
          <w:b/>
          <w:color w:val="auto"/>
          <w:sz w:val="24"/>
          <w:szCs w:val="24"/>
          <w:highlight w:val="none"/>
        </w:rPr>
        <w:t xml:space="preserve">                          </w:t>
      </w:r>
    </w:p>
    <w:p w14:paraId="42C6C15C">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甲方（采购方）：</w:t>
      </w:r>
      <w:r>
        <w:rPr>
          <w:rFonts w:hint="eastAsia" w:ascii="宋体" w:hAnsi="宋体" w:eastAsia="宋体" w:cs="宋体"/>
          <w:color w:val="auto"/>
          <w:sz w:val="24"/>
          <w:szCs w:val="24"/>
          <w:highlight w:val="none"/>
        </w:rPr>
        <w:t>广西医科大学第一附属医院</w:t>
      </w:r>
    </w:p>
    <w:p w14:paraId="7DFDD7B9">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乙方（供应方）：</w:t>
      </w:r>
    </w:p>
    <w:p w14:paraId="1229870E">
      <w:pPr>
        <w:tabs>
          <w:tab w:val="left" w:pos="720"/>
        </w:tabs>
        <w:overflowPunct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签订地点：</w:t>
      </w:r>
      <w:r>
        <w:rPr>
          <w:rFonts w:hint="eastAsia" w:ascii="宋体" w:hAnsi="宋体" w:cs="宋体"/>
          <w:b/>
          <w:color w:val="auto"/>
          <w:sz w:val="24"/>
          <w:szCs w:val="24"/>
          <w:highlight w:val="none"/>
          <w:lang w:val="en-US" w:eastAsia="zh-CN"/>
        </w:rPr>
        <w:t>广西南宁市</w:t>
      </w:r>
      <w:r>
        <w:rPr>
          <w:rFonts w:hint="eastAsia" w:ascii="宋体" w:hAnsi="宋体" w:eastAsia="宋体" w:cs="宋体"/>
          <w:b/>
          <w:color w:val="auto"/>
          <w:sz w:val="24"/>
          <w:szCs w:val="24"/>
          <w:highlight w:val="none"/>
        </w:rPr>
        <w:t xml:space="preserve">                            签订时间：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2D2FCAE">
      <w:pPr>
        <w:tabs>
          <w:tab w:val="left" w:pos="6345"/>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08970771">
      <w:pPr>
        <w:tabs>
          <w:tab w:val="left" w:pos="720"/>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政府采购法》及广西壮族自治区关于政府采购的相关文件等规范性文件的规定，按照招投标文件/采购文件规定条款和中标/成交供应商承诺，甲乙双方签订本合同。</w:t>
      </w:r>
    </w:p>
    <w:p w14:paraId="415F7C77">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一、采购服务内容</w:t>
      </w:r>
    </w:p>
    <w:p w14:paraId="761A48C9">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甲方向乙方采购的服务内容为：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8AEC58">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本合同项目下的服务期限为：</w:t>
      </w:r>
    </w:p>
    <w:p w14:paraId="5AA92A3F">
      <w:pPr>
        <w:overflowPunct w:val="0"/>
        <w:spacing w:line="360" w:lineRule="auto"/>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rPr>
        <w:t>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rPr>
        <w:t>止。</w:t>
      </w:r>
    </w:p>
    <w:p w14:paraId="27714975">
      <w:pPr>
        <w:overflowPunct w:val="0"/>
        <w:spacing w:line="360" w:lineRule="auto"/>
        <w:ind w:firstLine="494" w:firstLineChars="2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二、服务地点</w:t>
      </w:r>
    </w:p>
    <w:p w14:paraId="38791BD7">
      <w:pPr>
        <w:overflowPunct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广西医科大学第一附属医院指定地点，南宁市内。</w:t>
      </w:r>
    </w:p>
    <w:p w14:paraId="6FCC10A6">
      <w:pPr>
        <w:overflowPunct w:val="0"/>
        <w:spacing w:line="360" w:lineRule="auto"/>
        <w:ind w:firstLine="494" w:firstLineChars="20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三、服务质量标准与验收方式</w:t>
      </w:r>
    </w:p>
    <w:p w14:paraId="43FE74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乙方所提供的服务内容必须与招投标文件/采购文件和承诺相一致，若不一致，甲方有权拒绝接受。</w:t>
      </w:r>
    </w:p>
    <w:p w14:paraId="3E8CA907">
      <w:pPr>
        <w:overflowPunct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2.服务期限：</w:t>
      </w:r>
      <w:r>
        <w:rPr>
          <w:rFonts w:hint="eastAsia" w:ascii="宋体" w:hAnsi="宋体" w:eastAsia="宋体" w:cs="宋体"/>
          <w:color w:val="auto"/>
          <w:sz w:val="24"/>
          <w:szCs w:val="24"/>
          <w:highlight w:val="none"/>
          <w:u w:val="single"/>
        </w:rPr>
        <w:t>自合同签订之日起两年</w:t>
      </w:r>
      <w:r>
        <w:rPr>
          <w:rFonts w:hint="eastAsia" w:ascii="宋体" w:hAnsi="宋体" w:cs="宋体"/>
          <w:color w:val="auto"/>
          <w:sz w:val="24"/>
          <w:szCs w:val="24"/>
          <w:highlight w:val="none"/>
          <w:u w:val="single"/>
          <w:lang w:eastAsia="zh-CN"/>
        </w:rPr>
        <w:t>。</w:t>
      </w:r>
    </w:p>
    <w:p w14:paraId="6D77D30D">
      <w:pPr>
        <w:overflowPunct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甲方指定</w:t>
      </w:r>
      <w:r>
        <w:rPr>
          <w:rFonts w:hint="eastAsia" w:ascii="宋体" w:hAnsi="宋体" w:eastAsia="宋体" w:cs="宋体"/>
          <w:color w:val="auto"/>
          <w:sz w:val="24"/>
          <w:szCs w:val="24"/>
          <w:highlight w:val="none"/>
          <w:lang w:val="en-US" w:eastAsia="zh-CN"/>
        </w:rPr>
        <w:t>联系</w:t>
      </w:r>
      <w:r>
        <w:rPr>
          <w:rFonts w:hint="eastAsia" w:ascii="宋体" w:hAnsi="宋体" w:eastAsia="宋体" w:cs="宋体"/>
          <w:color w:val="auto"/>
          <w:sz w:val="24"/>
          <w:szCs w:val="24"/>
          <w:highlight w:val="none"/>
          <w:lang w:eastAsia="zh-CN"/>
        </w:rPr>
        <w:t>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。乙方指定交货人为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。乙方如要求变更交货人的，应在合同约定的交货期限届满前 2天通知甲方。</w:t>
      </w:r>
    </w:p>
    <w:p w14:paraId="13D2702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.乙方交付服务成果前应对交付内容作出全面检查和对验收文件进行整理，并列出清单，作为甲方验收和使用的技术条件依据，检验的结果应交甲方。</w:t>
      </w:r>
    </w:p>
    <w:p w14:paraId="5C4D13B0">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.甲方应当在服务成果提交并安装、测试、检验、试运行完后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个工作日内进行验收</w:t>
      </w:r>
      <w:r>
        <w:rPr>
          <w:rFonts w:hint="eastAsia" w:ascii="宋体" w:hAnsi="宋体" w:eastAsia="宋体" w:cs="宋体"/>
          <w:color w:val="auto"/>
          <w:sz w:val="24"/>
          <w:szCs w:val="24"/>
          <w:highlight w:val="none"/>
          <w:lang w:eastAsia="zh-Hans"/>
        </w:rPr>
        <w:t>。甲方</w:t>
      </w:r>
      <w:r>
        <w:rPr>
          <w:rFonts w:hint="eastAsia" w:ascii="宋体" w:hAnsi="宋体" w:eastAsia="宋体" w:cs="宋体"/>
          <w:color w:val="auto"/>
          <w:sz w:val="24"/>
          <w:szCs w:val="24"/>
          <w:highlight w:val="none"/>
        </w:rPr>
        <w:t>逾期不验收的，乙方可顺延交付期限。验收合格后由甲乙双方签署验收单，在验收过程中发现乙方有违约问题，</w:t>
      </w:r>
      <w:r>
        <w:rPr>
          <w:rFonts w:hint="eastAsia" w:ascii="宋体" w:hAnsi="宋体" w:eastAsia="宋体" w:cs="宋体"/>
          <w:color w:val="auto"/>
          <w:sz w:val="24"/>
          <w:szCs w:val="24"/>
          <w:highlight w:val="none"/>
          <w:lang w:eastAsia="zh-Hans"/>
        </w:rPr>
        <w:t>乙方须承担违约责任，甲方</w:t>
      </w:r>
      <w:r>
        <w:rPr>
          <w:rFonts w:hint="eastAsia" w:ascii="宋体" w:hAnsi="宋体" w:eastAsia="宋体" w:cs="宋体"/>
          <w:color w:val="auto"/>
          <w:sz w:val="24"/>
          <w:szCs w:val="24"/>
          <w:highlight w:val="none"/>
        </w:rPr>
        <w:t>可暂缓资金结算，待违约问题解决后，方可办理资金结算事宜。</w:t>
      </w:r>
    </w:p>
    <w:p w14:paraId="27A81BBA">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.甲方对验收有异议的，在验收后5个工作日内以书面形式向乙方提出，乙方应自收到甲方书面异议后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日内及时予以解决，逾期不予解决或不予答复的，视为认可甲方异议意见及处理方式，由此产生的全部损失和费用由乙方承担。</w:t>
      </w:r>
    </w:p>
    <w:p w14:paraId="139AFD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.甲方负责提供乙方技术规范的硬件设备，乙方需在合同签署后15个工作日内完成环境兼容性测试，若甲方硬件不达标导致延迟，交付周期相应顺延。</w:t>
      </w:r>
    </w:p>
    <w:p w14:paraId="3EF4CB6D">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所有数据（包括元数据、日志文件）的物理控制权、网络管理权限均归属甲方，乙方不得以任何形式远程抽取数据。乙方需在交付时提供《数据完全擦除工具》，以确保服务终止时甲方可自主清除所有残余数据。</w:t>
      </w:r>
    </w:p>
    <w:p w14:paraId="138A9721">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四、服务费与支付方式</w:t>
      </w:r>
    </w:p>
    <w:p w14:paraId="19E94850">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乙方完成本合同项下全部服务内容的服务费为人民币（大写）_____________元（¥___________.00）。该服务费为包干价，即包括乙方完成本合同项下全部服务所涉及的全部费用及合同执行中相关的一切税费，乙方不得以任何理由要求增加服务费或要求甲方另行支付其他任何费用。如招投标文件/采购文件对其另有规定的，从其规定。</w:t>
      </w:r>
    </w:p>
    <w:p w14:paraId="3F439A7A">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合同价款的调整方式：因国家政策方向变化引起工作量或工作内容变化的，合同当事人双方可根据市场价格协商确定变更合同价款，但所有补充合同的采购金额不得超过原合同采购金额的百分之十。</w:t>
      </w:r>
    </w:p>
    <w:p w14:paraId="0669207D">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资金性质：</w:t>
      </w:r>
      <w:r>
        <w:rPr>
          <w:rFonts w:hint="eastAsia" w:ascii="宋体" w:hAnsi="宋体" w:eastAsia="宋体" w:cs="宋体"/>
          <w:color w:val="auto"/>
          <w:kern w:val="2"/>
          <w:sz w:val="24"/>
          <w:szCs w:val="24"/>
          <w:highlight w:val="none"/>
          <w:u w:val="single"/>
          <w:lang w:val="en-US" w:eastAsia="zh-CN" w:bidi="ar-SA"/>
        </w:rPr>
        <w:t>财政性资金</w:t>
      </w:r>
    </w:p>
    <w:p w14:paraId="1B66A41E">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付款方式：</w:t>
      </w:r>
    </w:p>
    <w:p w14:paraId="23338D59">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本合同全额款分八次支付：甲方按季度支付合同价款，乙方应当于下季度首月前5个工作日内开具发票申请甲方支付上季度的合同价款，甲方自材料审核完成之日起十个工作日内支付该季度的合同款，具体金额根据上季度服务考评结果及奖惩办法等情况（详见附件三）进行核算进行支付，服务周期的第一季度按100%支付。</w:t>
      </w:r>
    </w:p>
    <w:p w14:paraId="65326CB1">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付款前乙方必须提供真实、有效、合法的正式发票，如乙方提供虚假发票，除须向甲方补开合法发票外，须赔偿甲方发票票面金额一倍的违约金，且甲方有权终止合同，乙方不得提出异议，因终止合同而产生的一切损失均由乙方承担。</w:t>
      </w:r>
    </w:p>
    <w:p w14:paraId="423CD5DE">
      <w:pPr>
        <w:widowControl w:val="0"/>
        <w:overflowPunct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部署方式为本地化部署，供应商将软件系统部署于采购人指定的本地数据中心或私有云环境，所有数据存储、处理及运算均在采购人控制的基础设施内完成，供应商通过远程或现场方式提供技术支持，本地化部署所需的全部费用已包含在合同总价中。</w:t>
      </w:r>
    </w:p>
    <w:p w14:paraId="22B2B23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五、双方权利和义务</w:t>
      </w:r>
    </w:p>
    <w:p w14:paraId="4FF4174B">
      <w:pPr>
        <w:numPr>
          <w:ilvl w:val="0"/>
          <w:numId w:val="10"/>
        </w:num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甲方的权利和义务</w:t>
      </w:r>
    </w:p>
    <w:p w14:paraId="65DD71B3">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在实施过程中甲方根据需要及时向乙方提供项目有关背景资料。</w:t>
      </w:r>
    </w:p>
    <w:p w14:paraId="1C27B816">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甲方应选派人员参加项目的全过程，配合乙方人员进行项目实施。</w:t>
      </w:r>
    </w:p>
    <w:p w14:paraId="0EFFEB47">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甲方指派的项目负责人，全权代表甲方进行项目实施协调工作，并对乙方提交的项目过程文档进行签字确认。</w:t>
      </w:r>
    </w:p>
    <w:p w14:paraId="4B9FC44F">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按照合同约定向乙方支付合同款项。</w:t>
      </w:r>
    </w:p>
    <w:p w14:paraId="075812F7">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甲方负责组织项目验收。</w:t>
      </w:r>
    </w:p>
    <w:p w14:paraId="47E7808C">
      <w:pPr>
        <w:numPr>
          <w:ilvl w:val="0"/>
          <w:numId w:val="10"/>
        </w:num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乙方的权利和义务</w:t>
      </w:r>
    </w:p>
    <w:p w14:paraId="7AB1C862">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依据合同规定的内容，做好项目的实施工作，协助甲方做好项目管理工作。</w:t>
      </w:r>
    </w:p>
    <w:p w14:paraId="5F928FB9">
      <w:pPr>
        <w:numPr>
          <w:ilvl w:val="1"/>
          <w:numId w:val="10"/>
        </w:numPr>
        <w:overflowPunct w:val="0"/>
        <w:spacing w:line="360" w:lineRule="auto"/>
        <w:ind w:left="42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根据项目需要，合理组织技术力量，按时完成甲方提供的各项工作任务。</w:t>
      </w:r>
    </w:p>
    <w:p w14:paraId="3BC462F3">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收集提供本项目相关资料，按照项目实施计划及时向甲方提交项目过程文档。</w:t>
      </w:r>
    </w:p>
    <w:p w14:paraId="01F5A76F">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配合甲方进行项目验收。</w:t>
      </w:r>
    </w:p>
    <w:p w14:paraId="1A493335">
      <w:pPr>
        <w:widowControl w:val="0"/>
        <w:numPr>
          <w:ilvl w:val="1"/>
          <w:numId w:val="10"/>
        </w:numPr>
        <w:overflowPunct w:val="0"/>
        <w:spacing w:after="120" w:afterLines="0" w:afterAutospacing="0" w:line="360" w:lineRule="auto"/>
        <w:ind w:left="420"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因项目负责人及技术人员调整或流动、技术设施故障，或因注销、吊销、经营困难等原因，无法完成本合同项目的，须及时书面通知甲方，并退还甲方已支付的全部费用。如给甲方造成额外损失的，优先从履约保证金中扣除，不足部分由乙方另行赔偿。</w:t>
      </w:r>
    </w:p>
    <w:p w14:paraId="31F697C3">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3.乙方承诺</w:t>
      </w:r>
    </w:p>
    <w:p w14:paraId="4C57D0FA">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3.1乙方需为本项目的实施提供足够的技术力量支持，保证项目的顺利进行，并按期完成。</w:t>
      </w:r>
    </w:p>
    <w:p w14:paraId="7BA17AA4">
      <w:pPr>
        <w:overflowPunct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3.2乙方应按招投标文件/采购文件规定的时间向甲方提供服务的有关技术资料。</w:t>
      </w:r>
    </w:p>
    <w:p w14:paraId="349A67BF">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3.3乙方在履行合同期间应遵守甲方出台的各项制度、规范、标准和流程等。</w:t>
      </w:r>
    </w:p>
    <w:p w14:paraId="5D9493E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六、履约保证金</w:t>
      </w:r>
    </w:p>
    <w:p w14:paraId="13372605">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本项目不收取履约保证金。</w:t>
      </w:r>
    </w:p>
    <w:p w14:paraId="2E2BC481">
      <w:pPr>
        <w:overflowPunct w:val="0"/>
        <w:autoSpaceDE w:val="0"/>
        <w:autoSpaceDN w:val="0"/>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本项目收取履约保证金，具体规定如下：</w:t>
      </w:r>
    </w:p>
    <w:p w14:paraId="1CAF19B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乙方选择以</w:t>
      </w:r>
      <w:r>
        <w:rPr>
          <w:rFonts w:hint="eastAsia" w:ascii="宋体" w:hAnsi="宋体" w:eastAsia="宋体" w:cs="宋体"/>
          <w:color w:val="auto"/>
          <w:sz w:val="24"/>
          <w:szCs w:val="24"/>
          <w:highlight w:val="none"/>
          <w:u w:val="single"/>
        </w:rPr>
        <w:t>支票/汇票/本票/电汇（选择其一）</w:t>
      </w:r>
      <w:r>
        <w:rPr>
          <w:rFonts w:hint="eastAsia" w:ascii="宋体" w:hAnsi="宋体" w:eastAsia="宋体" w:cs="宋体"/>
          <w:color w:val="auto"/>
          <w:sz w:val="24"/>
          <w:szCs w:val="24"/>
          <w:highlight w:val="none"/>
        </w:rPr>
        <w:t>等非现金形式提交履约保证金。乙方在合同签订后10个工作日内向甲方提交履约保证金，履约保证金为合同总金额的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%（注：履约保证金不超过政府采购合同金额的5%，对中小企业收取的保证金数额不得超过政府采购采购合同金额的2%），共计人民币：_______________元（人民币大写：_______________）。</w:t>
      </w:r>
    </w:p>
    <w:p w14:paraId="60F36C76">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如乙方在合同期内违反约定，甲方需扣除乙方相应款项时，则相应款项从履约保证金中扣除，扣除款项累计超过履约保证金数额的由乙方另行支付。项目验收合格后，若乙方在合同期内没有违约行为，由乙方提出申请，甲方履行完必要的审批手续后，返还乙方履约保证金。</w:t>
      </w:r>
    </w:p>
    <w:p w14:paraId="6DAE88E6">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七、项目的分、转包</w:t>
      </w:r>
    </w:p>
    <w:p w14:paraId="6DC7CD7B">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本合同项目应当由乙方独立完成，未经甲方书面许可，禁止转包和分包。如违反此条款，甲方有权立即解除本合同，乙方</w:t>
      </w:r>
      <w:r>
        <w:rPr>
          <w:rFonts w:hint="eastAsia" w:ascii="宋体" w:hAnsi="宋体" w:eastAsia="宋体" w:cs="宋体"/>
          <w:color w:val="auto"/>
          <w:sz w:val="24"/>
          <w:szCs w:val="24"/>
          <w:highlight w:val="none"/>
          <w:lang w:eastAsia="zh-Hans"/>
        </w:rPr>
        <w:t>除按合同约定总价的30%向甲方支付违约金外，还需向甲方</w:t>
      </w:r>
      <w:r>
        <w:rPr>
          <w:rFonts w:hint="eastAsia" w:ascii="宋体" w:hAnsi="宋体" w:eastAsia="宋体" w:cs="宋体"/>
          <w:color w:val="auto"/>
          <w:sz w:val="24"/>
          <w:szCs w:val="24"/>
          <w:highlight w:val="none"/>
        </w:rPr>
        <w:t>退还甲方支付的全部费用，并赔偿甲方为此发生的全部损失。</w:t>
      </w:r>
    </w:p>
    <w:p w14:paraId="3C7ED8BE">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6226DF1F">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1.乙方不能在规定期限内完成本项目实施，乙方应当承担违约责任，每逾期一天，应向甲方支付合同总金额0.5‰的违约金。逾期30日仍未完成工作的，甲方有权单方解除合同。</w:t>
      </w:r>
    </w:p>
    <w:p w14:paraId="71528E08">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2.甲方如无正当理由，不按合同规定的付款方式和时间向乙方支付合同所规定的款项，从规定付款之日起，每逾期一天，甲方应向乙方支付未支付合同金额的0.1‰的违约金，但违约金不应超过</w:t>
      </w:r>
      <w:r>
        <w:rPr>
          <w:rFonts w:hint="eastAsia" w:ascii="宋体" w:hAnsi="宋体" w:eastAsia="宋体" w:cs="宋体"/>
          <w:color w:val="auto"/>
          <w:sz w:val="24"/>
          <w:szCs w:val="24"/>
          <w:highlight w:val="none"/>
          <w:lang w:eastAsia="zh-Hans"/>
        </w:rPr>
        <w:t>欠付款项</w:t>
      </w:r>
      <w:r>
        <w:rPr>
          <w:rFonts w:hint="eastAsia" w:ascii="宋体" w:hAnsi="宋体" w:eastAsia="宋体" w:cs="宋体"/>
          <w:color w:val="auto"/>
          <w:sz w:val="24"/>
          <w:szCs w:val="24"/>
          <w:highlight w:val="none"/>
        </w:rPr>
        <w:t>金额的5%，且乙方不得据此拒绝履行本合同项下义务或以任何方式对甲方使用本项目服务或正常诊疗经营活动进行阻挠、破坏，否则视为乙方根本性违约。</w:t>
      </w:r>
    </w:p>
    <w:p w14:paraId="10A8D2CD">
      <w:pPr>
        <w:overflowPunct w:val="0"/>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3.如乙方未按合同要求完成服务项目，乙方应负责按合同约定的内容进行整改，并在30日内整改完毕，逾期未整改完毕，则每天支付合同款5‰的逾期违约金。</w:t>
      </w:r>
      <w:r>
        <w:rPr>
          <w:rFonts w:hint="eastAsia" w:ascii="宋体" w:hAnsi="宋体" w:eastAsia="宋体" w:cs="宋体"/>
          <w:color w:val="auto"/>
          <w:sz w:val="24"/>
          <w:szCs w:val="24"/>
          <w:highlight w:val="none"/>
          <w:lang w:eastAsia="zh-Hans"/>
        </w:rPr>
        <w:t>超过</w:t>
      </w:r>
      <w:r>
        <w:rPr>
          <w:rFonts w:hint="eastAsia" w:ascii="宋体" w:hAnsi="宋体" w:eastAsia="宋体" w:cs="宋体"/>
          <w:color w:val="auto"/>
          <w:sz w:val="24"/>
          <w:szCs w:val="24"/>
          <w:highlight w:val="none"/>
          <w:u w:val="single"/>
          <w:lang w:eastAsia="zh-Hans"/>
        </w:rPr>
        <w:t xml:space="preserve"> </w:t>
      </w:r>
      <w:r>
        <w:rPr>
          <w:rFonts w:hint="eastAsia" w:ascii="宋体" w:hAnsi="宋体" w:cs="宋体"/>
          <w:color w:val="auto"/>
          <w:sz w:val="24"/>
          <w:szCs w:val="24"/>
          <w:highlight w:val="none"/>
          <w:u w:val="single"/>
          <w:lang w:val="en-US" w:eastAsia="zh-CN"/>
        </w:rPr>
        <w:t xml:space="preserve">45 </w:t>
      </w:r>
      <w:r>
        <w:rPr>
          <w:rFonts w:hint="eastAsia" w:ascii="宋体" w:hAnsi="宋体" w:eastAsia="宋体" w:cs="宋体"/>
          <w:color w:val="auto"/>
          <w:sz w:val="24"/>
          <w:szCs w:val="24"/>
          <w:highlight w:val="none"/>
          <w:lang w:eastAsia="zh-Hans"/>
        </w:rPr>
        <w:t>日，甲方有权单方解除合同，乙方应向甲方赔偿相应损失。</w:t>
      </w:r>
    </w:p>
    <w:p w14:paraId="53EFE8C2">
      <w:pPr>
        <w:widowControl w:val="0"/>
        <w:overflowPunct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4.如乙方不能按合同要求完成本项目的，应当承担合同金额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%的违约金，并赔偿给甲方造成的</w:t>
      </w:r>
      <w:r>
        <w:rPr>
          <w:rFonts w:hint="eastAsia" w:ascii="宋体" w:hAnsi="宋体" w:cs="宋体"/>
          <w:color w:val="auto"/>
          <w:kern w:val="2"/>
          <w:sz w:val="24"/>
          <w:szCs w:val="24"/>
          <w:highlight w:val="none"/>
          <w:lang w:val="en-US" w:eastAsia="zh-CN" w:bidi="ar-SA"/>
        </w:rPr>
        <w:t>全部</w:t>
      </w:r>
      <w:r>
        <w:rPr>
          <w:rFonts w:hint="eastAsia" w:ascii="宋体" w:hAnsi="宋体" w:eastAsia="宋体" w:cs="宋体"/>
          <w:color w:val="auto"/>
          <w:kern w:val="2"/>
          <w:sz w:val="24"/>
          <w:szCs w:val="24"/>
          <w:highlight w:val="none"/>
          <w:lang w:val="en-US" w:eastAsia="zh-CN" w:bidi="ar-SA"/>
        </w:rPr>
        <w:t>损失，同时甲方有权单方解除合同。</w:t>
      </w:r>
    </w:p>
    <w:p w14:paraId="6D2C6A49">
      <w:pPr>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违反本合同约定的义务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包括安全保密义务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视同乙方违约。乙方违约的，除应按合同约定总价的30%向甲方支付违约金外，还</w:t>
      </w:r>
      <w:r>
        <w:rPr>
          <w:rFonts w:hint="eastAsia" w:ascii="宋体" w:hAnsi="宋体" w:eastAsia="宋体" w:cs="宋体"/>
          <w:color w:val="auto"/>
          <w:sz w:val="24"/>
          <w:szCs w:val="24"/>
          <w:highlight w:val="none"/>
        </w:rPr>
        <w:t>应当赔偿</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的相关损失及因追索损失而支出的包括但不限于律师费、仲裁费、</w:t>
      </w:r>
      <w:r>
        <w:rPr>
          <w:rFonts w:hint="eastAsia" w:ascii="宋体" w:hAnsi="宋体" w:eastAsia="宋体" w:cs="宋体"/>
          <w:color w:val="auto"/>
          <w:sz w:val="24"/>
          <w:szCs w:val="24"/>
          <w:highlight w:val="none"/>
          <w:lang w:eastAsia="zh-Hans"/>
        </w:rPr>
        <w:t>诉讼费、</w:t>
      </w:r>
      <w:r>
        <w:rPr>
          <w:rFonts w:hint="eastAsia" w:ascii="宋体" w:hAnsi="宋体" w:eastAsia="宋体" w:cs="宋体"/>
          <w:color w:val="auto"/>
          <w:sz w:val="24"/>
          <w:szCs w:val="24"/>
          <w:highlight w:val="none"/>
        </w:rPr>
        <w:t xml:space="preserve">保全费、保全责任保险费、公证费、交通差旅费等在内的相关费用。 </w:t>
      </w:r>
    </w:p>
    <w:p w14:paraId="3AC91F58">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服务如侵犯了第三方合法权益而引发的任何纠纷或诉讼，均由乙方负责交涉并承担全部责任，如因此导致甲方遭受诉累，乙方除赔偿甲方全部损失外，还应按合同约定总价的30%向甲方支付违约金。同时，甲方有权选择单方解除合同。</w:t>
      </w:r>
    </w:p>
    <w:p w14:paraId="3852A41E">
      <w:pPr>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7.乙方未按本合同和投标文件（响应文件）中规定的服务承诺提供售后服务的，</w:t>
      </w:r>
      <w:r>
        <w:rPr>
          <w:rFonts w:hint="eastAsia" w:ascii="宋体" w:hAnsi="宋体" w:cs="宋体"/>
          <w:color w:val="auto"/>
          <w:sz w:val="24"/>
          <w:szCs w:val="24"/>
          <w:highlight w:val="none"/>
          <w:lang w:val="en-US" w:eastAsia="zh-CN"/>
        </w:rPr>
        <w:t>或未按</w:t>
      </w:r>
      <w:r>
        <w:rPr>
          <w:rFonts w:hint="eastAsia" w:ascii="宋体" w:hAnsi="宋体" w:eastAsia="宋体" w:cs="宋体"/>
          <w:color w:val="auto"/>
          <w:sz w:val="24"/>
          <w:szCs w:val="24"/>
          <w:highlight w:val="none"/>
        </w:rPr>
        <w:t>拟投入的人员、服务实施方案、乙方应按本合同合计金额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%向甲方支付违约金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并赔偿相应损失</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同时，甲方有权选择单方解除合同。</w:t>
      </w:r>
    </w:p>
    <w:p w14:paraId="26B2DCD1">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九、不可抗力事件处理</w:t>
      </w:r>
    </w:p>
    <w:p w14:paraId="25DF8B5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630B922E">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29342A3">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3.不可抗力事件延续120天以上，双方应通过友好协商，确定是否继续履行合同。</w:t>
      </w:r>
    </w:p>
    <w:p w14:paraId="564D2895">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十、知识产权归属</w:t>
      </w:r>
    </w:p>
    <w:p w14:paraId="7B122675">
      <w:pPr>
        <w:tabs>
          <w:tab w:val="left" w:pos="900"/>
        </w:tabs>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1.自本合同生效之日起，对与本项目相关的由甲方委托乙方提供的项目成果及文档的知识产权和所有权归属甲方。</w:t>
      </w:r>
    </w:p>
    <w:p w14:paraId="286F4780">
      <w:pPr>
        <w:tabs>
          <w:tab w:val="left" w:pos="900"/>
        </w:tabs>
        <w:overflowPunct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乙方履行本合同时，不得侵犯第三方的相关权利，包括所有权、使用权及知识产权等权利，如涉及到侵犯第三方相关权利的，由乙方自行负责解决并承担所有责任，如因此给甲方造成损失的，由乙方向甲方全额赔付。</w:t>
      </w:r>
      <w:r>
        <w:rPr>
          <w:rFonts w:hint="eastAsia" w:ascii="宋体" w:hAnsi="宋体" w:cs="宋体"/>
          <w:color w:val="auto"/>
          <w:sz w:val="24"/>
          <w:szCs w:val="24"/>
          <w:highlight w:val="none"/>
          <w:lang w:val="en-US" w:eastAsia="zh-CN"/>
        </w:rPr>
        <w:t>同时，甲方有权单方解除合同。</w:t>
      </w:r>
    </w:p>
    <w:p w14:paraId="54FB4819">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十一、保密条款</w:t>
      </w:r>
    </w:p>
    <w:p w14:paraId="68D6515F">
      <w:pPr>
        <w:widowControl w:val="0"/>
        <w:overflowPunct w:val="0"/>
        <w:spacing w:after="120" w:afterLines="0" w:afterAutospacing="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医疗机构应当与提供信息系统维护和数据分析服务等业务的外部服务商签订严格的保密协议和授权协议，明确其访问电子病历系统的范围、目的和期限，并在服务过程中接受医疗机构监督，确保数据安全。</w:t>
      </w:r>
    </w:p>
    <w:p w14:paraId="248951AB">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十二、争议解决</w:t>
      </w:r>
    </w:p>
    <w:p w14:paraId="76FD167A">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本合同执行过程中发生的任何争议，如双方不能通过友好协商解决，向甲方所在地人民法院起诉，律师费、仲裁费、诉讼费、保全费、保全责任保险费、公证费、交通差旅费等追偿费用全由</w:t>
      </w:r>
      <w:r>
        <w:rPr>
          <w:rFonts w:hint="eastAsia" w:ascii="宋体" w:hAnsi="宋体" w:eastAsia="宋体" w:cs="宋体"/>
          <w:color w:val="auto"/>
          <w:sz w:val="24"/>
          <w:szCs w:val="24"/>
          <w:highlight w:val="none"/>
          <w:lang w:val="en-US" w:eastAsia="zh-CN"/>
        </w:rPr>
        <w:t>违约方</w:t>
      </w:r>
      <w:r>
        <w:rPr>
          <w:rFonts w:hint="eastAsia" w:ascii="宋体" w:hAnsi="宋体" w:eastAsia="宋体" w:cs="宋体"/>
          <w:color w:val="auto"/>
          <w:sz w:val="24"/>
          <w:szCs w:val="24"/>
          <w:highlight w:val="none"/>
        </w:rPr>
        <w:t>承担。</w:t>
      </w:r>
    </w:p>
    <w:p w14:paraId="5AB7A2F2">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十三、合同的变更、终止与转让</w:t>
      </w:r>
    </w:p>
    <w:p w14:paraId="05D7B452">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1.双方协商一致，可以对本合同进行补充、修改或变更。</w:t>
      </w:r>
    </w:p>
    <w:p w14:paraId="5F49317C">
      <w:pPr>
        <w:overflowPunct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2.对本合同的补充、修改或变更必须以书面形式进行。补充、修改或变更的协议的签订及生效方式与本合同的签订及生效方式相同。</w:t>
      </w:r>
    </w:p>
    <w:p w14:paraId="57B1CE36">
      <w:pPr>
        <w:overflowPunct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3.双方签订的补充协议以及修改或变更的条款与本合同具有同等法律效力。</w:t>
      </w:r>
    </w:p>
    <w:p w14:paraId="0A68EE93">
      <w:pPr>
        <w:overflowPunct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十四、其它</w:t>
      </w:r>
    </w:p>
    <w:p w14:paraId="6F31927E">
      <w:pPr>
        <w:overflowPunct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本合同所有附件、</w:t>
      </w:r>
      <w:r>
        <w:rPr>
          <w:rFonts w:hint="eastAsia" w:ascii="宋体" w:hAnsi="宋体" w:cs="宋体"/>
          <w:color w:val="auto"/>
          <w:sz w:val="24"/>
          <w:szCs w:val="24"/>
          <w:highlight w:val="none"/>
          <w:lang w:val="en-US" w:eastAsia="zh-CN"/>
        </w:rPr>
        <w:t>需要响应、承诺文件、拟投入的人员、服务实施方案、</w:t>
      </w:r>
      <w:r>
        <w:rPr>
          <w:rFonts w:hint="eastAsia" w:ascii="宋体" w:hAnsi="宋体" w:eastAsia="宋体" w:cs="宋体"/>
          <w:color w:val="auto"/>
          <w:sz w:val="24"/>
          <w:szCs w:val="24"/>
          <w:highlight w:val="none"/>
        </w:rPr>
        <w:t>双方在本合同履行过程中签署确认的文件（包括补充协议、往来信函）为本合同的有效组成部分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如有违反，均视为违约</w:t>
      </w:r>
      <w:r>
        <w:rPr>
          <w:rFonts w:hint="eastAsia" w:ascii="宋体" w:hAnsi="宋体" w:eastAsia="宋体" w:cs="宋体"/>
          <w:color w:val="auto"/>
          <w:sz w:val="24"/>
          <w:szCs w:val="24"/>
          <w:highlight w:val="none"/>
        </w:rPr>
        <w:t>。</w:t>
      </w:r>
    </w:p>
    <w:p w14:paraId="1820A46D">
      <w:pPr>
        <w:overflowPunct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w:t>
      </w:r>
      <w:r>
        <w:rPr>
          <w:rFonts w:hint="eastAsia" w:ascii="宋体" w:hAnsi="宋体" w:eastAsia="宋体" w:cs="宋体"/>
          <w:color w:val="auto"/>
          <w:sz w:val="24"/>
          <w:szCs w:val="24"/>
          <w:highlight w:val="none"/>
          <w:u w:val="none"/>
        </w:rPr>
        <w:t>式</w:t>
      </w:r>
      <w:r>
        <w:rPr>
          <w:rFonts w:hint="eastAsia" w:ascii="宋体" w:hAnsi="宋体" w:cs="宋体"/>
          <w:color w:val="auto"/>
          <w:sz w:val="24"/>
          <w:szCs w:val="24"/>
          <w:highlight w:val="none"/>
          <w:u w:val="none"/>
          <w:lang w:val="en-US" w:eastAsia="zh-CN"/>
        </w:rPr>
        <w:t>陆</w:t>
      </w:r>
      <w:r>
        <w:rPr>
          <w:rFonts w:hint="eastAsia" w:ascii="宋体" w:hAnsi="宋体" w:eastAsia="宋体" w:cs="宋体"/>
          <w:color w:val="auto"/>
          <w:sz w:val="24"/>
          <w:szCs w:val="24"/>
          <w:highlight w:val="none"/>
        </w:rPr>
        <w:t>份，甲方执</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份，乙方执</w:t>
      </w:r>
      <w:r>
        <w:rPr>
          <w:rFonts w:hint="eastAsia" w:ascii="宋体" w:hAnsi="宋体" w:cs="宋体"/>
          <w:color w:val="auto"/>
          <w:sz w:val="24"/>
          <w:szCs w:val="24"/>
          <w:highlight w:val="none"/>
          <w:lang w:val="en-US" w:eastAsia="zh-CN"/>
        </w:rPr>
        <w:t>贰</w:t>
      </w:r>
      <w:r>
        <w:rPr>
          <w:rFonts w:hint="eastAsia" w:ascii="宋体" w:hAnsi="宋体" w:eastAsia="宋体" w:cs="宋体"/>
          <w:color w:val="auto"/>
          <w:sz w:val="24"/>
          <w:szCs w:val="24"/>
          <w:highlight w:val="none"/>
        </w:rPr>
        <w:t>份，代理机构执壹份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经甲、乙双方各自授权代表签字并加盖双方各自公章或合同专用章后生效。</w:t>
      </w:r>
    </w:p>
    <w:p w14:paraId="5F861D27">
      <w:pPr>
        <w:overflowPunct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乙方确认，甲方在合同履行过程中对乙方任何主张、要求、异议的逾期答复、不予答复均不视为对乙方主张、要求、异议的认可，乙方不得据此作出任何损害甲方权益的行为。</w:t>
      </w:r>
    </w:p>
    <w:p w14:paraId="0090A91E">
      <w:pPr>
        <w:spacing w:line="360" w:lineRule="auto"/>
        <w:ind w:firstLine="420" w:firstLineChars="200"/>
        <w:rPr>
          <w:rFonts w:hint="eastAsia" w:ascii="宋体" w:hAnsi="宋体" w:cs="宋体"/>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502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A71135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甲方（章） 广西医科大学第一附属医院    </w:t>
            </w:r>
            <w:r>
              <w:rPr>
                <w:rFonts w:hint="eastAsia" w:ascii="宋体" w:hAnsi="宋体" w:eastAsia="宋体" w:cs="宋体"/>
                <w:color w:val="auto"/>
                <w:sz w:val="24"/>
                <w:szCs w:val="24"/>
                <w:highlight w:val="none"/>
              </w:rPr>
              <w:t xml:space="preserve">    </w:t>
            </w:r>
          </w:p>
          <w:p w14:paraId="37B70ABE">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p>
          <w:p w14:paraId="54CDBB27">
            <w:pPr>
              <w:keepNext w:val="0"/>
              <w:keepLines w:val="0"/>
              <w:pageBreakBefore w:val="0"/>
              <w:kinsoku/>
              <w:overflowPunct/>
              <w:topLinePunct w:val="0"/>
              <w:autoSpaceDE/>
              <w:autoSpaceDN/>
              <w:bidi w:val="0"/>
              <w:adjustRightInd/>
              <w:snapToGrid w:val="0"/>
              <w:spacing w:before="120" w:line="360" w:lineRule="exact"/>
              <w:ind w:firstLine="1080" w:firstLineChars="45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E010A16">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乙方（章）</w:t>
            </w:r>
            <w:r>
              <w:rPr>
                <w:rFonts w:hint="eastAsia" w:ascii="宋体" w:hAnsi="宋体" w:eastAsia="宋体" w:cs="宋体"/>
                <w:color w:val="auto"/>
                <w:sz w:val="24"/>
                <w:szCs w:val="24"/>
                <w:highlight w:val="none"/>
              </w:rPr>
              <w:t xml:space="preserve">              </w:t>
            </w:r>
          </w:p>
          <w:p w14:paraId="6C42399D">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p>
          <w:p w14:paraId="3E81CD88">
            <w:pPr>
              <w:keepNext w:val="0"/>
              <w:keepLines w:val="0"/>
              <w:pageBreakBefore w:val="0"/>
              <w:kinsoku/>
              <w:overflowPunct/>
              <w:topLinePunct w:val="0"/>
              <w:autoSpaceDE/>
              <w:autoSpaceDN/>
              <w:bidi w:val="0"/>
              <w:adjustRightInd/>
              <w:snapToGrid w:val="0"/>
              <w:spacing w:before="120" w:line="3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2BF4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1B8CE56">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9356352">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3CAD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448D180">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EA3A48C">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4AC9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A8B4911">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B5095B1">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tc>
      </w:tr>
      <w:tr w14:paraId="33C0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E5D5788">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highlight w:val="none"/>
              </w:rPr>
              <w:t>0771-5</w:t>
            </w:r>
            <w:r>
              <w:rPr>
                <w:rFonts w:hint="eastAsia" w:ascii="宋体" w:hAnsi="宋体" w:cs="宋体"/>
                <w:color w:val="auto"/>
                <w:sz w:val="24"/>
                <w:highlight w:val="none"/>
                <w:lang w:val="en-US" w:eastAsia="zh-CN"/>
              </w:rPr>
              <w:t>634385</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197C02E">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0DE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54F5D29">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val="en-US" w:eastAsia="zh-CN"/>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35DFF9C">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6B70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1E8D74F">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cs="宋体"/>
                <w:color w:val="auto"/>
                <w:sz w:val="24"/>
                <w:highlight w:val="none"/>
              </w:rPr>
              <w:t>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0E22CBA">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D5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0E8234E">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cs="宋体"/>
                <w:color w:val="auto"/>
                <w:sz w:val="24"/>
                <w:highlight w:val="none"/>
              </w:rPr>
              <w:t>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B2DD8C4">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64F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BBA5FAB">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0C691D5">
            <w:pPr>
              <w:keepNext w:val="0"/>
              <w:keepLines w:val="0"/>
              <w:pageBreakBefore w:val="0"/>
              <w:kinsoku/>
              <w:overflowPunct/>
              <w:topLinePunct w:val="0"/>
              <w:autoSpaceDE/>
              <w:autoSpaceDN/>
              <w:bidi w:val="0"/>
              <w:adjustRightInd/>
              <w:snapToGrid w:val="0"/>
              <w:spacing w:before="12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8B82674">
      <w:pPr>
        <w:spacing w:line="480" w:lineRule="auto"/>
        <w:rPr>
          <w:rFonts w:hint="eastAsia" w:ascii="宋体" w:hAnsi="宋体"/>
          <w:bCs/>
          <w:color w:val="auto"/>
          <w:sz w:val="32"/>
          <w:szCs w:val="32"/>
          <w:highlight w:val="none"/>
        </w:rPr>
      </w:pPr>
    </w:p>
    <w:p w14:paraId="52D147A9">
      <w:pPr>
        <w:jc w:val="both"/>
        <w:rPr>
          <w:rFonts w:hint="eastAsia"/>
          <w:color w:val="auto"/>
          <w:highlight w:val="none"/>
        </w:rPr>
      </w:pPr>
      <w:bookmarkStart w:id="144" w:name="_Toc31786"/>
      <w:r>
        <w:rPr>
          <w:rFonts w:hint="eastAsia"/>
          <w:color w:val="auto"/>
          <w:highlight w:val="none"/>
        </w:rPr>
        <w:br w:type="page"/>
      </w:r>
    </w:p>
    <w:p w14:paraId="5513FF06">
      <w:pPr>
        <w:pStyle w:val="2"/>
        <w:jc w:val="center"/>
        <w:rPr>
          <w:rFonts w:hint="eastAsia"/>
          <w:color w:val="auto"/>
          <w:highlight w:val="none"/>
        </w:rPr>
      </w:pPr>
    </w:p>
    <w:p w14:paraId="6920FF95">
      <w:pPr>
        <w:pStyle w:val="2"/>
        <w:jc w:val="center"/>
        <w:rPr>
          <w:rFonts w:hint="eastAsia"/>
          <w:color w:val="auto"/>
          <w:highlight w:val="none"/>
        </w:rPr>
      </w:pPr>
      <w:r>
        <w:rPr>
          <w:rFonts w:hint="eastAsia"/>
          <w:color w:val="auto"/>
          <w:highlight w:val="none"/>
        </w:rPr>
        <w:t>第六章　投标文件格式</w:t>
      </w:r>
      <w:bookmarkEnd w:id="144"/>
    </w:p>
    <w:p w14:paraId="05834E20">
      <w:pPr>
        <w:snapToGrid w:val="0"/>
        <w:spacing w:before="50" w:after="50"/>
        <w:outlineLvl w:val="1"/>
        <w:rPr>
          <w:rFonts w:hint="eastAsia" w:ascii="宋体" w:hAnsi="宋体"/>
          <w:color w:val="auto"/>
          <w:sz w:val="32"/>
          <w:szCs w:val="20"/>
          <w:highlight w:val="none"/>
        </w:rPr>
      </w:pPr>
    </w:p>
    <w:p w14:paraId="3165C1DD">
      <w:pPr>
        <w:snapToGrid w:val="0"/>
        <w:spacing w:before="50" w:after="50"/>
        <w:outlineLvl w:val="1"/>
        <w:rPr>
          <w:rFonts w:hint="eastAsia" w:ascii="宋体" w:hAnsi="宋体"/>
          <w:color w:val="auto"/>
          <w:sz w:val="32"/>
          <w:szCs w:val="20"/>
          <w:highlight w:val="none"/>
        </w:rPr>
      </w:pPr>
    </w:p>
    <w:p w14:paraId="3B836073">
      <w:pPr>
        <w:snapToGrid w:val="0"/>
        <w:spacing w:before="50" w:after="50"/>
        <w:outlineLvl w:val="1"/>
        <w:rPr>
          <w:rFonts w:hint="eastAsia" w:ascii="宋体" w:hAnsi="宋体"/>
          <w:color w:val="auto"/>
          <w:sz w:val="32"/>
          <w:szCs w:val="20"/>
          <w:highlight w:val="none"/>
        </w:rPr>
      </w:pPr>
    </w:p>
    <w:p w14:paraId="350B26C4">
      <w:pPr>
        <w:snapToGrid w:val="0"/>
        <w:spacing w:before="50" w:after="50"/>
        <w:outlineLvl w:val="1"/>
        <w:rPr>
          <w:rFonts w:hint="eastAsia" w:ascii="宋体" w:hAnsi="宋体"/>
          <w:color w:val="auto"/>
          <w:sz w:val="32"/>
          <w:szCs w:val="20"/>
          <w:highlight w:val="none"/>
        </w:rPr>
      </w:pPr>
    </w:p>
    <w:p w14:paraId="468D4506">
      <w:pPr>
        <w:snapToGrid w:val="0"/>
        <w:spacing w:before="50" w:after="50"/>
        <w:outlineLvl w:val="1"/>
        <w:rPr>
          <w:rFonts w:hint="eastAsia" w:ascii="宋体" w:hAnsi="宋体"/>
          <w:color w:val="auto"/>
          <w:sz w:val="32"/>
          <w:szCs w:val="20"/>
          <w:highlight w:val="none"/>
        </w:rPr>
      </w:pPr>
    </w:p>
    <w:p w14:paraId="15CA396E">
      <w:pPr>
        <w:snapToGrid w:val="0"/>
        <w:spacing w:before="50" w:after="50"/>
        <w:outlineLvl w:val="1"/>
        <w:rPr>
          <w:rFonts w:hint="eastAsia" w:ascii="宋体" w:hAnsi="宋体"/>
          <w:color w:val="auto"/>
          <w:sz w:val="32"/>
          <w:szCs w:val="20"/>
          <w:highlight w:val="none"/>
        </w:rPr>
      </w:pPr>
    </w:p>
    <w:p w14:paraId="194E28B9">
      <w:pPr>
        <w:snapToGrid w:val="0"/>
        <w:spacing w:before="50" w:after="50"/>
        <w:outlineLvl w:val="1"/>
        <w:rPr>
          <w:rFonts w:hint="eastAsia" w:ascii="宋体" w:hAnsi="宋体"/>
          <w:color w:val="auto"/>
          <w:sz w:val="32"/>
          <w:szCs w:val="20"/>
          <w:highlight w:val="none"/>
        </w:rPr>
      </w:pPr>
    </w:p>
    <w:p w14:paraId="339C19C3">
      <w:pPr>
        <w:snapToGrid w:val="0"/>
        <w:spacing w:before="50" w:after="50"/>
        <w:outlineLvl w:val="1"/>
        <w:rPr>
          <w:rFonts w:hint="eastAsia" w:ascii="宋体" w:hAnsi="宋体"/>
          <w:color w:val="auto"/>
          <w:sz w:val="32"/>
          <w:szCs w:val="20"/>
          <w:highlight w:val="none"/>
        </w:rPr>
      </w:pPr>
    </w:p>
    <w:p w14:paraId="0A9CF9B6">
      <w:pPr>
        <w:snapToGrid w:val="0"/>
        <w:spacing w:before="50" w:after="50"/>
        <w:outlineLvl w:val="1"/>
        <w:rPr>
          <w:rFonts w:hint="eastAsia" w:ascii="宋体" w:hAnsi="宋体"/>
          <w:color w:val="auto"/>
          <w:sz w:val="32"/>
          <w:szCs w:val="20"/>
          <w:highlight w:val="none"/>
        </w:rPr>
      </w:pPr>
    </w:p>
    <w:p w14:paraId="33BEAEC7">
      <w:pPr>
        <w:snapToGrid w:val="0"/>
        <w:spacing w:before="50" w:after="50"/>
        <w:outlineLvl w:val="1"/>
        <w:rPr>
          <w:rFonts w:hint="eastAsia" w:ascii="宋体" w:hAnsi="宋体"/>
          <w:color w:val="auto"/>
          <w:sz w:val="32"/>
          <w:szCs w:val="20"/>
          <w:highlight w:val="none"/>
        </w:rPr>
      </w:pPr>
    </w:p>
    <w:p w14:paraId="4BF2E151">
      <w:pPr>
        <w:snapToGrid w:val="0"/>
        <w:spacing w:before="50" w:after="50"/>
        <w:outlineLvl w:val="1"/>
        <w:rPr>
          <w:rFonts w:hint="eastAsia" w:ascii="宋体" w:hAnsi="宋体"/>
          <w:color w:val="auto"/>
          <w:sz w:val="32"/>
          <w:szCs w:val="20"/>
          <w:highlight w:val="none"/>
        </w:rPr>
      </w:pPr>
    </w:p>
    <w:p w14:paraId="0389A90F">
      <w:pPr>
        <w:snapToGrid w:val="0"/>
        <w:spacing w:before="120" w:beforeLines="50" w:after="50"/>
        <w:jc w:val="center"/>
        <w:outlineLvl w:val="1"/>
        <w:rPr>
          <w:rFonts w:hint="eastAsia" w:ascii="宋体" w:hAnsi="宋体"/>
          <w:color w:val="auto"/>
          <w:highlight w:val="none"/>
        </w:rPr>
      </w:pPr>
    </w:p>
    <w:p w14:paraId="1BBCCA90">
      <w:pPr>
        <w:rPr>
          <w:rFonts w:hint="eastAsia"/>
          <w:b/>
          <w:color w:val="auto"/>
          <w:sz w:val="28"/>
          <w:szCs w:val="28"/>
          <w:highlight w:val="none"/>
        </w:rPr>
      </w:pPr>
      <w:bookmarkStart w:id="145" w:name="_Toc19686836"/>
      <w:bookmarkStart w:id="146" w:name="_Toc254970557"/>
      <w:bookmarkStart w:id="147" w:name="_Toc254970698"/>
      <w:r>
        <w:rPr>
          <w:b/>
          <w:color w:val="auto"/>
          <w:sz w:val="28"/>
          <w:szCs w:val="28"/>
          <w:highlight w:val="none"/>
        </w:rPr>
        <w:br w:type="page"/>
      </w:r>
      <w:r>
        <w:rPr>
          <w:rFonts w:hint="eastAsia"/>
          <w:b/>
          <w:color w:val="auto"/>
          <w:sz w:val="28"/>
          <w:szCs w:val="28"/>
          <w:highlight w:val="none"/>
        </w:rPr>
        <w:t>一、报价文件格式</w:t>
      </w:r>
      <w:bookmarkEnd w:id="145"/>
    </w:p>
    <w:p w14:paraId="3A71731A">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34162C59">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079893AD">
      <w:pPr>
        <w:snapToGrid w:val="0"/>
        <w:spacing w:before="120" w:beforeLines="50" w:after="50" w:line="400" w:lineRule="exact"/>
        <w:jc w:val="center"/>
        <w:rPr>
          <w:rFonts w:hint="eastAsia" w:ascii="宋体" w:hAnsi="宋体"/>
          <w:bCs/>
          <w:color w:val="auto"/>
          <w:sz w:val="24"/>
          <w:szCs w:val="20"/>
          <w:highlight w:val="none"/>
        </w:rPr>
      </w:pPr>
    </w:p>
    <w:p w14:paraId="2755BA4C">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691F27F">
      <w:pPr>
        <w:snapToGrid w:val="0"/>
        <w:spacing w:before="120" w:beforeLines="50" w:after="50" w:line="400" w:lineRule="exact"/>
        <w:jc w:val="center"/>
        <w:rPr>
          <w:rFonts w:hint="eastAsia" w:ascii="宋体" w:hAnsi="宋体"/>
          <w:bCs/>
          <w:color w:val="auto"/>
          <w:sz w:val="32"/>
          <w:szCs w:val="32"/>
          <w:highlight w:val="none"/>
        </w:rPr>
      </w:pPr>
    </w:p>
    <w:p w14:paraId="611380FD">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19A6B159">
      <w:pPr>
        <w:snapToGrid w:val="0"/>
        <w:spacing w:before="120" w:beforeLines="50" w:after="50" w:line="400" w:lineRule="exact"/>
        <w:rPr>
          <w:rFonts w:hint="eastAsia" w:ascii="宋体" w:hAnsi="宋体"/>
          <w:bCs/>
          <w:color w:val="auto"/>
          <w:sz w:val="24"/>
          <w:szCs w:val="20"/>
          <w:highlight w:val="none"/>
        </w:rPr>
      </w:pPr>
    </w:p>
    <w:p w14:paraId="222C7151">
      <w:pPr>
        <w:snapToGrid w:val="0"/>
        <w:spacing w:before="120" w:beforeLines="50" w:after="50" w:line="400" w:lineRule="exact"/>
        <w:rPr>
          <w:rFonts w:hint="eastAsia" w:ascii="宋体" w:hAnsi="宋体"/>
          <w:bCs/>
          <w:color w:val="auto"/>
          <w:sz w:val="24"/>
          <w:szCs w:val="20"/>
          <w:highlight w:val="none"/>
        </w:rPr>
      </w:pPr>
    </w:p>
    <w:p w14:paraId="2326401F">
      <w:pPr>
        <w:snapToGrid w:val="0"/>
        <w:spacing w:before="120" w:beforeLines="50" w:after="50" w:line="400" w:lineRule="exact"/>
        <w:rPr>
          <w:rFonts w:hint="eastAsia" w:ascii="宋体" w:hAnsi="宋体"/>
          <w:bCs/>
          <w:color w:val="auto"/>
          <w:sz w:val="24"/>
          <w:szCs w:val="20"/>
          <w:highlight w:val="none"/>
        </w:rPr>
      </w:pPr>
    </w:p>
    <w:p w14:paraId="7535F724">
      <w:pPr>
        <w:snapToGrid w:val="0"/>
        <w:spacing w:before="120" w:beforeLines="50" w:after="50" w:line="400" w:lineRule="exact"/>
        <w:rPr>
          <w:rFonts w:hint="eastAsia" w:ascii="宋体" w:hAnsi="宋体"/>
          <w:bCs/>
          <w:color w:val="auto"/>
          <w:sz w:val="24"/>
          <w:szCs w:val="20"/>
          <w:highlight w:val="none"/>
        </w:rPr>
      </w:pPr>
    </w:p>
    <w:p w14:paraId="17C0F7A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5E94226">
      <w:pPr>
        <w:snapToGrid w:val="0"/>
        <w:spacing w:before="120" w:beforeLines="50" w:after="50" w:line="400" w:lineRule="exact"/>
        <w:ind w:firstLine="360" w:firstLineChars="150"/>
        <w:rPr>
          <w:rFonts w:hint="eastAsia" w:ascii="宋体" w:hAnsi="宋体"/>
          <w:bCs/>
          <w:color w:val="auto"/>
          <w:sz w:val="24"/>
          <w:highlight w:val="none"/>
        </w:rPr>
      </w:pPr>
    </w:p>
    <w:p w14:paraId="6E2CF4E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CC49A22">
      <w:pPr>
        <w:snapToGrid w:val="0"/>
        <w:spacing w:before="120" w:beforeLines="50" w:after="50" w:line="400" w:lineRule="exact"/>
        <w:ind w:firstLine="360" w:firstLineChars="150"/>
        <w:rPr>
          <w:rFonts w:hint="eastAsia" w:ascii="宋体" w:hAnsi="宋体"/>
          <w:bCs/>
          <w:color w:val="auto"/>
          <w:sz w:val="24"/>
          <w:highlight w:val="none"/>
        </w:rPr>
      </w:pPr>
    </w:p>
    <w:p w14:paraId="76B8E90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F67A314">
      <w:pPr>
        <w:snapToGrid w:val="0"/>
        <w:spacing w:before="120" w:beforeLines="50" w:after="50" w:line="400" w:lineRule="exact"/>
        <w:ind w:firstLine="360" w:firstLineChars="150"/>
        <w:rPr>
          <w:rFonts w:hint="eastAsia" w:ascii="宋体" w:hAnsi="宋体"/>
          <w:bCs/>
          <w:color w:val="auto"/>
          <w:sz w:val="24"/>
          <w:highlight w:val="none"/>
        </w:rPr>
      </w:pPr>
    </w:p>
    <w:p w14:paraId="15EFF01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D84B22">
      <w:pPr>
        <w:snapToGrid w:val="0"/>
        <w:spacing w:before="120" w:beforeLines="50" w:after="50" w:line="400" w:lineRule="exact"/>
        <w:ind w:firstLine="360" w:firstLineChars="150"/>
        <w:rPr>
          <w:rFonts w:hint="eastAsia" w:ascii="宋体" w:hAnsi="宋体"/>
          <w:bCs/>
          <w:color w:val="auto"/>
          <w:sz w:val="24"/>
          <w:highlight w:val="none"/>
        </w:rPr>
      </w:pPr>
    </w:p>
    <w:p w14:paraId="53F82D8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8F40CE0">
      <w:pPr>
        <w:pStyle w:val="8"/>
        <w:snapToGrid w:val="0"/>
        <w:spacing w:before="50" w:after="50" w:line="400" w:lineRule="exact"/>
        <w:ind w:firstLine="960" w:firstLineChars="400"/>
        <w:rPr>
          <w:rFonts w:hint="eastAsia" w:ascii="宋体" w:hAnsi="宋体"/>
          <w:bCs/>
          <w:color w:val="auto"/>
          <w:sz w:val="24"/>
          <w:szCs w:val="24"/>
          <w:highlight w:val="none"/>
        </w:rPr>
      </w:pPr>
    </w:p>
    <w:p w14:paraId="619101AE">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5037F15">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4D0E335">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0688D344">
      <w:pPr>
        <w:tabs>
          <w:tab w:val="left" w:pos="459"/>
        </w:tabs>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1、投标函</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451477AA">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default" w:ascii="Arial" w:hAnsi="Arial" w:cs="Arial"/>
          <w:color w:val="auto"/>
          <w:szCs w:val="21"/>
          <w:highlight w:val="none"/>
        </w:rPr>
        <w:t>…………………………………</w:t>
      </w:r>
      <w:r>
        <w:rPr>
          <w:rFonts w:hint="eastAsia" w:ascii="Arial" w:hAnsi="Arial" w:cs="Arial"/>
          <w:color w:val="auto"/>
          <w:szCs w:val="21"/>
          <w:highlight w:val="none"/>
          <w:lang w:val="en-US" w:eastAsia="zh-CN"/>
        </w:rPr>
        <w:t>页码</w:t>
      </w:r>
    </w:p>
    <w:p w14:paraId="086D165F">
      <w:pPr>
        <w:tabs>
          <w:tab w:val="left" w:pos="459"/>
        </w:tabs>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3、中小企业声明函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5228DC65">
      <w:pPr>
        <w:tabs>
          <w:tab w:val="left" w:pos="459"/>
        </w:tabs>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4、关于符合本国产品标准的声明函</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2E78B702">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w:t>
      </w:r>
      <w:r>
        <w:rPr>
          <w:rFonts w:hint="default" w:ascii="宋体" w:hAnsi="宋体"/>
          <w:color w:val="auto"/>
          <w:szCs w:val="21"/>
          <w:highlight w:val="none"/>
        </w:rPr>
        <w:t>…………………………</w:t>
      </w:r>
      <w:r>
        <w:rPr>
          <w:rFonts w:hint="eastAsia" w:ascii="宋体" w:hAnsi="宋体"/>
          <w:color w:val="auto"/>
          <w:szCs w:val="21"/>
          <w:highlight w:val="none"/>
          <w:lang w:val="en-US" w:eastAsia="zh-CN"/>
        </w:rPr>
        <w:t>页码</w:t>
      </w:r>
    </w:p>
    <w:p w14:paraId="0CCDBE25">
      <w:pPr>
        <w:snapToGrid w:val="0"/>
        <w:spacing w:before="50" w:after="120" w:afterLines="50" w:line="360" w:lineRule="auto"/>
        <w:jc w:val="left"/>
        <w:rPr>
          <w:color w:val="auto"/>
          <w:highlight w:val="none"/>
        </w:rPr>
      </w:pPr>
    </w:p>
    <w:p w14:paraId="532BA528">
      <w:pPr>
        <w:snapToGrid w:val="0"/>
        <w:spacing w:before="120" w:beforeLines="50" w:after="50"/>
        <w:rPr>
          <w:rFonts w:hint="eastAsia" w:ascii="宋体" w:hAnsi="宋体"/>
          <w:b/>
          <w:color w:val="auto"/>
          <w:sz w:val="24"/>
          <w:highlight w:val="none"/>
        </w:rPr>
      </w:pPr>
    </w:p>
    <w:p w14:paraId="7459433E">
      <w:pPr>
        <w:snapToGrid w:val="0"/>
        <w:spacing w:before="120" w:beforeLines="50" w:after="50"/>
        <w:rPr>
          <w:rFonts w:hint="eastAsia" w:ascii="宋体" w:hAnsi="宋体"/>
          <w:b/>
          <w:color w:val="auto"/>
          <w:sz w:val="24"/>
          <w:highlight w:val="none"/>
        </w:rPr>
      </w:pPr>
    </w:p>
    <w:p w14:paraId="2EB1E517">
      <w:pPr>
        <w:snapToGrid w:val="0"/>
        <w:spacing w:before="120" w:beforeLines="50" w:after="50"/>
        <w:rPr>
          <w:rFonts w:hint="eastAsia" w:ascii="宋体" w:hAnsi="宋体"/>
          <w:b/>
          <w:color w:val="auto"/>
          <w:sz w:val="24"/>
          <w:highlight w:val="none"/>
        </w:rPr>
      </w:pPr>
    </w:p>
    <w:p w14:paraId="3A45313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46AE4734">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6098D565">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154D4017">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9BD6EB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0B64762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4F3042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9C83044">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4AD79D8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6BC2707">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7DB1A946">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4DE9BA0">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8471A7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E5E52B7">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31F60A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AB0ABEB">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45F09F5D">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E12599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BD4F11F">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p>
    <w:p w14:paraId="49B6ABA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6A7873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法定代表人或者委托代理人签字</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4EF3ADB4">
      <w:pPr>
        <w:pStyle w:val="26"/>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479F2D16">
      <w:pPr>
        <w:pStyle w:val="26"/>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E3D54A0">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521CEE7C">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412EBB47">
      <w:pPr>
        <w:snapToGrid w:val="0"/>
        <w:spacing w:before="50" w:after="50"/>
        <w:jc w:val="center"/>
        <w:rPr>
          <w:rFonts w:hint="eastAsia" w:ascii="宋体" w:hAnsi="宋体"/>
          <w:b/>
          <w:color w:val="auto"/>
          <w:sz w:val="30"/>
          <w:szCs w:val="20"/>
          <w:highlight w:val="none"/>
        </w:rPr>
      </w:pPr>
    </w:p>
    <w:p w14:paraId="0A5CBDB8">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5A724526">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0F51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vAlign w:val="center"/>
          </w:tcPr>
          <w:p w14:paraId="3A013C8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0F217B3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3EDFD329">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16661F39">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2AB691F1">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p w14:paraId="1A2D6DE2">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1150CBDC">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p w14:paraId="331BCA3B">
            <w:pPr>
              <w:spacing w:line="312"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（元）</w:t>
            </w:r>
          </w:p>
        </w:tc>
      </w:tr>
      <w:tr w14:paraId="0C3E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6C74C04">
            <w:pPr>
              <w:widowControl/>
              <w:spacing w:line="360" w:lineRule="exact"/>
              <w:jc w:val="center"/>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0A0583DC">
            <w:pPr>
              <w:widowControl/>
              <w:spacing w:line="360" w:lineRule="exact"/>
              <w:jc w:val="left"/>
              <w:rPr>
                <w:rFonts w:ascii="宋体" w:hAnsi="宋体" w:cs="宋体"/>
                <w:color w:val="auto"/>
                <w:kern w:val="0"/>
                <w:sz w:val="24"/>
                <w:highlight w:val="none"/>
                <w:shd w:val="clear" w:color="auto" w:fill="FFFFFF"/>
              </w:rPr>
            </w:pPr>
          </w:p>
        </w:tc>
        <w:tc>
          <w:tcPr>
            <w:tcW w:w="1767" w:type="dxa"/>
            <w:vAlign w:val="center"/>
          </w:tcPr>
          <w:p w14:paraId="7B1489FB">
            <w:pPr>
              <w:widowControl/>
              <w:spacing w:line="360" w:lineRule="exact"/>
              <w:jc w:val="center"/>
              <w:rPr>
                <w:rFonts w:ascii="宋体" w:hAnsi="宋体" w:cs="宋体"/>
                <w:color w:val="auto"/>
                <w:kern w:val="0"/>
                <w:sz w:val="24"/>
                <w:highlight w:val="none"/>
                <w:shd w:val="clear" w:color="auto" w:fill="FFFFFF"/>
              </w:rPr>
            </w:pPr>
          </w:p>
        </w:tc>
        <w:tc>
          <w:tcPr>
            <w:tcW w:w="1511" w:type="dxa"/>
            <w:vAlign w:val="center"/>
          </w:tcPr>
          <w:p w14:paraId="569ACC08">
            <w:pPr>
              <w:spacing w:line="312" w:lineRule="auto"/>
              <w:jc w:val="center"/>
              <w:rPr>
                <w:rFonts w:ascii="宋体" w:hAnsi="宋体" w:cs="宋体"/>
                <w:color w:val="auto"/>
                <w:kern w:val="0"/>
                <w:sz w:val="24"/>
                <w:highlight w:val="none"/>
              </w:rPr>
            </w:pPr>
          </w:p>
        </w:tc>
        <w:tc>
          <w:tcPr>
            <w:tcW w:w="1697" w:type="dxa"/>
            <w:vAlign w:val="center"/>
          </w:tcPr>
          <w:p w14:paraId="257D9F53">
            <w:pPr>
              <w:spacing w:line="312" w:lineRule="auto"/>
              <w:jc w:val="center"/>
              <w:rPr>
                <w:rFonts w:ascii="宋体" w:hAnsi="宋体" w:cs="宋体"/>
                <w:color w:val="auto"/>
                <w:kern w:val="0"/>
                <w:sz w:val="24"/>
                <w:highlight w:val="none"/>
              </w:rPr>
            </w:pPr>
          </w:p>
        </w:tc>
      </w:tr>
      <w:tr w14:paraId="4E56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9204" w:type="dxa"/>
            <w:gridSpan w:val="5"/>
            <w:vAlign w:val="center"/>
          </w:tcPr>
          <w:p w14:paraId="75D85206">
            <w:pPr>
              <w:spacing w:line="312" w:lineRule="auto"/>
              <w:rPr>
                <w:rFonts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c>
      </w:tr>
      <w:tr w14:paraId="029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13ED8E29">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服务期限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164527A">
            <w:pPr>
              <w:snapToGrid w:val="0"/>
              <w:spacing w:line="360" w:lineRule="exact"/>
              <w:outlineLvl w:val="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47EB8D9A">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24396D95">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auto"/>
          <w:sz w:val="24"/>
          <w:highlight w:val="none"/>
        </w:rPr>
      </w:pPr>
      <w:r>
        <w:rPr>
          <w:rFonts w:hint="eastAsia" w:ascii="宋体" w:hAnsi="宋体"/>
          <w:color w:val="auto"/>
          <w:sz w:val="24"/>
          <w:highlight w:val="none"/>
        </w:rPr>
        <w:t xml:space="preserve">注: </w:t>
      </w:r>
    </w:p>
    <w:p w14:paraId="4A61A24B">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5378DB8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7DC031A7">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77596C9">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3AA1E87A">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5EAAE63E">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auto"/>
          <w:sz w:val="24"/>
          <w:highlight w:val="none"/>
        </w:rPr>
      </w:pPr>
    </w:p>
    <w:p w14:paraId="21ADB395">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20E09C8C">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auto"/>
          <w:sz w:val="24"/>
          <w:highlight w:val="none"/>
        </w:rPr>
      </w:pPr>
      <w:r>
        <w:rPr>
          <w:rFonts w:hint="eastAsia" w:ascii="宋体" w:hAnsi="宋体"/>
          <w:color w:val="auto"/>
          <w:sz w:val="24"/>
          <w:highlight w:val="none"/>
        </w:rPr>
        <w:t>投标人（盖公章）：                                 日期：    年   月   日</w:t>
      </w:r>
    </w:p>
    <w:p w14:paraId="4EBBFD52">
      <w:pPr>
        <w:snapToGrid w:val="0"/>
        <w:spacing w:before="50" w:after="50" w:line="360" w:lineRule="auto"/>
        <w:ind w:left="3" w:leftChars="-15" w:right="-817" w:rightChars="-389" w:hanging="34" w:hangingChars="12"/>
        <w:rPr>
          <w:rFonts w:hint="eastAsia"/>
          <w:b/>
          <w:color w:val="auto"/>
          <w:sz w:val="28"/>
          <w:szCs w:val="28"/>
          <w:highlight w:val="none"/>
        </w:rPr>
      </w:pPr>
      <w:bookmarkStart w:id="148"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46"/>
      <w:bookmarkEnd w:id="147"/>
      <w:bookmarkEnd w:id="148"/>
    </w:p>
    <w:p w14:paraId="6DF549BB">
      <w:pPr>
        <w:numPr>
          <w:ilvl w:val="2"/>
          <w:numId w:val="11"/>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D8F9496">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04D2FFFE">
      <w:pPr>
        <w:snapToGrid w:val="0"/>
        <w:spacing w:before="120" w:beforeLines="50" w:after="50"/>
        <w:rPr>
          <w:rFonts w:hint="eastAsia" w:ascii="宋体" w:hAnsi="宋体"/>
          <w:color w:val="auto"/>
          <w:sz w:val="24"/>
          <w:szCs w:val="20"/>
          <w:highlight w:val="none"/>
        </w:rPr>
      </w:pPr>
    </w:p>
    <w:p w14:paraId="0108F620">
      <w:pPr>
        <w:snapToGrid w:val="0"/>
        <w:spacing w:before="120" w:beforeLines="50" w:after="50"/>
        <w:rPr>
          <w:rFonts w:hint="eastAsia" w:ascii="宋体" w:hAnsi="宋体"/>
          <w:color w:val="auto"/>
          <w:sz w:val="24"/>
          <w:szCs w:val="20"/>
          <w:highlight w:val="none"/>
        </w:rPr>
      </w:pPr>
    </w:p>
    <w:p w14:paraId="77650615">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7782DD8B">
      <w:pPr>
        <w:snapToGrid w:val="0"/>
        <w:spacing w:before="120" w:beforeLines="50" w:after="50"/>
        <w:rPr>
          <w:rFonts w:hint="eastAsia" w:ascii="宋体" w:hAnsi="宋体"/>
          <w:color w:val="auto"/>
          <w:sz w:val="24"/>
          <w:szCs w:val="20"/>
          <w:highlight w:val="none"/>
        </w:rPr>
      </w:pPr>
    </w:p>
    <w:p w14:paraId="2BB6FBC2">
      <w:pPr>
        <w:snapToGrid w:val="0"/>
        <w:spacing w:before="120" w:beforeLines="50" w:after="50"/>
        <w:rPr>
          <w:rFonts w:hint="eastAsia" w:ascii="宋体" w:hAnsi="宋体"/>
          <w:color w:val="auto"/>
          <w:sz w:val="24"/>
          <w:szCs w:val="20"/>
          <w:highlight w:val="none"/>
        </w:rPr>
      </w:pPr>
    </w:p>
    <w:p w14:paraId="476E942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25CA10FB">
      <w:pPr>
        <w:snapToGrid w:val="0"/>
        <w:spacing w:before="120" w:beforeLines="50" w:after="50"/>
        <w:rPr>
          <w:rFonts w:ascii="宋体" w:hAnsi="宋体"/>
          <w:bCs/>
          <w:color w:val="auto"/>
          <w:sz w:val="24"/>
          <w:szCs w:val="20"/>
          <w:highlight w:val="none"/>
        </w:rPr>
      </w:pPr>
    </w:p>
    <w:p w14:paraId="45882472">
      <w:pPr>
        <w:snapToGrid w:val="0"/>
        <w:spacing w:before="120" w:beforeLines="50" w:after="50"/>
        <w:rPr>
          <w:rFonts w:ascii="宋体" w:hAnsi="宋体"/>
          <w:bCs/>
          <w:color w:val="auto"/>
          <w:sz w:val="24"/>
          <w:szCs w:val="20"/>
          <w:highlight w:val="none"/>
        </w:rPr>
      </w:pPr>
    </w:p>
    <w:p w14:paraId="64052E97">
      <w:pPr>
        <w:snapToGrid w:val="0"/>
        <w:spacing w:before="120" w:beforeLines="50" w:after="50"/>
        <w:rPr>
          <w:rFonts w:ascii="宋体" w:hAnsi="宋体"/>
          <w:bCs/>
          <w:color w:val="auto"/>
          <w:sz w:val="24"/>
          <w:szCs w:val="20"/>
          <w:highlight w:val="none"/>
        </w:rPr>
      </w:pPr>
    </w:p>
    <w:p w14:paraId="1BD648B3">
      <w:pPr>
        <w:snapToGrid w:val="0"/>
        <w:spacing w:before="120" w:beforeLines="50" w:after="50"/>
        <w:rPr>
          <w:rFonts w:ascii="宋体" w:hAnsi="宋体"/>
          <w:bCs/>
          <w:color w:val="auto"/>
          <w:sz w:val="24"/>
          <w:szCs w:val="20"/>
          <w:highlight w:val="none"/>
        </w:rPr>
      </w:pPr>
    </w:p>
    <w:p w14:paraId="586331E9">
      <w:pPr>
        <w:snapToGrid w:val="0"/>
        <w:spacing w:before="120" w:beforeLines="50" w:after="50"/>
        <w:rPr>
          <w:rFonts w:hint="eastAsia" w:ascii="宋体" w:hAnsi="宋体"/>
          <w:bCs/>
          <w:color w:val="auto"/>
          <w:sz w:val="24"/>
          <w:szCs w:val="20"/>
          <w:highlight w:val="none"/>
        </w:rPr>
      </w:pPr>
    </w:p>
    <w:p w14:paraId="26B1AB2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B812E5A">
      <w:pPr>
        <w:snapToGrid w:val="0"/>
        <w:spacing w:before="120" w:beforeLines="50" w:after="50"/>
        <w:ind w:firstLine="540" w:firstLineChars="225"/>
        <w:rPr>
          <w:rFonts w:hint="eastAsia" w:ascii="宋体" w:hAnsi="宋体"/>
          <w:bCs/>
          <w:color w:val="auto"/>
          <w:sz w:val="24"/>
          <w:szCs w:val="20"/>
          <w:highlight w:val="none"/>
        </w:rPr>
      </w:pPr>
    </w:p>
    <w:p w14:paraId="00CA2CF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8CE5D1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4296FA8">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77AD645D">
      <w:pPr>
        <w:pStyle w:val="8"/>
        <w:snapToGrid w:val="0"/>
        <w:spacing w:before="50" w:after="50"/>
        <w:ind w:firstLine="540" w:firstLineChars="225"/>
        <w:rPr>
          <w:rFonts w:hint="eastAsia" w:ascii="宋体" w:hAnsi="宋体"/>
          <w:bCs/>
          <w:color w:val="auto"/>
          <w:sz w:val="24"/>
          <w:szCs w:val="24"/>
          <w:highlight w:val="none"/>
        </w:rPr>
      </w:pPr>
    </w:p>
    <w:p w14:paraId="0F767A6B">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232FF1F">
      <w:pPr>
        <w:pStyle w:val="8"/>
        <w:snapToGrid w:val="0"/>
        <w:spacing w:before="50" w:after="50"/>
        <w:ind w:firstLine="540" w:firstLineChars="225"/>
        <w:rPr>
          <w:rFonts w:hint="eastAsia" w:ascii="宋体" w:hAnsi="宋体"/>
          <w:bCs/>
          <w:color w:val="auto"/>
          <w:sz w:val="24"/>
          <w:szCs w:val="24"/>
          <w:highlight w:val="none"/>
        </w:rPr>
      </w:pPr>
    </w:p>
    <w:p w14:paraId="5C5C03D3">
      <w:pPr>
        <w:pStyle w:val="8"/>
        <w:snapToGrid w:val="0"/>
        <w:spacing w:before="50" w:after="50"/>
        <w:ind w:firstLine="960" w:firstLineChars="400"/>
        <w:rPr>
          <w:rFonts w:hint="eastAsia" w:ascii="宋体" w:hAnsi="宋体"/>
          <w:bCs/>
          <w:color w:val="auto"/>
          <w:sz w:val="24"/>
          <w:szCs w:val="24"/>
          <w:highlight w:val="none"/>
        </w:rPr>
      </w:pPr>
    </w:p>
    <w:p w14:paraId="727284E1">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448387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A04478E">
      <w:pPr>
        <w:snapToGrid w:val="0"/>
        <w:spacing w:before="120" w:beforeLines="50" w:after="50"/>
        <w:rPr>
          <w:rFonts w:hint="eastAsia" w:ascii="宋体" w:hAnsi="宋体"/>
          <w:color w:val="auto"/>
          <w:sz w:val="24"/>
          <w:szCs w:val="20"/>
          <w:highlight w:val="none"/>
        </w:rPr>
      </w:pPr>
    </w:p>
    <w:p w14:paraId="5B3C9B2F">
      <w:pPr>
        <w:numPr>
          <w:ilvl w:val="2"/>
          <w:numId w:val="11"/>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7177AA8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6A03DE6">
      <w:pPr>
        <w:autoSpaceDE w:val="0"/>
        <w:autoSpaceDN w:val="0"/>
        <w:snapToGrid w:val="0"/>
        <w:spacing w:line="400" w:lineRule="exact"/>
        <w:textAlignment w:val="bottom"/>
        <w:rPr>
          <w:rFonts w:hint="eastAsia" w:ascii="宋体" w:hAnsi="宋体" w:eastAsia="宋体"/>
          <w:b/>
          <w:color w:val="auto"/>
          <w:szCs w:val="21"/>
          <w:highlight w:val="none"/>
          <w:lang w:val="en-US" w:eastAsia="zh-CN"/>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8F8F1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2C4F8DD">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A59DE54">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C525621">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1F5938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503A0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7、联合体协议书</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51E51B0">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lang w:val="en-US" w:eastAsia="zh-CN"/>
        </w:rPr>
        <w:t>8</w:t>
      </w:r>
      <w:r>
        <w:rPr>
          <w:rFonts w:hint="eastAsia" w:ascii="宋体" w:hAnsi="宋体" w:cs="宋体"/>
          <w:bCs w:val="0"/>
          <w:color w:val="auto"/>
          <w:spacing w:val="0"/>
          <w:kern w:val="2"/>
          <w:sz w:val="21"/>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BB1D857">
      <w:pPr>
        <w:snapToGrid w:val="0"/>
        <w:spacing w:before="50" w:after="120" w:afterLines="50"/>
        <w:jc w:val="left"/>
        <w:rPr>
          <w:rFonts w:hint="eastAsia" w:ascii="宋体" w:hAnsi="宋体"/>
          <w:color w:val="auto"/>
          <w:sz w:val="24"/>
          <w:highlight w:val="none"/>
        </w:rPr>
      </w:pPr>
    </w:p>
    <w:p w14:paraId="7ABB3AC2">
      <w:pPr>
        <w:snapToGrid w:val="0"/>
        <w:spacing w:before="50" w:after="120" w:afterLines="50"/>
        <w:jc w:val="left"/>
        <w:rPr>
          <w:rFonts w:hint="eastAsia" w:ascii="宋体" w:hAnsi="宋体"/>
          <w:color w:val="auto"/>
          <w:sz w:val="24"/>
          <w:highlight w:val="none"/>
        </w:rPr>
      </w:pPr>
    </w:p>
    <w:p w14:paraId="338152FE">
      <w:pPr>
        <w:numPr>
          <w:ilvl w:val="2"/>
          <w:numId w:val="11"/>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134F6167">
      <w:pPr>
        <w:snapToGrid w:val="0"/>
        <w:spacing w:before="50" w:after="120" w:afterLines="50"/>
        <w:jc w:val="center"/>
        <w:rPr>
          <w:rFonts w:hint="eastAsia" w:ascii="宋体" w:hAnsi="宋体"/>
          <w:b/>
          <w:color w:val="auto"/>
          <w:sz w:val="28"/>
          <w:szCs w:val="28"/>
          <w:highlight w:val="none"/>
        </w:rPr>
      </w:pPr>
    </w:p>
    <w:p w14:paraId="6B83AD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B87EB7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691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9E406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D7E7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CA64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0BD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8FBF8F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2D7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F14D4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CFCCE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01AC0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13B56">
            <w:pPr>
              <w:spacing w:line="360" w:lineRule="auto"/>
              <w:jc w:val="center"/>
              <w:rPr>
                <w:rFonts w:ascii="宋体" w:hAnsi="宋体" w:cs="宋体"/>
                <w:color w:val="auto"/>
                <w:kern w:val="0"/>
                <w:sz w:val="24"/>
                <w:highlight w:val="none"/>
              </w:rPr>
            </w:pPr>
          </w:p>
        </w:tc>
      </w:tr>
      <w:tr w14:paraId="031D0B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E4011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695E0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BD874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E28F8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169AD">
            <w:pPr>
              <w:spacing w:line="360" w:lineRule="auto"/>
              <w:jc w:val="center"/>
              <w:rPr>
                <w:rFonts w:ascii="宋体" w:hAnsi="宋体" w:cs="宋体"/>
                <w:color w:val="auto"/>
                <w:kern w:val="0"/>
                <w:sz w:val="24"/>
                <w:highlight w:val="none"/>
              </w:rPr>
            </w:pPr>
          </w:p>
        </w:tc>
      </w:tr>
      <w:tr w14:paraId="6254A93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1F22D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AD26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13A78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8E23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9053A">
            <w:pPr>
              <w:spacing w:line="360" w:lineRule="auto"/>
              <w:jc w:val="center"/>
              <w:rPr>
                <w:rFonts w:ascii="宋体" w:hAnsi="宋体" w:cs="宋体"/>
                <w:color w:val="auto"/>
                <w:kern w:val="0"/>
                <w:sz w:val="24"/>
                <w:highlight w:val="none"/>
              </w:rPr>
            </w:pPr>
          </w:p>
        </w:tc>
      </w:tr>
      <w:tr w14:paraId="5F9A49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A992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31803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4F00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367EC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4848DE">
            <w:pPr>
              <w:spacing w:line="360" w:lineRule="auto"/>
              <w:jc w:val="center"/>
              <w:rPr>
                <w:rFonts w:ascii="宋体" w:hAnsi="宋体" w:cs="宋体"/>
                <w:color w:val="auto"/>
                <w:kern w:val="0"/>
                <w:sz w:val="24"/>
                <w:highlight w:val="none"/>
              </w:rPr>
            </w:pPr>
          </w:p>
        </w:tc>
      </w:tr>
    </w:tbl>
    <w:p w14:paraId="3CF3C8A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E09A3C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09B57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5FBEA87">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258925F1">
      <w:pPr>
        <w:snapToGrid w:val="0"/>
        <w:spacing w:line="360" w:lineRule="auto"/>
        <w:jc w:val="left"/>
        <w:rPr>
          <w:rFonts w:hint="eastAsia" w:ascii="宋体" w:hAnsi="宋体"/>
          <w:color w:val="auto"/>
          <w:sz w:val="24"/>
          <w:highlight w:val="none"/>
        </w:rPr>
      </w:pPr>
    </w:p>
    <w:p w14:paraId="2C50A2C6">
      <w:pPr>
        <w:snapToGrid w:val="0"/>
        <w:spacing w:line="360" w:lineRule="auto"/>
        <w:jc w:val="left"/>
        <w:rPr>
          <w:rFonts w:hint="eastAsia" w:ascii="宋体" w:hAnsi="宋体"/>
          <w:color w:val="auto"/>
          <w:sz w:val="24"/>
          <w:highlight w:val="none"/>
        </w:rPr>
      </w:pPr>
    </w:p>
    <w:p w14:paraId="1A2B38B5">
      <w:pPr>
        <w:snapToGrid w:val="0"/>
        <w:spacing w:line="360" w:lineRule="auto"/>
        <w:jc w:val="left"/>
        <w:rPr>
          <w:rFonts w:hint="eastAsia" w:ascii="宋体" w:hAnsi="宋体"/>
          <w:color w:val="auto"/>
          <w:sz w:val="24"/>
          <w:highlight w:val="none"/>
        </w:rPr>
      </w:pPr>
    </w:p>
    <w:p w14:paraId="54D1B985">
      <w:pPr>
        <w:snapToGrid w:val="0"/>
        <w:spacing w:line="360" w:lineRule="auto"/>
        <w:jc w:val="left"/>
        <w:rPr>
          <w:rFonts w:hint="eastAsia" w:ascii="宋体" w:hAnsi="宋体"/>
          <w:color w:val="auto"/>
          <w:sz w:val="24"/>
          <w:highlight w:val="none"/>
        </w:rPr>
      </w:pPr>
    </w:p>
    <w:p w14:paraId="434AB5DB">
      <w:pPr>
        <w:snapToGrid w:val="0"/>
        <w:spacing w:line="360" w:lineRule="auto"/>
        <w:jc w:val="left"/>
        <w:rPr>
          <w:rFonts w:hint="eastAsia" w:ascii="宋体" w:hAnsi="宋体"/>
          <w:color w:val="auto"/>
          <w:sz w:val="24"/>
          <w:highlight w:val="none"/>
        </w:rPr>
      </w:pPr>
    </w:p>
    <w:p w14:paraId="69A4A203">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E619FF1">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F7CDC13">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6CD24228">
      <w:pPr>
        <w:snapToGrid w:val="0"/>
        <w:jc w:val="center"/>
        <w:rPr>
          <w:rFonts w:hint="eastAsia" w:ascii="宋体" w:hAnsi="宋体"/>
          <w:b/>
          <w:color w:val="auto"/>
          <w:sz w:val="28"/>
          <w:szCs w:val="28"/>
          <w:highlight w:val="none"/>
        </w:rPr>
      </w:pPr>
    </w:p>
    <w:p w14:paraId="2A3CF5DF">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002CFBE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F62C1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7F98B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E56D5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53FBF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ABB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FE569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19260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63C9C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4DA362">
            <w:pPr>
              <w:spacing w:line="360" w:lineRule="auto"/>
              <w:jc w:val="center"/>
              <w:rPr>
                <w:rFonts w:ascii="宋体" w:hAnsi="宋体" w:cs="宋体"/>
                <w:color w:val="auto"/>
                <w:kern w:val="0"/>
                <w:sz w:val="24"/>
                <w:highlight w:val="none"/>
              </w:rPr>
            </w:pPr>
          </w:p>
        </w:tc>
      </w:tr>
      <w:tr w14:paraId="7702B73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614C0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079B3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3AB2D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73251E">
            <w:pPr>
              <w:spacing w:line="360" w:lineRule="auto"/>
              <w:jc w:val="center"/>
              <w:rPr>
                <w:rFonts w:ascii="宋体" w:hAnsi="宋体" w:cs="宋体"/>
                <w:color w:val="auto"/>
                <w:kern w:val="0"/>
                <w:sz w:val="24"/>
                <w:highlight w:val="none"/>
              </w:rPr>
            </w:pPr>
          </w:p>
        </w:tc>
      </w:tr>
      <w:tr w14:paraId="6392592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1AAE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C68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73722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8E7722">
            <w:pPr>
              <w:spacing w:line="360" w:lineRule="auto"/>
              <w:jc w:val="center"/>
              <w:rPr>
                <w:rFonts w:ascii="宋体" w:hAnsi="宋体" w:cs="宋体"/>
                <w:color w:val="auto"/>
                <w:kern w:val="0"/>
                <w:sz w:val="24"/>
                <w:highlight w:val="none"/>
              </w:rPr>
            </w:pPr>
          </w:p>
        </w:tc>
      </w:tr>
      <w:tr w14:paraId="139C06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B7013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AAFA8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FFDCD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6228B1">
            <w:pPr>
              <w:spacing w:line="360" w:lineRule="auto"/>
              <w:jc w:val="center"/>
              <w:rPr>
                <w:rFonts w:ascii="宋体" w:hAnsi="宋体" w:cs="宋体"/>
                <w:color w:val="auto"/>
                <w:kern w:val="0"/>
                <w:sz w:val="24"/>
                <w:highlight w:val="none"/>
              </w:rPr>
            </w:pPr>
          </w:p>
        </w:tc>
      </w:tr>
    </w:tbl>
    <w:p w14:paraId="1581F37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B666C7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98BD81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AD43FB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2520300E">
      <w:pPr>
        <w:snapToGrid w:val="0"/>
        <w:spacing w:line="360" w:lineRule="auto"/>
        <w:jc w:val="left"/>
        <w:rPr>
          <w:rFonts w:hint="eastAsia" w:ascii="宋体" w:hAnsi="宋体"/>
          <w:color w:val="auto"/>
          <w:sz w:val="24"/>
          <w:highlight w:val="none"/>
        </w:rPr>
      </w:pPr>
    </w:p>
    <w:p w14:paraId="006A7635">
      <w:pPr>
        <w:snapToGrid w:val="0"/>
        <w:spacing w:line="360" w:lineRule="auto"/>
        <w:jc w:val="left"/>
        <w:rPr>
          <w:rFonts w:hint="eastAsia" w:ascii="宋体" w:hAnsi="宋体"/>
          <w:color w:val="auto"/>
          <w:sz w:val="24"/>
          <w:highlight w:val="none"/>
        </w:rPr>
      </w:pPr>
    </w:p>
    <w:p w14:paraId="4F4B6588">
      <w:pPr>
        <w:snapToGrid w:val="0"/>
        <w:spacing w:line="360" w:lineRule="auto"/>
        <w:jc w:val="left"/>
        <w:rPr>
          <w:rFonts w:hint="eastAsia" w:ascii="宋体" w:hAnsi="宋体"/>
          <w:color w:val="auto"/>
          <w:sz w:val="24"/>
          <w:highlight w:val="none"/>
        </w:rPr>
      </w:pPr>
    </w:p>
    <w:p w14:paraId="2DE64A49">
      <w:pPr>
        <w:snapToGrid w:val="0"/>
        <w:spacing w:line="360" w:lineRule="auto"/>
        <w:jc w:val="left"/>
        <w:rPr>
          <w:rFonts w:hint="eastAsia"/>
          <w:color w:val="auto"/>
          <w:sz w:val="24"/>
          <w:highlight w:val="none"/>
        </w:rPr>
      </w:pPr>
    </w:p>
    <w:p w14:paraId="1DB1FA2D">
      <w:pPr>
        <w:snapToGrid w:val="0"/>
        <w:spacing w:line="360" w:lineRule="auto"/>
        <w:jc w:val="left"/>
        <w:rPr>
          <w:rFonts w:hint="eastAsia"/>
          <w:color w:val="auto"/>
          <w:sz w:val="24"/>
          <w:highlight w:val="none"/>
        </w:rPr>
      </w:pPr>
    </w:p>
    <w:p w14:paraId="01918E84">
      <w:pPr>
        <w:snapToGrid w:val="0"/>
        <w:spacing w:line="360" w:lineRule="auto"/>
        <w:jc w:val="left"/>
        <w:rPr>
          <w:rFonts w:hint="eastAsia"/>
          <w:color w:val="auto"/>
          <w:sz w:val="24"/>
          <w:highlight w:val="none"/>
        </w:rPr>
      </w:pPr>
    </w:p>
    <w:p w14:paraId="20AB16A6">
      <w:pPr>
        <w:snapToGrid w:val="0"/>
        <w:spacing w:line="360" w:lineRule="auto"/>
        <w:jc w:val="left"/>
        <w:rPr>
          <w:rFonts w:hint="eastAsia" w:ascii="宋体" w:hAnsi="宋体"/>
          <w:color w:val="auto"/>
          <w:sz w:val="24"/>
          <w:highlight w:val="none"/>
        </w:rPr>
      </w:pPr>
    </w:p>
    <w:p w14:paraId="0BFD1407">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17796B2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77AB8D74">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7F61FEFC">
      <w:pPr>
        <w:snapToGrid w:val="0"/>
        <w:spacing w:before="50" w:after="120" w:afterLines="50"/>
        <w:jc w:val="left"/>
        <w:rPr>
          <w:rFonts w:hint="eastAsia" w:ascii="宋体" w:hAnsi="宋体"/>
          <w:color w:val="auto"/>
          <w:szCs w:val="21"/>
          <w:highlight w:val="none"/>
        </w:rPr>
      </w:pPr>
    </w:p>
    <w:p w14:paraId="11A20A64">
      <w:pPr>
        <w:snapToGrid w:val="0"/>
        <w:spacing w:before="120" w:beforeLines="50" w:after="50"/>
        <w:jc w:val="left"/>
        <w:rPr>
          <w:rFonts w:hint="eastAsia" w:ascii="宋体" w:hAnsi="宋体"/>
          <w:b/>
          <w:color w:val="auto"/>
          <w:sz w:val="24"/>
          <w:szCs w:val="20"/>
          <w:highlight w:val="none"/>
        </w:rPr>
      </w:pPr>
    </w:p>
    <w:p w14:paraId="6F4A0CAE">
      <w:pPr>
        <w:numPr>
          <w:ilvl w:val="2"/>
          <w:numId w:val="11"/>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72813113">
      <w:pPr>
        <w:snapToGrid w:val="0"/>
        <w:spacing w:before="50" w:after="120" w:afterLines="50"/>
        <w:jc w:val="left"/>
        <w:rPr>
          <w:rFonts w:hint="eastAsia" w:ascii="宋体" w:hAnsi="宋体"/>
          <w:color w:val="auto"/>
          <w:highlight w:val="none"/>
        </w:rPr>
      </w:pPr>
    </w:p>
    <w:p w14:paraId="233AD088">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6C601056">
      <w:pPr>
        <w:snapToGrid w:val="0"/>
        <w:spacing w:before="50" w:after="120" w:afterLines="50"/>
        <w:jc w:val="center"/>
        <w:rPr>
          <w:rFonts w:hint="eastAsia" w:ascii="仿宋" w:hAnsi="仿宋" w:eastAsia="仿宋" w:cs="仿宋"/>
          <w:bCs/>
          <w:color w:val="auto"/>
          <w:sz w:val="44"/>
          <w:szCs w:val="44"/>
          <w:highlight w:val="none"/>
        </w:rPr>
      </w:pPr>
    </w:p>
    <w:p w14:paraId="71B9CFB8">
      <w:pPr>
        <w:spacing w:line="400" w:lineRule="exact"/>
        <w:contextualSpacing/>
        <w:jc w:val="left"/>
        <w:rPr>
          <w:rFonts w:hint="eastAsia"/>
          <w:color w:val="auto"/>
          <w:sz w:val="24"/>
          <w:highlight w:val="none"/>
        </w:rPr>
      </w:pPr>
      <w:r>
        <w:rPr>
          <w:rFonts w:hint="eastAsia"/>
          <w:color w:val="auto"/>
          <w:sz w:val="24"/>
          <w:highlight w:val="none"/>
        </w:rPr>
        <w:t>（采购人名称）：</w:t>
      </w:r>
    </w:p>
    <w:p w14:paraId="33A95E77">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983CF5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3513F0D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5814AA6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A39F61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CA2F63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AF3D09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5AA44D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A4CAF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1D3131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80960B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9EBAFE7">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D471247">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07C6BBE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6531A50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6B768F1C">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648CCE38">
      <w:pPr>
        <w:rPr>
          <w:rFonts w:hint="eastAsia"/>
          <w:b/>
          <w:color w:val="auto"/>
          <w:sz w:val="28"/>
          <w:szCs w:val="28"/>
          <w:highlight w:val="none"/>
        </w:rPr>
      </w:pPr>
      <w:bookmarkStart w:id="149" w:name="_Toc19686838"/>
      <w:r>
        <w:rPr>
          <w:b/>
          <w:color w:val="auto"/>
          <w:sz w:val="28"/>
          <w:szCs w:val="28"/>
          <w:highlight w:val="none"/>
        </w:rPr>
        <w:br w:type="page"/>
      </w:r>
      <w:r>
        <w:rPr>
          <w:rFonts w:hint="eastAsia"/>
          <w:b/>
          <w:color w:val="auto"/>
          <w:sz w:val="28"/>
          <w:szCs w:val="28"/>
          <w:highlight w:val="none"/>
        </w:rPr>
        <w:t>三、商务文件格式</w:t>
      </w:r>
      <w:bookmarkEnd w:id="149"/>
    </w:p>
    <w:p w14:paraId="3EA2C7E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702726F7">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1C44F99C">
      <w:pPr>
        <w:snapToGrid w:val="0"/>
        <w:spacing w:before="120" w:beforeLines="50" w:after="50"/>
        <w:rPr>
          <w:rFonts w:hint="eastAsia" w:ascii="宋体" w:hAnsi="宋体"/>
          <w:color w:val="auto"/>
          <w:sz w:val="24"/>
          <w:szCs w:val="20"/>
          <w:highlight w:val="none"/>
        </w:rPr>
      </w:pPr>
    </w:p>
    <w:p w14:paraId="2AE55A5B">
      <w:pPr>
        <w:snapToGrid w:val="0"/>
        <w:spacing w:before="120" w:beforeLines="50" w:after="50"/>
        <w:rPr>
          <w:rFonts w:hint="eastAsia" w:ascii="宋体" w:hAnsi="宋体"/>
          <w:color w:val="auto"/>
          <w:sz w:val="24"/>
          <w:szCs w:val="20"/>
          <w:highlight w:val="none"/>
        </w:rPr>
      </w:pPr>
    </w:p>
    <w:p w14:paraId="7C921C16">
      <w:pPr>
        <w:snapToGrid w:val="0"/>
        <w:spacing w:before="120" w:beforeLines="50" w:after="50"/>
        <w:rPr>
          <w:rFonts w:hint="eastAsia" w:ascii="宋体" w:hAnsi="宋体"/>
          <w:color w:val="auto"/>
          <w:sz w:val="24"/>
          <w:szCs w:val="20"/>
          <w:highlight w:val="none"/>
        </w:rPr>
      </w:pPr>
    </w:p>
    <w:p w14:paraId="2B00031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D939BD7">
      <w:pPr>
        <w:snapToGrid w:val="0"/>
        <w:spacing w:before="120" w:beforeLines="50" w:after="50"/>
        <w:rPr>
          <w:rFonts w:hint="eastAsia" w:ascii="宋体" w:hAnsi="宋体"/>
          <w:color w:val="auto"/>
          <w:sz w:val="24"/>
          <w:szCs w:val="20"/>
          <w:highlight w:val="none"/>
        </w:rPr>
      </w:pPr>
    </w:p>
    <w:p w14:paraId="6BFBFFD1">
      <w:pPr>
        <w:snapToGrid w:val="0"/>
        <w:spacing w:before="120" w:beforeLines="50" w:after="50"/>
        <w:rPr>
          <w:rFonts w:hint="eastAsia" w:ascii="宋体" w:hAnsi="宋体"/>
          <w:color w:val="auto"/>
          <w:sz w:val="24"/>
          <w:szCs w:val="20"/>
          <w:highlight w:val="none"/>
        </w:rPr>
      </w:pPr>
    </w:p>
    <w:p w14:paraId="0EC0824C">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227FA17B">
      <w:pPr>
        <w:snapToGrid w:val="0"/>
        <w:spacing w:before="120" w:beforeLines="50" w:after="50"/>
        <w:rPr>
          <w:rFonts w:hint="eastAsia" w:ascii="宋体" w:hAnsi="宋体"/>
          <w:bCs/>
          <w:color w:val="auto"/>
          <w:sz w:val="24"/>
          <w:szCs w:val="20"/>
          <w:highlight w:val="none"/>
        </w:rPr>
      </w:pPr>
    </w:p>
    <w:p w14:paraId="4B569393">
      <w:pPr>
        <w:snapToGrid w:val="0"/>
        <w:spacing w:before="120" w:beforeLines="50" w:after="50"/>
        <w:ind w:firstLine="540" w:firstLineChars="225"/>
        <w:rPr>
          <w:rFonts w:hint="eastAsia" w:ascii="宋体" w:hAnsi="宋体"/>
          <w:bCs/>
          <w:color w:val="auto"/>
          <w:sz w:val="24"/>
          <w:highlight w:val="none"/>
        </w:rPr>
      </w:pPr>
    </w:p>
    <w:p w14:paraId="7FFCBBEA">
      <w:pPr>
        <w:snapToGrid w:val="0"/>
        <w:spacing w:before="120" w:beforeLines="50" w:after="50"/>
        <w:ind w:firstLine="540" w:firstLineChars="225"/>
        <w:rPr>
          <w:rFonts w:hint="eastAsia" w:ascii="宋体" w:hAnsi="宋体"/>
          <w:bCs/>
          <w:color w:val="auto"/>
          <w:sz w:val="24"/>
          <w:highlight w:val="none"/>
        </w:rPr>
      </w:pPr>
    </w:p>
    <w:p w14:paraId="35CF8DF2">
      <w:pPr>
        <w:snapToGrid w:val="0"/>
        <w:spacing w:before="120" w:beforeLines="50" w:after="50"/>
        <w:ind w:firstLine="540" w:firstLineChars="225"/>
        <w:rPr>
          <w:rFonts w:hint="eastAsia" w:ascii="宋体" w:hAnsi="宋体"/>
          <w:bCs/>
          <w:color w:val="auto"/>
          <w:sz w:val="24"/>
          <w:highlight w:val="none"/>
        </w:rPr>
      </w:pPr>
    </w:p>
    <w:p w14:paraId="616FC40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8068832">
      <w:pPr>
        <w:snapToGrid w:val="0"/>
        <w:spacing w:before="120" w:beforeLines="50" w:after="50"/>
        <w:ind w:firstLine="540" w:firstLineChars="225"/>
        <w:rPr>
          <w:rFonts w:hint="eastAsia" w:ascii="宋体" w:hAnsi="宋体"/>
          <w:bCs/>
          <w:color w:val="auto"/>
          <w:sz w:val="24"/>
          <w:szCs w:val="20"/>
          <w:highlight w:val="none"/>
        </w:rPr>
      </w:pPr>
    </w:p>
    <w:p w14:paraId="2BF434A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FE54413">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C29626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5B53417">
      <w:pPr>
        <w:snapToGrid w:val="0"/>
        <w:spacing w:before="120" w:beforeLines="50" w:after="50"/>
        <w:ind w:firstLine="540" w:firstLineChars="225"/>
        <w:rPr>
          <w:rFonts w:hint="eastAsia" w:ascii="宋体" w:hAnsi="宋体"/>
          <w:bCs/>
          <w:color w:val="auto"/>
          <w:sz w:val="24"/>
          <w:szCs w:val="20"/>
          <w:highlight w:val="none"/>
        </w:rPr>
      </w:pPr>
    </w:p>
    <w:p w14:paraId="3E16A72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3700382">
      <w:pPr>
        <w:pStyle w:val="8"/>
        <w:snapToGrid w:val="0"/>
        <w:spacing w:before="50" w:after="50"/>
        <w:ind w:firstLine="540" w:firstLineChars="225"/>
        <w:rPr>
          <w:rFonts w:hint="eastAsia" w:ascii="宋体" w:hAnsi="宋体"/>
          <w:bCs/>
          <w:color w:val="auto"/>
          <w:sz w:val="24"/>
          <w:szCs w:val="24"/>
          <w:highlight w:val="none"/>
        </w:rPr>
      </w:pPr>
    </w:p>
    <w:p w14:paraId="7196BFB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E5BF2ED">
      <w:pPr>
        <w:pStyle w:val="8"/>
        <w:snapToGrid w:val="0"/>
        <w:spacing w:before="50" w:after="50"/>
        <w:ind w:firstLine="960" w:firstLineChars="400"/>
        <w:rPr>
          <w:rFonts w:hint="eastAsia" w:ascii="宋体" w:hAnsi="宋体"/>
          <w:bCs/>
          <w:color w:val="auto"/>
          <w:sz w:val="24"/>
          <w:szCs w:val="24"/>
          <w:highlight w:val="none"/>
        </w:rPr>
      </w:pPr>
    </w:p>
    <w:p w14:paraId="38FE57C1">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EBEBB5E">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3F4BA09">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6524CF8D">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3A866A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489E5BAD">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5F19BA8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28A9D75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4552DD7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C09C0A7">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182B986C">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73B9BC0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60A61173">
      <w:pPr>
        <w:snapToGrid w:val="0"/>
        <w:spacing w:before="50" w:after="120" w:afterLines="50"/>
        <w:jc w:val="left"/>
        <w:rPr>
          <w:rFonts w:hint="eastAsia" w:ascii="宋体" w:hAnsi="宋体"/>
          <w:color w:val="auto"/>
          <w:highlight w:val="none"/>
        </w:rPr>
      </w:pPr>
    </w:p>
    <w:p w14:paraId="59B712A2">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639BC605">
      <w:pPr>
        <w:snapToGrid w:val="0"/>
        <w:spacing w:before="120" w:beforeLines="50" w:after="50"/>
        <w:jc w:val="left"/>
        <w:rPr>
          <w:rFonts w:hint="eastAsia" w:ascii="宋体" w:hAnsi="宋体"/>
          <w:b/>
          <w:color w:val="auto"/>
          <w:sz w:val="24"/>
          <w:highlight w:val="none"/>
        </w:rPr>
      </w:pPr>
    </w:p>
    <w:p w14:paraId="2ABBBEE5">
      <w:pPr>
        <w:spacing w:line="360" w:lineRule="auto"/>
        <w:ind w:left="420"/>
        <w:contextualSpacing/>
        <w:jc w:val="center"/>
        <w:rPr>
          <w:rFonts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4EE2BE06">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8779B8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0ACABA0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5FC11A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C9D4AD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AC40C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2A4C591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E8FBA8F">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155105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0E6A1D8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613480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3E75F60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40ADC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B6F226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A635C7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262E875F">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5668359">
      <w:pPr>
        <w:pStyle w:val="26"/>
        <w:spacing w:line="440" w:lineRule="exact"/>
        <w:ind w:firstLine="6840" w:firstLineChars="2850"/>
        <w:contextualSpacing/>
        <w:rPr>
          <w:rFonts w:hint="eastAsia" w:hAnsi="宋体"/>
          <w:color w:val="auto"/>
          <w:sz w:val="24"/>
          <w:szCs w:val="24"/>
          <w:highlight w:val="none"/>
        </w:rPr>
      </w:pPr>
    </w:p>
    <w:p w14:paraId="3372D67D">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1CED594D">
      <w:pPr>
        <w:pStyle w:val="26"/>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4580C68">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76D38524">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69DF8A5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F626037">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1F2985F">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0E33E91">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169291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998B95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A25F449">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B5A6470">
      <w:pPr>
        <w:spacing w:line="500" w:lineRule="exact"/>
        <w:ind w:left="540"/>
        <w:rPr>
          <w:rFonts w:hint="eastAsia" w:ascii="宋体" w:hAnsi="宋体"/>
          <w:color w:val="auto"/>
          <w:sz w:val="24"/>
          <w:highlight w:val="none"/>
        </w:rPr>
      </w:pPr>
    </w:p>
    <w:p w14:paraId="38E8EDB9">
      <w:pPr>
        <w:spacing w:line="500" w:lineRule="exact"/>
        <w:ind w:left="540"/>
        <w:rPr>
          <w:rFonts w:hint="eastAsia" w:ascii="宋体" w:hAnsi="宋体"/>
          <w:color w:val="auto"/>
          <w:sz w:val="24"/>
          <w:highlight w:val="none"/>
        </w:rPr>
      </w:pPr>
    </w:p>
    <w:p w14:paraId="5FD446E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9F89E74">
      <w:pPr>
        <w:spacing w:line="500" w:lineRule="exact"/>
        <w:ind w:left="540"/>
        <w:rPr>
          <w:rFonts w:hint="eastAsia" w:ascii="宋体" w:hAnsi="宋体"/>
          <w:color w:val="auto"/>
          <w:sz w:val="24"/>
          <w:highlight w:val="none"/>
        </w:rPr>
      </w:pPr>
    </w:p>
    <w:p w14:paraId="705EE01A">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0AEFCC96">
      <w:pPr>
        <w:spacing w:line="500" w:lineRule="exact"/>
        <w:ind w:left="540"/>
        <w:jc w:val="right"/>
        <w:rPr>
          <w:rFonts w:hint="eastAsia" w:ascii="宋体" w:hAnsi="宋体"/>
          <w:color w:val="auto"/>
          <w:sz w:val="24"/>
          <w:highlight w:val="none"/>
        </w:rPr>
      </w:pPr>
    </w:p>
    <w:p w14:paraId="3CCF0526">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422550">
      <w:pPr>
        <w:snapToGrid w:val="0"/>
        <w:spacing w:before="120" w:beforeLines="50" w:after="50"/>
        <w:jc w:val="center"/>
        <w:rPr>
          <w:rFonts w:hint="eastAsia" w:ascii="宋体" w:hAnsi="宋体"/>
          <w:b/>
          <w:color w:val="auto"/>
          <w:sz w:val="24"/>
          <w:highlight w:val="none"/>
        </w:rPr>
      </w:pPr>
    </w:p>
    <w:p w14:paraId="43FF9B7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62777B9">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7F3C9958">
      <w:pPr>
        <w:snapToGrid w:val="0"/>
        <w:spacing w:before="120" w:beforeLines="50" w:after="50"/>
        <w:jc w:val="center"/>
        <w:rPr>
          <w:rFonts w:hint="eastAsia" w:ascii="宋体" w:hAnsi="宋体"/>
          <w:b/>
          <w:color w:val="auto"/>
          <w:sz w:val="44"/>
          <w:szCs w:val="44"/>
          <w:highlight w:val="none"/>
        </w:rPr>
      </w:pPr>
    </w:p>
    <w:p w14:paraId="6C97318C">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5A9CE113">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033D7CD7">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785903C3">
      <w:pPr>
        <w:spacing w:line="440" w:lineRule="exact"/>
        <w:contextualSpacing/>
        <w:jc w:val="center"/>
        <w:rPr>
          <w:rFonts w:hint="eastAsia" w:ascii="宋体" w:hAnsi="宋体"/>
          <w:b/>
          <w:color w:val="auto"/>
          <w:sz w:val="24"/>
          <w:highlight w:val="none"/>
        </w:rPr>
      </w:pPr>
    </w:p>
    <w:p w14:paraId="557F0CA0">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0C497DD">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F710E6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448EFA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29E1898">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AA576A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E406157">
      <w:pPr>
        <w:spacing w:line="440" w:lineRule="exact"/>
        <w:contextualSpacing/>
        <w:rPr>
          <w:rFonts w:hint="eastAsia" w:ascii="宋体" w:hAnsi="宋体"/>
          <w:color w:val="auto"/>
          <w:sz w:val="24"/>
          <w:highlight w:val="none"/>
        </w:rPr>
      </w:pPr>
    </w:p>
    <w:p w14:paraId="1F0A1C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1F469807">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D498F7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460E4B4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63A6BB7">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0" w:name="_Hlk65851555"/>
      <w:bookmarkStart w:id="151" w:name="_Hlk65851620"/>
      <w:r>
        <w:rPr>
          <w:rFonts w:hint="eastAsia" w:ascii="宋体" w:hAnsi="宋体" w:cs="仿宋_GB2312"/>
          <w:color w:val="auto"/>
          <w:sz w:val="24"/>
          <w:highlight w:val="none"/>
        </w:rPr>
        <w:t>法定代表人必须在授权委托书上亲笔签字或者盖章，</w:t>
      </w:r>
      <w:bookmarkEnd w:id="150"/>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1"/>
    </w:p>
    <w:p w14:paraId="2735642C">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ED256F6">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630F52D4">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13F295DF">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557318CE">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9BFE29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527891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0FC8A79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5D27C2A2">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142B31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21DD9FB0">
      <w:pPr>
        <w:spacing w:line="440" w:lineRule="exact"/>
        <w:ind w:firstLine="566" w:firstLineChars="236"/>
        <w:contextualSpacing/>
        <w:rPr>
          <w:rFonts w:hint="eastAsia" w:ascii="宋体" w:hAnsi="宋体"/>
          <w:color w:val="auto"/>
          <w:sz w:val="24"/>
          <w:highlight w:val="none"/>
        </w:rPr>
      </w:pPr>
    </w:p>
    <w:p w14:paraId="1CEF9821">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52BD5B5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249BDED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204943BE">
      <w:pPr>
        <w:spacing w:line="440" w:lineRule="exact"/>
        <w:ind w:firstLine="566" w:firstLineChars="236"/>
        <w:contextualSpacing/>
        <w:rPr>
          <w:rFonts w:hint="eastAsia" w:ascii="宋体" w:hAnsi="宋体"/>
          <w:color w:val="auto"/>
          <w:sz w:val="24"/>
          <w:highlight w:val="none"/>
        </w:rPr>
      </w:pPr>
    </w:p>
    <w:p w14:paraId="24C061B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7E369149">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73A2B3F4">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18D98831">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22730031">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6C0DB7C8">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2269" w:left="1134" w:header="851" w:footer="567" w:gutter="0"/>
          <w:pgNumType w:fmt="decimal"/>
          <w:cols w:space="720" w:num="1"/>
          <w:docGrid w:linePitch="312" w:charSpace="0"/>
        </w:sectPr>
      </w:pPr>
    </w:p>
    <w:p w14:paraId="18000A53">
      <w:pPr>
        <w:rPr>
          <w:rFonts w:hint="eastAsia" w:ascii="宋体" w:hAnsi="宋体"/>
          <w:color w:val="auto"/>
          <w:sz w:val="24"/>
          <w:highlight w:val="none"/>
        </w:rPr>
      </w:pPr>
    </w:p>
    <w:p w14:paraId="266FD7AE">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3BDFAE7B">
      <w:pPr>
        <w:snapToGrid w:val="0"/>
        <w:spacing w:before="50"/>
        <w:jc w:val="left"/>
        <w:rPr>
          <w:rFonts w:hint="eastAsia" w:ascii="宋体" w:hAnsi="宋体"/>
          <w:color w:val="auto"/>
          <w:sz w:val="24"/>
          <w:highlight w:val="none"/>
        </w:rPr>
      </w:pPr>
    </w:p>
    <w:p w14:paraId="267F5DA4">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48C7D2B0">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391EA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5E2BE63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5009F54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2740F48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8FEFAB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071FB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5F0A3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4E2B7232">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F9665B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8F5F3D7">
            <w:pPr>
              <w:snapToGrid w:val="0"/>
              <w:spacing w:before="120" w:beforeLines="50"/>
              <w:jc w:val="center"/>
              <w:rPr>
                <w:rFonts w:hint="eastAsia" w:ascii="宋体" w:hAnsi="宋体"/>
                <w:color w:val="auto"/>
                <w:sz w:val="24"/>
                <w:highlight w:val="none"/>
              </w:rPr>
            </w:pPr>
          </w:p>
        </w:tc>
      </w:tr>
      <w:tr w14:paraId="70F9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316020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二、服务期限及地点</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4B07146">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0F7EAC6">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4D36D7A">
            <w:pPr>
              <w:snapToGrid w:val="0"/>
              <w:spacing w:before="120" w:beforeLines="50"/>
              <w:ind w:left="43"/>
              <w:jc w:val="center"/>
              <w:rPr>
                <w:rFonts w:hint="eastAsia" w:ascii="宋体" w:hAnsi="宋体"/>
                <w:color w:val="auto"/>
                <w:sz w:val="24"/>
                <w:highlight w:val="none"/>
              </w:rPr>
            </w:pPr>
          </w:p>
        </w:tc>
      </w:tr>
      <w:tr w14:paraId="19093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03E003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三、报价要求</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0495D67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F7D4075">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7873A5">
            <w:pPr>
              <w:snapToGrid w:val="0"/>
              <w:spacing w:before="120" w:beforeLines="50"/>
              <w:jc w:val="center"/>
              <w:rPr>
                <w:rFonts w:hint="eastAsia" w:ascii="宋体" w:hAnsi="宋体"/>
                <w:color w:val="auto"/>
                <w:sz w:val="24"/>
                <w:highlight w:val="none"/>
              </w:rPr>
            </w:pPr>
          </w:p>
        </w:tc>
      </w:tr>
      <w:tr w14:paraId="763A3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065163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四、付款条件</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926667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257B6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279E2F6">
            <w:pPr>
              <w:snapToGrid w:val="0"/>
              <w:spacing w:before="120" w:beforeLines="50"/>
              <w:jc w:val="center"/>
              <w:rPr>
                <w:rFonts w:hint="eastAsia" w:ascii="宋体" w:hAnsi="宋体"/>
                <w:color w:val="auto"/>
                <w:sz w:val="24"/>
                <w:highlight w:val="none"/>
              </w:rPr>
            </w:pPr>
          </w:p>
        </w:tc>
      </w:tr>
      <w:tr w14:paraId="09953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6436BD69">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F459EE0">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F18A6EC">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55AFB4E">
            <w:pPr>
              <w:snapToGrid w:val="0"/>
              <w:spacing w:before="120" w:beforeLines="50"/>
              <w:jc w:val="center"/>
              <w:rPr>
                <w:rFonts w:hint="eastAsia" w:ascii="宋体" w:hAnsi="宋体"/>
                <w:color w:val="auto"/>
                <w:sz w:val="24"/>
                <w:highlight w:val="none"/>
              </w:rPr>
            </w:pPr>
          </w:p>
        </w:tc>
      </w:tr>
    </w:tbl>
    <w:p w14:paraId="026ACE39">
      <w:pPr>
        <w:pStyle w:val="19"/>
        <w:rPr>
          <w:rFonts w:hint="eastAsia" w:ascii="宋体" w:hAnsi="宋体"/>
          <w:color w:val="auto"/>
          <w:highlight w:val="none"/>
        </w:rPr>
      </w:pPr>
      <w:r>
        <w:rPr>
          <w:rFonts w:hint="eastAsia" w:ascii="宋体" w:hAnsi="宋体"/>
          <w:color w:val="auto"/>
          <w:highlight w:val="none"/>
        </w:rPr>
        <w:t>注：</w:t>
      </w:r>
    </w:p>
    <w:p w14:paraId="560E9B36">
      <w:pPr>
        <w:pStyle w:val="21"/>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781C35B6">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B34731B">
      <w:pPr>
        <w:snapToGrid w:val="0"/>
        <w:spacing w:before="50" w:after="50"/>
        <w:rPr>
          <w:rFonts w:ascii="宋体" w:hAnsi="宋体"/>
          <w:color w:val="auto"/>
          <w:sz w:val="24"/>
          <w:highlight w:val="none"/>
        </w:rPr>
      </w:pPr>
    </w:p>
    <w:p w14:paraId="55DB8AE5">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5B085F3">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A8B9FDF">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B726029">
      <w:pPr>
        <w:snapToGrid w:val="0"/>
        <w:spacing w:before="120" w:beforeLines="50"/>
        <w:rPr>
          <w:rFonts w:hint="eastAsia" w:ascii="宋体" w:hAnsi="宋体"/>
          <w:color w:val="auto"/>
          <w:sz w:val="24"/>
          <w:szCs w:val="20"/>
          <w:highlight w:val="none"/>
        </w:rPr>
      </w:pPr>
    </w:p>
    <w:p w14:paraId="76BEDBA3">
      <w:pPr>
        <w:snapToGrid w:val="0"/>
        <w:spacing w:before="120" w:beforeLines="50" w:after="50"/>
        <w:jc w:val="left"/>
        <w:rPr>
          <w:rFonts w:ascii="宋体" w:hAnsi="宋体"/>
          <w:color w:val="auto"/>
          <w:sz w:val="24"/>
          <w:szCs w:val="20"/>
          <w:highlight w:val="none"/>
        </w:rPr>
      </w:pPr>
    </w:p>
    <w:p w14:paraId="5BBAC0F7">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5322FF43">
      <w:pPr>
        <w:pStyle w:val="36"/>
        <w:snapToGrid w:val="0"/>
        <w:ind w:left="480" w:hanging="480"/>
        <w:rPr>
          <w:rFonts w:hint="eastAsia" w:ascii="宋体" w:hAnsi="宋体"/>
          <w:color w:val="auto"/>
          <w:sz w:val="24"/>
          <w:highlight w:val="none"/>
        </w:rPr>
      </w:pPr>
    </w:p>
    <w:p w14:paraId="2F38757C">
      <w:pPr>
        <w:pStyle w:val="36"/>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8934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B5BD96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676356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8FDE9E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95F2E0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3C1343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F65DE8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DE0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B5DAA4F">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7D95BC">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001D5F7">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FEF5FE7">
            <w:pPr>
              <w:jc w:val="left"/>
              <w:rPr>
                <w:rFonts w:hint="eastAsia" w:ascii="宋体" w:hAnsi="宋体"/>
                <w:color w:val="auto"/>
                <w:sz w:val="24"/>
                <w:highlight w:val="none"/>
              </w:rPr>
            </w:pPr>
          </w:p>
        </w:tc>
      </w:tr>
      <w:tr w14:paraId="39CC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A0ACBC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9B1C30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8B6850C">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FF34527">
            <w:pPr>
              <w:snapToGrid w:val="0"/>
              <w:spacing w:line="240" w:lineRule="exact"/>
              <w:jc w:val="left"/>
              <w:rPr>
                <w:rFonts w:hint="eastAsia" w:ascii="宋体" w:hAnsi="宋体"/>
                <w:color w:val="auto"/>
                <w:sz w:val="24"/>
                <w:highlight w:val="none"/>
              </w:rPr>
            </w:pPr>
          </w:p>
        </w:tc>
      </w:tr>
      <w:tr w14:paraId="67695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9CFA46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315E8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5D145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B1C4B7">
            <w:pPr>
              <w:snapToGrid w:val="0"/>
              <w:spacing w:before="50" w:after="120" w:afterLines="50" w:line="400" w:lineRule="exact"/>
              <w:jc w:val="left"/>
              <w:rPr>
                <w:rFonts w:hint="eastAsia" w:ascii="宋体" w:hAnsi="宋体"/>
                <w:color w:val="auto"/>
                <w:sz w:val="24"/>
                <w:highlight w:val="none"/>
              </w:rPr>
            </w:pPr>
          </w:p>
        </w:tc>
      </w:tr>
      <w:tr w14:paraId="57773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6F3FC9F2">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204E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C36BAD">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6835DFB">
            <w:pPr>
              <w:snapToGrid w:val="0"/>
              <w:spacing w:before="50" w:after="120" w:afterLines="50" w:line="400" w:lineRule="exact"/>
              <w:jc w:val="left"/>
              <w:rPr>
                <w:rFonts w:hint="eastAsia" w:ascii="宋体" w:hAnsi="宋体"/>
                <w:color w:val="auto"/>
                <w:sz w:val="24"/>
                <w:highlight w:val="none"/>
              </w:rPr>
            </w:pPr>
          </w:p>
        </w:tc>
      </w:tr>
      <w:tr w14:paraId="387D8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BFC759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4FB61C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23416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01232C0">
            <w:pPr>
              <w:snapToGrid w:val="0"/>
              <w:spacing w:before="50" w:after="120" w:afterLines="50" w:line="400" w:lineRule="exact"/>
              <w:jc w:val="left"/>
              <w:rPr>
                <w:rFonts w:hint="eastAsia" w:ascii="宋体" w:hAnsi="宋体"/>
                <w:color w:val="auto"/>
                <w:sz w:val="24"/>
                <w:highlight w:val="none"/>
              </w:rPr>
            </w:pPr>
          </w:p>
        </w:tc>
      </w:tr>
      <w:tr w14:paraId="5EB32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250" w:type="pct"/>
            <w:tcBorders>
              <w:top w:val="single" w:color="auto" w:sz="4" w:space="0"/>
              <w:left w:val="single" w:color="auto" w:sz="4" w:space="0"/>
              <w:bottom w:val="single" w:color="auto" w:sz="4" w:space="0"/>
              <w:right w:val="single" w:color="auto" w:sz="4" w:space="0"/>
            </w:tcBorders>
            <w:noWrap w:val="0"/>
            <w:vAlign w:val="top"/>
          </w:tcPr>
          <w:p w14:paraId="41DB74E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6F00E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306D8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C092840">
            <w:pPr>
              <w:snapToGrid w:val="0"/>
              <w:spacing w:before="50" w:after="120" w:afterLines="50" w:line="400" w:lineRule="exact"/>
              <w:jc w:val="left"/>
              <w:rPr>
                <w:rFonts w:hint="eastAsia" w:ascii="宋体" w:hAnsi="宋体"/>
                <w:color w:val="auto"/>
                <w:sz w:val="24"/>
                <w:highlight w:val="none"/>
              </w:rPr>
            </w:pPr>
          </w:p>
        </w:tc>
      </w:tr>
    </w:tbl>
    <w:p w14:paraId="449490E1">
      <w:pPr>
        <w:pStyle w:val="16"/>
        <w:spacing w:before="0" w:after="0" w:line="360" w:lineRule="auto"/>
        <w:contextualSpacing/>
        <w:rPr>
          <w:rFonts w:hint="eastAsia" w:ascii="宋体" w:hAnsi="宋体" w:eastAsia="宋体"/>
          <w:color w:val="auto"/>
          <w:sz w:val="24"/>
          <w:szCs w:val="24"/>
          <w:highlight w:val="none"/>
        </w:rPr>
      </w:pPr>
    </w:p>
    <w:p w14:paraId="1E771676">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2D9B891">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007A7F82">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3CC10531">
      <w:pPr>
        <w:snapToGrid w:val="0"/>
        <w:spacing w:before="50"/>
        <w:ind w:firstLine="480" w:firstLineChars="200"/>
        <w:jc w:val="left"/>
        <w:rPr>
          <w:rFonts w:hint="eastAsia" w:ascii="宋体" w:hAnsi="宋体"/>
          <w:color w:val="auto"/>
          <w:sz w:val="24"/>
          <w:szCs w:val="20"/>
          <w:highlight w:val="none"/>
        </w:rPr>
      </w:pPr>
    </w:p>
    <w:p w14:paraId="1960FD9B">
      <w:pPr>
        <w:snapToGrid w:val="0"/>
        <w:spacing w:before="50"/>
        <w:jc w:val="left"/>
        <w:rPr>
          <w:rFonts w:hint="eastAsia" w:ascii="宋体" w:hAnsi="宋体"/>
          <w:color w:val="auto"/>
          <w:sz w:val="24"/>
          <w:highlight w:val="none"/>
        </w:rPr>
      </w:pPr>
    </w:p>
    <w:p w14:paraId="11DC2B52">
      <w:pPr>
        <w:snapToGrid w:val="0"/>
        <w:spacing w:before="120" w:beforeLines="50"/>
        <w:rPr>
          <w:rFonts w:ascii="宋体" w:hAnsi="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3E83C227">
      <w:pPr>
        <w:rPr>
          <w:rFonts w:hint="eastAsia"/>
          <w:b/>
          <w:color w:val="auto"/>
          <w:sz w:val="28"/>
          <w:szCs w:val="28"/>
          <w:highlight w:val="none"/>
        </w:rPr>
      </w:pPr>
      <w:r>
        <w:rPr>
          <w:rFonts w:hint="eastAsia"/>
          <w:b/>
          <w:color w:val="auto"/>
          <w:sz w:val="28"/>
          <w:szCs w:val="28"/>
          <w:highlight w:val="none"/>
        </w:rPr>
        <w:t>四、技术文件格式</w:t>
      </w:r>
    </w:p>
    <w:p w14:paraId="24857C98">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2DE60D12">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55C34559">
      <w:pPr>
        <w:snapToGrid w:val="0"/>
        <w:spacing w:before="120" w:beforeLines="50" w:after="50"/>
        <w:rPr>
          <w:rFonts w:hint="eastAsia" w:ascii="宋体" w:hAnsi="宋体"/>
          <w:color w:val="auto"/>
          <w:sz w:val="24"/>
          <w:szCs w:val="20"/>
          <w:highlight w:val="none"/>
        </w:rPr>
      </w:pPr>
    </w:p>
    <w:p w14:paraId="4105337D">
      <w:pPr>
        <w:snapToGrid w:val="0"/>
        <w:spacing w:before="120" w:beforeLines="50" w:after="50"/>
        <w:rPr>
          <w:rFonts w:hint="eastAsia" w:ascii="宋体" w:hAnsi="宋体"/>
          <w:color w:val="auto"/>
          <w:sz w:val="24"/>
          <w:szCs w:val="20"/>
          <w:highlight w:val="none"/>
        </w:rPr>
      </w:pPr>
    </w:p>
    <w:p w14:paraId="1E946572">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6747CF49">
      <w:pPr>
        <w:snapToGrid w:val="0"/>
        <w:spacing w:before="120" w:beforeLines="50" w:after="50"/>
        <w:rPr>
          <w:rFonts w:hint="eastAsia" w:ascii="宋体" w:hAnsi="宋体"/>
          <w:color w:val="auto"/>
          <w:sz w:val="24"/>
          <w:szCs w:val="20"/>
          <w:highlight w:val="none"/>
        </w:rPr>
      </w:pPr>
    </w:p>
    <w:p w14:paraId="7DEBADDE">
      <w:pPr>
        <w:snapToGrid w:val="0"/>
        <w:spacing w:before="120" w:beforeLines="50" w:after="50"/>
        <w:rPr>
          <w:rFonts w:hint="eastAsia" w:ascii="宋体" w:hAnsi="宋体"/>
          <w:color w:val="auto"/>
          <w:sz w:val="24"/>
          <w:szCs w:val="20"/>
          <w:highlight w:val="none"/>
        </w:rPr>
      </w:pPr>
    </w:p>
    <w:p w14:paraId="615648F9">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373190E3">
      <w:pPr>
        <w:snapToGrid w:val="0"/>
        <w:spacing w:before="120" w:beforeLines="50" w:after="50"/>
        <w:rPr>
          <w:rFonts w:hint="eastAsia" w:ascii="宋体" w:hAnsi="宋体"/>
          <w:bCs/>
          <w:color w:val="auto"/>
          <w:sz w:val="24"/>
          <w:szCs w:val="20"/>
          <w:highlight w:val="none"/>
        </w:rPr>
      </w:pPr>
    </w:p>
    <w:p w14:paraId="28DE285A">
      <w:pPr>
        <w:snapToGrid w:val="0"/>
        <w:spacing w:before="120" w:beforeLines="50" w:after="50"/>
        <w:rPr>
          <w:rFonts w:hint="eastAsia" w:ascii="宋体" w:hAnsi="宋体"/>
          <w:bCs/>
          <w:color w:val="auto"/>
          <w:sz w:val="24"/>
          <w:szCs w:val="20"/>
          <w:highlight w:val="none"/>
        </w:rPr>
      </w:pPr>
    </w:p>
    <w:p w14:paraId="2E4C147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4E6C073B">
      <w:pPr>
        <w:snapToGrid w:val="0"/>
        <w:spacing w:before="120" w:beforeLines="50" w:after="50" w:line="400" w:lineRule="exact"/>
        <w:ind w:firstLine="360" w:firstLineChars="150"/>
        <w:rPr>
          <w:rFonts w:hint="eastAsia" w:ascii="宋体" w:hAnsi="宋体"/>
          <w:bCs/>
          <w:color w:val="auto"/>
          <w:sz w:val="24"/>
          <w:szCs w:val="20"/>
          <w:highlight w:val="none"/>
        </w:rPr>
      </w:pPr>
    </w:p>
    <w:p w14:paraId="2BCA75D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050DF02E">
      <w:pPr>
        <w:snapToGrid w:val="0"/>
        <w:spacing w:before="120" w:beforeLines="50" w:after="50" w:line="400" w:lineRule="exact"/>
        <w:ind w:firstLine="360" w:firstLineChars="150"/>
        <w:rPr>
          <w:rFonts w:hint="eastAsia" w:ascii="宋体" w:hAnsi="宋体"/>
          <w:bCs/>
          <w:color w:val="auto"/>
          <w:sz w:val="24"/>
          <w:highlight w:val="none"/>
        </w:rPr>
      </w:pPr>
    </w:p>
    <w:p w14:paraId="60B1F6A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A891A64">
      <w:pPr>
        <w:snapToGrid w:val="0"/>
        <w:spacing w:before="120" w:beforeLines="50" w:after="50" w:line="400" w:lineRule="exact"/>
        <w:ind w:firstLine="360" w:firstLineChars="150"/>
        <w:rPr>
          <w:rFonts w:hint="eastAsia" w:ascii="宋体" w:hAnsi="宋体"/>
          <w:bCs/>
          <w:color w:val="auto"/>
          <w:sz w:val="24"/>
          <w:highlight w:val="none"/>
        </w:rPr>
      </w:pPr>
    </w:p>
    <w:p w14:paraId="1C20D39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D10E796">
      <w:pPr>
        <w:snapToGrid w:val="0"/>
        <w:spacing w:before="120" w:beforeLines="50" w:after="50" w:line="400" w:lineRule="exact"/>
        <w:ind w:firstLine="360" w:firstLineChars="150"/>
        <w:rPr>
          <w:rFonts w:hint="eastAsia" w:ascii="宋体" w:hAnsi="宋体"/>
          <w:bCs/>
          <w:color w:val="auto"/>
          <w:sz w:val="24"/>
          <w:highlight w:val="none"/>
        </w:rPr>
      </w:pPr>
    </w:p>
    <w:p w14:paraId="52CD938D">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6048F58">
      <w:pPr>
        <w:snapToGrid w:val="0"/>
        <w:spacing w:before="120" w:beforeLines="50" w:after="50" w:line="400" w:lineRule="exact"/>
        <w:ind w:firstLine="360" w:firstLineChars="150"/>
        <w:rPr>
          <w:rFonts w:hint="eastAsia" w:ascii="宋体" w:hAnsi="宋体"/>
          <w:bCs/>
          <w:color w:val="auto"/>
          <w:sz w:val="24"/>
          <w:highlight w:val="none"/>
        </w:rPr>
      </w:pPr>
    </w:p>
    <w:p w14:paraId="60A48D21">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50C233B6">
      <w:pPr>
        <w:snapToGrid w:val="0"/>
        <w:spacing w:before="120" w:beforeLines="50" w:after="50"/>
        <w:ind w:firstLine="645"/>
        <w:jc w:val="center"/>
        <w:rPr>
          <w:rFonts w:hint="eastAsia" w:ascii="宋体" w:hAnsi="宋体"/>
          <w:color w:val="auto"/>
          <w:sz w:val="24"/>
          <w:highlight w:val="none"/>
        </w:rPr>
      </w:pPr>
    </w:p>
    <w:p w14:paraId="1E311697">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69826AA8">
      <w:pPr>
        <w:snapToGrid w:val="0"/>
        <w:spacing w:before="120" w:beforeLines="50" w:after="50"/>
        <w:ind w:firstLine="645"/>
        <w:jc w:val="center"/>
        <w:rPr>
          <w:rFonts w:hint="eastAsia" w:ascii="宋体" w:hAnsi="宋体"/>
          <w:color w:val="auto"/>
          <w:sz w:val="24"/>
          <w:szCs w:val="20"/>
          <w:highlight w:val="none"/>
        </w:rPr>
      </w:pPr>
    </w:p>
    <w:p w14:paraId="6AD93E16">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6C8D1F0A">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682B45E4">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3FA5ADE5">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BEB422E">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0E18F2C">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hint="default" w:ascii="Arial" w:hAnsi="Arial" w:cs="Arial"/>
          <w:b/>
          <w:color w:val="auto"/>
          <w:szCs w:val="21"/>
          <w:highlight w:val="none"/>
        </w:rPr>
        <w:t>……………</w:t>
      </w:r>
      <w:r>
        <w:rPr>
          <w:rFonts w:hint="eastAsia" w:ascii="Arial" w:hAnsi="Arial" w:cs="Arial"/>
          <w:b/>
          <w:color w:val="auto"/>
          <w:szCs w:val="21"/>
          <w:highlight w:val="none"/>
          <w:lang w:val="en-US" w:eastAsia="zh-CN"/>
        </w:rPr>
        <w:t>页码</w:t>
      </w:r>
    </w:p>
    <w:p w14:paraId="0125884E">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3639F398">
      <w:pPr>
        <w:snapToGrid w:val="0"/>
        <w:spacing w:before="120" w:beforeLines="50" w:after="50"/>
        <w:ind w:left="142"/>
        <w:jc w:val="left"/>
        <w:rPr>
          <w:rFonts w:hint="eastAsia" w:ascii="宋体" w:hAnsi="宋体"/>
          <w:b/>
          <w:color w:val="auto"/>
          <w:sz w:val="24"/>
          <w:highlight w:val="none"/>
        </w:rPr>
      </w:pPr>
    </w:p>
    <w:p w14:paraId="602F61AB">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478E9ADA">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4DE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5AA515B">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5ADCB773">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noWrap w:val="0"/>
            <w:vAlign w:val="center"/>
          </w:tcPr>
          <w:p w14:paraId="302451D2">
            <w:pPr>
              <w:pStyle w:val="2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60FDDDF0">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5760AE8D">
            <w:pPr>
              <w:pStyle w:val="26"/>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6F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2458DCF">
            <w:pPr>
              <w:pStyle w:val="26"/>
              <w:spacing w:line="600" w:lineRule="exact"/>
              <w:jc w:val="center"/>
              <w:rPr>
                <w:rFonts w:hint="eastAsia" w:hAnsi="宋体" w:cs="Courier New"/>
                <w:color w:val="auto"/>
                <w:kern w:val="2"/>
                <w:sz w:val="24"/>
                <w:szCs w:val="24"/>
                <w:highlight w:val="none"/>
              </w:rPr>
            </w:pPr>
          </w:p>
        </w:tc>
        <w:tc>
          <w:tcPr>
            <w:tcW w:w="2143" w:type="dxa"/>
            <w:noWrap w:val="0"/>
            <w:vAlign w:val="center"/>
          </w:tcPr>
          <w:p w14:paraId="20E66F8D">
            <w:pPr>
              <w:pStyle w:val="26"/>
              <w:spacing w:line="600" w:lineRule="exact"/>
              <w:jc w:val="center"/>
              <w:rPr>
                <w:rFonts w:hint="eastAsia" w:hAnsi="宋体" w:cs="Courier New"/>
                <w:color w:val="auto"/>
                <w:kern w:val="2"/>
                <w:sz w:val="24"/>
                <w:szCs w:val="24"/>
                <w:highlight w:val="none"/>
              </w:rPr>
            </w:pPr>
          </w:p>
        </w:tc>
        <w:tc>
          <w:tcPr>
            <w:tcW w:w="1834" w:type="dxa"/>
            <w:noWrap w:val="0"/>
            <w:vAlign w:val="center"/>
          </w:tcPr>
          <w:p w14:paraId="20224D51">
            <w:pPr>
              <w:pStyle w:val="26"/>
              <w:spacing w:line="600" w:lineRule="exact"/>
              <w:jc w:val="center"/>
              <w:rPr>
                <w:rFonts w:hint="eastAsia" w:hAnsi="宋体" w:cs="Courier New"/>
                <w:color w:val="auto"/>
                <w:kern w:val="2"/>
                <w:sz w:val="24"/>
                <w:szCs w:val="24"/>
                <w:highlight w:val="none"/>
              </w:rPr>
            </w:pPr>
          </w:p>
        </w:tc>
        <w:tc>
          <w:tcPr>
            <w:tcW w:w="2181" w:type="dxa"/>
            <w:noWrap w:val="0"/>
            <w:vAlign w:val="center"/>
          </w:tcPr>
          <w:p w14:paraId="62B2EF0E">
            <w:pPr>
              <w:pStyle w:val="26"/>
              <w:spacing w:line="600" w:lineRule="exact"/>
              <w:jc w:val="center"/>
              <w:rPr>
                <w:rFonts w:hint="eastAsia" w:hAnsi="宋体" w:cs="Courier New"/>
                <w:color w:val="auto"/>
                <w:kern w:val="2"/>
                <w:sz w:val="24"/>
                <w:szCs w:val="24"/>
                <w:highlight w:val="none"/>
              </w:rPr>
            </w:pPr>
          </w:p>
        </w:tc>
        <w:tc>
          <w:tcPr>
            <w:tcW w:w="1934" w:type="dxa"/>
            <w:noWrap w:val="0"/>
            <w:vAlign w:val="center"/>
          </w:tcPr>
          <w:p w14:paraId="664FB74D">
            <w:pPr>
              <w:pStyle w:val="26"/>
              <w:spacing w:line="600" w:lineRule="exact"/>
              <w:jc w:val="center"/>
              <w:rPr>
                <w:rFonts w:hint="eastAsia" w:hAnsi="宋体" w:cs="Courier New"/>
                <w:color w:val="auto"/>
                <w:kern w:val="2"/>
                <w:sz w:val="24"/>
                <w:szCs w:val="24"/>
                <w:highlight w:val="none"/>
              </w:rPr>
            </w:pPr>
          </w:p>
        </w:tc>
      </w:tr>
      <w:tr w14:paraId="00A9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8CE3D24">
            <w:pPr>
              <w:pStyle w:val="26"/>
              <w:spacing w:line="600" w:lineRule="exact"/>
              <w:rPr>
                <w:rFonts w:hint="eastAsia" w:hAnsi="宋体" w:cs="Courier New"/>
                <w:color w:val="auto"/>
                <w:kern w:val="2"/>
                <w:sz w:val="24"/>
                <w:szCs w:val="24"/>
                <w:highlight w:val="none"/>
              </w:rPr>
            </w:pPr>
          </w:p>
        </w:tc>
        <w:tc>
          <w:tcPr>
            <w:tcW w:w="2143" w:type="dxa"/>
            <w:noWrap w:val="0"/>
            <w:vAlign w:val="top"/>
          </w:tcPr>
          <w:p w14:paraId="46F21B12">
            <w:pPr>
              <w:pStyle w:val="26"/>
              <w:spacing w:line="600" w:lineRule="exact"/>
              <w:rPr>
                <w:rFonts w:hint="eastAsia" w:hAnsi="宋体" w:cs="Courier New"/>
                <w:color w:val="auto"/>
                <w:kern w:val="2"/>
                <w:sz w:val="24"/>
                <w:szCs w:val="24"/>
                <w:highlight w:val="none"/>
              </w:rPr>
            </w:pPr>
          </w:p>
        </w:tc>
        <w:tc>
          <w:tcPr>
            <w:tcW w:w="1834" w:type="dxa"/>
            <w:noWrap w:val="0"/>
            <w:vAlign w:val="top"/>
          </w:tcPr>
          <w:p w14:paraId="1472684E">
            <w:pPr>
              <w:pStyle w:val="26"/>
              <w:spacing w:line="600" w:lineRule="exact"/>
              <w:rPr>
                <w:rFonts w:hint="eastAsia" w:hAnsi="宋体" w:cs="Courier New"/>
                <w:color w:val="auto"/>
                <w:kern w:val="2"/>
                <w:sz w:val="24"/>
                <w:szCs w:val="24"/>
                <w:highlight w:val="none"/>
              </w:rPr>
            </w:pPr>
          </w:p>
        </w:tc>
        <w:tc>
          <w:tcPr>
            <w:tcW w:w="2181" w:type="dxa"/>
            <w:noWrap w:val="0"/>
            <w:vAlign w:val="top"/>
          </w:tcPr>
          <w:p w14:paraId="05E48A3E">
            <w:pPr>
              <w:pStyle w:val="26"/>
              <w:spacing w:line="600" w:lineRule="exact"/>
              <w:rPr>
                <w:rFonts w:hint="eastAsia" w:hAnsi="宋体" w:cs="Courier New"/>
                <w:color w:val="auto"/>
                <w:kern w:val="2"/>
                <w:sz w:val="24"/>
                <w:szCs w:val="24"/>
                <w:highlight w:val="none"/>
              </w:rPr>
            </w:pPr>
          </w:p>
        </w:tc>
        <w:tc>
          <w:tcPr>
            <w:tcW w:w="1934" w:type="dxa"/>
            <w:noWrap w:val="0"/>
            <w:vAlign w:val="top"/>
          </w:tcPr>
          <w:p w14:paraId="4775A633">
            <w:pPr>
              <w:pStyle w:val="26"/>
              <w:spacing w:line="600" w:lineRule="exact"/>
              <w:rPr>
                <w:rFonts w:hint="eastAsia" w:hAnsi="宋体" w:cs="Courier New"/>
                <w:color w:val="auto"/>
                <w:kern w:val="2"/>
                <w:sz w:val="24"/>
                <w:szCs w:val="24"/>
                <w:highlight w:val="none"/>
              </w:rPr>
            </w:pPr>
          </w:p>
        </w:tc>
      </w:tr>
      <w:tr w14:paraId="2FC7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B1FB9D">
            <w:pPr>
              <w:pStyle w:val="26"/>
              <w:spacing w:line="600" w:lineRule="exact"/>
              <w:rPr>
                <w:rFonts w:hint="eastAsia" w:hAnsi="宋体" w:cs="Courier New"/>
                <w:color w:val="auto"/>
                <w:kern w:val="2"/>
                <w:sz w:val="24"/>
                <w:szCs w:val="24"/>
                <w:highlight w:val="none"/>
              </w:rPr>
            </w:pPr>
          </w:p>
        </w:tc>
        <w:tc>
          <w:tcPr>
            <w:tcW w:w="2143" w:type="dxa"/>
            <w:noWrap w:val="0"/>
            <w:vAlign w:val="top"/>
          </w:tcPr>
          <w:p w14:paraId="425FA500">
            <w:pPr>
              <w:pStyle w:val="26"/>
              <w:spacing w:line="600" w:lineRule="exact"/>
              <w:rPr>
                <w:rFonts w:hint="eastAsia" w:hAnsi="宋体" w:cs="Courier New"/>
                <w:color w:val="auto"/>
                <w:kern w:val="2"/>
                <w:sz w:val="24"/>
                <w:szCs w:val="24"/>
                <w:highlight w:val="none"/>
              </w:rPr>
            </w:pPr>
          </w:p>
        </w:tc>
        <w:tc>
          <w:tcPr>
            <w:tcW w:w="1834" w:type="dxa"/>
            <w:noWrap w:val="0"/>
            <w:vAlign w:val="top"/>
          </w:tcPr>
          <w:p w14:paraId="71EBD293">
            <w:pPr>
              <w:pStyle w:val="26"/>
              <w:spacing w:line="600" w:lineRule="exact"/>
              <w:rPr>
                <w:rFonts w:hint="eastAsia" w:hAnsi="宋体" w:cs="Courier New"/>
                <w:color w:val="auto"/>
                <w:kern w:val="2"/>
                <w:sz w:val="24"/>
                <w:szCs w:val="24"/>
                <w:highlight w:val="none"/>
              </w:rPr>
            </w:pPr>
          </w:p>
        </w:tc>
        <w:tc>
          <w:tcPr>
            <w:tcW w:w="2181" w:type="dxa"/>
            <w:noWrap w:val="0"/>
            <w:vAlign w:val="top"/>
          </w:tcPr>
          <w:p w14:paraId="7CF40F94">
            <w:pPr>
              <w:pStyle w:val="26"/>
              <w:spacing w:line="600" w:lineRule="exact"/>
              <w:rPr>
                <w:rFonts w:hint="eastAsia" w:hAnsi="宋体" w:cs="Courier New"/>
                <w:color w:val="auto"/>
                <w:kern w:val="2"/>
                <w:sz w:val="24"/>
                <w:szCs w:val="24"/>
                <w:highlight w:val="none"/>
              </w:rPr>
            </w:pPr>
          </w:p>
        </w:tc>
        <w:tc>
          <w:tcPr>
            <w:tcW w:w="1934" w:type="dxa"/>
            <w:noWrap w:val="0"/>
            <w:vAlign w:val="top"/>
          </w:tcPr>
          <w:p w14:paraId="785D7C58">
            <w:pPr>
              <w:pStyle w:val="26"/>
              <w:spacing w:line="600" w:lineRule="exact"/>
              <w:rPr>
                <w:rFonts w:hint="eastAsia" w:hAnsi="宋体" w:cs="Courier New"/>
                <w:color w:val="auto"/>
                <w:kern w:val="2"/>
                <w:sz w:val="24"/>
                <w:szCs w:val="24"/>
                <w:highlight w:val="none"/>
              </w:rPr>
            </w:pPr>
          </w:p>
        </w:tc>
      </w:tr>
      <w:tr w14:paraId="2F5B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4DD20AD">
            <w:pPr>
              <w:pStyle w:val="26"/>
              <w:spacing w:line="600" w:lineRule="exact"/>
              <w:rPr>
                <w:rFonts w:hint="eastAsia" w:hAnsi="宋体" w:cs="Courier New"/>
                <w:color w:val="auto"/>
                <w:kern w:val="2"/>
                <w:sz w:val="24"/>
                <w:szCs w:val="24"/>
                <w:highlight w:val="none"/>
              </w:rPr>
            </w:pPr>
          </w:p>
        </w:tc>
        <w:tc>
          <w:tcPr>
            <w:tcW w:w="2143" w:type="dxa"/>
            <w:noWrap w:val="0"/>
            <w:vAlign w:val="top"/>
          </w:tcPr>
          <w:p w14:paraId="2097E459">
            <w:pPr>
              <w:pStyle w:val="26"/>
              <w:spacing w:line="600" w:lineRule="exact"/>
              <w:rPr>
                <w:rFonts w:hint="eastAsia" w:hAnsi="宋体" w:cs="Courier New"/>
                <w:color w:val="auto"/>
                <w:kern w:val="2"/>
                <w:sz w:val="24"/>
                <w:szCs w:val="24"/>
                <w:highlight w:val="none"/>
              </w:rPr>
            </w:pPr>
          </w:p>
        </w:tc>
        <w:tc>
          <w:tcPr>
            <w:tcW w:w="1834" w:type="dxa"/>
            <w:noWrap w:val="0"/>
            <w:vAlign w:val="top"/>
          </w:tcPr>
          <w:p w14:paraId="6FEDDD52">
            <w:pPr>
              <w:pStyle w:val="26"/>
              <w:spacing w:line="600" w:lineRule="exact"/>
              <w:rPr>
                <w:rFonts w:hint="eastAsia" w:hAnsi="宋体" w:cs="Courier New"/>
                <w:color w:val="auto"/>
                <w:kern w:val="2"/>
                <w:sz w:val="24"/>
                <w:szCs w:val="24"/>
                <w:highlight w:val="none"/>
              </w:rPr>
            </w:pPr>
          </w:p>
        </w:tc>
        <w:tc>
          <w:tcPr>
            <w:tcW w:w="2181" w:type="dxa"/>
            <w:noWrap w:val="0"/>
            <w:vAlign w:val="top"/>
          </w:tcPr>
          <w:p w14:paraId="74B349F3">
            <w:pPr>
              <w:pStyle w:val="26"/>
              <w:spacing w:line="600" w:lineRule="exact"/>
              <w:rPr>
                <w:rFonts w:hint="eastAsia" w:hAnsi="宋体" w:cs="Courier New"/>
                <w:color w:val="auto"/>
                <w:kern w:val="2"/>
                <w:sz w:val="24"/>
                <w:szCs w:val="24"/>
                <w:highlight w:val="none"/>
              </w:rPr>
            </w:pPr>
          </w:p>
        </w:tc>
        <w:tc>
          <w:tcPr>
            <w:tcW w:w="1934" w:type="dxa"/>
            <w:noWrap w:val="0"/>
            <w:vAlign w:val="top"/>
          </w:tcPr>
          <w:p w14:paraId="672DA965">
            <w:pPr>
              <w:pStyle w:val="26"/>
              <w:spacing w:line="600" w:lineRule="exact"/>
              <w:rPr>
                <w:rFonts w:hint="eastAsia" w:hAnsi="宋体" w:cs="Courier New"/>
                <w:color w:val="auto"/>
                <w:kern w:val="2"/>
                <w:sz w:val="24"/>
                <w:szCs w:val="24"/>
                <w:highlight w:val="none"/>
              </w:rPr>
            </w:pPr>
          </w:p>
        </w:tc>
      </w:tr>
      <w:tr w14:paraId="6B84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AACC5F4">
            <w:pPr>
              <w:pStyle w:val="26"/>
              <w:spacing w:line="600" w:lineRule="exact"/>
              <w:rPr>
                <w:rFonts w:hint="eastAsia" w:hAnsi="宋体" w:cs="Courier New"/>
                <w:color w:val="auto"/>
                <w:kern w:val="2"/>
                <w:sz w:val="24"/>
                <w:szCs w:val="24"/>
                <w:highlight w:val="none"/>
              </w:rPr>
            </w:pPr>
          </w:p>
        </w:tc>
        <w:tc>
          <w:tcPr>
            <w:tcW w:w="2143" w:type="dxa"/>
            <w:noWrap w:val="0"/>
            <w:vAlign w:val="top"/>
          </w:tcPr>
          <w:p w14:paraId="3C3B3C78">
            <w:pPr>
              <w:pStyle w:val="26"/>
              <w:spacing w:line="600" w:lineRule="exact"/>
              <w:rPr>
                <w:rFonts w:hint="eastAsia" w:hAnsi="宋体" w:cs="Courier New"/>
                <w:color w:val="auto"/>
                <w:kern w:val="2"/>
                <w:sz w:val="24"/>
                <w:szCs w:val="24"/>
                <w:highlight w:val="none"/>
              </w:rPr>
            </w:pPr>
          </w:p>
        </w:tc>
        <w:tc>
          <w:tcPr>
            <w:tcW w:w="1834" w:type="dxa"/>
            <w:noWrap w:val="0"/>
            <w:vAlign w:val="top"/>
          </w:tcPr>
          <w:p w14:paraId="7B47919E">
            <w:pPr>
              <w:pStyle w:val="26"/>
              <w:spacing w:line="600" w:lineRule="exact"/>
              <w:rPr>
                <w:rFonts w:hint="eastAsia" w:hAnsi="宋体" w:cs="Courier New"/>
                <w:color w:val="auto"/>
                <w:kern w:val="2"/>
                <w:sz w:val="24"/>
                <w:szCs w:val="24"/>
                <w:highlight w:val="none"/>
              </w:rPr>
            </w:pPr>
          </w:p>
        </w:tc>
        <w:tc>
          <w:tcPr>
            <w:tcW w:w="2181" w:type="dxa"/>
            <w:noWrap w:val="0"/>
            <w:vAlign w:val="top"/>
          </w:tcPr>
          <w:p w14:paraId="1864EC10">
            <w:pPr>
              <w:pStyle w:val="26"/>
              <w:spacing w:line="600" w:lineRule="exact"/>
              <w:rPr>
                <w:rFonts w:hint="eastAsia" w:hAnsi="宋体" w:cs="Courier New"/>
                <w:color w:val="auto"/>
                <w:kern w:val="2"/>
                <w:sz w:val="24"/>
                <w:szCs w:val="24"/>
                <w:highlight w:val="none"/>
              </w:rPr>
            </w:pPr>
          </w:p>
        </w:tc>
        <w:tc>
          <w:tcPr>
            <w:tcW w:w="1934" w:type="dxa"/>
            <w:noWrap w:val="0"/>
            <w:vAlign w:val="top"/>
          </w:tcPr>
          <w:p w14:paraId="3398244B">
            <w:pPr>
              <w:pStyle w:val="26"/>
              <w:spacing w:line="600" w:lineRule="exact"/>
              <w:rPr>
                <w:rFonts w:hint="eastAsia" w:hAnsi="宋体" w:cs="Courier New"/>
                <w:color w:val="auto"/>
                <w:kern w:val="2"/>
                <w:sz w:val="24"/>
                <w:szCs w:val="24"/>
                <w:highlight w:val="none"/>
              </w:rPr>
            </w:pPr>
          </w:p>
        </w:tc>
      </w:tr>
      <w:tr w14:paraId="4988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62D344">
            <w:pPr>
              <w:pStyle w:val="26"/>
              <w:spacing w:line="600" w:lineRule="exact"/>
              <w:rPr>
                <w:rFonts w:hint="eastAsia" w:hAnsi="宋体" w:cs="Courier New"/>
                <w:color w:val="auto"/>
                <w:kern w:val="2"/>
                <w:sz w:val="24"/>
                <w:szCs w:val="24"/>
                <w:highlight w:val="none"/>
              </w:rPr>
            </w:pPr>
          </w:p>
        </w:tc>
        <w:tc>
          <w:tcPr>
            <w:tcW w:w="2143" w:type="dxa"/>
            <w:noWrap w:val="0"/>
            <w:vAlign w:val="top"/>
          </w:tcPr>
          <w:p w14:paraId="6B7A0990">
            <w:pPr>
              <w:pStyle w:val="26"/>
              <w:spacing w:line="600" w:lineRule="exact"/>
              <w:rPr>
                <w:rFonts w:hint="eastAsia" w:hAnsi="宋体" w:cs="Courier New"/>
                <w:color w:val="auto"/>
                <w:kern w:val="2"/>
                <w:sz w:val="24"/>
                <w:szCs w:val="24"/>
                <w:highlight w:val="none"/>
              </w:rPr>
            </w:pPr>
          </w:p>
        </w:tc>
        <w:tc>
          <w:tcPr>
            <w:tcW w:w="1834" w:type="dxa"/>
            <w:noWrap w:val="0"/>
            <w:vAlign w:val="top"/>
          </w:tcPr>
          <w:p w14:paraId="056DF07B">
            <w:pPr>
              <w:pStyle w:val="26"/>
              <w:spacing w:line="600" w:lineRule="exact"/>
              <w:rPr>
                <w:rFonts w:hint="eastAsia" w:hAnsi="宋体" w:cs="Courier New"/>
                <w:color w:val="auto"/>
                <w:kern w:val="2"/>
                <w:sz w:val="24"/>
                <w:szCs w:val="24"/>
                <w:highlight w:val="none"/>
              </w:rPr>
            </w:pPr>
          </w:p>
        </w:tc>
        <w:tc>
          <w:tcPr>
            <w:tcW w:w="2181" w:type="dxa"/>
            <w:noWrap w:val="0"/>
            <w:vAlign w:val="top"/>
          </w:tcPr>
          <w:p w14:paraId="4A3865BE">
            <w:pPr>
              <w:pStyle w:val="26"/>
              <w:spacing w:line="600" w:lineRule="exact"/>
              <w:rPr>
                <w:rFonts w:hint="eastAsia" w:hAnsi="宋体" w:cs="Courier New"/>
                <w:color w:val="auto"/>
                <w:kern w:val="2"/>
                <w:sz w:val="24"/>
                <w:szCs w:val="24"/>
                <w:highlight w:val="none"/>
              </w:rPr>
            </w:pPr>
          </w:p>
        </w:tc>
        <w:tc>
          <w:tcPr>
            <w:tcW w:w="1934" w:type="dxa"/>
            <w:noWrap w:val="0"/>
            <w:vAlign w:val="top"/>
          </w:tcPr>
          <w:p w14:paraId="36C8E472">
            <w:pPr>
              <w:pStyle w:val="26"/>
              <w:spacing w:line="600" w:lineRule="exact"/>
              <w:rPr>
                <w:rFonts w:hint="eastAsia" w:hAnsi="宋体" w:cs="Courier New"/>
                <w:color w:val="auto"/>
                <w:kern w:val="2"/>
                <w:sz w:val="24"/>
                <w:szCs w:val="24"/>
                <w:highlight w:val="none"/>
              </w:rPr>
            </w:pPr>
          </w:p>
        </w:tc>
      </w:tr>
    </w:tbl>
    <w:p w14:paraId="0C55208E">
      <w:pPr>
        <w:pStyle w:val="19"/>
        <w:rPr>
          <w:rFonts w:hint="eastAsia" w:ascii="宋体" w:hAnsi="宋体"/>
          <w:color w:val="auto"/>
          <w:highlight w:val="none"/>
        </w:rPr>
      </w:pPr>
      <w:r>
        <w:rPr>
          <w:rFonts w:hint="eastAsia" w:ascii="宋体" w:hAnsi="宋体"/>
          <w:color w:val="auto"/>
          <w:highlight w:val="none"/>
        </w:rPr>
        <w:t>注：</w:t>
      </w:r>
    </w:p>
    <w:p w14:paraId="318FE4F7">
      <w:pPr>
        <w:pStyle w:val="21"/>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444CF9EB">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60A10EE">
      <w:pPr>
        <w:snapToGrid w:val="0"/>
        <w:spacing w:before="50" w:after="50" w:line="360" w:lineRule="auto"/>
        <w:rPr>
          <w:rFonts w:hint="eastAsia" w:ascii="宋体" w:hAnsi="宋体"/>
          <w:color w:val="auto"/>
          <w:sz w:val="24"/>
          <w:highlight w:val="none"/>
        </w:rPr>
      </w:pPr>
    </w:p>
    <w:p w14:paraId="6FEA198B">
      <w:pPr>
        <w:snapToGrid w:val="0"/>
        <w:spacing w:before="50" w:after="50" w:line="360" w:lineRule="auto"/>
        <w:rPr>
          <w:rFonts w:hint="eastAsia" w:ascii="宋体" w:hAnsi="宋体"/>
          <w:color w:val="auto"/>
          <w:sz w:val="24"/>
          <w:highlight w:val="none"/>
        </w:rPr>
      </w:pPr>
    </w:p>
    <w:p w14:paraId="7A711757">
      <w:pPr>
        <w:snapToGrid w:val="0"/>
        <w:spacing w:before="50" w:after="50" w:line="360" w:lineRule="auto"/>
        <w:rPr>
          <w:rFonts w:ascii="宋体" w:hAnsi="宋体"/>
          <w:color w:val="auto"/>
          <w:sz w:val="24"/>
          <w:highlight w:val="none"/>
        </w:rPr>
      </w:pPr>
    </w:p>
    <w:p w14:paraId="335C3232">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8E07C4D">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7DB810E">
      <w:pPr>
        <w:snapToGrid w:val="0"/>
        <w:spacing w:before="50" w:after="50" w:line="360" w:lineRule="auto"/>
        <w:rPr>
          <w:rFonts w:hint="eastAsia" w:ascii="宋体" w:hAnsi="宋体"/>
          <w:color w:val="auto"/>
          <w:sz w:val="24"/>
          <w:szCs w:val="20"/>
          <w:highlight w:val="none"/>
        </w:rPr>
      </w:pPr>
    </w:p>
    <w:p w14:paraId="3DCB1A2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2FFBFB18">
      <w:pPr>
        <w:snapToGrid w:val="0"/>
        <w:spacing w:before="120" w:beforeLines="50" w:after="50"/>
        <w:ind w:left="142"/>
        <w:jc w:val="left"/>
        <w:rPr>
          <w:rFonts w:hint="eastAsia" w:ascii="宋体" w:hAnsi="宋体"/>
          <w:b/>
          <w:color w:val="auto"/>
          <w:sz w:val="24"/>
          <w:highlight w:val="none"/>
        </w:rPr>
      </w:pPr>
    </w:p>
    <w:p w14:paraId="0EB1EBF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93B51BD">
      <w:pPr>
        <w:pStyle w:val="26"/>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7E6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A799F2">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63011C4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6066093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362D002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7C52830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31F5D3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2F83281D">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33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CB3D28E">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78DE4AB">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4A87AC34">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62801171">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1432CAD">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68F9F0A5">
            <w:pPr>
              <w:snapToGrid w:val="0"/>
              <w:spacing w:before="50" w:after="120" w:afterLines="50"/>
              <w:jc w:val="center"/>
              <w:rPr>
                <w:rFonts w:hint="eastAsia" w:ascii="宋体" w:hAnsi="宋体"/>
                <w:color w:val="auto"/>
                <w:sz w:val="24"/>
                <w:szCs w:val="20"/>
                <w:highlight w:val="none"/>
              </w:rPr>
            </w:pPr>
          </w:p>
        </w:tc>
      </w:tr>
      <w:tr w14:paraId="4EF8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EE6C6CC">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311CE98D">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0A732F36">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204CC8B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6828D3B5">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C2CE50C">
            <w:pPr>
              <w:snapToGrid w:val="0"/>
              <w:spacing w:before="50" w:after="120" w:afterLines="50"/>
              <w:jc w:val="center"/>
              <w:rPr>
                <w:rFonts w:hint="eastAsia" w:ascii="宋体" w:hAnsi="宋体"/>
                <w:color w:val="auto"/>
                <w:sz w:val="24"/>
                <w:szCs w:val="20"/>
                <w:highlight w:val="none"/>
              </w:rPr>
            </w:pPr>
          </w:p>
        </w:tc>
      </w:tr>
      <w:tr w14:paraId="74B2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81332C8">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3333860">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67FA65C">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1C62A0CB">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2F0FC057">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190F185C">
            <w:pPr>
              <w:snapToGrid w:val="0"/>
              <w:spacing w:before="50" w:after="120" w:afterLines="50"/>
              <w:jc w:val="center"/>
              <w:rPr>
                <w:rFonts w:hint="eastAsia" w:ascii="宋体" w:hAnsi="宋体"/>
                <w:color w:val="auto"/>
                <w:sz w:val="24"/>
                <w:szCs w:val="20"/>
                <w:highlight w:val="none"/>
              </w:rPr>
            </w:pPr>
          </w:p>
        </w:tc>
      </w:tr>
    </w:tbl>
    <w:p w14:paraId="70025488">
      <w:pPr>
        <w:snapToGrid w:val="0"/>
        <w:spacing w:before="50" w:after="120" w:afterLines="50"/>
        <w:jc w:val="left"/>
        <w:rPr>
          <w:rFonts w:hint="eastAsia" w:ascii="宋体" w:hAnsi="宋体"/>
          <w:color w:val="auto"/>
          <w:sz w:val="24"/>
          <w:szCs w:val="20"/>
          <w:highlight w:val="none"/>
        </w:rPr>
      </w:pPr>
    </w:p>
    <w:p w14:paraId="1C4FD9DB">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C6FC1B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7D61EF49">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5762A853">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8CC9C3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E10EC85">
      <w:pPr>
        <w:snapToGrid w:val="0"/>
        <w:spacing w:before="50" w:after="120" w:afterLines="50"/>
        <w:jc w:val="left"/>
        <w:rPr>
          <w:rFonts w:hint="eastAsia" w:ascii="宋体" w:hAnsi="宋体"/>
          <w:color w:val="auto"/>
          <w:sz w:val="24"/>
          <w:szCs w:val="20"/>
          <w:highlight w:val="none"/>
        </w:rPr>
      </w:pPr>
    </w:p>
    <w:p w14:paraId="2B105057">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30CBFD19">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A79DC61">
      <w:pPr>
        <w:snapToGrid w:val="0"/>
        <w:spacing w:before="120" w:beforeLines="50" w:after="50"/>
        <w:ind w:left="142"/>
        <w:jc w:val="left"/>
        <w:rPr>
          <w:rFonts w:hint="eastAsia" w:ascii="宋体" w:hAnsi="宋体"/>
          <w:b/>
          <w:color w:val="auto"/>
          <w:spacing w:val="20"/>
          <w:sz w:val="24"/>
          <w:highlight w:val="none"/>
        </w:rPr>
      </w:pPr>
    </w:p>
    <w:p w14:paraId="06F2EC55">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1C46D62A">
      <w:pPr>
        <w:pStyle w:val="8"/>
        <w:overflowPunct w:val="0"/>
        <w:rPr>
          <w:rFonts w:ascii="宋体" w:hAnsi="宋体"/>
          <w:color w:val="auto"/>
          <w:sz w:val="24"/>
          <w:highlight w:val="none"/>
        </w:rPr>
      </w:pPr>
    </w:p>
    <w:p w14:paraId="1A32F2BB">
      <w:pPr>
        <w:pStyle w:val="8"/>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5CD8B87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1313FA00">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4AF7D6BE">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757AF57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18C23F8B">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4B30BC33">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68B242D3">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1EDD2523">
      <w:pPr>
        <w:pStyle w:val="8"/>
        <w:overflowPunct w:val="0"/>
        <w:spacing w:line="360" w:lineRule="auto"/>
        <w:ind w:firstLineChars="175"/>
        <w:contextualSpacing/>
        <w:rPr>
          <w:rFonts w:ascii="宋体" w:hAnsi="宋体"/>
          <w:color w:val="auto"/>
          <w:sz w:val="24"/>
          <w:highlight w:val="none"/>
        </w:rPr>
      </w:pPr>
    </w:p>
    <w:p w14:paraId="4BEA4429">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7B087E78">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736A4060">
      <w:pPr>
        <w:pStyle w:val="8"/>
        <w:overflowPunct w:val="0"/>
        <w:spacing w:line="360" w:lineRule="auto"/>
        <w:ind w:firstLineChars="175"/>
        <w:contextualSpacing/>
        <w:rPr>
          <w:rFonts w:ascii="宋体" w:hAnsi="宋体"/>
          <w:color w:val="auto"/>
          <w:sz w:val="24"/>
          <w:highlight w:val="none"/>
        </w:rPr>
      </w:pPr>
    </w:p>
    <w:p w14:paraId="73176B8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16B7FBE1">
      <w:pPr>
        <w:pStyle w:val="8"/>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2492BB41">
      <w:pPr>
        <w:pStyle w:val="8"/>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6C3B0F96">
      <w:pPr>
        <w:pStyle w:val="8"/>
        <w:overflowPunct w:val="0"/>
        <w:spacing w:line="360" w:lineRule="auto"/>
        <w:ind w:firstLineChars="175"/>
        <w:contextualSpacing/>
        <w:rPr>
          <w:rFonts w:ascii="宋体" w:hAnsi="宋体"/>
          <w:color w:val="auto"/>
          <w:sz w:val="24"/>
          <w:highlight w:val="none"/>
        </w:rPr>
      </w:pPr>
    </w:p>
    <w:p w14:paraId="48B134E1">
      <w:pPr>
        <w:pStyle w:val="8"/>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37E4732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16D775F4">
      <w:pPr>
        <w:snapToGrid w:val="0"/>
        <w:spacing w:before="120" w:beforeLines="50" w:after="50"/>
        <w:jc w:val="left"/>
        <w:rPr>
          <w:rFonts w:hint="eastAsia"/>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6A634874">
      <w:pPr>
        <w:rPr>
          <w:rFonts w:hint="eastAsia"/>
          <w:color w:val="auto"/>
          <w:highlight w:val="none"/>
        </w:rPr>
      </w:pPr>
    </w:p>
    <w:p w14:paraId="2568BC7A">
      <w:pPr>
        <w:jc w:val="center"/>
        <w:rPr>
          <w:rFonts w:hint="eastAsia" w:ascii="宋体" w:hAnsi="宋体" w:cs="宋体"/>
          <w:color w:val="auto"/>
          <w:sz w:val="44"/>
          <w:szCs w:val="44"/>
          <w:highlight w:val="none"/>
        </w:rPr>
      </w:pPr>
      <w:bookmarkStart w:id="152" w:name="_Toc71365926"/>
      <w:r>
        <w:rPr>
          <w:rFonts w:hint="eastAsia" w:ascii="宋体" w:hAnsi="宋体" w:cs="宋体"/>
          <w:color w:val="auto"/>
          <w:sz w:val="44"/>
          <w:szCs w:val="44"/>
          <w:highlight w:val="none"/>
        </w:rPr>
        <w:t>中小企业声明函（服务）</w:t>
      </w:r>
      <w:bookmarkEnd w:id="152"/>
    </w:p>
    <w:p w14:paraId="7810996D">
      <w:pPr>
        <w:spacing w:before="2" w:line="500" w:lineRule="exact"/>
        <w:ind w:firstLine="708" w:firstLineChars="294"/>
        <w:rPr>
          <w:rFonts w:ascii="宋体" w:hAnsi="宋体" w:cs="宋体"/>
          <w:b/>
          <w:bCs/>
          <w:color w:val="auto"/>
          <w:sz w:val="24"/>
          <w:highlight w:val="none"/>
        </w:rPr>
      </w:pPr>
    </w:p>
    <w:p w14:paraId="52504109">
      <w:pPr>
        <w:pStyle w:val="20"/>
        <w:spacing w:line="500" w:lineRule="exact"/>
        <w:ind w:right="142" w:firstLine="705" w:firstLineChars="294"/>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0937B40B">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1DEC3EE">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8D42659">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 xml:space="preserve">…… </w:t>
      </w:r>
    </w:p>
    <w:p w14:paraId="0872AC95">
      <w:pPr>
        <w:pStyle w:val="20"/>
        <w:spacing w:before="34" w:line="500" w:lineRule="exact"/>
        <w:ind w:right="142" w:firstLine="705" w:firstLineChars="294"/>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74B72FE">
      <w:pPr>
        <w:pStyle w:val="20"/>
        <w:spacing w:before="25" w:line="500" w:lineRule="exact"/>
        <w:ind w:right="142" w:firstLine="705" w:firstLineChars="294"/>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12C0B6C">
      <w:pPr>
        <w:pStyle w:val="20"/>
        <w:spacing w:before="56" w:line="500" w:lineRule="exact"/>
        <w:ind w:right="1808" w:firstLine="705" w:firstLineChars="294"/>
        <w:rPr>
          <w:rFonts w:hint="eastAsia" w:ascii="宋体" w:hAnsi="宋体"/>
          <w:color w:val="auto"/>
          <w:highlight w:val="none"/>
        </w:rPr>
      </w:pPr>
    </w:p>
    <w:p w14:paraId="41C6B3B3">
      <w:pPr>
        <w:pStyle w:val="20"/>
        <w:spacing w:before="56" w:line="500" w:lineRule="exact"/>
        <w:ind w:right="650" w:firstLine="5625" w:firstLineChars="2344"/>
        <w:rPr>
          <w:rFonts w:ascii="宋体" w:hAnsi="宋体"/>
          <w:color w:val="auto"/>
          <w:highlight w:val="none"/>
        </w:rPr>
      </w:pPr>
      <w:r>
        <w:rPr>
          <w:rFonts w:ascii="宋体" w:hAnsi="宋体"/>
          <w:color w:val="auto"/>
          <w:highlight w:val="none"/>
        </w:rPr>
        <w:t xml:space="preserve">企业名称（章）： </w:t>
      </w:r>
    </w:p>
    <w:p w14:paraId="48C442E1">
      <w:pPr>
        <w:pStyle w:val="20"/>
        <w:spacing w:before="56" w:line="500" w:lineRule="exact"/>
        <w:ind w:right="1808" w:firstLine="5625" w:firstLineChars="2344"/>
        <w:rPr>
          <w:rFonts w:ascii="宋体" w:hAnsi="宋体"/>
          <w:color w:val="auto"/>
          <w:highlight w:val="none"/>
        </w:rPr>
      </w:pPr>
      <w:r>
        <w:rPr>
          <w:rFonts w:ascii="宋体" w:hAnsi="宋体"/>
          <w:color w:val="auto"/>
          <w:highlight w:val="none"/>
        </w:rPr>
        <w:t>日 期：</w:t>
      </w:r>
    </w:p>
    <w:p w14:paraId="7A71C9B9">
      <w:pPr>
        <w:spacing w:line="520" w:lineRule="exact"/>
        <w:jc w:val="left"/>
        <w:rPr>
          <w:rFonts w:hint="eastAsia" w:ascii="宋体" w:hAnsi="宋体" w:cs="仿宋_GB2312"/>
          <w:color w:val="auto"/>
          <w:sz w:val="24"/>
          <w:highlight w:val="none"/>
        </w:rPr>
      </w:pPr>
    </w:p>
    <w:p w14:paraId="03C06549">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6D02E44A">
      <w:pPr>
        <w:snapToGrid w:val="0"/>
        <w:spacing w:before="120" w:beforeLines="50" w:after="50"/>
        <w:ind w:left="142"/>
        <w:jc w:val="left"/>
        <w:rPr>
          <w:rFonts w:hint="eastAsia" w:ascii="宋体" w:hAnsi="宋体"/>
          <w:b/>
          <w:color w:val="auto"/>
          <w:sz w:val="24"/>
          <w:highlight w:val="none"/>
        </w:rPr>
      </w:pPr>
    </w:p>
    <w:p w14:paraId="5E90C672">
      <w:pPr>
        <w:pStyle w:val="26"/>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30C3A2D9">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5BAC202A">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21639BA">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669518B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F1BB3D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5B6508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50094C9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2E9D923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26A1189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4FB4B9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F584B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31995D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75C2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43F57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39ECAF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481C2C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2BBDF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C5309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3A1A10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C54F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115EE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9F787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D4A3B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98FE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DECBAE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2836E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94E20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F7032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358512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443409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B844A3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E170BE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0ED8A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D108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07E5B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734C9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1752E7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A5DBED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55ECF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27C0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543FA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A8739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5DACF7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4BC8B5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BFEB7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01489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06B713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CD25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B3E0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56CCBC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4FEB88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75244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2F91F7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6035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9CAD8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5AE9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710AA8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0CD52E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82887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AF4369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3B69C1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89AA6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C116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7EE3A7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707CEA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7F8C4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D9F25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03202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1D2AF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83A9D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6D68EB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6586FD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B8648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2E04FF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6DDDB0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B8E3C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EE33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B0DFE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70F3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86860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46FCFD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A5EF8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43EA1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2165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noWrap w:val="0"/>
            <w:vAlign w:val="center"/>
          </w:tcPr>
          <w:p w14:paraId="6B69EB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noWrap w:val="0"/>
            <w:vAlign w:val="center"/>
          </w:tcPr>
          <w:p w14:paraId="55C169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30D1A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80F531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503078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9D10D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72DF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22251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19B244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E0795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3A8C05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65414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AF67B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EF88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noWrap w:val="0"/>
            <w:vAlign w:val="center"/>
          </w:tcPr>
          <w:p w14:paraId="08F5AA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20AA49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EBBFB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A5A94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2AAD4B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83223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67DD7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8B12C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6EEA6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A76C97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25036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A58E3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7CD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A48A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noWrap w:val="0"/>
            <w:vAlign w:val="center"/>
          </w:tcPr>
          <w:p w14:paraId="6F0462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0EDD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F5BF3D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2622FE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59BB61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0EA05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4A893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DE687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3D151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2525D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04379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DB9DD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76573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DCAE4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A250E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7F322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E0589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9DCA6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1BBB35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7C02D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51F0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D6F1D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BA35A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C645EF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5EFD1E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1664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36513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42D89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E1468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2A82D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3672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A110B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01F6B0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26D42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EA2C1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4BFD04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59567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E46F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12B22C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4279C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E35B1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E45B3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7FE7FC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D0853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E9AF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E813D3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3FB2F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B962B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00BF3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8BB05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50A5F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1DAFC2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1969F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7A32D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C0B93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D006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066DE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048C4C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BB2B7B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B194F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24048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6988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7DC5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70D1E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6E12C9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82A8D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529F3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3BD9D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115493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A089C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0D49D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1CF72E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4D695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EC2C6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3D9F5C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9D518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08C0C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7B84B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3025D3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B2FF9A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239BF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26541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78D1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B7D8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082FCD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55AC23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21097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40095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6D0F1D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50147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7B54E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293C0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C2E4C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648424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8A060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B86DA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A620B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11B75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9BC62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E3069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F42BF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C470B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3BFF27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FBE2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3A99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0F875A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FAFB8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AAA70A0">
      <w:pPr>
        <w:spacing w:line="360" w:lineRule="auto"/>
        <w:ind w:firstLine="525" w:firstLineChars="250"/>
        <w:rPr>
          <w:rFonts w:hint="eastAsia" w:ascii="仿宋_GB2312" w:hAnsi="仿宋" w:eastAsia="仿宋_GB2312"/>
          <w:color w:val="auto"/>
          <w:szCs w:val="21"/>
          <w:highlight w:val="none"/>
        </w:rPr>
      </w:pPr>
    </w:p>
    <w:p w14:paraId="23D29BE7">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27CDA9">
      <w:pPr>
        <w:snapToGrid w:val="0"/>
        <w:spacing w:before="120" w:beforeLines="50" w:after="50"/>
        <w:ind w:left="142"/>
        <w:jc w:val="left"/>
        <w:rPr>
          <w:rFonts w:hint="eastAsia" w:ascii="宋体" w:hAnsi="宋体"/>
          <w:b/>
          <w:color w:val="auto"/>
          <w:sz w:val="24"/>
          <w:highlight w:val="none"/>
        </w:rPr>
      </w:pPr>
    </w:p>
    <w:p w14:paraId="22EDE0CC">
      <w:pPr>
        <w:snapToGrid w:val="0"/>
        <w:spacing w:before="120" w:beforeLines="50" w:after="50"/>
        <w:ind w:left="142"/>
        <w:jc w:val="left"/>
        <w:rPr>
          <w:rFonts w:hint="eastAsia" w:ascii="宋体" w:hAnsi="宋体"/>
          <w:b/>
          <w:color w:val="auto"/>
          <w:sz w:val="24"/>
          <w:highlight w:val="none"/>
        </w:rPr>
      </w:pPr>
    </w:p>
    <w:p w14:paraId="1001979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384BD18E">
      <w:pPr>
        <w:spacing w:line="588" w:lineRule="exact"/>
        <w:jc w:val="center"/>
        <w:rPr>
          <w:rFonts w:hint="eastAsia" w:ascii="仿宋_GB2312" w:eastAsia="仿宋_GB2312"/>
          <w:b/>
          <w:color w:val="auto"/>
          <w:spacing w:val="6"/>
          <w:sz w:val="32"/>
          <w:szCs w:val="32"/>
          <w:highlight w:val="none"/>
        </w:rPr>
      </w:pPr>
    </w:p>
    <w:p w14:paraId="0CF51056">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600764C">
      <w:pPr>
        <w:spacing w:line="360" w:lineRule="auto"/>
        <w:contextualSpacing/>
        <w:rPr>
          <w:rFonts w:ascii="仿宋_GB2312" w:eastAsia="仿宋_GB2312"/>
          <w:bCs/>
          <w:color w:val="auto"/>
          <w:spacing w:val="6"/>
          <w:sz w:val="30"/>
          <w:szCs w:val="30"/>
          <w:highlight w:val="none"/>
        </w:rPr>
      </w:pPr>
    </w:p>
    <w:p w14:paraId="363822E3">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B37D38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6A7FB75">
      <w:pPr>
        <w:spacing w:line="360" w:lineRule="auto"/>
        <w:ind w:firstLine="504" w:firstLineChars="200"/>
        <w:contextualSpacing/>
        <w:rPr>
          <w:rFonts w:ascii="宋体" w:hAnsi="宋体"/>
          <w:color w:val="auto"/>
          <w:spacing w:val="6"/>
          <w:sz w:val="24"/>
          <w:highlight w:val="none"/>
        </w:rPr>
      </w:pPr>
    </w:p>
    <w:p w14:paraId="729EBA95">
      <w:pPr>
        <w:spacing w:line="360" w:lineRule="auto"/>
        <w:ind w:firstLine="504" w:firstLineChars="200"/>
        <w:contextualSpacing/>
        <w:rPr>
          <w:rFonts w:ascii="宋体" w:hAnsi="宋体"/>
          <w:color w:val="auto"/>
          <w:spacing w:val="6"/>
          <w:sz w:val="24"/>
          <w:highlight w:val="none"/>
        </w:rPr>
      </w:pPr>
    </w:p>
    <w:p w14:paraId="3F0339A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E7ED15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903B952">
      <w:pPr>
        <w:spacing w:line="360" w:lineRule="auto"/>
        <w:contextualSpacing/>
        <w:rPr>
          <w:rFonts w:ascii="宋体" w:hAnsi="宋体"/>
          <w:color w:val="auto"/>
          <w:sz w:val="24"/>
          <w:highlight w:val="none"/>
        </w:rPr>
      </w:pPr>
    </w:p>
    <w:p w14:paraId="1323A8DA">
      <w:pPr>
        <w:spacing w:line="360" w:lineRule="auto"/>
        <w:contextualSpacing/>
        <w:rPr>
          <w:rFonts w:hint="eastAsia" w:ascii="宋体" w:hAnsi="宋体"/>
          <w:color w:val="auto"/>
          <w:sz w:val="24"/>
          <w:highlight w:val="none"/>
        </w:rPr>
      </w:pPr>
    </w:p>
    <w:p w14:paraId="268A2ED3">
      <w:pPr>
        <w:spacing w:line="360" w:lineRule="auto"/>
        <w:contextualSpacing/>
        <w:rPr>
          <w:rFonts w:ascii="宋体" w:hAnsi="宋体"/>
          <w:color w:val="auto"/>
          <w:sz w:val="24"/>
          <w:highlight w:val="none"/>
        </w:rPr>
      </w:pPr>
    </w:p>
    <w:p w14:paraId="0E7F83CE">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D0939EA">
      <w:pPr>
        <w:rPr>
          <w:rFonts w:ascii="宋体" w:hAnsi="宋体"/>
          <w:color w:val="auto"/>
          <w:sz w:val="24"/>
          <w:highlight w:val="none"/>
        </w:rPr>
      </w:pPr>
      <w:r>
        <w:rPr>
          <w:rFonts w:ascii="宋体" w:hAnsi="宋体"/>
          <w:color w:val="auto"/>
          <w:sz w:val="24"/>
          <w:highlight w:val="none"/>
        </w:rPr>
        <w:br w:type="page"/>
      </w:r>
    </w:p>
    <w:p w14:paraId="0358FEDF">
      <w:pPr>
        <w:spacing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4.关于符合本国产品标准的声明函</w:t>
      </w:r>
    </w:p>
    <w:p w14:paraId="078287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auto"/>
          <w:spacing w:val="0"/>
          <w:kern w:val="0"/>
          <w:sz w:val="36"/>
          <w:szCs w:val="36"/>
          <w:highlight w:val="none"/>
          <w:lang w:val="en-US" w:eastAsia="zh-CN" w:bidi="ar"/>
        </w:rPr>
      </w:pPr>
      <w:r>
        <w:rPr>
          <w:rStyle w:val="52"/>
          <w:rFonts w:hint="eastAsia" w:ascii="仿宋" w:hAnsi="仿宋" w:eastAsia="仿宋" w:cs="仿宋"/>
          <w:i w:val="0"/>
          <w:iCs w:val="0"/>
          <w:caps w:val="0"/>
          <w:color w:val="auto"/>
          <w:spacing w:val="0"/>
          <w:kern w:val="2"/>
          <w:sz w:val="36"/>
          <w:szCs w:val="36"/>
          <w:highlight w:val="none"/>
          <w:shd w:val="clear" w:color="auto" w:fill="FFFFFF"/>
          <w:vertAlign w:val="baseline"/>
          <w:lang w:val="en-US" w:eastAsia="zh-CN" w:bidi="ar-SA"/>
        </w:rPr>
        <w:t>关于符合本国产品标准的声明函</w:t>
      </w:r>
    </w:p>
    <w:p w14:paraId="76758B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9D277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（规定比例）</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（关键组件）</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（关键工序）</w:t>
      </w:r>
      <w:r>
        <w:rPr>
          <w:rStyle w:val="56"/>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在中国境内完成。</w:t>
      </w:r>
    </w:p>
    <w:p w14:paraId="309246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，生产厂为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，厂址为</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的中国境内生产的组件成本占比≥</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（规定比例）</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（关键组件）</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在中国境内生产。</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的</w:t>
      </w:r>
      <w:r>
        <w:rPr>
          <w:rStyle w:val="56"/>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（关键工序）</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在中国境内完成。</w:t>
      </w:r>
    </w:p>
    <w:p w14:paraId="000165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w:t>
      </w:r>
    </w:p>
    <w:p w14:paraId="03C4E0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本公司（单位）对上述声明内容的真实性负责。如有虚假，愿承担相应法律责任。</w:t>
      </w:r>
    </w:p>
    <w:p w14:paraId="571E9B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w:t>
      </w:r>
    </w:p>
    <w:p w14:paraId="093FD0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公司（单位）名称（盖章）：　        </w:t>
      </w:r>
    </w:p>
    <w:p w14:paraId="5F68BE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日期：　     年　  月　  日         </w:t>
      </w:r>
    </w:p>
    <w:p w14:paraId="3A0877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__________________</w:t>
      </w:r>
    </w:p>
    <w:p w14:paraId="079CF1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1.产品如有型号，请在“产品名称”栏一并填写。</w:t>
      </w:r>
    </w:p>
    <w:p w14:paraId="751B28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2.生产厂名与厂址应与生产厂营业执照载明的相关信息保持一致。</w:t>
      </w:r>
    </w:p>
    <w:p w14:paraId="2E271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3.该产品的中国境内生产的组件成本占比相关要求实施前，“规定比例”栏可不填，下同。</w:t>
      </w:r>
    </w:p>
    <w:p w14:paraId="2E6DA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4.该产品的关键组件要求实施前，“关键组件”栏可不填，下同。</w:t>
      </w:r>
    </w:p>
    <w:p w14:paraId="5AED0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5.该产品的关键工序要求实施前，“关键工序”栏可不填，下同。</w:t>
      </w:r>
    </w:p>
    <w:p w14:paraId="769630C5">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5A22EF20">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2595DA26">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一、质疑投标人基本信息：</w:t>
      </w:r>
    </w:p>
    <w:p w14:paraId="24542CBE">
      <w:pPr>
        <w:pStyle w:val="2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661ACC">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CC1351">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F3D6EC">
      <w:pPr>
        <w:pStyle w:val="2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1B91365">
      <w:pPr>
        <w:pStyle w:val="2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A2E46A0">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77C6D9">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534639">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5617A22">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AB4403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6346E7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0091AF6">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9E8E87D">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E88C816">
      <w:pPr>
        <w:pStyle w:val="26"/>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0ADFCEC4">
      <w:pPr>
        <w:pStyle w:val="2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091B8171">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A98776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AE98EF7">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062457E">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07A2517F">
      <w:pPr>
        <w:pStyle w:val="26"/>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7EB431EF">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975F29B">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AA298AC">
      <w:pPr>
        <w:pStyle w:val="26"/>
        <w:spacing w:line="360" w:lineRule="auto"/>
        <w:ind w:left="25" w:leftChars="12" w:firstLine="352" w:firstLineChars="147"/>
        <w:rPr>
          <w:rFonts w:hint="eastAsia" w:hAnsi="宋体"/>
          <w:color w:val="auto"/>
          <w:sz w:val="24"/>
          <w:szCs w:val="24"/>
          <w:highlight w:val="none"/>
        </w:rPr>
      </w:pPr>
    </w:p>
    <w:p w14:paraId="54EC1BCE">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7D3EF46">
      <w:pPr>
        <w:pStyle w:val="26"/>
        <w:spacing w:line="360" w:lineRule="auto"/>
        <w:ind w:left="25" w:leftChars="12" w:firstLine="352" w:firstLineChars="147"/>
        <w:rPr>
          <w:rFonts w:hint="eastAsia" w:hAnsi="宋体"/>
          <w:color w:val="auto"/>
          <w:sz w:val="24"/>
          <w:szCs w:val="24"/>
          <w:highlight w:val="none"/>
        </w:rPr>
      </w:pPr>
    </w:p>
    <w:p w14:paraId="240878E3">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DCEB2A2">
      <w:pPr>
        <w:pStyle w:val="26"/>
        <w:snapToGrid w:val="0"/>
        <w:spacing w:line="360" w:lineRule="auto"/>
        <w:rPr>
          <w:rFonts w:hint="eastAsia" w:hAnsi="宋体"/>
          <w:b/>
          <w:color w:val="auto"/>
          <w:sz w:val="24"/>
          <w:szCs w:val="24"/>
          <w:highlight w:val="none"/>
        </w:rPr>
      </w:pPr>
    </w:p>
    <w:p w14:paraId="11022C9F">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A0A92BE">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7689E49D">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0D3AD93">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671F42B">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EA7BD36">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50CCFB50">
      <w:pPr>
        <w:pStyle w:val="26"/>
        <w:snapToGrid w:val="0"/>
        <w:rPr>
          <w:rFonts w:hint="eastAsia"/>
          <w:b/>
          <w:color w:val="auto"/>
          <w:sz w:val="24"/>
          <w:szCs w:val="24"/>
          <w:highlight w:val="none"/>
        </w:rPr>
      </w:pPr>
    </w:p>
    <w:p w14:paraId="0CEC421F">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b/>
          <w:color w:val="auto"/>
          <w:sz w:val="24"/>
          <w:highlight w:val="none"/>
        </w:rPr>
        <w:t>.投诉书格式</w:t>
      </w:r>
    </w:p>
    <w:p w14:paraId="21B5868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5DE463C1">
      <w:pPr>
        <w:pStyle w:val="26"/>
        <w:snapToGrid w:val="0"/>
        <w:spacing w:line="440" w:lineRule="exact"/>
        <w:ind w:firstLine="482" w:firstLineChars="200"/>
        <w:rPr>
          <w:rFonts w:hint="eastAsia" w:hAnsi="宋体"/>
          <w:b/>
          <w:bCs/>
          <w:color w:val="auto"/>
          <w:sz w:val="24"/>
          <w:szCs w:val="24"/>
          <w:highlight w:val="none"/>
        </w:rPr>
      </w:pPr>
    </w:p>
    <w:p w14:paraId="248C95C2">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8835C0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EE3B10">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0FA1BD">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FA4C592">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BA68B45">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8D5105E">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A00655">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33CDAD">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153BA54">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712F64E">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7C0468">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42FAF16">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1A5000B3">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7FD278C">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3ECDDE2C">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53313FD">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5C9A4A">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76C7B59">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F69AE3B">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5D52AE7">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B6A78AD">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667DB29">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9FA9403">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6ACFBA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9354FC3">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45DD454">
      <w:pPr>
        <w:pStyle w:val="26"/>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0B436CF">
      <w:pPr>
        <w:pStyle w:val="26"/>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63DE7A8">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BABCE54">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35B7BBC">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C3A2E23">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19C3727">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D5ECD40">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FC94FF">
      <w:pPr>
        <w:pStyle w:val="26"/>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2E5048A">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1ED8EBE">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ADFA049">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1B38F44">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146D779">
      <w:pPr>
        <w:pStyle w:val="26"/>
        <w:spacing w:line="440" w:lineRule="exact"/>
        <w:ind w:left="25" w:leftChars="12" w:firstLine="352" w:firstLineChars="147"/>
        <w:rPr>
          <w:rFonts w:hint="eastAsia" w:hAnsi="宋体"/>
          <w:color w:val="auto"/>
          <w:sz w:val="24"/>
          <w:szCs w:val="24"/>
          <w:highlight w:val="none"/>
        </w:rPr>
      </w:pPr>
    </w:p>
    <w:p w14:paraId="3EB516A7">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697252A">
      <w:pPr>
        <w:pStyle w:val="26"/>
        <w:spacing w:line="440" w:lineRule="exact"/>
        <w:ind w:left="25" w:leftChars="12" w:firstLine="352" w:firstLineChars="147"/>
        <w:rPr>
          <w:rFonts w:hint="eastAsia" w:hAnsi="宋体"/>
          <w:color w:val="auto"/>
          <w:sz w:val="24"/>
          <w:szCs w:val="24"/>
          <w:highlight w:val="none"/>
        </w:rPr>
      </w:pPr>
    </w:p>
    <w:p w14:paraId="133DC17B">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3C6EE93">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1FB699F1">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7963708A">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4CA14B93">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317ACC">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F767F9F">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A7658AF">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8F283DB">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24C146-25AD-4D2A-BCE9-FDE478A26781}"/>
  </w:font>
  <w:font w:name="黑体">
    <w:panose1 w:val="02010609060101010101"/>
    <w:charset w:val="86"/>
    <w:family w:val="auto"/>
    <w:pitch w:val="default"/>
    <w:sig w:usb0="800002BF" w:usb1="38CF7CFA" w:usb2="00000016" w:usb3="00000000" w:csb0="00040001" w:csb1="00000000"/>
    <w:embedRegular r:id="rId2" w:fontKey="{E536F199-FAE5-4488-A6CE-2FF595503B79}"/>
  </w:font>
  <w:font w:name="Courier New">
    <w:panose1 w:val="02070309020205020404"/>
    <w:charset w:val="01"/>
    <w:family w:val="modern"/>
    <w:pitch w:val="default"/>
    <w:sig w:usb0="E0002EFF" w:usb1="C0007843" w:usb2="00000009" w:usb3="00000000" w:csb0="400001FF" w:csb1="FFFF0000"/>
    <w:embedRegular r:id="rId3" w:fontKey="{74180373-3F5B-44E5-A0FE-F02930E2C2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70CC04B7-AC6E-4384-8D76-A6074F98465D}"/>
  </w:font>
  <w:font w:name="仿宋">
    <w:panose1 w:val="02010609060101010101"/>
    <w:charset w:val="86"/>
    <w:family w:val="modern"/>
    <w:pitch w:val="default"/>
    <w:sig w:usb0="800002BF" w:usb1="38CF7CFA" w:usb2="00000016" w:usb3="00000000" w:csb0="00040001" w:csb1="00000000"/>
    <w:embedRegular r:id="rId5" w:fontKey="{C4B449D9-B6F1-4AF8-BFCF-5EF7ED0A43BD}"/>
  </w:font>
  <w:font w:name="_x000B__x000C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9EB1C0AA-988B-4A1C-A5F2-56236E28CFCB}"/>
  </w:font>
  <w:font w:name="微软雅黑">
    <w:panose1 w:val="020B0503020204020204"/>
    <w:charset w:val="86"/>
    <w:family w:val="auto"/>
    <w:pitch w:val="default"/>
    <w:sig w:usb0="80000287" w:usb1="2ACF3C50" w:usb2="00000016" w:usb3="00000000" w:csb0="0004001F" w:csb1="00000000"/>
    <w:embedRegular r:id="rId7" w:fontKey="{47B6CD07-216D-43C9-B58D-399A350FFD81}"/>
  </w:font>
  <w:font w:name="Times New Roman Regular">
    <w:altName w:val="Times"/>
    <w:panose1 w:val="02020603050405020304"/>
    <w:charset w:val="00"/>
    <w:family w:val="auto"/>
    <w:pitch w:val="default"/>
    <w:sig w:usb0="00000000" w:usb1="00000000" w:usb2="00000009" w:usb3="00000000" w:csb0="400001FF" w:csb1="FFFF0000"/>
    <w:embedRegular r:id="rId8" w:fontKey="{3974FEE8-15BD-4C99-BF20-7B3DF8D407D3}"/>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9" w:fontKey="{8D555C1D-E5F8-4F49-A359-104027E6AC83}"/>
  </w:font>
  <w:font w:name="华文中宋">
    <w:altName w:val="宋体"/>
    <w:panose1 w:val="02010600040101010101"/>
    <w:charset w:val="86"/>
    <w:family w:val="auto"/>
    <w:pitch w:val="default"/>
    <w:sig w:usb0="00000000" w:usb1="00000000" w:usb2="00000000" w:usb3="00000000" w:csb0="0004009F" w:csb1="DFD70000"/>
    <w:embedRegular r:id="rId10" w:fontKey="{C18452E6-747B-421B-8796-D455A898AD65}"/>
  </w:font>
  <w:font w:name="Wingdings 2">
    <w:panose1 w:val="05020102010507070707"/>
    <w:charset w:val="02"/>
    <w:family w:val="roman"/>
    <w:pitch w:val="default"/>
    <w:sig w:usb0="00000000" w:usb1="00000000" w:usb2="00000000" w:usb3="00000000" w:csb0="80000000" w:csb1="00000000"/>
    <w:embedRegular r:id="rId11" w:fontKey="{E566DD67-855F-484B-85FE-7790A0FA2053}"/>
  </w:font>
  <w:font w:name="KSOFE4500885">
    <w:panose1 w:val="02010609060101010101"/>
    <w:charset w:val="86"/>
    <w:family w:val="auto"/>
    <w:pitch w:val="default"/>
    <w:sig w:usb0="00000001" w:usb1="00000000" w:usb2="00000000" w:usb3="00000000" w:csb0="00040001" w:csb1="00000000"/>
  </w:font>
  <w:font w:name="WPSEMBED1">
    <w:panose1 w:val="020B0604020202020204"/>
    <w:charset w:val="86"/>
    <w:family w:val="auto"/>
    <w:pitch w:val="default"/>
    <w:sig w:usb0="FFFFFFFF" w:usb1="E9FFFFFF" w:usb2="0000003F" w:usb3="00000000" w:csb0="603F01FF" w:csb1="FFFF0000"/>
  </w:font>
  <w:font w:name="WPSEMBED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embedRegular r:id="rId12" w:fontKey="{557CB3AC-D877-4E08-921A-41F9140DF119}"/>
  </w:font>
  <w:font w:name="KSOFE44F9426">
    <w:panose1 w:val="02010609060101010101"/>
    <w:charset w:val="86"/>
    <w:family w:val="auto"/>
    <w:pitch w:val="default"/>
    <w:sig w:usb0="00000001" w:usb1="00000000" w:usb2="00000000" w:usb3="00000000" w:csb0="00040001"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3087">
    <w:pPr>
      <w:pStyle w:val="32"/>
      <w:framePr w:wrap="around" w:vAnchor="text" w:hAnchor="margin" w:xAlign="center" w:y="1"/>
      <w:rPr>
        <w:rStyle w:val="54"/>
      </w:rPr>
    </w:pPr>
    <w:r>
      <w:fldChar w:fldCharType="begin"/>
    </w:r>
    <w:r>
      <w:rPr>
        <w:rStyle w:val="54"/>
      </w:rPr>
      <w:instrText xml:space="preserve">PAGE  </w:instrText>
    </w:r>
    <w:r>
      <w:fldChar w:fldCharType="end"/>
    </w:r>
  </w:p>
  <w:p w14:paraId="6BEAF07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92DE">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D4B3">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A012">
    <w:pPr>
      <w:pStyle w:val="32"/>
      <w:jc w:val="center"/>
    </w:pPr>
    <w:r>
      <w:fldChar w:fldCharType="begin"/>
    </w:r>
    <w:r>
      <w:instrText xml:space="preserve">PAGE   \* MERGEFORMAT</w:instrText>
    </w:r>
    <w:r>
      <w:fldChar w:fldCharType="separate"/>
    </w:r>
    <w:r>
      <w:rPr>
        <w:lang w:val="zh-CN"/>
      </w:rPr>
      <w:t>1</w:t>
    </w:r>
    <w:r>
      <w:fldChar w:fldCharType="end"/>
    </w:r>
  </w:p>
  <w:p w14:paraId="0D7244DF">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E569">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ECB02">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161ECB02">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B786">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3244B">
                          <w:pPr>
                            <w:pStyle w:val="32"/>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52F3244B">
                    <w:pPr>
                      <w:pStyle w:val="3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2826">
    <w:pPr>
      <w:pStyle w:val="32"/>
      <w:framePr w:wrap="around" w:vAnchor="text" w:hAnchor="margin" w:xAlign="center" w:y="1"/>
      <w:rPr>
        <w:rStyle w:val="54"/>
      </w:rPr>
    </w:pPr>
    <w:r>
      <w:fldChar w:fldCharType="begin"/>
    </w:r>
    <w:r>
      <w:rPr>
        <w:rStyle w:val="54"/>
      </w:rPr>
      <w:instrText xml:space="preserve">PAGE  </w:instrText>
    </w:r>
    <w:r>
      <w:fldChar w:fldCharType="end"/>
    </w:r>
  </w:p>
  <w:p w14:paraId="4062B194">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2644">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9B96">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A1EC">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DA6AF"/>
    <w:multiLevelType w:val="multilevel"/>
    <w:tmpl w:val="B55DA6AF"/>
    <w:lvl w:ilvl="0" w:tentative="0">
      <w:start w:val="1"/>
      <w:numFmt w:val="decimal"/>
      <w:lvlText w:val="%1."/>
      <w:lvlJc w:val="left"/>
      <w:pPr>
        <w:tabs>
          <w:tab w:val="left" w:pos="312"/>
        </w:tabs>
      </w:pPr>
    </w:lvl>
    <w:lvl w:ilvl="1" w:tentative="0">
      <w:start w:val="1"/>
      <w:numFmt w:val="decimal"/>
      <w:suff w:val="space"/>
      <w:lvlText w:val="%1.%2"/>
      <w:lvlJc w:val="left"/>
      <w:pPr>
        <w:ind w:left="420" w:firstLine="0"/>
      </w:pPr>
      <w:rPr>
        <w:rFonts w:hint="default"/>
      </w:rPr>
    </w:lvl>
    <w:lvl w:ilvl="2" w:tentative="0">
      <w:start w:val="1"/>
      <w:numFmt w:val="decimal"/>
      <w:suff w:val="space"/>
      <w:lvlText w:val="%1.%2.%3"/>
      <w:lvlJc w:val="left"/>
      <w:pPr>
        <w:ind w:left="420" w:firstLine="0"/>
      </w:pPr>
      <w:rPr>
        <w:rFonts w:hint="default"/>
      </w:rPr>
    </w:lvl>
    <w:lvl w:ilvl="3" w:tentative="0">
      <w:start w:val="1"/>
      <w:numFmt w:val="decimal"/>
      <w:suff w:val="space"/>
      <w:lvlText w:val="%1.%2.%3.%4"/>
      <w:lvlJc w:val="left"/>
      <w:pPr>
        <w:ind w:left="420" w:firstLine="0"/>
      </w:pPr>
      <w:rPr>
        <w:rFonts w:hint="default"/>
      </w:rPr>
    </w:lvl>
    <w:lvl w:ilvl="4" w:tentative="0">
      <w:start w:val="1"/>
      <w:numFmt w:val="decimal"/>
      <w:suff w:val="space"/>
      <w:lvlText w:val="%1.%2.%3.%4.%5"/>
      <w:lvlJc w:val="left"/>
      <w:pPr>
        <w:ind w:left="420" w:firstLine="0"/>
      </w:pPr>
      <w:rPr>
        <w:rFonts w:hint="default"/>
      </w:rPr>
    </w:lvl>
    <w:lvl w:ilvl="5" w:tentative="0">
      <w:start w:val="1"/>
      <w:numFmt w:val="decimal"/>
      <w:suff w:val="space"/>
      <w:lvlText w:val="%1.%2.%3.%4.%5.%6"/>
      <w:lvlJc w:val="left"/>
      <w:pPr>
        <w:ind w:left="420" w:firstLine="0"/>
      </w:pPr>
      <w:rPr>
        <w:rFonts w:hint="default"/>
      </w:rPr>
    </w:lvl>
    <w:lvl w:ilvl="6" w:tentative="0">
      <w:start w:val="1"/>
      <w:numFmt w:val="decimal"/>
      <w:suff w:val="space"/>
      <w:lvlText w:val="%1.%2.%3.%4.%5.%6.%7"/>
      <w:lvlJc w:val="left"/>
      <w:pPr>
        <w:ind w:left="420" w:firstLine="0"/>
      </w:pPr>
      <w:rPr>
        <w:rFonts w:hint="default"/>
      </w:rPr>
    </w:lvl>
    <w:lvl w:ilvl="7" w:tentative="0">
      <w:start w:val="1"/>
      <w:numFmt w:val="decimal"/>
      <w:suff w:val="space"/>
      <w:lvlText w:val="%1.%2.%3.%4.%5.%6.%7.%8"/>
      <w:lvlJc w:val="left"/>
      <w:pPr>
        <w:ind w:left="420" w:firstLine="0"/>
      </w:pPr>
      <w:rPr>
        <w:rFonts w:hint="default"/>
      </w:rPr>
    </w:lvl>
    <w:lvl w:ilvl="8" w:tentative="0">
      <w:start w:val="1"/>
      <w:numFmt w:val="decimal"/>
      <w:suff w:val="space"/>
      <w:lvlText w:val="%1.%2.%3.%4.%5.%6.%7.%8.%9"/>
      <w:lvlJc w:val="left"/>
      <w:pPr>
        <w:ind w:left="420" w:firstLine="0"/>
      </w:pPr>
      <w:rPr>
        <w:rFonts w:hint="default"/>
      </w:rPr>
    </w:lvl>
  </w:abstractNum>
  <w:abstractNum w:abstractNumId="1">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4013D14"/>
    <w:multiLevelType w:val="singleLevel"/>
    <w:tmpl w:val="04013D14"/>
    <w:lvl w:ilvl="0" w:tentative="0">
      <w:start w:val="1"/>
      <w:numFmt w:val="decimal"/>
      <w:lvlText w:val="%1"/>
      <w:lvlJc w:val="left"/>
      <w:pPr>
        <w:tabs>
          <w:tab w:val="left" w:pos="420"/>
        </w:tabs>
        <w:ind w:left="425" w:leftChars="0" w:hanging="425" w:firstLineChars="0"/>
      </w:pPr>
      <w:rPr>
        <w:rFonts w:hint="default"/>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217AE6C"/>
    <w:multiLevelType w:val="singleLevel"/>
    <w:tmpl w:val="6217AE6C"/>
    <w:lvl w:ilvl="0" w:tentative="0">
      <w:start w:val="1"/>
      <w:numFmt w:val="decimal"/>
      <w:lvlText w:val="%1."/>
      <w:lvlJc w:val="left"/>
      <w:pPr>
        <w:tabs>
          <w:tab w:val="left" w:pos="312"/>
        </w:tabs>
      </w:pPr>
    </w:lvl>
  </w:abstractNum>
  <w:abstractNum w:abstractNumId="8">
    <w:nsid w:val="65EC5093"/>
    <w:multiLevelType w:val="singleLevel"/>
    <w:tmpl w:val="65EC5093"/>
    <w:lvl w:ilvl="0" w:tentative="0">
      <w:start w:val="1"/>
      <w:numFmt w:val="decimal"/>
      <w:lvlText w:val="%1."/>
      <w:lvlJc w:val="left"/>
      <w:pPr>
        <w:ind w:left="425" w:hanging="425"/>
      </w:pPr>
      <w:rPr>
        <w:rFonts w:hint="default"/>
      </w:r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4"/>
  </w:num>
  <w:num w:numId="2">
    <w:abstractNumId w:val="2"/>
  </w:num>
  <w:num w:numId="3">
    <w:abstractNumId w:val="10"/>
  </w:num>
  <w:num w:numId="4">
    <w:abstractNumId w:val="1"/>
  </w:num>
  <w:num w:numId="5">
    <w:abstractNumId w:val="3"/>
  </w:num>
  <w:num w:numId="6">
    <w:abstractNumId w:val="8"/>
  </w:num>
  <w:num w:numId="7">
    <w:abstractNumId w:val="7"/>
  </w:num>
  <w:num w:numId="8">
    <w:abstractNumId w:val="5"/>
  </w:num>
  <w:num w:numId="9">
    <w:abstractNumId w:val="6"/>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EAB"/>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AA2C10"/>
    <w:rsid w:val="01AC75F0"/>
    <w:rsid w:val="01D45B44"/>
    <w:rsid w:val="01E64116"/>
    <w:rsid w:val="02131C1D"/>
    <w:rsid w:val="02377DA4"/>
    <w:rsid w:val="02532161"/>
    <w:rsid w:val="02813948"/>
    <w:rsid w:val="02B21FFC"/>
    <w:rsid w:val="03193843"/>
    <w:rsid w:val="031F2398"/>
    <w:rsid w:val="032004FB"/>
    <w:rsid w:val="032A2EC2"/>
    <w:rsid w:val="032E1CD4"/>
    <w:rsid w:val="036F7D2F"/>
    <w:rsid w:val="037738D8"/>
    <w:rsid w:val="03AC114D"/>
    <w:rsid w:val="04272850"/>
    <w:rsid w:val="04B82889"/>
    <w:rsid w:val="04CB3F6F"/>
    <w:rsid w:val="04DD11BF"/>
    <w:rsid w:val="05264E82"/>
    <w:rsid w:val="054F67F2"/>
    <w:rsid w:val="05647814"/>
    <w:rsid w:val="05B4379B"/>
    <w:rsid w:val="05BF5CC8"/>
    <w:rsid w:val="060B0240"/>
    <w:rsid w:val="065155EA"/>
    <w:rsid w:val="065E2E82"/>
    <w:rsid w:val="0664230B"/>
    <w:rsid w:val="0671473D"/>
    <w:rsid w:val="068955F4"/>
    <w:rsid w:val="06A133D6"/>
    <w:rsid w:val="06D7523A"/>
    <w:rsid w:val="07124399"/>
    <w:rsid w:val="071E3E19"/>
    <w:rsid w:val="071F0864"/>
    <w:rsid w:val="07230354"/>
    <w:rsid w:val="0729334D"/>
    <w:rsid w:val="072B545A"/>
    <w:rsid w:val="0744651C"/>
    <w:rsid w:val="07553B26"/>
    <w:rsid w:val="07585233"/>
    <w:rsid w:val="075F0692"/>
    <w:rsid w:val="07831AC0"/>
    <w:rsid w:val="07905B50"/>
    <w:rsid w:val="079C5571"/>
    <w:rsid w:val="079E5B2A"/>
    <w:rsid w:val="07D4521B"/>
    <w:rsid w:val="07DB054A"/>
    <w:rsid w:val="08055804"/>
    <w:rsid w:val="08165225"/>
    <w:rsid w:val="083D2AF4"/>
    <w:rsid w:val="085A706A"/>
    <w:rsid w:val="08B25674"/>
    <w:rsid w:val="08C2364C"/>
    <w:rsid w:val="08D32F8F"/>
    <w:rsid w:val="08F53B23"/>
    <w:rsid w:val="092D6169"/>
    <w:rsid w:val="09310F40"/>
    <w:rsid w:val="095011A8"/>
    <w:rsid w:val="09640931"/>
    <w:rsid w:val="09A514F4"/>
    <w:rsid w:val="0A053C89"/>
    <w:rsid w:val="0A070656"/>
    <w:rsid w:val="0A651725"/>
    <w:rsid w:val="0A6878BB"/>
    <w:rsid w:val="0A913ED8"/>
    <w:rsid w:val="0AA65618"/>
    <w:rsid w:val="0AB35B81"/>
    <w:rsid w:val="0AD578B8"/>
    <w:rsid w:val="0B24171E"/>
    <w:rsid w:val="0B5C3243"/>
    <w:rsid w:val="0B5E59FA"/>
    <w:rsid w:val="0B72406D"/>
    <w:rsid w:val="0B782F29"/>
    <w:rsid w:val="0B9A36F3"/>
    <w:rsid w:val="0BA12052"/>
    <w:rsid w:val="0BAD59A4"/>
    <w:rsid w:val="0BDF6813"/>
    <w:rsid w:val="0BF745E4"/>
    <w:rsid w:val="0C357211"/>
    <w:rsid w:val="0C466B45"/>
    <w:rsid w:val="0C746CE6"/>
    <w:rsid w:val="0C8D626F"/>
    <w:rsid w:val="0C9155D8"/>
    <w:rsid w:val="0CB101B0"/>
    <w:rsid w:val="0CCC58E6"/>
    <w:rsid w:val="0CD10852"/>
    <w:rsid w:val="0CD1596F"/>
    <w:rsid w:val="0CDE6F16"/>
    <w:rsid w:val="0D004744"/>
    <w:rsid w:val="0D1E1D5F"/>
    <w:rsid w:val="0D34505C"/>
    <w:rsid w:val="0D563CC5"/>
    <w:rsid w:val="0D584403"/>
    <w:rsid w:val="0D60177E"/>
    <w:rsid w:val="0D775FE2"/>
    <w:rsid w:val="0D856B35"/>
    <w:rsid w:val="0DEE7765"/>
    <w:rsid w:val="0DF02F5A"/>
    <w:rsid w:val="0E455182"/>
    <w:rsid w:val="0E6504E4"/>
    <w:rsid w:val="0E867D51"/>
    <w:rsid w:val="0EBD415F"/>
    <w:rsid w:val="0ECC7E79"/>
    <w:rsid w:val="0EEC54CF"/>
    <w:rsid w:val="0EF3685E"/>
    <w:rsid w:val="0F08305D"/>
    <w:rsid w:val="0F144A26"/>
    <w:rsid w:val="0F204221"/>
    <w:rsid w:val="0F2B5D1F"/>
    <w:rsid w:val="0F2D61CB"/>
    <w:rsid w:val="0F405BCB"/>
    <w:rsid w:val="0F45621F"/>
    <w:rsid w:val="0F8F183D"/>
    <w:rsid w:val="0F9067A2"/>
    <w:rsid w:val="0FA45DAA"/>
    <w:rsid w:val="0FBF0C03"/>
    <w:rsid w:val="0FCA06F9"/>
    <w:rsid w:val="0FDB0F58"/>
    <w:rsid w:val="0FE05351"/>
    <w:rsid w:val="0FE6638E"/>
    <w:rsid w:val="100903D4"/>
    <w:rsid w:val="101C0A97"/>
    <w:rsid w:val="102B4703"/>
    <w:rsid w:val="10B82D25"/>
    <w:rsid w:val="10C607DE"/>
    <w:rsid w:val="10D42A8B"/>
    <w:rsid w:val="10DE168E"/>
    <w:rsid w:val="10E32514"/>
    <w:rsid w:val="10F67974"/>
    <w:rsid w:val="10FF1EBE"/>
    <w:rsid w:val="11051CC3"/>
    <w:rsid w:val="110E5707"/>
    <w:rsid w:val="11495112"/>
    <w:rsid w:val="11651A18"/>
    <w:rsid w:val="11936674"/>
    <w:rsid w:val="11DD18E2"/>
    <w:rsid w:val="11E40DBA"/>
    <w:rsid w:val="11E701D0"/>
    <w:rsid w:val="11F43E80"/>
    <w:rsid w:val="121A6430"/>
    <w:rsid w:val="123478B9"/>
    <w:rsid w:val="123C0533"/>
    <w:rsid w:val="12414C51"/>
    <w:rsid w:val="12685FCD"/>
    <w:rsid w:val="128F6633"/>
    <w:rsid w:val="12B15FBE"/>
    <w:rsid w:val="12C7072D"/>
    <w:rsid w:val="12F74050"/>
    <w:rsid w:val="133833D9"/>
    <w:rsid w:val="135759C1"/>
    <w:rsid w:val="135F0ED4"/>
    <w:rsid w:val="137469CA"/>
    <w:rsid w:val="138C1BEB"/>
    <w:rsid w:val="138D1D96"/>
    <w:rsid w:val="13A02D2C"/>
    <w:rsid w:val="13B04DAC"/>
    <w:rsid w:val="13B41253"/>
    <w:rsid w:val="13D12DDC"/>
    <w:rsid w:val="13D80718"/>
    <w:rsid w:val="13EF0479"/>
    <w:rsid w:val="13FC4A98"/>
    <w:rsid w:val="1416555A"/>
    <w:rsid w:val="143571AB"/>
    <w:rsid w:val="143A34B9"/>
    <w:rsid w:val="146F2C7A"/>
    <w:rsid w:val="148301A4"/>
    <w:rsid w:val="148F6460"/>
    <w:rsid w:val="1492464C"/>
    <w:rsid w:val="149E4992"/>
    <w:rsid w:val="14A968EE"/>
    <w:rsid w:val="14E0178F"/>
    <w:rsid w:val="14EC447B"/>
    <w:rsid w:val="152E2E60"/>
    <w:rsid w:val="15804BC3"/>
    <w:rsid w:val="1581420C"/>
    <w:rsid w:val="1585042C"/>
    <w:rsid w:val="16464112"/>
    <w:rsid w:val="164F66A2"/>
    <w:rsid w:val="166E4572"/>
    <w:rsid w:val="167835BA"/>
    <w:rsid w:val="16EF70D4"/>
    <w:rsid w:val="16F8046E"/>
    <w:rsid w:val="16FF5CCD"/>
    <w:rsid w:val="16FF6D87"/>
    <w:rsid w:val="170E5D26"/>
    <w:rsid w:val="17694B12"/>
    <w:rsid w:val="176D5C4E"/>
    <w:rsid w:val="17753BE6"/>
    <w:rsid w:val="17852965"/>
    <w:rsid w:val="17BE59A2"/>
    <w:rsid w:val="17DA4A5F"/>
    <w:rsid w:val="17FE5263"/>
    <w:rsid w:val="18185849"/>
    <w:rsid w:val="182B350C"/>
    <w:rsid w:val="18464068"/>
    <w:rsid w:val="188D5F62"/>
    <w:rsid w:val="189248ED"/>
    <w:rsid w:val="18D35CED"/>
    <w:rsid w:val="18F41CA0"/>
    <w:rsid w:val="19335864"/>
    <w:rsid w:val="195C37DD"/>
    <w:rsid w:val="19956766"/>
    <w:rsid w:val="19D21766"/>
    <w:rsid w:val="19F64B3B"/>
    <w:rsid w:val="1A376583"/>
    <w:rsid w:val="1A442DE9"/>
    <w:rsid w:val="1A662169"/>
    <w:rsid w:val="1A6B53C8"/>
    <w:rsid w:val="1A910448"/>
    <w:rsid w:val="1ACC4783"/>
    <w:rsid w:val="1ADA6B24"/>
    <w:rsid w:val="1AE030E5"/>
    <w:rsid w:val="1AFB2E83"/>
    <w:rsid w:val="1B232898"/>
    <w:rsid w:val="1B761033"/>
    <w:rsid w:val="1B8D003A"/>
    <w:rsid w:val="1B8E1807"/>
    <w:rsid w:val="1B973A55"/>
    <w:rsid w:val="1BC305D3"/>
    <w:rsid w:val="1BD134B8"/>
    <w:rsid w:val="1BD9300C"/>
    <w:rsid w:val="1BF97A03"/>
    <w:rsid w:val="1BFB1448"/>
    <w:rsid w:val="1C097B8F"/>
    <w:rsid w:val="1C130409"/>
    <w:rsid w:val="1C2323A3"/>
    <w:rsid w:val="1C3A5A50"/>
    <w:rsid w:val="1C452122"/>
    <w:rsid w:val="1C484763"/>
    <w:rsid w:val="1C6C5EA1"/>
    <w:rsid w:val="1CA23671"/>
    <w:rsid w:val="1CB53E21"/>
    <w:rsid w:val="1CB54B59"/>
    <w:rsid w:val="1CD01313"/>
    <w:rsid w:val="1CD55680"/>
    <w:rsid w:val="1CDF6673"/>
    <w:rsid w:val="1CF71C0F"/>
    <w:rsid w:val="1CFF5090"/>
    <w:rsid w:val="1D321E13"/>
    <w:rsid w:val="1D63299D"/>
    <w:rsid w:val="1D721AE5"/>
    <w:rsid w:val="1D792624"/>
    <w:rsid w:val="1D951428"/>
    <w:rsid w:val="1DAB1D3A"/>
    <w:rsid w:val="1DBC044E"/>
    <w:rsid w:val="1DED1E8D"/>
    <w:rsid w:val="1E00077D"/>
    <w:rsid w:val="1E0F688E"/>
    <w:rsid w:val="1E107C03"/>
    <w:rsid w:val="1E136732"/>
    <w:rsid w:val="1E4F5170"/>
    <w:rsid w:val="1E571BEC"/>
    <w:rsid w:val="1EBB4EBE"/>
    <w:rsid w:val="1EE84B75"/>
    <w:rsid w:val="1EE90A0A"/>
    <w:rsid w:val="1EEE0DF0"/>
    <w:rsid w:val="1F2167A3"/>
    <w:rsid w:val="1F3F2BD4"/>
    <w:rsid w:val="1F4849CA"/>
    <w:rsid w:val="1F5053F0"/>
    <w:rsid w:val="1F873477"/>
    <w:rsid w:val="1FA51677"/>
    <w:rsid w:val="1FB57B5F"/>
    <w:rsid w:val="1FC96EB6"/>
    <w:rsid w:val="1FCD447E"/>
    <w:rsid w:val="1FEFF0B9"/>
    <w:rsid w:val="200521DD"/>
    <w:rsid w:val="2033244A"/>
    <w:rsid w:val="208A6DFA"/>
    <w:rsid w:val="20966FF2"/>
    <w:rsid w:val="20B00655"/>
    <w:rsid w:val="20DB7AF0"/>
    <w:rsid w:val="21050DBD"/>
    <w:rsid w:val="210C7C53"/>
    <w:rsid w:val="211508B6"/>
    <w:rsid w:val="21364A0F"/>
    <w:rsid w:val="21455F84"/>
    <w:rsid w:val="219A700D"/>
    <w:rsid w:val="21B35628"/>
    <w:rsid w:val="21BF1A86"/>
    <w:rsid w:val="21CA43CD"/>
    <w:rsid w:val="21CF15C2"/>
    <w:rsid w:val="22021D48"/>
    <w:rsid w:val="220A1EE8"/>
    <w:rsid w:val="222F6497"/>
    <w:rsid w:val="2230171F"/>
    <w:rsid w:val="224B4640"/>
    <w:rsid w:val="22765384"/>
    <w:rsid w:val="228F40D1"/>
    <w:rsid w:val="22BC1770"/>
    <w:rsid w:val="22D10941"/>
    <w:rsid w:val="230318A9"/>
    <w:rsid w:val="230D3B35"/>
    <w:rsid w:val="231B7B5C"/>
    <w:rsid w:val="233209BF"/>
    <w:rsid w:val="23482F54"/>
    <w:rsid w:val="23734B64"/>
    <w:rsid w:val="23AE574A"/>
    <w:rsid w:val="23E9458B"/>
    <w:rsid w:val="23FC7C17"/>
    <w:rsid w:val="243472A5"/>
    <w:rsid w:val="24382045"/>
    <w:rsid w:val="245B0C78"/>
    <w:rsid w:val="246C493C"/>
    <w:rsid w:val="24763D61"/>
    <w:rsid w:val="247B2AA1"/>
    <w:rsid w:val="24977600"/>
    <w:rsid w:val="24B831E2"/>
    <w:rsid w:val="24BF61EC"/>
    <w:rsid w:val="24E21FE9"/>
    <w:rsid w:val="24EF75A7"/>
    <w:rsid w:val="25076E4C"/>
    <w:rsid w:val="250B120F"/>
    <w:rsid w:val="251E0143"/>
    <w:rsid w:val="252C7220"/>
    <w:rsid w:val="252D7084"/>
    <w:rsid w:val="254A2AF8"/>
    <w:rsid w:val="254F42BB"/>
    <w:rsid w:val="257638ED"/>
    <w:rsid w:val="25DE12EA"/>
    <w:rsid w:val="25E371C9"/>
    <w:rsid w:val="26257624"/>
    <w:rsid w:val="26395B91"/>
    <w:rsid w:val="264562B9"/>
    <w:rsid w:val="26A050C5"/>
    <w:rsid w:val="26A50560"/>
    <w:rsid w:val="26EA4592"/>
    <w:rsid w:val="26F060BC"/>
    <w:rsid w:val="26FD1CCB"/>
    <w:rsid w:val="270C4509"/>
    <w:rsid w:val="270F55EE"/>
    <w:rsid w:val="272F1A96"/>
    <w:rsid w:val="277A413B"/>
    <w:rsid w:val="27A77198"/>
    <w:rsid w:val="27BB6298"/>
    <w:rsid w:val="27BB73E5"/>
    <w:rsid w:val="27F52753"/>
    <w:rsid w:val="27FF5E1C"/>
    <w:rsid w:val="28362A72"/>
    <w:rsid w:val="28520641"/>
    <w:rsid w:val="286B34B1"/>
    <w:rsid w:val="2873599C"/>
    <w:rsid w:val="287610F2"/>
    <w:rsid w:val="2879797C"/>
    <w:rsid w:val="289B2B0B"/>
    <w:rsid w:val="28F55108"/>
    <w:rsid w:val="28F94ACB"/>
    <w:rsid w:val="29086F52"/>
    <w:rsid w:val="292E4C0A"/>
    <w:rsid w:val="29396A89"/>
    <w:rsid w:val="29491934"/>
    <w:rsid w:val="295D755E"/>
    <w:rsid w:val="29600A1E"/>
    <w:rsid w:val="297B0CF7"/>
    <w:rsid w:val="29CA7085"/>
    <w:rsid w:val="29FF2103"/>
    <w:rsid w:val="2A0C5717"/>
    <w:rsid w:val="2A12304A"/>
    <w:rsid w:val="2A3A7A42"/>
    <w:rsid w:val="2A3B37FF"/>
    <w:rsid w:val="2AC122F0"/>
    <w:rsid w:val="2ACA2711"/>
    <w:rsid w:val="2B4F0E68"/>
    <w:rsid w:val="2B5C6B16"/>
    <w:rsid w:val="2B6D6108"/>
    <w:rsid w:val="2B822DA1"/>
    <w:rsid w:val="2BB7668C"/>
    <w:rsid w:val="2BBB02AC"/>
    <w:rsid w:val="2BD1121A"/>
    <w:rsid w:val="2C1D399B"/>
    <w:rsid w:val="2C3923E3"/>
    <w:rsid w:val="2C3B1E3C"/>
    <w:rsid w:val="2C490D4B"/>
    <w:rsid w:val="2C8F68B4"/>
    <w:rsid w:val="2C937C52"/>
    <w:rsid w:val="2C956D4E"/>
    <w:rsid w:val="2C974875"/>
    <w:rsid w:val="2D047E04"/>
    <w:rsid w:val="2D132B12"/>
    <w:rsid w:val="2D2325AC"/>
    <w:rsid w:val="2D25466F"/>
    <w:rsid w:val="2D2563CC"/>
    <w:rsid w:val="2D5A78BE"/>
    <w:rsid w:val="2D662499"/>
    <w:rsid w:val="2D6B04D6"/>
    <w:rsid w:val="2D886EC1"/>
    <w:rsid w:val="2D9D3287"/>
    <w:rsid w:val="2DAF3E40"/>
    <w:rsid w:val="2DBC044D"/>
    <w:rsid w:val="2DD00FFA"/>
    <w:rsid w:val="2DD75257"/>
    <w:rsid w:val="2E024E2F"/>
    <w:rsid w:val="2E0E6DB8"/>
    <w:rsid w:val="2E266E54"/>
    <w:rsid w:val="2E341DD7"/>
    <w:rsid w:val="2E3E5816"/>
    <w:rsid w:val="2EA133AF"/>
    <w:rsid w:val="2EAA2890"/>
    <w:rsid w:val="2ED20E13"/>
    <w:rsid w:val="2ED85206"/>
    <w:rsid w:val="2EDB1886"/>
    <w:rsid w:val="2EDD2DD9"/>
    <w:rsid w:val="2F0C27F3"/>
    <w:rsid w:val="2F335980"/>
    <w:rsid w:val="2F336759"/>
    <w:rsid w:val="2F3B1D20"/>
    <w:rsid w:val="2F410368"/>
    <w:rsid w:val="2F422E59"/>
    <w:rsid w:val="2F5D6410"/>
    <w:rsid w:val="2F723467"/>
    <w:rsid w:val="2F922149"/>
    <w:rsid w:val="2FAD50FF"/>
    <w:rsid w:val="2FD46F7C"/>
    <w:rsid w:val="2FE851A7"/>
    <w:rsid w:val="2FEF0366"/>
    <w:rsid w:val="30661471"/>
    <w:rsid w:val="306835D0"/>
    <w:rsid w:val="309B4287"/>
    <w:rsid w:val="30AA08EF"/>
    <w:rsid w:val="30D07FA5"/>
    <w:rsid w:val="30F32296"/>
    <w:rsid w:val="30F61B91"/>
    <w:rsid w:val="310B2B24"/>
    <w:rsid w:val="3137221E"/>
    <w:rsid w:val="31480833"/>
    <w:rsid w:val="315213EE"/>
    <w:rsid w:val="317473A5"/>
    <w:rsid w:val="31BB7257"/>
    <w:rsid w:val="31DD737B"/>
    <w:rsid w:val="320A28B0"/>
    <w:rsid w:val="32153FA4"/>
    <w:rsid w:val="322A618B"/>
    <w:rsid w:val="328B5E32"/>
    <w:rsid w:val="32A0292F"/>
    <w:rsid w:val="32A02B99"/>
    <w:rsid w:val="32C34D51"/>
    <w:rsid w:val="32DD0826"/>
    <w:rsid w:val="32E95EDD"/>
    <w:rsid w:val="32FA790B"/>
    <w:rsid w:val="33055B07"/>
    <w:rsid w:val="330F2BAA"/>
    <w:rsid w:val="331D2279"/>
    <w:rsid w:val="332B5D17"/>
    <w:rsid w:val="33675AA7"/>
    <w:rsid w:val="337D5F7B"/>
    <w:rsid w:val="337E44B5"/>
    <w:rsid w:val="3390570F"/>
    <w:rsid w:val="33953AD8"/>
    <w:rsid w:val="33C06C05"/>
    <w:rsid w:val="33D414D0"/>
    <w:rsid w:val="33ED121E"/>
    <w:rsid w:val="3411197D"/>
    <w:rsid w:val="34192013"/>
    <w:rsid w:val="34603E67"/>
    <w:rsid w:val="347A51A5"/>
    <w:rsid w:val="3483666A"/>
    <w:rsid w:val="348A2F11"/>
    <w:rsid w:val="34952A9C"/>
    <w:rsid w:val="34A23D27"/>
    <w:rsid w:val="34C7293A"/>
    <w:rsid w:val="34CD025D"/>
    <w:rsid w:val="34FB03D0"/>
    <w:rsid w:val="35123069"/>
    <w:rsid w:val="35284C04"/>
    <w:rsid w:val="35373099"/>
    <w:rsid w:val="355643C5"/>
    <w:rsid w:val="358B3826"/>
    <w:rsid w:val="359C2256"/>
    <w:rsid w:val="35B91D00"/>
    <w:rsid w:val="35CD358A"/>
    <w:rsid w:val="35E16DD3"/>
    <w:rsid w:val="36050AA1"/>
    <w:rsid w:val="36232DB0"/>
    <w:rsid w:val="362C5EB3"/>
    <w:rsid w:val="36445687"/>
    <w:rsid w:val="36482B5D"/>
    <w:rsid w:val="36555923"/>
    <w:rsid w:val="36A33D10"/>
    <w:rsid w:val="36A50485"/>
    <w:rsid w:val="36D31069"/>
    <w:rsid w:val="36EC388B"/>
    <w:rsid w:val="37136570"/>
    <w:rsid w:val="37252074"/>
    <w:rsid w:val="37471EDD"/>
    <w:rsid w:val="37494A25"/>
    <w:rsid w:val="374C0952"/>
    <w:rsid w:val="37742786"/>
    <w:rsid w:val="378123A9"/>
    <w:rsid w:val="379F3D2C"/>
    <w:rsid w:val="37B63C1C"/>
    <w:rsid w:val="37DF20DE"/>
    <w:rsid w:val="37FE110B"/>
    <w:rsid w:val="38206066"/>
    <w:rsid w:val="38397128"/>
    <w:rsid w:val="385F359C"/>
    <w:rsid w:val="386F48F8"/>
    <w:rsid w:val="38865F6E"/>
    <w:rsid w:val="388B3D55"/>
    <w:rsid w:val="38970C19"/>
    <w:rsid w:val="38E250CA"/>
    <w:rsid w:val="38FD6768"/>
    <w:rsid w:val="394E7351"/>
    <w:rsid w:val="395105A2"/>
    <w:rsid w:val="39794115"/>
    <w:rsid w:val="399307E1"/>
    <w:rsid w:val="39C82DD9"/>
    <w:rsid w:val="39D8513B"/>
    <w:rsid w:val="39EB26A4"/>
    <w:rsid w:val="3A120C1D"/>
    <w:rsid w:val="3A1E073A"/>
    <w:rsid w:val="3A4D3B1E"/>
    <w:rsid w:val="3A664C10"/>
    <w:rsid w:val="3A965CFC"/>
    <w:rsid w:val="3AD3639A"/>
    <w:rsid w:val="3B051543"/>
    <w:rsid w:val="3B1C64B2"/>
    <w:rsid w:val="3B2A3362"/>
    <w:rsid w:val="3B514788"/>
    <w:rsid w:val="3B547DD5"/>
    <w:rsid w:val="3B5F6EA5"/>
    <w:rsid w:val="3B746489"/>
    <w:rsid w:val="3B7937C1"/>
    <w:rsid w:val="3B8701AA"/>
    <w:rsid w:val="3BA80B19"/>
    <w:rsid w:val="3BCF67ED"/>
    <w:rsid w:val="3C0A6FF7"/>
    <w:rsid w:val="3C2A67D5"/>
    <w:rsid w:val="3C4240EC"/>
    <w:rsid w:val="3CA737D7"/>
    <w:rsid w:val="3CD42104"/>
    <w:rsid w:val="3CEB1DA8"/>
    <w:rsid w:val="3D1255B0"/>
    <w:rsid w:val="3D222457"/>
    <w:rsid w:val="3D6313C6"/>
    <w:rsid w:val="3D711B40"/>
    <w:rsid w:val="3D801B10"/>
    <w:rsid w:val="3DE10046"/>
    <w:rsid w:val="3DFE0BF8"/>
    <w:rsid w:val="3E32264F"/>
    <w:rsid w:val="3E397E76"/>
    <w:rsid w:val="3E594D47"/>
    <w:rsid w:val="3E5B405C"/>
    <w:rsid w:val="3E800AA6"/>
    <w:rsid w:val="3E907BE3"/>
    <w:rsid w:val="3F0F6641"/>
    <w:rsid w:val="3F3A1FEB"/>
    <w:rsid w:val="3F411969"/>
    <w:rsid w:val="3F620D12"/>
    <w:rsid w:val="3F653727"/>
    <w:rsid w:val="3FB837B0"/>
    <w:rsid w:val="40117D74"/>
    <w:rsid w:val="40520154"/>
    <w:rsid w:val="40624D42"/>
    <w:rsid w:val="406F4F58"/>
    <w:rsid w:val="407A541B"/>
    <w:rsid w:val="407F5A7C"/>
    <w:rsid w:val="408E3D89"/>
    <w:rsid w:val="40977C03"/>
    <w:rsid w:val="40A67243"/>
    <w:rsid w:val="40C07BCB"/>
    <w:rsid w:val="40C477AB"/>
    <w:rsid w:val="40CD2B03"/>
    <w:rsid w:val="40D36339"/>
    <w:rsid w:val="40D36C24"/>
    <w:rsid w:val="40D82819"/>
    <w:rsid w:val="40E02836"/>
    <w:rsid w:val="40F956A6"/>
    <w:rsid w:val="41236C02"/>
    <w:rsid w:val="41524275"/>
    <w:rsid w:val="41561C25"/>
    <w:rsid w:val="416B225B"/>
    <w:rsid w:val="417411D9"/>
    <w:rsid w:val="41A156F1"/>
    <w:rsid w:val="41DB55E6"/>
    <w:rsid w:val="41EA1096"/>
    <w:rsid w:val="41ED50AC"/>
    <w:rsid w:val="41FB0363"/>
    <w:rsid w:val="42224ABA"/>
    <w:rsid w:val="42253D73"/>
    <w:rsid w:val="422C7D41"/>
    <w:rsid w:val="42DC4764"/>
    <w:rsid w:val="42E51598"/>
    <w:rsid w:val="43010A9A"/>
    <w:rsid w:val="43140575"/>
    <w:rsid w:val="43206AD1"/>
    <w:rsid w:val="433A199D"/>
    <w:rsid w:val="433A31B9"/>
    <w:rsid w:val="433D1C73"/>
    <w:rsid w:val="43476B9D"/>
    <w:rsid w:val="435D6732"/>
    <w:rsid w:val="43660C58"/>
    <w:rsid w:val="43AB0A4F"/>
    <w:rsid w:val="43E10029"/>
    <w:rsid w:val="43E34F4A"/>
    <w:rsid w:val="442962A2"/>
    <w:rsid w:val="445D7CFA"/>
    <w:rsid w:val="446B419A"/>
    <w:rsid w:val="449F5EAC"/>
    <w:rsid w:val="44AC48CA"/>
    <w:rsid w:val="44E4602A"/>
    <w:rsid w:val="44E558FF"/>
    <w:rsid w:val="44FE1897"/>
    <w:rsid w:val="45086A83"/>
    <w:rsid w:val="450B1AF4"/>
    <w:rsid w:val="45B778DE"/>
    <w:rsid w:val="45B80788"/>
    <w:rsid w:val="45BE6EBE"/>
    <w:rsid w:val="46235014"/>
    <w:rsid w:val="462E7BA0"/>
    <w:rsid w:val="463D7DE3"/>
    <w:rsid w:val="466622E2"/>
    <w:rsid w:val="46704557"/>
    <w:rsid w:val="46B5206F"/>
    <w:rsid w:val="46DB30D4"/>
    <w:rsid w:val="46EE37D3"/>
    <w:rsid w:val="46FD6CEB"/>
    <w:rsid w:val="47024B89"/>
    <w:rsid w:val="470D3404"/>
    <w:rsid w:val="47120827"/>
    <w:rsid w:val="471B73BB"/>
    <w:rsid w:val="471F4D18"/>
    <w:rsid w:val="47473562"/>
    <w:rsid w:val="474927B8"/>
    <w:rsid w:val="47731209"/>
    <w:rsid w:val="47B73BC5"/>
    <w:rsid w:val="47D93032"/>
    <w:rsid w:val="47E9061B"/>
    <w:rsid w:val="4832149E"/>
    <w:rsid w:val="484245C7"/>
    <w:rsid w:val="48447FD7"/>
    <w:rsid w:val="488D7CFE"/>
    <w:rsid w:val="48C40C98"/>
    <w:rsid w:val="48C56FFE"/>
    <w:rsid w:val="48ED0C4F"/>
    <w:rsid w:val="4900334A"/>
    <w:rsid w:val="49323FD7"/>
    <w:rsid w:val="493F3132"/>
    <w:rsid w:val="49747FC0"/>
    <w:rsid w:val="49917034"/>
    <w:rsid w:val="49AC7F85"/>
    <w:rsid w:val="49B733E4"/>
    <w:rsid w:val="49C30532"/>
    <w:rsid w:val="49D06B92"/>
    <w:rsid w:val="49D17D6F"/>
    <w:rsid w:val="49E52C6C"/>
    <w:rsid w:val="49F46678"/>
    <w:rsid w:val="4A11580F"/>
    <w:rsid w:val="4A371147"/>
    <w:rsid w:val="4A931818"/>
    <w:rsid w:val="4AB16081"/>
    <w:rsid w:val="4ADD7DE7"/>
    <w:rsid w:val="4AF30DD3"/>
    <w:rsid w:val="4AF9419C"/>
    <w:rsid w:val="4B132170"/>
    <w:rsid w:val="4B2449EC"/>
    <w:rsid w:val="4B3D426F"/>
    <w:rsid w:val="4B533803"/>
    <w:rsid w:val="4B553E21"/>
    <w:rsid w:val="4B813E1D"/>
    <w:rsid w:val="4BA53EF1"/>
    <w:rsid w:val="4BB529B2"/>
    <w:rsid w:val="4BCF2B77"/>
    <w:rsid w:val="4BD209B3"/>
    <w:rsid w:val="4BF21A7A"/>
    <w:rsid w:val="4C12409B"/>
    <w:rsid w:val="4C213D03"/>
    <w:rsid w:val="4C292770"/>
    <w:rsid w:val="4C315FBB"/>
    <w:rsid w:val="4C4C1CAD"/>
    <w:rsid w:val="4C4C783F"/>
    <w:rsid w:val="4C514CFA"/>
    <w:rsid w:val="4C59524B"/>
    <w:rsid w:val="4C68672E"/>
    <w:rsid w:val="4CC457CA"/>
    <w:rsid w:val="4CE2211D"/>
    <w:rsid w:val="4CF15D4A"/>
    <w:rsid w:val="4CF403FF"/>
    <w:rsid w:val="4D301F69"/>
    <w:rsid w:val="4D5601C7"/>
    <w:rsid w:val="4D6153F6"/>
    <w:rsid w:val="4D783DF7"/>
    <w:rsid w:val="4DAA392F"/>
    <w:rsid w:val="4DCD5EF0"/>
    <w:rsid w:val="4DDA057B"/>
    <w:rsid w:val="4DF85F23"/>
    <w:rsid w:val="4E2953E4"/>
    <w:rsid w:val="4E324FB1"/>
    <w:rsid w:val="4E5E7F75"/>
    <w:rsid w:val="4E7803E9"/>
    <w:rsid w:val="4EAC5711"/>
    <w:rsid w:val="4EE94897"/>
    <w:rsid w:val="4EF70D4B"/>
    <w:rsid w:val="4EFB3672"/>
    <w:rsid w:val="4F1576CB"/>
    <w:rsid w:val="4F5E48FD"/>
    <w:rsid w:val="4FAE1D52"/>
    <w:rsid w:val="4FBA0DCA"/>
    <w:rsid w:val="4FF260E2"/>
    <w:rsid w:val="500A411E"/>
    <w:rsid w:val="50173012"/>
    <w:rsid w:val="50373E78"/>
    <w:rsid w:val="504D4821"/>
    <w:rsid w:val="50AC1958"/>
    <w:rsid w:val="50AF5D81"/>
    <w:rsid w:val="50BB3EB8"/>
    <w:rsid w:val="51273B6A"/>
    <w:rsid w:val="51363DAD"/>
    <w:rsid w:val="51414746"/>
    <w:rsid w:val="518D6B97"/>
    <w:rsid w:val="51B2004B"/>
    <w:rsid w:val="52253F45"/>
    <w:rsid w:val="522E5EFF"/>
    <w:rsid w:val="523739C7"/>
    <w:rsid w:val="52825E86"/>
    <w:rsid w:val="52A25052"/>
    <w:rsid w:val="52A707CD"/>
    <w:rsid w:val="52B0193D"/>
    <w:rsid w:val="52C927B5"/>
    <w:rsid w:val="52F757BE"/>
    <w:rsid w:val="53190690"/>
    <w:rsid w:val="53575FFF"/>
    <w:rsid w:val="535E5F6B"/>
    <w:rsid w:val="537B1F4B"/>
    <w:rsid w:val="537D468A"/>
    <w:rsid w:val="53A70F92"/>
    <w:rsid w:val="53B03F05"/>
    <w:rsid w:val="53BF2783"/>
    <w:rsid w:val="53D11CA6"/>
    <w:rsid w:val="53E2646E"/>
    <w:rsid w:val="542F6351"/>
    <w:rsid w:val="54556AEA"/>
    <w:rsid w:val="545A24A8"/>
    <w:rsid w:val="546B6463"/>
    <w:rsid w:val="546F6918"/>
    <w:rsid w:val="5472041A"/>
    <w:rsid w:val="54E83A9F"/>
    <w:rsid w:val="54F77CF7"/>
    <w:rsid w:val="55131A57"/>
    <w:rsid w:val="553B5E36"/>
    <w:rsid w:val="5547596F"/>
    <w:rsid w:val="55622629"/>
    <w:rsid w:val="559F45C9"/>
    <w:rsid w:val="55A71CA4"/>
    <w:rsid w:val="55F04E72"/>
    <w:rsid w:val="56372F6E"/>
    <w:rsid w:val="56625644"/>
    <w:rsid w:val="568A6EF6"/>
    <w:rsid w:val="5697353F"/>
    <w:rsid w:val="569F39BB"/>
    <w:rsid w:val="56EA0868"/>
    <w:rsid w:val="57296C8A"/>
    <w:rsid w:val="57406F77"/>
    <w:rsid w:val="57467AE9"/>
    <w:rsid w:val="57564C7B"/>
    <w:rsid w:val="577D71D5"/>
    <w:rsid w:val="57800F01"/>
    <w:rsid w:val="57852178"/>
    <w:rsid w:val="578E4204"/>
    <w:rsid w:val="57A94ECD"/>
    <w:rsid w:val="585F764D"/>
    <w:rsid w:val="58B65B9B"/>
    <w:rsid w:val="58B9727E"/>
    <w:rsid w:val="58ED38EB"/>
    <w:rsid w:val="58F61CCC"/>
    <w:rsid w:val="58FA4291"/>
    <w:rsid w:val="59087B9A"/>
    <w:rsid w:val="59253085"/>
    <w:rsid w:val="59637709"/>
    <w:rsid w:val="596C3BD8"/>
    <w:rsid w:val="59A659EE"/>
    <w:rsid w:val="5A3115B5"/>
    <w:rsid w:val="5A3A2DDD"/>
    <w:rsid w:val="5A737E20"/>
    <w:rsid w:val="5A82078C"/>
    <w:rsid w:val="5A8F0385"/>
    <w:rsid w:val="5AA224B3"/>
    <w:rsid w:val="5AC82171"/>
    <w:rsid w:val="5ACA4A36"/>
    <w:rsid w:val="5AEC4941"/>
    <w:rsid w:val="5B014761"/>
    <w:rsid w:val="5B046CCA"/>
    <w:rsid w:val="5B340B71"/>
    <w:rsid w:val="5B6B6A35"/>
    <w:rsid w:val="5B747FA2"/>
    <w:rsid w:val="5B9825E8"/>
    <w:rsid w:val="5BAD421C"/>
    <w:rsid w:val="5BB13D97"/>
    <w:rsid w:val="5BC367AE"/>
    <w:rsid w:val="5BDA2667"/>
    <w:rsid w:val="5BEA15F7"/>
    <w:rsid w:val="5BF918A2"/>
    <w:rsid w:val="5C1775E7"/>
    <w:rsid w:val="5C622ED3"/>
    <w:rsid w:val="5C6739B4"/>
    <w:rsid w:val="5C71213D"/>
    <w:rsid w:val="5C977CD5"/>
    <w:rsid w:val="5CC1443C"/>
    <w:rsid w:val="5CD05F7C"/>
    <w:rsid w:val="5CDF25FD"/>
    <w:rsid w:val="5CE0276D"/>
    <w:rsid w:val="5D011801"/>
    <w:rsid w:val="5D0603AF"/>
    <w:rsid w:val="5D0C1E6E"/>
    <w:rsid w:val="5D5C27B2"/>
    <w:rsid w:val="5D7E7207"/>
    <w:rsid w:val="5D81328C"/>
    <w:rsid w:val="5D8A5BAC"/>
    <w:rsid w:val="5DBE7604"/>
    <w:rsid w:val="5DF64BBB"/>
    <w:rsid w:val="5E03201B"/>
    <w:rsid w:val="5E086AD1"/>
    <w:rsid w:val="5E2A6A47"/>
    <w:rsid w:val="5E8F0FA0"/>
    <w:rsid w:val="5E960298"/>
    <w:rsid w:val="5EEB2D9E"/>
    <w:rsid w:val="5EF26008"/>
    <w:rsid w:val="5F011E9E"/>
    <w:rsid w:val="5F086742"/>
    <w:rsid w:val="5F3D1CF1"/>
    <w:rsid w:val="5F6366B5"/>
    <w:rsid w:val="5F7912CB"/>
    <w:rsid w:val="5F7A30E0"/>
    <w:rsid w:val="5F9E662B"/>
    <w:rsid w:val="5FA40A7B"/>
    <w:rsid w:val="5FCF3808"/>
    <w:rsid w:val="5FE1759B"/>
    <w:rsid w:val="5FF7D708"/>
    <w:rsid w:val="60317303"/>
    <w:rsid w:val="6035775C"/>
    <w:rsid w:val="603C575F"/>
    <w:rsid w:val="607D37A6"/>
    <w:rsid w:val="60852FE3"/>
    <w:rsid w:val="60AF6C19"/>
    <w:rsid w:val="60BE3C27"/>
    <w:rsid w:val="60D945A9"/>
    <w:rsid w:val="61042BF8"/>
    <w:rsid w:val="61081F46"/>
    <w:rsid w:val="610B7004"/>
    <w:rsid w:val="61480D21"/>
    <w:rsid w:val="615B2E7E"/>
    <w:rsid w:val="61721872"/>
    <w:rsid w:val="61786E1D"/>
    <w:rsid w:val="61806B66"/>
    <w:rsid w:val="61A94AF6"/>
    <w:rsid w:val="61F21F72"/>
    <w:rsid w:val="62093465"/>
    <w:rsid w:val="62142FEB"/>
    <w:rsid w:val="62315204"/>
    <w:rsid w:val="625203F3"/>
    <w:rsid w:val="625658CD"/>
    <w:rsid w:val="62730229"/>
    <w:rsid w:val="62765685"/>
    <w:rsid w:val="627D7494"/>
    <w:rsid w:val="628E5ED5"/>
    <w:rsid w:val="62B8336A"/>
    <w:rsid w:val="62DB0C58"/>
    <w:rsid w:val="63057A83"/>
    <w:rsid w:val="63351F05"/>
    <w:rsid w:val="634611EE"/>
    <w:rsid w:val="635C2D61"/>
    <w:rsid w:val="63626220"/>
    <w:rsid w:val="637C5F97"/>
    <w:rsid w:val="638B7D32"/>
    <w:rsid w:val="638C7755"/>
    <w:rsid w:val="639C3F43"/>
    <w:rsid w:val="63CB2BF0"/>
    <w:rsid w:val="63E94CAF"/>
    <w:rsid w:val="63F7561D"/>
    <w:rsid w:val="63FC4B56"/>
    <w:rsid w:val="640D7932"/>
    <w:rsid w:val="642235E3"/>
    <w:rsid w:val="642B3713"/>
    <w:rsid w:val="64337579"/>
    <w:rsid w:val="643A375C"/>
    <w:rsid w:val="64441196"/>
    <w:rsid w:val="64A83BAD"/>
    <w:rsid w:val="64AC3EB3"/>
    <w:rsid w:val="64B646C3"/>
    <w:rsid w:val="650268E5"/>
    <w:rsid w:val="65072020"/>
    <w:rsid w:val="65091B75"/>
    <w:rsid w:val="65254A6D"/>
    <w:rsid w:val="65378BD8"/>
    <w:rsid w:val="65BC6440"/>
    <w:rsid w:val="65C36E7F"/>
    <w:rsid w:val="65D11B88"/>
    <w:rsid w:val="65D21A26"/>
    <w:rsid w:val="65EA78D2"/>
    <w:rsid w:val="660F5F18"/>
    <w:rsid w:val="6622615E"/>
    <w:rsid w:val="663B7430"/>
    <w:rsid w:val="66A172F9"/>
    <w:rsid w:val="66CE73AC"/>
    <w:rsid w:val="66D25B39"/>
    <w:rsid w:val="66EA3218"/>
    <w:rsid w:val="672A0BC3"/>
    <w:rsid w:val="67604452"/>
    <w:rsid w:val="67B51A77"/>
    <w:rsid w:val="67EE6D37"/>
    <w:rsid w:val="682448B7"/>
    <w:rsid w:val="687775B2"/>
    <w:rsid w:val="68B41F83"/>
    <w:rsid w:val="68D72FB6"/>
    <w:rsid w:val="68E93949"/>
    <w:rsid w:val="68F0088D"/>
    <w:rsid w:val="69251E09"/>
    <w:rsid w:val="6940715E"/>
    <w:rsid w:val="69576081"/>
    <w:rsid w:val="69F40BE1"/>
    <w:rsid w:val="6A1B14A7"/>
    <w:rsid w:val="6A200354"/>
    <w:rsid w:val="6A917F09"/>
    <w:rsid w:val="6A9B2674"/>
    <w:rsid w:val="6AA302AD"/>
    <w:rsid w:val="6AB778B5"/>
    <w:rsid w:val="6ACF1B6A"/>
    <w:rsid w:val="6AE13192"/>
    <w:rsid w:val="6AE5012B"/>
    <w:rsid w:val="6B06168D"/>
    <w:rsid w:val="6B1271E1"/>
    <w:rsid w:val="6B222DD6"/>
    <w:rsid w:val="6B241A17"/>
    <w:rsid w:val="6B432AA4"/>
    <w:rsid w:val="6B5642EE"/>
    <w:rsid w:val="6B7636D8"/>
    <w:rsid w:val="6B891A21"/>
    <w:rsid w:val="6BD66460"/>
    <w:rsid w:val="6BF948B8"/>
    <w:rsid w:val="6C503249"/>
    <w:rsid w:val="6C5E7628"/>
    <w:rsid w:val="6C757EF1"/>
    <w:rsid w:val="6C7E0D8E"/>
    <w:rsid w:val="6CCB7647"/>
    <w:rsid w:val="6CD603D3"/>
    <w:rsid w:val="6CF04454"/>
    <w:rsid w:val="6D0010E2"/>
    <w:rsid w:val="6D0520F7"/>
    <w:rsid w:val="6D064B23"/>
    <w:rsid w:val="6D0C0E01"/>
    <w:rsid w:val="6D3F3B91"/>
    <w:rsid w:val="6D512242"/>
    <w:rsid w:val="6D5855C1"/>
    <w:rsid w:val="6D5A61BC"/>
    <w:rsid w:val="6DB561E6"/>
    <w:rsid w:val="6DE50270"/>
    <w:rsid w:val="6E072901"/>
    <w:rsid w:val="6E1148C4"/>
    <w:rsid w:val="6E274D51"/>
    <w:rsid w:val="6E315382"/>
    <w:rsid w:val="6E634A12"/>
    <w:rsid w:val="6E667866"/>
    <w:rsid w:val="6E914282"/>
    <w:rsid w:val="6E9C0F6F"/>
    <w:rsid w:val="6EFE3D04"/>
    <w:rsid w:val="6F0B0EB6"/>
    <w:rsid w:val="6F0E4EC3"/>
    <w:rsid w:val="6F1D039F"/>
    <w:rsid w:val="6F4274B2"/>
    <w:rsid w:val="6F4A519B"/>
    <w:rsid w:val="6FC860C0"/>
    <w:rsid w:val="6FFF2F60"/>
    <w:rsid w:val="70104A39"/>
    <w:rsid w:val="70202FB4"/>
    <w:rsid w:val="70557737"/>
    <w:rsid w:val="705D4C56"/>
    <w:rsid w:val="70751679"/>
    <w:rsid w:val="70F01D72"/>
    <w:rsid w:val="711904E4"/>
    <w:rsid w:val="712215CC"/>
    <w:rsid w:val="7128128D"/>
    <w:rsid w:val="71397275"/>
    <w:rsid w:val="7146565B"/>
    <w:rsid w:val="71473A67"/>
    <w:rsid w:val="71671D9D"/>
    <w:rsid w:val="7199730D"/>
    <w:rsid w:val="71AD7318"/>
    <w:rsid w:val="71C37A53"/>
    <w:rsid w:val="71E3050D"/>
    <w:rsid w:val="71F118FE"/>
    <w:rsid w:val="721675B7"/>
    <w:rsid w:val="721C4020"/>
    <w:rsid w:val="72553376"/>
    <w:rsid w:val="725566FC"/>
    <w:rsid w:val="726D70E7"/>
    <w:rsid w:val="726F754F"/>
    <w:rsid w:val="72A63D8F"/>
    <w:rsid w:val="72C5502F"/>
    <w:rsid w:val="72CC0B7B"/>
    <w:rsid w:val="72EE4EBF"/>
    <w:rsid w:val="73406045"/>
    <w:rsid w:val="734D12CF"/>
    <w:rsid w:val="7363098C"/>
    <w:rsid w:val="736A39A2"/>
    <w:rsid w:val="73763D1E"/>
    <w:rsid w:val="73DD4830"/>
    <w:rsid w:val="73E31570"/>
    <w:rsid w:val="73EA0EDA"/>
    <w:rsid w:val="743662F5"/>
    <w:rsid w:val="743F19B9"/>
    <w:rsid w:val="746C1710"/>
    <w:rsid w:val="74783080"/>
    <w:rsid w:val="747D74F0"/>
    <w:rsid w:val="74C31ECB"/>
    <w:rsid w:val="74CB28DA"/>
    <w:rsid w:val="74CD717F"/>
    <w:rsid w:val="74EF0832"/>
    <w:rsid w:val="74F34CB3"/>
    <w:rsid w:val="75215F09"/>
    <w:rsid w:val="754F7B5D"/>
    <w:rsid w:val="755E1BC6"/>
    <w:rsid w:val="756F7C68"/>
    <w:rsid w:val="75905010"/>
    <w:rsid w:val="75942919"/>
    <w:rsid w:val="75B27C6E"/>
    <w:rsid w:val="75B92311"/>
    <w:rsid w:val="75C90D7D"/>
    <w:rsid w:val="75DD5AAF"/>
    <w:rsid w:val="761558C9"/>
    <w:rsid w:val="76521EAA"/>
    <w:rsid w:val="76673540"/>
    <w:rsid w:val="768F16E6"/>
    <w:rsid w:val="76CC708D"/>
    <w:rsid w:val="76D63021"/>
    <w:rsid w:val="76DC005F"/>
    <w:rsid w:val="76DE441B"/>
    <w:rsid w:val="76FB218F"/>
    <w:rsid w:val="7709196E"/>
    <w:rsid w:val="77291B3A"/>
    <w:rsid w:val="776624E3"/>
    <w:rsid w:val="777D3C34"/>
    <w:rsid w:val="778E5E41"/>
    <w:rsid w:val="779D47ED"/>
    <w:rsid w:val="77A46024"/>
    <w:rsid w:val="77AA57AB"/>
    <w:rsid w:val="77D77194"/>
    <w:rsid w:val="77D8360D"/>
    <w:rsid w:val="78003B51"/>
    <w:rsid w:val="781D0D71"/>
    <w:rsid w:val="789631FF"/>
    <w:rsid w:val="78A54023"/>
    <w:rsid w:val="78AE6916"/>
    <w:rsid w:val="78C145E9"/>
    <w:rsid w:val="78CC4E73"/>
    <w:rsid w:val="79221D63"/>
    <w:rsid w:val="79782905"/>
    <w:rsid w:val="79D00993"/>
    <w:rsid w:val="79E104AA"/>
    <w:rsid w:val="79E81839"/>
    <w:rsid w:val="7A056C5C"/>
    <w:rsid w:val="7A4342FF"/>
    <w:rsid w:val="7A797175"/>
    <w:rsid w:val="7A7C6425"/>
    <w:rsid w:val="7A8E216A"/>
    <w:rsid w:val="7AAA36FF"/>
    <w:rsid w:val="7AFA4DC2"/>
    <w:rsid w:val="7AFF35DB"/>
    <w:rsid w:val="7B00281D"/>
    <w:rsid w:val="7B034D60"/>
    <w:rsid w:val="7B04743F"/>
    <w:rsid w:val="7B594B51"/>
    <w:rsid w:val="7B7E4076"/>
    <w:rsid w:val="7B982755"/>
    <w:rsid w:val="7BA06CCE"/>
    <w:rsid w:val="7BB14A8F"/>
    <w:rsid w:val="7BB73BB8"/>
    <w:rsid w:val="7BE11BBF"/>
    <w:rsid w:val="7C181810"/>
    <w:rsid w:val="7C1F03DB"/>
    <w:rsid w:val="7C314E4E"/>
    <w:rsid w:val="7C321491"/>
    <w:rsid w:val="7C347785"/>
    <w:rsid w:val="7C5B5D0B"/>
    <w:rsid w:val="7C907F65"/>
    <w:rsid w:val="7C9C4E59"/>
    <w:rsid w:val="7CA428F9"/>
    <w:rsid w:val="7CE64029"/>
    <w:rsid w:val="7CF722B1"/>
    <w:rsid w:val="7D16490F"/>
    <w:rsid w:val="7D361F0F"/>
    <w:rsid w:val="7D685BC6"/>
    <w:rsid w:val="7D8335F7"/>
    <w:rsid w:val="7D8C2F70"/>
    <w:rsid w:val="7D987831"/>
    <w:rsid w:val="7DA45501"/>
    <w:rsid w:val="7DB609FF"/>
    <w:rsid w:val="7DBD4C18"/>
    <w:rsid w:val="7DBF3E97"/>
    <w:rsid w:val="7DC45B78"/>
    <w:rsid w:val="7E2F1D63"/>
    <w:rsid w:val="7E3119A9"/>
    <w:rsid w:val="7E59665A"/>
    <w:rsid w:val="7E6D10D6"/>
    <w:rsid w:val="7E722949"/>
    <w:rsid w:val="7E831383"/>
    <w:rsid w:val="7EC3792C"/>
    <w:rsid w:val="7ED2187F"/>
    <w:rsid w:val="7EEB17D0"/>
    <w:rsid w:val="7EFE05D4"/>
    <w:rsid w:val="7F0A04A3"/>
    <w:rsid w:val="7F472BBC"/>
    <w:rsid w:val="7F4A4D43"/>
    <w:rsid w:val="7F4E3729"/>
    <w:rsid w:val="7F4F4482"/>
    <w:rsid w:val="7F796D86"/>
    <w:rsid w:val="7F89586C"/>
    <w:rsid w:val="7FA2248A"/>
    <w:rsid w:val="7FFBF5B5"/>
    <w:rsid w:val="8ED750F3"/>
    <w:rsid w:val="8FE3B95D"/>
    <w:rsid w:val="BEB774AB"/>
    <w:rsid w:val="D3FFBC44"/>
    <w:rsid w:val="EBDF4A5C"/>
    <w:rsid w:val="F753382A"/>
    <w:rsid w:val="FEF708B5"/>
    <w:rsid w:val="FFDF1F68"/>
    <w:rsid w:val="FFFF0C7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link w:val="71"/>
    <w:qFormat/>
    <w:uiPriority w:val="99"/>
    <w:pPr>
      <w:spacing w:line="380" w:lineRule="exact"/>
    </w:pPr>
    <w:rPr>
      <w:kern w:val="0"/>
      <w:sz w:val="24"/>
    </w:rPr>
  </w:style>
  <w:style w:type="paragraph" w:styleId="21">
    <w:name w:val="Body Text Indent"/>
    <w:basedOn w:val="1"/>
    <w:next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link w:val="73"/>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unhideWhenUsed/>
    <w:qFormat/>
    <w:uiPriority w:val="99"/>
    <w:pPr>
      <w:snapToGrid w:val="0"/>
      <w:jc w:val="left"/>
    </w:pPr>
  </w:style>
  <w:style w:type="paragraph" w:styleId="31">
    <w:name w:val="Balloon Text"/>
    <w:basedOn w:val="1"/>
    <w:link w:val="77"/>
    <w:semiHidden/>
    <w:qFormat/>
    <w:uiPriority w:val="0"/>
    <w:rPr>
      <w:kern w:val="0"/>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kern w:val="0"/>
      <w:sz w:val="20"/>
      <w:szCs w:val="21"/>
    </w:rPr>
  </w:style>
  <w:style w:type="paragraph" w:styleId="48">
    <w:name w:val="Body Text First Indent 2"/>
    <w:basedOn w:val="21"/>
    <w:next w:val="20"/>
    <w:qFormat/>
    <w:uiPriority w:val="0"/>
    <w:pPr>
      <w:spacing w:after="120" w:afterLines="0"/>
      <w:ind w:left="420" w:leftChars="200" w:firstLine="420" w:firstLineChars="20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1"/>
    <w:qFormat/>
    <w:uiPriority w:val="0"/>
    <w:rPr>
      <w:rFonts w:ascii="仿宋_GB2312" w:hAnsi="Times New Roman" w:eastAsia="仿宋_GB2312" w:cs="Times New Roman"/>
      <w:sz w:val="32"/>
      <w:szCs w:val="20"/>
    </w:rPr>
  </w:style>
  <w:style w:type="character" w:customStyle="1" w:styleId="73">
    <w:name w:val="纯文本 字符2"/>
    <w:link w:val="26"/>
    <w:qFormat/>
    <w:uiPriority w:val="0"/>
    <w:rPr>
      <w:rFonts w:ascii="宋体" w:hAnsi="Courier New" w:eastAsia="宋体" w:cs="Courier New"/>
      <w:szCs w:val="21"/>
    </w:rPr>
  </w:style>
  <w:style w:type="character" w:customStyle="1" w:styleId="74">
    <w:name w:val="日期 字符"/>
    <w:link w:val="28"/>
    <w:qFormat/>
    <w:uiPriority w:val="0"/>
    <w:rPr>
      <w:rFonts w:ascii="宋体" w:hAnsi="Courier New" w:eastAsia="宋体" w:cs="Courier New"/>
      <w:szCs w:val="21"/>
    </w:rPr>
  </w:style>
  <w:style w:type="character" w:customStyle="1" w:styleId="75">
    <w:name w:val="正文文本缩进 2 字符"/>
    <w:link w:val="29"/>
    <w:qFormat/>
    <w:uiPriority w:val="0"/>
    <w:rPr>
      <w:rFonts w:ascii="Times New Roman" w:hAnsi="Times New Roman" w:eastAsia="宋体" w:cs="Times New Roman"/>
      <w:sz w:val="32"/>
      <w:szCs w:val="20"/>
    </w:rPr>
  </w:style>
  <w:style w:type="character" w:customStyle="1" w:styleId="76">
    <w:name w:val="尾注文本 字符"/>
    <w:link w:val="30"/>
    <w:semiHidden/>
    <w:qFormat/>
    <w:uiPriority w:val="99"/>
    <w:rPr>
      <w:rFonts w:ascii="Times New Roman" w:hAnsi="Times New Roman"/>
      <w:kern w:val="2"/>
      <w:sz w:val="21"/>
      <w:szCs w:val="24"/>
    </w:rPr>
  </w:style>
  <w:style w:type="character" w:customStyle="1" w:styleId="77">
    <w:name w:val="批注框文本 字符"/>
    <w:link w:val="31"/>
    <w:semiHidden/>
    <w:qFormat/>
    <w:uiPriority w:val="0"/>
    <w:rPr>
      <w:rFonts w:ascii="Times New Roman" w:hAnsi="Times New Roman" w:eastAsia="宋体" w:cs="Times New Roman"/>
      <w:sz w:val="18"/>
      <w:szCs w:val="18"/>
    </w:rPr>
  </w:style>
  <w:style w:type="character" w:customStyle="1" w:styleId="78">
    <w:name w:val="页脚 字符1"/>
    <w:link w:val="32"/>
    <w:qFormat/>
    <w:uiPriority w:val="99"/>
    <w:rPr>
      <w:sz w:val="18"/>
      <w:szCs w:val="18"/>
    </w:rPr>
  </w:style>
  <w:style w:type="character" w:customStyle="1" w:styleId="79">
    <w:name w:val="页眉 字符"/>
    <w:link w:val="33"/>
    <w:qFormat/>
    <w:uiPriority w:val="99"/>
    <w:rPr>
      <w:rFonts w:ascii="Times New Roman" w:hAnsi="Times New Roman"/>
      <w:kern w:val="2"/>
      <w:sz w:val="18"/>
      <w:szCs w:val="18"/>
    </w:rPr>
  </w:style>
  <w:style w:type="character" w:customStyle="1" w:styleId="80">
    <w:name w:val="脚注文本 字符"/>
    <w:link w:val="37"/>
    <w:semiHidden/>
    <w:qFormat/>
    <w:uiPriority w:val="99"/>
    <w:rPr>
      <w:rFonts w:ascii="Times New Roman" w:hAnsi="Times New Roman"/>
      <w:kern w:val="2"/>
      <w:sz w:val="18"/>
      <w:szCs w:val="18"/>
    </w:rPr>
  </w:style>
  <w:style w:type="character" w:customStyle="1" w:styleId="81">
    <w:name w:val="正文文本缩进 3 字符"/>
    <w:link w:val="39"/>
    <w:qFormat/>
    <w:uiPriority w:val="0"/>
    <w:rPr>
      <w:rFonts w:ascii="Times New Roman" w:hAnsi="Times New Roman" w:eastAsia="宋体" w:cs="Times New Roman"/>
      <w:sz w:val="16"/>
      <w:szCs w:val="16"/>
    </w:rPr>
  </w:style>
  <w:style w:type="character" w:customStyle="1" w:styleId="82">
    <w:name w:val="正文文本 2 字符"/>
    <w:link w:val="42"/>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 w:type="paragraph" w:customStyle="1" w:styleId="140">
    <w:name w:val="KS表格"/>
    <w:basedOn w:val="1"/>
    <w:qFormat/>
    <w:uiPriority w:val="0"/>
    <w:pPr>
      <w:spacing w:line="300" w:lineRule="auto"/>
    </w:pPr>
    <w:rPr>
      <w:rFonts w:ascii="Calibri" w:hAnsi="Calibri" w:cs="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110</Pages>
  <Words>9112</Words>
  <Characters>9940</Characters>
  <Lines>506</Lines>
  <Paragraphs>142</Paragraphs>
  <TotalTime>30</TotalTime>
  <ScaleCrop>false</ScaleCrop>
  <LinksUpToDate>false</LinksUpToDate>
  <CharactersWithSpaces>10208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2025-03-24T00:07:00Z</dcterms:created>
  <dc:creator>KWZB</dc:creator>
  <cp:lastModifiedBy>代理公司</cp:lastModifiedBy>
  <cp:lastPrinted>2025-07-13T01:58:00Z</cp:lastPrinted>
  <dcterms:modified xsi:type="dcterms:W3CDTF">2026-07-01T01:07:23Z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C6402D5FABD94692B7D7E142616AB004_13</vt:lpwstr>
  </property>
  <property fmtid="{D5CDD505-2E9C-101B-9397-08002B2CF9AE}" pid="4" name="KSOTemplateDocerSaveRecord">
    <vt:lpwstr>eyJoZGlkIjoiMmU5MWE3OGI2Yzk0NTQ5N2IyNTgxZTU4ZTYxMzg3ZGMiLCJ1c2VySWQiOiI2MzU4NTg4ODcifQ==</vt:lpwstr>
  </property>
</Properties>
</file>